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480" w:lineRule="auto"/>
        <w:jc w:val="center"/>
        <w:rPr>
          <w:rFonts w:hint="default" w:ascii="Times New Roman" w:hAnsi="Times New Roman" w:cs="Times New Roman"/>
          <w:b/>
          <w:color w:val="auto"/>
          <w:sz w:val="72"/>
          <w:szCs w:val="72"/>
          <w:u w:val="none" w:color="auto"/>
        </w:rPr>
      </w:pPr>
    </w:p>
    <w:p>
      <w:pPr>
        <w:spacing w:before="156" w:beforeLines="50" w:line="480" w:lineRule="auto"/>
        <w:jc w:val="center"/>
        <w:rPr>
          <w:rFonts w:hint="default" w:ascii="Times New Roman" w:hAnsi="Times New Roman" w:cs="Times New Roman"/>
          <w:b/>
          <w:color w:val="auto"/>
          <w:sz w:val="72"/>
          <w:szCs w:val="72"/>
          <w:u w:val="none" w:color="auto"/>
        </w:rPr>
      </w:pPr>
      <w:r>
        <w:rPr>
          <w:rFonts w:hint="default" w:ascii="Times New Roman" w:hAnsi="Times New Roman" w:cs="Times New Roman"/>
          <w:b/>
          <w:color w:val="auto"/>
          <w:sz w:val="72"/>
          <w:szCs w:val="72"/>
          <w:u w:val="none" w:color="auto"/>
        </w:rPr>
        <w:t>建设项目环境影响报告表</w:t>
      </w:r>
    </w:p>
    <w:p>
      <w:pPr>
        <w:rPr>
          <w:rFonts w:hint="default" w:ascii="Times New Roman" w:hAnsi="Times New Roman" w:cs="Times New Roman"/>
          <w:color w:val="auto"/>
          <w:sz w:val="44"/>
          <w:szCs w:val="44"/>
          <w:u w:val="none" w:color="auto"/>
        </w:rPr>
      </w:pPr>
    </w:p>
    <w:p>
      <w:pPr>
        <w:jc w:val="center"/>
        <w:rPr>
          <w:rFonts w:hint="default" w:ascii="Times New Roman" w:hAnsi="Times New Roman" w:eastAsia="宋体" w:cs="Times New Roman"/>
          <w:color w:val="auto"/>
          <w:sz w:val="32"/>
          <w:szCs w:val="32"/>
          <w:u w:val="none" w:color="auto"/>
          <w:lang w:eastAsia="zh-CN"/>
        </w:rPr>
      </w:pPr>
      <w:r>
        <w:rPr>
          <w:rFonts w:hint="default" w:ascii="Times New Roman" w:hAnsi="Times New Roman" w:cs="Times New Roman"/>
          <w:color w:val="auto"/>
          <w:sz w:val="32"/>
          <w:szCs w:val="32"/>
          <w:u w:val="none" w:color="auto"/>
          <w:lang w:eastAsia="zh-CN"/>
        </w:rPr>
        <w:t>（</w:t>
      </w:r>
      <w:r>
        <w:rPr>
          <w:rFonts w:hint="eastAsia" w:cs="Times New Roman"/>
          <w:color w:val="auto"/>
          <w:sz w:val="32"/>
          <w:szCs w:val="32"/>
          <w:u w:val="none" w:color="auto"/>
          <w:lang w:val="en-US" w:eastAsia="zh-CN"/>
        </w:rPr>
        <w:t>报批</w:t>
      </w:r>
      <w:r>
        <w:rPr>
          <w:rFonts w:hint="default" w:ascii="Times New Roman" w:hAnsi="Times New Roman" w:cs="Times New Roman"/>
          <w:color w:val="auto"/>
          <w:sz w:val="32"/>
          <w:szCs w:val="32"/>
          <w:u w:val="none" w:color="auto"/>
          <w:lang w:eastAsia="zh-CN"/>
        </w:rPr>
        <w:t>稿）</w:t>
      </w:r>
    </w:p>
    <w:p>
      <w:pPr>
        <w:rPr>
          <w:rFonts w:hint="default" w:ascii="Times New Roman" w:hAnsi="Times New Roman" w:cs="Times New Roman"/>
          <w:color w:val="auto"/>
          <w:sz w:val="44"/>
          <w:szCs w:val="44"/>
          <w:u w:val="none" w:color="auto"/>
        </w:rPr>
      </w:pPr>
    </w:p>
    <w:p>
      <w:pPr>
        <w:rPr>
          <w:rFonts w:hint="default" w:ascii="Times New Roman" w:hAnsi="Times New Roman" w:cs="Times New Roman"/>
          <w:color w:val="auto"/>
          <w:sz w:val="44"/>
          <w:szCs w:val="44"/>
          <w:u w:val="none" w:color="auto"/>
        </w:rPr>
      </w:pPr>
    </w:p>
    <w:p>
      <w:pPr>
        <w:rPr>
          <w:rFonts w:hint="default" w:ascii="Times New Roman" w:hAnsi="Times New Roman" w:cs="Times New Roman"/>
          <w:color w:val="auto"/>
          <w:sz w:val="44"/>
          <w:szCs w:val="44"/>
          <w:u w:val="none" w:color="auto"/>
        </w:rPr>
      </w:pPr>
    </w:p>
    <w:p>
      <w:pPr>
        <w:rPr>
          <w:rFonts w:hint="default" w:ascii="Times New Roman" w:hAnsi="Times New Roman" w:cs="Times New Roman"/>
          <w:color w:val="auto"/>
          <w:sz w:val="44"/>
          <w:szCs w:val="44"/>
          <w:u w:val="none" w:color="auto"/>
        </w:rPr>
      </w:pPr>
    </w:p>
    <w:p>
      <w:pPr>
        <w:rPr>
          <w:rFonts w:hint="default" w:ascii="Times New Roman" w:hAnsi="Times New Roman" w:cs="Times New Roman"/>
          <w:color w:val="auto"/>
          <w:sz w:val="44"/>
          <w:szCs w:val="44"/>
          <w:u w:val="none" w:color="auto"/>
        </w:rPr>
      </w:pPr>
    </w:p>
    <w:p>
      <w:pPr>
        <w:adjustRightInd w:val="0"/>
        <w:spacing w:line="720" w:lineRule="auto"/>
        <w:ind w:firstLine="1272" w:firstLineChars="396"/>
        <w:rPr>
          <w:rFonts w:hint="default" w:ascii="Times New Roman" w:hAnsi="Times New Roman" w:cs="Times New Roman"/>
          <w:b/>
          <w:bCs w:val="0"/>
          <w:color w:val="auto"/>
          <w:sz w:val="32"/>
          <w:szCs w:val="32"/>
          <w:u w:val="single" w:color="auto"/>
        </w:rPr>
      </w:pPr>
      <w:r>
        <w:rPr>
          <w:rFonts w:hint="default" w:ascii="Times New Roman" w:hAnsi="Times New Roman" w:cs="Times New Roman"/>
          <w:b/>
          <w:bCs w:val="0"/>
          <w:color w:val="auto"/>
          <w:sz w:val="32"/>
          <w:u w:val="single" w:color="auto"/>
        </w:rPr>
        <w:t xml:space="preserve">项目名称：  </w:t>
      </w:r>
      <w:r>
        <w:rPr>
          <w:rFonts w:hint="eastAsia" w:cs="Times New Roman"/>
          <w:b/>
          <w:bCs w:val="0"/>
          <w:color w:val="auto"/>
          <w:spacing w:val="-8"/>
          <w:sz w:val="32"/>
          <w:u w:val="single" w:color="auto"/>
          <w:lang w:eastAsia="zh-CN"/>
        </w:rPr>
        <w:t>年产4500吨纸业用品建设项目</w:t>
      </w:r>
      <w:r>
        <w:rPr>
          <w:rFonts w:hint="default" w:ascii="Times New Roman" w:hAnsi="Times New Roman" w:cs="Times New Roman"/>
          <w:b/>
          <w:bCs w:val="0"/>
          <w:color w:val="auto"/>
          <w:sz w:val="32"/>
          <w:szCs w:val="32"/>
          <w:u w:val="single" w:color="auto"/>
        </w:rPr>
        <w:t xml:space="preserve">  </w:t>
      </w:r>
    </w:p>
    <w:p>
      <w:pPr>
        <w:adjustRightInd w:val="0"/>
        <w:spacing w:line="360" w:lineRule="auto"/>
        <w:ind w:firstLine="630" w:firstLineChars="196"/>
        <w:rPr>
          <w:rFonts w:hint="default" w:ascii="Times New Roman" w:hAnsi="Times New Roman" w:cs="Times New Roman"/>
          <w:b/>
          <w:bCs w:val="0"/>
          <w:color w:val="auto"/>
          <w:sz w:val="32"/>
          <w:u w:val="single" w:color="auto"/>
        </w:rPr>
      </w:pPr>
    </w:p>
    <w:p>
      <w:pPr>
        <w:adjustRightInd w:val="0"/>
        <w:spacing w:line="360" w:lineRule="auto"/>
        <w:rPr>
          <w:rFonts w:hint="default" w:ascii="Times New Roman" w:hAnsi="Times New Roman" w:cs="Times New Roman"/>
          <w:b/>
          <w:bCs w:val="0"/>
          <w:color w:val="auto"/>
          <w:sz w:val="32"/>
          <w:u w:val="single" w:color="auto"/>
        </w:rPr>
      </w:pPr>
      <w:r>
        <w:rPr>
          <w:rFonts w:hint="default" w:ascii="Times New Roman" w:hAnsi="Times New Roman" w:cs="Times New Roman"/>
          <w:b/>
          <w:bCs w:val="0"/>
          <w:color w:val="auto"/>
          <w:sz w:val="32"/>
          <w:u w:val="single" w:color="auto"/>
        </w:rPr>
        <w:t>建设单位：</w:t>
      </w:r>
      <w:r>
        <w:rPr>
          <w:rFonts w:hint="eastAsia" w:cs="Times New Roman"/>
          <w:b/>
          <w:bCs w:val="0"/>
          <w:color w:val="auto"/>
          <w:sz w:val="32"/>
          <w:szCs w:val="22"/>
          <w:u w:val="single" w:color="auto"/>
          <w:lang w:eastAsia="zh-CN"/>
        </w:rPr>
        <w:t>深圳市帝彩纸业有限公司岳阳市分公司</w:t>
      </w:r>
      <w:r>
        <w:rPr>
          <w:rFonts w:hint="eastAsia" w:ascii="Times New Roman" w:hAnsi="Times New Roman" w:cs="Times New Roman"/>
          <w:b/>
          <w:bCs w:val="0"/>
          <w:color w:val="auto"/>
          <w:sz w:val="32"/>
          <w:szCs w:val="22"/>
          <w:u w:val="single" w:color="auto"/>
          <w:lang w:val="en-US" w:eastAsia="zh-CN"/>
        </w:rPr>
        <w:t xml:space="preserve">  </w:t>
      </w:r>
      <w:r>
        <w:rPr>
          <w:rFonts w:hint="default" w:ascii="Times New Roman" w:hAnsi="Times New Roman" w:cs="Times New Roman"/>
          <w:b/>
          <w:bCs w:val="0"/>
          <w:color w:val="auto"/>
          <w:spacing w:val="-8"/>
          <w:sz w:val="32"/>
          <w:u w:val="single" w:color="auto"/>
        </w:rPr>
        <w:t>（盖章）</w:t>
      </w:r>
    </w:p>
    <w:p>
      <w:pPr>
        <w:rPr>
          <w:rFonts w:hint="default" w:ascii="Times New Roman" w:hAnsi="Times New Roman" w:cs="Times New Roman"/>
          <w:color w:val="auto"/>
          <w:sz w:val="44"/>
          <w:szCs w:val="44"/>
          <w:u w:val="none" w:color="auto"/>
        </w:rPr>
      </w:pPr>
    </w:p>
    <w:p>
      <w:pPr>
        <w:rPr>
          <w:rFonts w:hint="default" w:ascii="Times New Roman" w:hAnsi="Times New Roman" w:cs="Times New Roman"/>
          <w:color w:val="auto"/>
          <w:sz w:val="44"/>
          <w:szCs w:val="44"/>
          <w:u w:val="none" w:color="auto"/>
        </w:rPr>
      </w:pPr>
    </w:p>
    <w:p>
      <w:pPr>
        <w:rPr>
          <w:rFonts w:hint="default" w:ascii="Times New Roman" w:hAnsi="Times New Roman" w:cs="Times New Roman"/>
          <w:color w:val="auto"/>
          <w:sz w:val="44"/>
          <w:szCs w:val="44"/>
          <w:u w:val="none" w:color="auto"/>
        </w:rPr>
      </w:pPr>
    </w:p>
    <w:p>
      <w:pPr>
        <w:bidi w:val="0"/>
        <w:jc w:val="center"/>
        <w:rPr>
          <w:rFonts w:hint="eastAsia" w:eastAsia="宋体"/>
          <w:b/>
          <w:bCs/>
          <w:sz w:val="32"/>
          <w:szCs w:val="28"/>
          <w:u w:val="none" w:color="auto"/>
          <w:lang w:val="en-US" w:eastAsia="zh-CN"/>
        </w:rPr>
      </w:pPr>
      <w:r>
        <w:rPr>
          <w:rFonts w:hint="eastAsia"/>
          <w:b/>
          <w:bCs/>
          <w:sz w:val="32"/>
          <w:szCs w:val="28"/>
          <w:u w:val="none" w:color="auto"/>
          <w:lang w:val="en-US" w:eastAsia="zh-CN"/>
        </w:rPr>
        <w:t>湖南智盛瀚海环保科技有限公司</w:t>
      </w:r>
    </w:p>
    <w:p>
      <w:pPr>
        <w:spacing w:before="240" w:beforeLines="100" w:after="240" w:afterLines="100"/>
        <w:jc w:val="center"/>
        <w:rPr>
          <w:b/>
          <w:bCs/>
          <w:sz w:val="36"/>
          <w:szCs w:val="24"/>
          <w:u w:val="none" w:color="auto"/>
        </w:rPr>
      </w:pPr>
      <w:r>
        <w:rPr>
          <w:rFonts w:hint="eastAsia" w:ascii="Times New Roman" w:hAnsi="Times New Roman" w:cs="Times New Roman"/>
          <w:b/>
          <w:bCs/>
          <w:color w:val="auto"/>
          <w:sz w:val="30"/>
          <w:szCs w:val="30"/>
          <w:u w:val="none" w:color="auto"/>
          <w:lang w:val="en-US" w:eastAsia="zh-CN"/>
        </w:rPr>
        <w:t xml:space="preserve">  </w:t>
      </w:r>
      <w:r>
        <w:rPr>
          <w:rFonts w:hint="default" w:ascii="Times New Roman" w:hAnsi="Times New Roman" w:cs="Times New Roman"/>
          <w:b/>
          <w:bCs/>
          <w:color w:val="auto"/>
          <w:sz w:val="30"/>
          <w:szCs w:val="30"/>
          <w:u w:val="none" w:color="auto"/>
        </w:rPr>
        <w:t>日期：20</w:t>
      </w:r>
      <w:r>
        <w:rPr>
          <w:rFonts w:hint="eastAsia" w:cs="Times New Roman"/>
          <w:b/>
          <w:bCs/>
          <w:color w:val="auto"/>
          <w:sz w:val="30"/>
          <w:szCs w:val="30"/>
          <w:u w:val="none" w:color="auto"/>
          <w:lang w:val="en-US" w:eastAsia="zh-CN"/>
        </w:rPr>
        <w:t>20</w:t>
      </w:r>
      <w:r>
        <w:rPr>
          <w:rFonts w:hint="default" w:ascii="Times New Roman" w:hAnsi="Times New Roman" w:cs="Times New Roman"/>
          <w:b/>
          <w:bCs/>
          <w:color w:val="auto"/>
          <w:sz w:val="30"/>
          <w:szCs w:val="30"/>
          <w:u w:val="none" w:color="auto"/>
        </w:rPr>
        <w:t>年</w:t>
      </w:r>
      <w:r>
        <w:rPr>
          <w:rFonts w:hint="eastAsia" w:cs="Times New Roman"/>
          <w:b/>
          <w:bCs/>
          <w:color w:val="auto"/>
          <w:sz w:val="30"/>
          <w:szCs w:val="30"/>
          <w:u w:val="none" w:color="auto"/>
          <w:lang w:val="en-US" w:eastAsia="zh-CN"/>
        </w:rPr>
        <w:t>12</w:t>
      </w:r>
      <w:r>
        <w:rPr>
          <w:rFonts w:hint="default" w:ascii="Times New Roman" w:hAnsi="Times New Roman" w:cs="Times New Roman"/>
          <w:b/>
          <w:bCs/>
          <w:color w:val="auto"/>
          <w:sz w:val="30"/>
          <w:szCs w:val="30"/>
          <w:u w:val="none" w:color="auto"/>
        </w:rPr>
        <w:t>月</w:t>
      </w:r>
    </w:p>
    <w:p>
      <w:pPr>
        <w:spacing w:before="240" w:beforeLines="100" w:after="240" w:afterLines="100" w:line="360" w:lineRule="auto"/>
        <w:jc w:val="center"/>
        <w:rPr>
          <w:b/>
          <w:bCs/>
          <w:sz w:val="36"/>
          <w:szCs w:val="24"/>
          <w:u w:val="none" w:color="auto"/>
        </w:rPr>
      </w:pPr>
    </w:p>
    <w:p>
      <w:pPr>
        <w:bidi w:val="0"/>
        <w:rPr>
          <w:rFonts w:hint="default"/>
          <w:u w:val="none" w:color="auto"/>
          <w:lang w:val="en-US" w:eastAsia="zh-CN"/>
        </w:rPr>
      </w:pPr>
    </w:p>
    <w:p>
      <w:pPr>
        <w:bidi w:val="0"/>
        <w:jc w:val="center"/>
        <w:rPr>
          <w:rFonts w:hint="default"/>
          <w:sz w:val="36"/>
          <w:szCs w:val="32"/>
          <w:lang w:val="en-US" w:eastAsia="zh-CN"/>
        </w:rPr>
      </w:pPr>
      <w:r>
        <w:rPr>
          <w:rFonts w:hint="eastAsia"/>
          <w:sz w:val="36"/>
          <w:szCs w:val="32"/>
          <w:lang w:val="en-US" w:eastAsia="zh-CN"/>
        </w:rPr>
        <w:t>专家意见修改清单</w:t>
      </w:r>
    </w:p>
    <w:p>
      <w:pPr>
        <w:bidi w:val="0"/>
        <w:rPr>
          <w:rFonts w:hint="eastAsia"/>
          <w:lang w:eastAsia="zh-CN"/>
        </w:rPr>
      </w:pPr>
    </w:p>
    <w:tbl>
      <w:tblPr>
        <w:tblStyle w:val="41"/>
        <w:tblW w:w="9180" w:type="dxa"/>
        <w:tblInd w:w="-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5385"/>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bidi w:val="0"/>
              <w:spacing w:line="360" w:lineRule="auto"/>
              <w:jc w:val="center"/>
              <w:rPr>
                <w:rFonts w:hint="default"/>
                <w:b/>
                <w:bCs/>
                <w:sz w:val="28"/>
                <w:szCs w:val="28"/>
                <w:vertAlign w:val="baseline"/>
                <w:lang w:val="en-US" w:eastAsia="zh-CN"/>
              </w:rPr>
            </w:pPr>
            <w:r>
              <w:rPr>
                <w:rFonts w:hint="eastAsia"/>
                <w:b/>
                <w:bCs/>
                <w:sz w:val="28"/>
                <w:szCs w:val="28"/>
                <w:vertAlign w:val="baseline"/>
                <w:lang w:val="en-US" w:eastAsia="zh-CN"/>
              </w:rPr>
              <w:t>序号</w:t>
            </w:r>
          </w:p>
        </w:tc>
        <w:tc>
          <w:tcPr>
            <w:tcW w:w="5385" w:type="dxa"/>
          </w:tcPr>
          <w:p>
            <w:pPr>
              <w:bidi w:val="0"/>
              <w:spacing w:line="360" w:lineRule="auto"/>
              <w:jc w:val="center"/>
              <w:rPr>
                <w:rFonts w:hint="default"/>
                <w:b/>
                <w:bCs/>
                <w:sz w:val="28"/>
                <w:szCs w:val="28"/>
                <w:vertAlign w:val="baseline"/>
                <w:lang w:val="en-US" w:eastAsia="zh-CN"/>
              </w:rPr>
            </w:pPr>
            <w:r>
              <w:rPr>
                <w:rFonts w:hint="eastAsia"/>
                <w:b/>
                <w:bCs/>
                <w:sz w:val="28"/>
                <w:szCs w:val="28"/>
                <w:vertAlign w:val="baseline"/>
                <w:lang w:val="en-US" w:eastAsia="zh-CN"/>
              </w:rPr>
              <w:t>专家意见</w:t>
            </w:r>
          </w:p>
        </w:tc>
        <w:tc>
          <w:tcPr>
            <w:tcW w:w="2625" w:type="dxa"/>
          </w:tcPr>
          <w:p>
            <w:pPr>
              <w:bidi w:val="0"/>
              <w:spacing w:line="360" w:lineRule="auto"/>
              <w:jc w:val="center"/>
              <w:rPr>
                <w:rFonts w:hint="default"/>
                <w:b/>
                <w:bCs/>
                <w:sz w:val="28"/>
                <w:szCs w:val="28"/>
                <w:vertAlign w:val="baseline"/>
                <w:lang w:val="en-US" w:eastAsia="zh-CN"/>
              </w:rPr>
            </w:pPr>
            <w:r>
              <w:rPr>
                <w:rFonts w:hint="eastAsia"/>
                <w:b/>
                <w:bCs/>
                <w:sz w:val="28"/>
                <w:szCs w:val="28"/>
                <w:vertAlign w:val="baseline"/>
                <w:lang w:val="en-US" w:eastAsia="zh-CN"/>
              </w:rPr>
              <w:t>专家意见修改清单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bidi w:val="0"/>
              <w:spacing w:line="360" w:lineRule="auto"/>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1</w:t>
            </w:r>
          </w:p>
        </w:tc>
        <w:tc>
          <w:tcPr>
            <w:tcW w:w="5385" w:type="dxa"/>
          </w:tcPr>
          <w:p>
            <w:pPr>
              <w:numPr>
                <w:ilvl w:val="0"/>
                <w:numId w:val="0"/>
              </w:numPr>
              <w:tabs>
                <w:tab w:val="left" w:pos="993"/>
              </w:tabs>
              <w:snapToGrid w:val="0"/>
              <w:spacing w:line="360" w:lineRule="auto"/>
              <w:rPr>
                <w:rFonts w:hint="eastAsia" w:eastAsia="宋体"/>
                <w:b w:val="0"/>
                <w:bCs w:val="0"/>
                <w:sz w:val="28"/>
                <w:szCs w:val="28"/>
                <w:vertAlign w:val="baseline"/>
                <w:lang w:val="en-US" w:eastAsia="zh-CN"/>
              </w:rPr>
            </w:pPr>
            <w:r>
              <w:rPr>
                <w:rFonts w:hint="eastAsia"/>
                <w:b w:val="0"/>
                <w:bCs w:val="0"/>
                <w:sz w:val="28"/>
                <w:szCs w:val="28"/>
              </w:rPr>
              <w:t>完善项目建设内容，细化项目功能分区；校核项目主要生产设备；明确需印刷的产品种类，以此校核项目生产工艺及产排污节点。</w:t>
            </w:r>
          </w:p>
        </w:tc>
        <w:tc>
          <w:tcPr>
            <w:tcW w:w="2625" w:type="dxa"/>
            <w:vAlign w:val="center"/>
          </w:tcPr>
          <w:p>
            <w:pPr>
              <w:bidi w:val="0"/>
              <w:spacing w:line="360" w:lineRule="auto"/>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已完善且明确，具体详见P2-5、P23-26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bidi w:val="0"/>
              <w:spacing w:line="360" w:lineRule="auto"/>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2</w:t>
            </w:r>
          </w:p>
        </w:tc>
        <w:tc>
          <w:tcPr>
            <w:tcW w:w="5385" w:type="dxa"/>
          </w:tcPr>
          <w:p>
            <w:pPr>
              <w:numPr>
                <w:ilvl w:val="0"/>
                <w:numId w:val="0"/>
              </w:numPr>
              <w:tabs>
                <w:tab w:val="left" w:pos="993"/>
              </w:tabs>
              <w:snapToGrid w:val="0"/>
              <w:spacing w:line="360" w:lineRule="auto"/>
              <w:rPr>
                <w:rFonts w:hint="eastAsia"/>
                <w:b w:val="0"/>
                <w:bCs w:val="0"/>
                <w:sz w:val="28"/>
                <w:szCs w:val="28"/>
                <w:vertAlign w:val="baseline"/>
                <w:lang w:eastAsia="zh-CN"/>
              </w:rPr>
            </w:pPr>
            <w:r>
              <w:rPr>
                <w:rFonts w:hint="eastAsia"/>
                <w:b w:val="0"/>
                <w:bCs w:val="0"/>
                <w:sz w:val="28"/>
                <w:szCs w:val="28"/>
              </w:rPr>
              <w:t>细化项目选址及周边情况调查，强化本项目与周边环境的相容性分析。</w:t>
            </w:r>
          </w:p>
        </w:tc>
        <w:tc>
          <w:tcPr>
            <w:tcW w:w="2625" w:type="dxa"/>
            <w:vAlign w:val="center"/>
          </w:tcPr>
          <w:p>
            <w:pPr>
              <w:bidi w:val="0"/>
              <w:spacing w:line="360" w:lineRule="auto"/>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已细化且强化，具体详见P17-18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0" w:type="dxa"/>
            <w:vAlign w:val="center"/>
          </w:tcPr>
          <w:p>
            <w:pPr>
              <w:bidi w:val="0"/>
              <w:spacing w:line="360" w:lineRule="auto"/>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3</w:t>
            </w:r>
          </w:p>
        </w:tc>
        <w:tc>
          <w:tcPr>
            <w:tcW w:w="5385" w:type="dxa"/>
          </w:tcPr>
          <w:p>
            <w:pPr>
              <w:numPr>
                <w:ilvl w:val="0"/>
                <w:numId w:val="0"/>
              </w:numPr>
              <w:tabs>
                <w:tab w:val="left" w:pos="993"/>
              </w:tabs>
              <w:snapToGrid w:val="0"/>
              <w:spacing w:line="360" w:lineRule="auto"/>
              <w:rPr>
                <w:rFonts w:hint="eastAsia"/>
                <w:b w:val="0"/>
                <w:bCs w:val="0"/>
                <w:sz w:val="28"/>
                <w:szCs w:val="28"/>
                <w:vertAlign w:val="baseline"/>
                <w:lang w:eastAsia="zh-CN"/>
              </w:rPr>
            </w:pPr>
            <w:r>
              <w:rPr>
                <w:rFonts w:hint="eastAsia"/>
                <w:b w:val="0"/>
                <w:bCs w:val="0"/>
                <w:sz w:val="28"/>
                <w:szCs w:val="28"/>
              </w:rPr>
              <w:t>明确项目印刷车间的密闭情况，细化项目各部分废气的收集方式、收集效率和排放方式，强化本项目排气筒高度的合理性分析。</w:t>
            </w:r>
          </w:p>
        </w:tc>
        <w:tc>
          <w:tcPr>
            <w:tcW w:w="2625" w:type="dxa"/>
            <w:vAlign w:val="center"/>
          </w:tcPr>
          <w:p>
            <w:pPr>
              <w:bidi w:val="0"/>
              <w:spacing w:line="360" w:lineRule="auto"/>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已明确且完善，具体详见P27-28、P36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0" w:type="dxa"/>
            <w:vAlign w:val="center"/>
          </w:tcPr>
          <w:p>
            <w:pPr>
              <w:bidi w:val="0"/>
              <w:spacing w:line="360" w:lineRule="auto"/>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4</w:t>
            </w:r>
          </w:p>
        </w:tc>
        <w:tc>
          <w:tcPr>
            <w:tcW w:w="5385" w:type="dxa"/>
          </w:tcPr>
          <w:p>
            <w:pPr>
              <w:numPr>
                <w:ilvl w:val="0"/>
                <w:numId w:val="0"/>
              </w:numPr>
              <w:tabs>
                <w:tab w:val="left" w:pos="993"/>
              </w:tabs>
              <w:snapToGrid w:val="0"/>
              <w:spacing w:line="360" w:lineRule="auto"/>
              <w:rPr>
                <w:rFonts w:hint="eastAsia"/>
                <w:b w:val="0"/>
                <w:bCs w:val="0"/>
                <w:sz w:val="28"/>
                <w:szCs w:val="28"/>
                <w:vertAlign w:val="baseline"/>
                <w:lang w:eastAsia="zh-CN"/>
              </w:rPr>
            </w:pPr>
            <w:r>
              <w:rPr>
                <w:rFonts w:hint="eastAsia"/>
                <w:b w:val="0"/>
                <w:bCs w:val="0"/>
                <w:sz w:val="28"/>
                <w:szCs w:val="28"/>
              </w:rPr>
              <w:t>核实清洗废水量及污染物浓度、废U</w:t>
            </w:r>
            <w:r>
              <w:rPr>
                <w:b w:val="0"/>
                <w:bCs w:val="0"/>
                <w:sz w:val="28"/>
                <w:szCs w:val="28"/>
              </w:rPr>
              <w:t>V</w:t>
            </w:r>
            <w:r>
              <w:rPr>
                <w:rFonts w:hint="eastAsia"/>
                <w:b w:val="0"/>
                <w:bCs w:val="0"/>
                <w:sz w:val="28"/>
                <w:szCs w:val="28"/>
              </w:rPr>
              <w:t>灯管等各类固废产量、属性、危废代码及收集、贮存和处置方式，完善危废暂存间及一般固废暂存间的建设要求。</w:t>
            </w:r>
          </w:p>
        </w:tc>
        <w:tc>
          <w:tcPr>
            <w:tcW w:w="2625" w:type="dxa"/>
            <w:vAlign w:val="center"/>
          </w:tcPr>
          <w:p>
            <w:pPr>
              <w:bidi w:val="0"/>
              <w:spacing w:line="360" w:lineRule="auto"/>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已核实且完善，具体详见P6-7、P26、P28-29、P39-40、P43-45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bidi w:val="0"/>
              <w:spacing w:line="360" w:lineRule="auto"/>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5</w:t>
            </w:r>
          </w:p>
        </w:tc>
        <w:tc>
          <w:tcPr>
            <w:tcW w:w="5385" w:type="dxa"/>
          </w:tcPr>
          <w:p>
            <w:pPr>
              <w:bidi w:val="0"/>
              <w:spacing w:line="360" w:lineRule="auto"/>
              <w:rPr>
                <w:rFonts w:hint="eastAsia"/>
                <w:b w:val="0"/>
                <w:bCs w:val="0"/>
                <w:sz w:val="28"/>
                <w:szCs w:val="28"/>
                <w:vertAlign w:val="baseline"/>
                <w:lang w:eastAsia="zh-CN"/>
              </w:rPr>
            </w:pPr>
            <w:r>
              <w:rPr>
                <w:rFonts w:hint="eastAsia"/>
                <w:b w:val="0"/>
                <w:bCs w:val="0"/>
                <w:sz w:val="28"/>
                <w:szCs w:val="28"/>
              </w:rPr>
              <w:t>完善项目平面布局及其合理性分析；校核环境监测计划及竣工验收表；完善项目与“重点行业挥发性有机物综合治理方案”等相关要求的符合性分析，强化本项目与园区产业定位及规划环评批复的符合性分析及选址的合理性分析</w:t>
            </w:r>
          </w:p>
        </w:tc>
        <w:tc>
          <w:tcPr>
            <w:tcW w:w="2625" w:type="dxa"/>
            <w:vAlign w:val="center"/>
          </w:tcPr>
          <w:p>
            <w:pPr>
              <w:bidi w:val="0"/>
              <w:spacing w:line="360" w:lineRule="auto"/>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已完善且强化，具体详见P51-53、P54-56</w:t>
            </w:r>
          </w:p>
        </w:tc>
      </w:tr>
    </w:tbl>
    <w:p>
      <w:pPr>
        <w:bidi w:val="0"/>
        <w:rPr>
          <w:rFonts w:hint="eastAsia"/>
          <w:lang w:eastAsia="zh-CN"/>
        </w:rPr>
      </w:pPr>
    </w:p>
    <w:p>
      <w:pPr>
        <w:bidi w:val="0"/>
      </w:pPr>
    </w:p>
    <w:p>
      <w:pPr>
        <w:spacing w:before="240" w:beforeLines="100" w:after="240" w:afterLines="100" w:line="360" w:lineRule="auto"/>
        <w:jc w:val="center"/>
        <w:rPr>
          <w:b/>
          <w:bCs/>
          <w:sz w:val="36"/>
          <w:szCs w:val="24"/>
          <w:u w:val="none" w:color="auto"/>
        </w:rPr>
      </w:pPr>
      <w:r>
        <w:rPr>
          <w:b/>
          <w:bCs/>
          <w:sz w:val="36"/>
          <w:szCs w:val="24"/>
          <w:u w:val="none" w:color="auto"/>
        </w:rPr>
        <w:t>《建设项目环境影响报告表》编制说明</w:t>
      </w:r>
    </w:p>
    <w:p>
      <w:pPr>
        <w:spacing w:line="360" w:lineRule="auto"/>
        <w:ind w:right="-29" w:rightChars="-14" w:firstLine="560" w:firstLineChars="200"/>
        <w:rPr>
          <w:sz w:val="28"/>
          <w:szCs w:val="28"/>
          <w:u w:val="none" w:color="auto"/>
        </w:rPr>
      </w:pPr>
      <w:r>
        <w:rPr>
          <w:sz w:val="28"/>
          <w:szCs w:val="28"/>
          <w:u w:val="none" w:color="auto"/>
        </w:rPr>
        <w:t>《建设项目环境影响报告表》由具有从事环境影响评价工作资质的单位编制。</w:t>
      </w:r>
    </w:p>
    <w:p>
      <w:pPr>
        <w:spacing w:line="360" w:lineRule="auto"/>
        <w:ind w:right="-29" w:rightChars="-14" w:firstLine="560" w:firstLineChars="200"/>
        <w:rPr>
          <w:sz w:val="28"/>
          <w:szCs w:val="28"/>
          <w:u w:val="none" w:color="auto"/>
        </w:rPr>
      </w:pPr>
      <w:r>
        <w:rPr>
          <w:sz w:val="28"/>
          <w:szCs w:val="28"/>
          <w:u w:val="none" w:color="auto"/>
        </w:rPr>
        <w:t>1.项目名称——指项目立项批复时的名称，应不超过30个字（两个英文字段作一个汉字）。</w:t>
      </w:r>
    </w:p>
    <w:p>
      <w:pPr>
        <w:spacing w:line="360" w:lineRule="auto"/>
        <w:ind w:right="-29" w:rightChars="-14" w:firstLine="560" w:firstLineChars="200"/>
        <w:rPr>
          <w:sz w:val="28"/>
          <w:szCs w:val="28"/>
          <w:u w:val="none" w:color="auto"/>
        </w:rPr>
      </w:pPr>
      <w:r>
        <w:rPr>
          <w:sz w:val="28"/>
          <w:szCs w:val="28"/>
          <w:u w:val="none" w:color="auto"/>
        </w:rPr>
        <w:t>2.建设地点——指项目所在地详细地址，公路、铁路应填写起止地点。</w:t>
      </w:r>
    </w:p>
    <w:p>
      <w:pPr>
        <w:tabs>
          <w:tab w:val="center" w:pos="4167"/>
        </w:tabs>
        <w:spacing w:line="360" w:lineRule="auto"/>
        <w:ind w:right="-29" w:rightChars="-14" w:firstLine="560" w:firstLineChars="200"/>
        <w:rPr>
          <w:sz w:val="28"/>
          <w:szCs w:val="28"/>
          <w:u w:val="none" w:color="auto"/>
        </w:rPr>
      </w:pPr>
      <w:r>
        <w:rPr>
          <w:sz w:val="28"/>
          <w:szCs w:val="28"/>
          <w:u w:val="none" w:color="auto"/>
        </w:rPr>
        <w:t>3.行业类别——按国标填写。</w:t>
      </w:r>
      <w:r>
        <w:rPr>
          <w:rFonts w:hint="eastAsia"/>
          <w:sz w:val="28"/>
          <w:szCs w:val="28"/>
          <w:u w:val="none" w:color="auto"/>
        </w:rPr>
        <w:tab/>
      </w:r>
    </w:p>
    <w:p>
      <w:pPr>
        <w:spacing w:line="360" w:lineRule="auto"/>
        <w:ind w:right="-29" w:rightChars="-14" w:firstLine="560" w:firstLineChars="200"/>
        <w:rPr>
          <w:sz w:val="28"/>
          <w:szCs w:val="28"/>
          <w:u w:val="none" w:color="auto"/>
        </w:rPr>
      </w:pPr>
      <w:r>
        <w:rPr>
          <w:sz w:val="28"/>
          <w:szCs w:val="28"/>
          <w:u w:val="none" w:color="auto"/>
        </w:rPr>
        <w:t>4.总投资——指项目投资总额。</w:t>
      </w:r>
    </w:p>
    <w:p>
      <w:pPr>
        <w:spacing w:line="360" w:lineRule="auto"/>
        <w:ind w:right="-29" w:rightChars="-14" w:firstLine="560" w:firstLineChars="200"/>
        <w:rPr>
          <w:sz w:val="28"/>
          <w:szCs w:val="28"/>
          <w:u w:val="none" w:color="auto"/>
        </w:rPr>
      </w:pPr>
      <w:r>
        <w:rPr>
          <w:sz w:val="28"/>
          <w:szCs w:val="28"/>
          <w:u w:val="none" w:color="auto"/>
        </w:rPr>
        <w:t>5.主要环境保护目标——指项目区周围一定范围内集中居民住宅区、学校、医院、保护文物、风景名胜区、水源地和生态敏感点等，应尽可能给出保护目标、性质、规模和距厂界距离等。</w:t>
      </w:r>
    </w:p>
    <w:p>
      <w:pPr>
        <w:spacing w:line="360" w:lineRule="auto"/>
        <w:ind w:right="-29" w:rightChars="-14" w:firstLine="560" w:firstLineChars="200"/>
        <w:rPr>
          <w:sz w:val="28"/>
          <w:szCs w:val="28"/>
          <w:u w:val="none" w:color="auto"/>
        </w:rPr>
      </w:pPr>
      <w:r>
        <w:rPr>
          <w:sz w:val="28"/>
          <w:szCs w:val="28"/>
          <w:u w:val="none" w:color="auto"/>
        </w:rPr>
        <w:t>6.结论与建议——给出本项目清洁生产、达标排放和总量控制的分析结论，确定污染防治措施的有效性，说明本项目对环境造成的影响，给出建设项目环境可行性的明确结论。同时提出减少环境影响的其他建议。</w:t>
      </w:r>
    </w:p>
    <w:p>
      <w:pPr>
        <w:spacing w:line="360" w:lineRule="auto"/>
        <w:ind w:right="-29" w:rightChars="-14" w:firstLine="560" w:firstLineChars="200"/>
        <w:rPr>
          <w:sz w:val="28"/>
          <w:szCs w:val="28"/>
          <w:u w:val="none" w:color="auto"/>
        </w:rPr>
      </w:pPr>
      <w:r>
        <w:rPr>
          <w:sz w:val="28"/>
          <w:szCs w:val="28"/>
          <w:u w:val="none" w:color="auto"/>
        </w:rPr>
        <w:t>7.预审意见——由行业主管部门填写答复意见，无主管部门项目，可不填。</w:t>
      </w:r>
    </w:p>
    <w:p>
      <w:pPr>
        <w:spacing w:line="360" w:lineRule="auto"/>
        <w:ind w:right="-29" w:rightChars="-14" w:firstLine="560" w:firstLineChars="200"/>
        <w:rPr>
          <w:sz w:val="28"/>
          <w:szCs w:val="28"/>
          <w:u w:val="none" w:color="auto"/>
        </w:rPr>
      </w:pPr>
      <w:r>
        <w:rPr>
          <w:sz w:val="28"/>
          <w:szCs w:val="28"/>
          <w:u w:val="none" w:color="auto"/>
        </w:rPr>
        <w:t>8.审批意见——由负责审批该项目的环境保护行政主管部门批复。</w:t>
      </w:r>
    </w:p>
    <w:p>
      <w:pPr>
        <w:spacing w:line="360" w:lineRule="auto"/>
        <w:ind w:right="-29" w:rightChars="-14" w:firstLine="560" w:firstLineChars="200"/>
        <w:rPr>
          <w:sz w:val="28"/>
          <w:szCs w:val="28"/>
          <w:u w:val="none" w:color="auto"/>
        </w:rPr>
      </w:pPr>
    </w:p>
    <w:p>
      <w:pPr>
        <w:spacing w:line="400" w:lineRule="exact"/>
        <w:rPr>
          <w:rFonts w:ascii="宋体" w:hAnsi="宋体"/>
          <w:b/>
          <w:sz w:val="36"/>
          <w:szCs w:val="36"/>
          <w:u w:val="none" w:color="auto"/>
        </w:rPr>
        <w:sectPr>
          <w:footerReference r:id="rId3" w:type="default"/>
          <w:pgSz w:w="11907" w:h="16840"/>
          <w:pgMar w:top="1984" w:right="1984" w:bottom="1984" w:left="1588" w:header="454" w:footer="964" w:gutter="0"/>
          <w:pgBorders>
            <w:top w:val="none" w:sz="0" w:space="0"/>
            <w:left w:val="none" w:sz="0" w:space="0"/>
            <w:bottom w:val="none" w:sz="0" w:space="0"/>
            <w:right w:val="none" w:sz="0" w:space="0"/>
          </w:pgBorders>
          <w:pgNumType w:start="1"/>
          <w:cols w:space="720" w:num="1"/>
          <w:titlePg/>
          <w:docGrid w:linePitch="380" w:charSpace="0"/>
        </w:sectPr>
      </w:pPr>
    </w:p>
    <w:p>
      <w:pPr>
        <w:pStyle w:val="34"/>
        <w:rPr>
          <w:u w:val="none" w:color="auto"/>
        </w:rPr>
      </w:pPr>
    </w:p>
    <w:p>
      <w:pPr>
        <w:spacing w:line="480" w:lineRule="auto"/>
        <w:jc w:val="center"/>
        <w:rPr>
          <w:rFonts w:hint="default" w:ascii="Times New Roman" w:hAnsi="Times New Roman" w:eastAsia="宋体" w:cs="Times New Roman"/>
          <w:b/>
          <w:sz w:val="40"/>
          <w:szCs w:val="40"/>
          <w:u w:val="none" w:color="auto"/>
        </w:rPr>
      </w:pPr>
      <w:r>
        <w:rPr>
          <w:rFonts w:hint="default" w:ascii="Times New Roman" w:hAnsi="Times New Roman" w:eastAsia="宋体" w:cs="Times New Roman"/>
          <w:b/>
          <w:sz w:val="40"/>
          <w:szCs w:val="40"/>
          <w:u w:val="none" w:color="auto"/>
        </w:rPr>
        <w:t>目   录</w:t>
      </w:r>
    </w:p>
    <w:p>
      <w:pPr>
        <w:pStyle w:val="28"/>
        <w:tabs>
          <w:tab w:val="right" w:leader="dot" w:pos="8901"/>
          <w:tab w:val="clear" w:pos="8891"/>
        </w:tabs>
        <w:spacing w:line="480" w:lineRule="auto"/>
        <w:rPr>
          <w:rFonts w:hint="default" w:ascii="Times New Roman" w:hAnsi="Times New Roman" w:eastAsia="宋体" w:cs="Times New Roman"/>
          <w:u w:val="none" w:color="auto"/>
        </w:rPr>
      </w:pPr>
      <w:r>
        <w:rPr>
          <w:rFonts w:hint="default" w:ascii="Times New Roman" w:hAnsi="Times New Roman" w:eastAsia="宋体" w:cs="Times New Roman"/>
          <w:sz w:val="24"/>
          <w:szCs w:val="24"/>
          <w:u w:val="none" w:color="auto"/>
        </w:rPr>
        <w:fldChar w:fldCharType="begin"/>
      </w:r>
      <w:r>
        <w:rPr>
          <w:rFonts w:hint="default" w:ascii="Times New Roman" w:hAnsi="Times New Roman" w:eastAsia="宋体" w:cs="Times New Roman"/>
          <w:sz w:val="24"/>
          <w:szCs w:val="24"/>
          <w:u w:val="none" w:color="auto"/>
        </w:rPr>
        <w:instrText xml:space="preserve">TOC \o "1-1" \h \u </w:instrText>
      </w:r>
      <w:r>
        <w:rPr>
          <w:rFonts w:hint="default" w:ascii="Times New Roman" w:hAnsi="Times New Roman" w:eastAsia="宋体" w:cs="Times New Roman"/>
          <w:sz w:val="24"/>
          <w:szCs w:val="24"/>
          <w:u w:val="none" w:color="auto"/>
        </w:rPr>
        <w:fldChar w:fldCharType="separate"/>
      </w:r>
      <w:r>
        <w:rPr>
          <w:rFonts w:hint="default" w:ascii="Times New Roman" w:hAnsi="Times New Roman" w:eastAsia="宋体" w:cs="Times New Roman"/>
          <w:szCs w:val="24"/>
          <w:u w:val="none" w:color="auto"/>
        </w:rPr>
        <w:fldChar w:fldCharType="begin"/>
      </w:r>
      <w:r>
        <w:rPr>
          <w:rFonts w:hint="default" w:ascii="Times New Roman" w:hAnsi="Times New Roman" w:eastAsia="宋体" w:cs="Times New Roman"/>
          <w:szCs w:val="24"/>
          <w:u w:val="none" w:color="auto"/>
        </w:rPr>
        <w:instrText xml:space="preserve"> HYPERLINK \l _Toc9987 </w:instrText>
      </w:r>
      <w:r>
        <w:rPr>
          <w:rFonts w:hint="default" w:ascii="Times New Roman" w:hAnsi="Times New Roman" w:eastAsia="宋体" w:cs="Times New Roman"/>
          <w:szCs w:val="24"/>
          <w:u w:val="none" w:color="auto"/>
        </w:rPr>
        <w:fldChar w:fldCharType="separate"/>
      </w:r>
      <w:r>
        <w:rPr>
          <w:rFonts w:hint="default" w:ascii="Times New Roman" w:hAnsi="Times New Roman" w:eastAsia="宋体" w:cs="Times New Roman"/>
          <w:u w:val="none" w:color="auto"/>
        </w:rPr>
        <w:t>一、建设项目基本情况</w:t>
      </w:r>
      <w:r>
        <w:rPr>
          <w:rFonts w:hint="default" w:ascii="Times New Roman" w:hAnsi="Times New Roman" w:eastAsia="宋体" w:cs="Times New Roman"/>
          <w:u w:val="none" w:color="auto"/>
        </w:rPr>
        <w:tab/>
      </w:r>
      <w:r>
        <w:rPr>
          <w:rFonts w:hint="default" w:ascii="Times New Roman" w:hAnsi="Times New Roman" w:eastAsia="宋体" w:cs="Times New Roman"/>
          <w:u w:val="none" w:color="auto"/>
        </w:rPr>
        <w:fldChar w:fldCharType="begin"/>
      </w:r>
      <w:r>
        <w:rPr>
          <w:rFonts w:hint="default" w:ascii="Times New Roman" w:hAnsi="Times New Roman" w:eastAsia="宋体" w:cs="Times New Roman"/>
          <w:u w:val="none" w:color="auto"/>
        </w:rPr>
        <w:instrText xml:space="preserve"> PAGEREF _Toc9987 </w:instrText>
      </w:r>
      <w:r>
        <w:rPr>
          <w:rFonts w:hint="default" w:ascii="Times New Roman" w:hAnsi="Times New Roman" w:eastAsia="宋体" w:cs="Times New Roman"/>
          <w:u w:val="none" w:color="auto"/>
        </w:rPr>
        <w:fldChar w:fldCharType="separate"/>
      </w:r>
      <w:r>
        <w:rPr>
          <w:rFonts w:hint="default" w:ascii="Times New Roman" w:hAnsi="Times New Roman" w:eastAsia="宋体" w:cs="Times New Roman"/>
          <w:u w:val="none" w:color="auto"/>
        </w:rPr>
        <w:t>1</w:t>
      </w:r>
      <w:r>
        <w:rPr>
          <w:rFonts w:hint="default" w:ascii="Times New Roman" w:hAnsi="Times New Roman" w:eastAsia="宋体" w:cs="Times New Roman"/>
          <w:u w:val="none" w:color="auto"/>
        </w:rPr>
        <w:fldChar w:fldCharType="end"/>
      </w:r>
      <w:r>
        <w:rPr>
          <w:rFonts w:hint="default" w:ascii="Times New Roman" w:hAnsi="Times New Roman" w:eastAsia="宋体" w:cs="Times New Roman"/>
          <w:szCs w:val="24"/>
          <w:u w:val="none" w:color="auto"/>
        </w:rPr>
        <w:fldChar w:fldCharType="end"/>
      </w:r>
    </w:p>
    <w:p>
      <w:pPr>
        <w:pStyle w:val="28"/>
        <w:tabs>
          <w:tab w:val="right" w:leader="dot" w:pos="8901"/>
          <w:tab w:val="clear" w:pos="8891"/>
        </w:tabs>
        <w:spacing w:line="480" w:lineRule="auto"/>
        <w:rPr>
          <w:rFonts w:hint="default" w:ascii="Times New Roman" w:hAnsi="Times New Roman" w:eastAsia="宋体" w:cs="Times New Roman"/>
          <w:u w:val="none" w:color="auto"/>
        </w:rPr>
      </w:pPr>
      <w:r>
        <w:rPr>
          <w:rFonts w:hint="default" w:ascii="Times New Roman" w:hAnsi="Times New Roman" w:eastAsia="宋体" w:cs="Times New Roman"/>
          <w:szCs w:val="24"/>
          <w:u w:val="none" w:color="auto"/>
        </w:rPr>
        <w:fldChar w:fldCharType="begin"/>
      </w:r>
      <w:r>
        <w:rPr>
          <w:rFonts w:hint="default" w:ascii="Times New Roman" w:hAnsi="Times New Roman" w:eastAsia="宋体" w:cs="Times New Roman"/>
          <w:szCs w:val="24"/>
          <w:u w:val="none" w:color="auto"/>
        </w:rPr>
        <w:instrText xml:space="preserve"> HYPERLINK \l _Toc24476 </w:instrText>
      </w:r>
      <w:r>
        <w:rPr>
          <w:rFonts w:hint="default" w:ascii="Times New Roman" w:hAnsi="Times New Roman" w:eastAsia="宋体" w:cs="Times New Roman"/>
          <w:szCs w:val="24"/>
          <w:u w:val="none" w:color="auto"/>
        </w:rPr>
        <w:fldChar w:fldCharType="separate"/>
      </w:r>
      <w:r>
        <w:rPr>
          <w:rFonts w:hint="default" w:ascii="Times New Roman" w:hAnsi="Times New Roman" w:eastAsia="宋体" w:cs="Times New Roman"/>
          <w:u w:val="none" w:color="auto"/>
        </w:rPr>
        <w:t>二、建设项目所在地自然环境简况</w:t>
      </w:r>
      <w:r>
        <w:rPr>
          <w:rFonts w:hint="default" w:ascii="Times New Roman" w:hAnsi="Times New Roman" w:eastAsia="宋体" w:cs="Times New Roman"/>
          <w:u w:val="none" w:color="auto"/>
        </w:rPr>
        <w:tab/>
      </w:r>
      <w:r>
        <w:rPr>
          <w:rFonts w:hint="default" w:ascii="Times New Roman" w:hAnsi="Times New Roman" w:eastAsia="宋体" w:cs="Times New Roman"/>
          <w:u w:val="none" w:color="auto"/>
        </w:rPr>
        <w:fldChar w:fldCharType="begin"/>
      </w:r>
      <w:r>
        <w:rPr>
          <w:rFonts w:hint="default" w:ascii="Times New Roman" w:hAnsi="Times New Roman" w:eastAsia="宋体" w:cs="Times New Roman"/>
          <w:u w:val="none" w:color="auto"/>
        </w:rPr>
        <w:instrText xml:space="preserve"> PAGEREF _Toc24476 </w:instrText>
      </w:r>
      <w:r>
        <w:rPr>
          <w:rFonts w:hint="default" w:ascii="Times New Roman" w:hAnsi="Times New Roman" w:eastAsia="宋体" w:cs="Times New Roman"/>
          <w:u w:val="none" w:color="auto"/>
        </w:rPr>
        <w:fldChar w:fldCharType="separate"/>
      </w:r>
      <w:r>
        <w:rPr>
          <w:rFonts w:hint="default" w:ascii="Times New Roman" w:hAnsi="Times New Roman" w:eastAsia="宋体" w:cs="Times New Roman"/>
          <w:u w:val="none" w:color="auto"/>
        </w:rPr>
        <w:t>8</w:t>
      </w:r>
      <w:r>
        <w:rPr>
          <w:rFonts w:hint="default" w:ascii="Times New Roman" w:hAnsi="Times New Roman" w:eastAsia="宋体" w:cs="Times New Roman"/>
          <w:u w:val="none" w:color="auto"/>
        </w:rPr>
        <w:fldChar w:fldCharType="end"/>
      </w:r>
      <w:r>
        <w:rPr>
          <w:rFonts w:hint="default" w:ascii="Times New Roman" w:hAnsi="Times New Roman" w:eastAsia="宋体" w:cs="Times New Roman"/>
          <w:szCs w:val="24"/>
          <w:u w:val="none" w:color="auto"/>
        </w:rPr>
        <w:fldChar w:fldCharType="end"/>
      </w:r>
    </w:p>
    <w:p>
      <w:pPr>
        <w:pStyle w:val="28"/>
        <w:tabs>
          <w:tab w:val="right" w:leader="dot" w:pos="8901"/>
          <w:tab w:val="clear" w:pos="8891"/>
        </w:tabs>
        <w:spacing w:line="480" w:lineRule="auto"/>
        <w:rPr>
          <w:rFonts w:hint="default" w:ascii="Times New Roman" w:hAnsi="Times New Roman" w:eastAsia="宋体" w:cs="Times New Roman"/>
          <w:u w:val="none" w:color="auto"/>
        </w:rPr>
      </w:pPr>
      <w:r>
        <w:rPr>
          <w:rFonts w:hint="default" w:ascii="Times New Roman" w:hAnsi="Times New Roman" w:eastAsia="宋体" w:cs="Times New Roman"/>
          <w:szCs w:val="24"/>
          <w:u w:val="none" w:color="auto"/>
        </w:rPr>
        <w:fldChar w:fldCharType="begin"/>
      </w:r>
      <w:r>
        <w:rPr>
          <w:rFonts w:hint="default" w:ascii="Times New Roman" w:hAnsi="Times New Roman" w:eastAsia="宋体" w:cs="Times New Roman"/>
          <w:szCs w:val="24"/>
          <w:u w:val="none" w:color="auto"/>
        </w:rPr>
        <w:instrText xml:space="preserve"> HYPERLINK \l _Toc3926 </w:instrText>
      </w:r>
      <w:r>
        <w:rPr>
          <w:rFonts w:hint="default" w:ascii="Times New Roman" w:hAnsi="Times New Roman" w:eastAsia="宋体" w:cs="Times New Roman"/>
          <w:szCs w:val="24"/>
          <w:u w:val="none" w:color="auto"/>
        </w:rPr>
        <w:fldChar w:fldCharType="separate"/>
      </w:r>
      <w:r>
        <w:rPr>
          <w:rFonts w:hint="default" w:ascii="Times New Roman" w:hAnsi="Times New Roman" w:eastAsia="宋体" w:cs="Times New Roman"/>
          <w:u w:val="none" w:color="auto"/>
        </w:rPr>
        <w:t>三、环境质量状况</w:t>
      </w:r>
      <w:r>
        <w:rPr>
          <w:rFonts w:hint="default" w:ascii="Times New Roman" w:hAnsi="Times New Roman" w:eastAsia="宋体" w:cs="Times New Roman"/>
          <w:u w:val="none" w:color="auto"/>
        </w:rPr>
        <w:tab/>
      </w:r>
      <w:r>
        <w:rPr>
          <w:rFonts w:hint="default" w:ascii="Times New Roman" w:hAnsi="Times New Roman" w:eastAsia="宋体" w:cs="Times New Roman"/>
          <w:u w:val="none" w:color="auto"/>
        </w:rPr>
        <w:fldChar w:fldCharType="begin"/>
      </w:r>
      <w:r>
        <w:rPr>
          <w:rFonts w:hint="default" w:ascii="Times New Roman" w:hAnsi="Times New Roman" w:eastAsia="宋体" w:cs="Times New Roman"/>
          <w:u w:val="none" w:color="auto"/>
        </w:rPr>
        <w:instrText xml:space="preserve"> PAGEREF _Toc3926 </w:instrText>
      </w:r>
      <w:r>
        <w:rPr>
          <w:rFonts w:hint="default" w:ascii="Times New Roman" w:hAnsi="Times New Roman" w:eastAsia="宋体" w:cs="Times New Roman"/>
          <w:u w:val="none" w:color="auto"/>
        </w:rPr>
        <w:fldChar w:fldCharType="separate"/>
      </w:r>
      <w:r>
        <w:rPr>
          <w:rFonts w:hint="default" w:ascii="Times New Roman" w:hAnsi="Times New Roman" w:eastAsia="宋体" w:cs="Times New Roman"/>
          <w:u w:val="none" w:color="auto"/>
        </w:rPr>
        <w:t>12</w:t>
      </w:r>
      <w:r>
        <w:rPr>
          <w:rFonts w:hint="default" w:ascii="Times New Roman" w:hAnsi="Times New Roman" w:eastAsia="宋体" w:cs="Times New Roman"/>
          <w:u w:val="none" w:color="auto"/>
        </w:rPr>
        <w:fldChar w:fldCharType="end"/>
      </w:r>
      <w:r>
        <w:rPr>
          <w:rFonts w:hint="default" w:ascii="Times New Roman" w:hAnsi="Times New Roman" w:eastAsia="宋体" w:cs="Times New Roman"/>
          <w:szCs w:val="24"/>
          <w:u w:val="none" w:color="auto"/>
        </w:rPr>
        <w:fldChar w:fldCharType="end"/>
      </w:r>
    </w:p>
    <w:p>
      <w:pPr>
        <w:pStyle w:val="28"/>
        <w:tabs>
          <w:tab w:val="right" w:leader="dot" w:pos="8901"/>
          <w:tab w:val="clear" w:pos="8891"/>
        </w:tabs>
        <w:spacing w:line="480" w:lineRule="auto"/>
        <w:rPr>
          <w:rFonts w:hint="default" w:ascii="Times New Roman" w:hAnsi="Times New Roman" w:eastAsia="宋体" w:cs="Times New Roman"/>
          <w:u w:val="none" w:color="auto"/>
        </w:rPr>
      </w:pPr>
      <w:r>
        <w:rPr>
          <w:rFonts w:hint="default" w:ascii="Times New Roman" w:hAnsi="Times New Roman" w:eastAsia="宋体" w:cs="Times New Roman"/>
          <w:szCs w:val="24"/>
          <w:u w:val="none" w:color="auto"/>
        </w:rPr>
        <w:fldChar w:fldCharType="begin"/>
      </w:r>
      <w:r>
        <w:rPr>
          <w:rFonts w:hint="default" w:ascii="Times New Roman" w:hAnsi="Times New Roman" w:eastAsia="宋体" w:cs="Times New Roman"/>
          <w:szCs w:val="24"/>
          <w:u w:val="none" w:color="auto"/>
        </w:rPr>
        <w:instrText xml:space="preserve"> HYPERLINK \l _Toc27017 </w:instrText>
      </w:r>
      <w:r>
        <w:rPr>
          <w:rFonts w:hint="default" w:ascii="Times New Roman" w:hAnsi="Times New Roman" w:eastAsia="宋体" w:cs="Times New Roman"/>
          <w:szCs w:val="24"/>
          <w:u w:val="none" w:color="auto"/>
        </w:rPr>
        <w:fldChar w:fldCharType="separate"/>
      </w:r>
      <w:r>
        <w:rPr>
          <w:rFonts w:hint="default" w:ascii="Times New Roman" w:hAnsi="Times New Roman" w:eastAsia="宋体" w:cs="Times New Roman"/>
          <w:szCs w:val="32"/>
          <w:u w:val="none" w:color="auto"/>
        </w:rPr>
        <w:t>四、</w:t>
      </w:r>
      <w:r>
        <w:rPr>
          <w:rFonts w:hint="default" w:ascii="Times New Roman" w:hAnsi="Times New Roman" w:eastAsia="宋体" w:cs="Times New Roman"/>
          <w:u w:val="none" w:color="auto"/>
        </w:rPr>
        <w:t>评价适用标准</w:t>
      </w:r>
      <w:r>
        <w:rPr>
          <w:rFonts w:hint="default" w:ascii="Times New Roman" w:hAnsi="Times New Roman" w:eastAsia="宋体" w:cs="Times New Roman"/>
          <w:u w:val="none" w:color="auto"/>
        </w:rPr>
        <w:tab/>
      </w:r>
      <w:r>
        <w:rPr>
          <w:rFonts w:hint="default" w:ascii="Times New Roman" w:hAnsi="Times New Roman" w:eastAsia="宋体" w:cs="Times New Roman"/>
          <w:u w:val="none" w:color="auto"/>
        </w:rPr>
        <w:fldChar w:fldCharType="begin"/>
      </w:r>
      <w:r>
        <w:rPr>
          <w:rFonts w:hint="default" w:ascii="Times New Roman" w:hAnsi="Times New Roman" w:eastAsia="宋体" w:cs="Times New Roman"/>
          <w:u w:val="none" w:color="auto"/>
        </w:rPr>
        <w:instrText xml:space="preserve"> PAGEREF _Toc27017 </w:instrText>
      </w:r>
      <w:r>
        <w:rPr>
          <w:rFonts w:hint="default" w:ascii="Times New Roman" w:hAnsi="Times New Roman" w:eastAsia="宋体" w:cs="Times New Roman"/>
          <w:u w:val="none" w:color="auto"/>
        </w:rPr>
        <w:fldChar w:fldCharType="separate"/>
      </w:r>
      <w:r>
        <w:rPr>
          <w:rFonts w:hint="default" w:ascii="Times New Roman" w:hAnsi="Times New Roman" w:eastAsia="宋体" w:cs="Times New Roman"/>
          <w:u w:val="none" w:color="auto"/>
        </w:rPr>
        <w:t>18</w:t>
      </w:r>
      <w:r>
        <w:rPr>
          <w:rFonts w:hint="default" w:ascii="Times New Roman" w:hAnsi="Times New Roman" w:eastAsia="宋体" w:cs="Times New Roman"/>
          <w:u w:val="none" w:color="auto"/>
        </w:rPr>
        <w:fldChar w:fldCharType="end"/>
      </w:r>
      <w:r>
        <w:rPr>
          <w:rFonts w:hint="default" w:ascii="Times New Roman" w:hAnsi="Times New Roman" w:eastAsia="宋体" w:cs="Times New Roman"/>
          <w:szCs w:val="24"/>
          <w:u w:val="none" w:color="auto"/>
        </w:rPr>
        <w:fldChar w:fldCharType="end"/>
      </w:r>
    </w:p>
    <w:p>
      <w:pPr>
        <w:pStyle w:val="28"/>
        <w:tabs>
          <w:tab w:val="right" w:leader="dot" w:pos="8901"/>
          <w:tab w:val="clear" w:pos="8891"/>
        </w:tabs>
        <w:spacing w:line="480" w:lineRule="auto"/>
        <w:rPr>
          <w:rFonts w:hint="default" w:ascii="Times New Roman" w:hAnsi="Times New Roman" w:eastAsia="宋体" w:cs="Times New Roman"/>
          <w:u w:val="none" w:color="auto"/>
        </w:rPr>
      </w:pPr>
      <w:r>
        <w:rPr>
          <w:rFonts w:hint="default" w:ascii="Times New Roman" w:hAnsi="Times New Roman" w:eastAsia="宋体" w:cs="Times New Roman"/>
          <w:szCs w:val="24"/>
          <w:u w:val="none" w:color="auto"/>
        </w:rPr>
        <w:fldChar w:fldCharType="begin"/>
      </w:r>
      <w:r>
        <w:rPr>
          <w:rFonts w:hint="default" w:ascii="Times New Roman" w:hAnsi="Times New Roman" w:eastAsia="宋体" w:cs="Times New Roman"/>
          <w:szCs w:val="24"/>
          <w:u w:val="none" w:color="auto"/>
        </w:rPr>
        <w:instrText xml:space="preserve"> HYPERLINK \l _Toc31996 </w:instrText>
      </w:r>
      <w:r>
        <w:rPr>
          <w:rFonts w:hint="default" w:ascii="Times New Roman" w:hAnsi="Times New Roman" w:eastAsia="宋体" w:cs="Times New Roman"/>
          <w:szCs w:val="24"/>
          <w:u w:val="none" w:color="auto"/>
        </w:rPr>
        <w:fldChar w:fldCharType="separate"/>
      </w:r>
      <w:r>
        <w:rPr>
          <w:rFonts w:hint="default" w:ascii="Times New Roman" w:hAnsi="Times New Roman" w:eastAsia="宋体" w:cs="Times New Roman"/>
          <w:u w:val="none" w:color="auto"/>
        </w:rPr>
        <w:t>五、建设项目工程分析</w:t>
      </w:r>
      <w:r>
        <w:rPr>
          <w:rFonts w:hint="default" w:ascii="Times New Roman" w:hAnsi="Times New Roman" w:eastAsia="宋体" w:cs="Times New Roman"/>
          <w:u w:val="none" w:color="auto"/>
        </w:rPr>
        <w:tab/>
      </w:r>
      <w:r>
        <w:rPr>
          <w:rFonts w:hint="default" w:ascii="Times New Roman" w:hAnsi="Times New Roman" w:eastAsia="宋体" w:cs="Times New Roman"/>
          <w:u w:val="none" w:color="auto"/>
        </w:rPr>
        <w:fldChar w:fldCharType="begin"/>
      </w:r>
      <w:r>
        <w:rPr>
          <w:rFonts w:hint="default" w:ascii="Times New Roman" w:hAnsi="Times New Roman" w:eastAsia="宋体" w:cs="Times New Roman"/>
          <w:u w:val="none" w:color="auto"/>
        </w:rPr>
        <w:instrText xml:space="preserve"> PAGEREF _Toc31996 </w:instrText>
      </w:r>
      <w:r>
        <w:rPr>
          <w:rFonts w:hint="default" w:ascii="Times New Roman" w:hAnsi="Times New Roman" w:eastAsia="宋体" w:cs="Times New Roman"/>
          <w:u w:val="none" w:color="auto"/>
        </w:rPr>
        <w:fldChar w:fldCharType="separate"/>
      </w:r>
      <w:r>
        <w:rPr>
          <w:rFonts w:hint="default" w:ascii="Times New Roman" w:hAnsi="Times New Roman" w:eastAsia="宋体" w:cs="Times New Roman"/>
          <w:u w:val="none" w:color="auto"/>
        </w:rPr>
        <w:t>21</w:t>
      </w:r>
      <w:r>
        <w:rPr>
          <w:rFonts w:hint="default" w:ascii="Times New Roman" w:hAnsi="Times New Roman" w:eastAsia="宋体" w:cs="Times New Roman"/>
          <w:u w:val="none" w:color="auto"/>
        </w:rPr>
        <w:fldChar w:fldCharType="end"/>
      </w:r>
      <w:r>
        <w:rPr>
          <w:rFonts w:hint="default" w:ascii="Times New Roman" w:hAnsi="Times New Roman" w:eastAsia="宋体" w:cs="Times New Roman"/>
          <w:szCs w:val="24"/>
          <w:u w:val="none" w:color="auto"/>
        </w:rPr>
        <w:fldChar w:fldCharType="end"/>
      </w:r>
    </w:p>
    <w:p>
      <w:pPr>
        <w:pStyle w:val="28"/>
        <w:tabs>
          <w:tab w:val="right" w:leader="dot" w:pos="8901"/>
          <w:tab w:val="clear" w:pos="8891"/>
        </w:tabs>
        <w:spacing w:line="480" w:lineRule="auto"/>
        <w:rPr>
          <w:rFonts w:hint="default" w:ascii="Times New Roman" w:hAnsi="Times New Roman" w:eastAsia="宋体" w:cs="Times New Roman"/>
          <w:u w:val="none" w:color="auto"/>
        </w:rPr>
      </w:pPr>
      <w:r>
        <w:rPr>
          <w:rFonts w:hint="default" w:ascii="Times New Roman" w:hAnsi="Times New Roman" w:eastAsia="宋体" w:cs="Times New Roman"/>
          <w:szCs w:val="24"/>
          <w:u w:val="none" w:color="auto"/>
        </w:rPr>
        <w:fldChar w:fldCharType="begin"/>
      </w:r>
      <w:r>
        <w:rPr>
          <w:rFonts w:hint="default" w:ascii="Times New Roman" w:hAnsi="Times New Roman" w:eastAsia="宋体" w:cs="Times New Roman"/>
          <w:szCs w:val="24"/>
          <w:u w:val="none" w:color="auto"/>
        </w:rPr>
        <w:instrText xml:space="preserve"> HYPERLINK \l _Toc498 </w:instrText>
      </w:r>
      <w:r>
        <w:rPr>
          <w:rFonts w:hint="default" w:ascii="Times New Roman" w:hAnsi="Times New Roman" w:eastAsia="宋体" w:cs="Times New Roman"/>
          <w:szCs w:val="24"/>
          <w:u w:val="none" w:color="auto"/>
        </w:rPr>
        <w:fldChar w:fldCharType="separate"/>
      </w:r>
      <w:r>
        <w:rPr>
          <w:rFonts w:hint="default" w:ascii="Times New Roman" w:hAnsi="Times New Roman" w:eastAsia="宋体" w:cs="Times New Roman"/>
          <w:szCs w:val="32"/>
          <w:u w:val="none" w:color="auto"/>
        </w:rPr>
        <w:t>六、项目主要污染物产生及预计排放情况</w:t>
      </w:r>
      <w:r>
        <w:rPr>
          <w:rFonts w:hint="default" w:ascii="Times New Roman" w:hAnsi="Times New Roman" w:eastAsia="宋体" w:cs="Times New Roman"/>
          <w:u w:val="none" w:color="auto"/>
        </w:rPr>
        <w:tab/>
      </w:r>
      <w:r>
        <w:rPr>
          <w:rFonts w:hint="default" w:ascii="Times New Roman" w:hAnsi="Times New Roman" w:eastAsia="宋体" w:cs="Times New Roman"/>
          <w:u w:val="none" w:color="auto"/>
        </w:rPr>
        <w:fldChar w:fldCharType="begin"/>
      </w:r>
      <w:r>
        <w:rPr>
          <w:rFonts w:hint="default" w:ascii="Times New Roman" w:hAnsi="Times New Roman" w:eastAsia="宋体" w:cs="Times New Roman"/>
          <w:u w:val="none" w:color="auto"/>
        </w:rPr>
        <w:instrText xml:space="preserve"> PAGEREF _Toc498 </w:instrText>
      </w:r>
      <w:r>
        <w:rPr>
          <w:rFonts w:hint="default" w:ascii="Times New Roman" w:hAnsi="Times New Roman" w:eastAsia="宋体" w:cs="Times New Roman"/>
          <w:u w:val="none" w:color="auto"/>
        </w:rPr>
        <w:fldChar w:fldCharType="separate"/>
      </w:r>
      <w:r>
        <w:rPr>
          <w:rFonts w:hint="default" w:ascii="Times New Roman" w:hAnsi="Times New Roman" w:eastAsia="宋体" w:cs="Times New Roman"/>
          <w:u w:val="none" w:color="auto"/>
        </w:rPr>
        <w:t>30</w:t>
      </w:r>
      <w:r>
        <w:rPr>
          <w:rFonts w:hint="default" w:ascii="Times New Roman" w:hAnsi="Times New Roman" w:eastAsia="宋体" w:cs="Times New Roman"/>
          <w:u w:val="none" w:color="auto"/>
        </w:rPr>
        <w:fldChar w:fldCharType="end"/>
      </w:r>
      <w:r>
        <w:rPr>
          <w:rFonts w:hint="default" w:ascii="Times New Roman" w:hAnsi="Times New Roman" w:eastAsia="宋体" w:cs="Times New Roman"/>
          <w:szCs w:val="24"/>
          <w:u w:val="none" w:color="auto"/>
        </w:rPr>
        <w:fldChar w:fldCharType="end"/>
      </w:r>
    </w:p>
    <w:p>
      <w:pPr>
        <w:pStyle w:val="28"/>
        <w:tabs>
          <w:tab w:val="right" w:leader="dot" w:pos="8901"/>
          <w:tab w:val="clear" w:pos="8891"/>
        </w:tabs>
        <w:spacing w:line="480" w:lineRule="auto"/>
        <w:rPr>
          <w:rFonts w:hint="default" w:ascii="Times New Roman" w:hAnsi="Times New Roman" w:eastAsia="宋体" w:cs="Times New Roman"/>
          <w:u w:val="none" w:color="auto"/>
        </w:rPr>
      </w:pPr>
      <w:r>
        <w:rPr>
          <w:rFonts w:hint="default" w:ascii="Times New Roman" w:hAnsi="Times New Roman" w:eastAsia="宋体" w:cs="Times New Roman"/>
          <w:szCs w:val="24"/>
          <w:u w:val="none" w:color="auto"/>
        </w:rPr>
        <w:fldChar w:fldCharType="begin"/>
      </w:r>
      <w:r>
        <w:rPr>
          <w:rFonts w:hint="default" w:ascii="Times New Roman" w:hAnsi="Times New Roman" w:eastAsia="宋体" w:cs="Times New Roman"/>
          <w:szCs w:val="24"/>
          <w:u w:val="none" w:color="auto"/>
        </w:rPr>
        <w:instrText xml:space="preserve"> HYPERLINK \l _Toc1231 </w:instrText>
      </w:r>
      <w:r>
        <w:rPr>
          <w:rFonts w:hint="default" w:ascii="Times New Roman" w:hAnsi="Times New Roman" w:eastAsia="宋体" w:cs="Times New Roman"/>
          <w:szCs w:val="24"/>
          <w:u w:val="none" w:color="auto"/>
        </w:rPr>
        <w:fldChar w:fldCharType="separate"/>
      </w:r>
      <w:r>
        <w:rPr>
          <w:rFonts w:hint="default" w:ascii="Times New Roman" w:hAnsi="Times New Roman" w:eastAsia="宋体" w:cs="Times New Roman"/>
          <w:szCs w:val="32"/>
          <w:u w:val="none" w:color="auto"/>
        </w:rPr>
        <w:t>七、环境影响分析</w:t>
      </w:r>
      <w:r>
        <w:rPr>
          <w:rFonts w:hint="default" w:ascii="Times New Roman" w:hAnsi="Times New Roman" w:eastAsia="宋体" w:cs="Times New Roman"/>
          <w:u w:val="none" w:color="auto"/>
        </w:rPr>
        <w:tab/>
      </w:r>
      <w:r>
        <w:rPr>
          <w:rFonts w:hint="default" w:ascii="Times New Roman" w:hAnsi="Times New Roman" w:eastAsia="宋体" w:cs="Times New Roman"/>
          <w:u w:val="none" w:color="auto"/>
        </w:rPr>
        <w:fldChar w:fldCharType="begin"/>
      </w:r>
      <w:r>
        <w:rPr>
          <w:rFonts w:hint="default" w:ascii="Times New Roman" w:hAnsi="Times New Roman" w:eastAsia="宋体" w:cs="Times New Roman"/>
          <w:u w:val="none" w:color="auto"/>
        </w:rPr>
        <w:instrText xml:space="preserve"> PAGEREF _Toc1231 </w:instrText>
      </w:r>
      <w:r>
        <w:rPr>
          <w:rFonts w:hint="default" w:ascii="Times New Roman" w:hAnsi="Times New Roman" w:eastAsia="宋体" w:cs="Times New Roman"/>
          <w:u w:val="none" w:color="auto"/>
        </w:rPr>
        <w:fldChar w:fldCharType="separate"/>
      </w:r>
      <w:r>
        <w:rPr>
          <w:rFonts w:hint="default" w:ascii="Times New Roman" w:hAnsi="Times New Roman" w:eastAsia="宋体" w:cs="Times New Roman"/>
          <w:u w:val="none" w:color="auto"/>
        </w:rPr>
        <w:t>31</w:t>
      </w:r>
      <w:r>
        <w:rPr>
          <w:rFonts w:hint="default" w:ascii="Times New Roman" w:hAnsi="Times New Roman" w:eastAsia="宋体" w:cs="Times New Roman"/>
          <w:u w:val="none" w:color="auto"/>
        </w:rPr>
        <w:fldChar w:fldCharType="end"/>
      </w:r>
      <w:r>
        <w:rPr>
          <w:rFonts w:hint="default" w:ascii="Times New Roman" w:hAnsi="Times New Roman" w:eastAsia="宋体" w:cs="Times New Roman"/>
          <w:szCs w:val="24"/>
          <w:u w:val="none" w:color="auto"/>
        </w:rPr>
        <w:fldChar w:fldCharType="end"/>
      </w:r>
    </w:p>
    <w:p>
      <w:pPr>
        <w:pStyle w:val="28"/>
        <w:tabs>
          <w:tab w:val="right" w:leader="dot" w:pos="8901"/>
          <w:tab w:val="clear" w:pos="8891"/>
        </w:tabs>
        <w:spacing w:line="480" w:lineRule="auto"/>
        <w:rPr>
          <w:rFonts w:hint="default" w:ascii="Times New Roman" w:hAnsi="Times New Roman" w:eastAsia="宋体" w:cs="Times New Roman"/>
          <w:u w:val="none" w:color="auto"/>
        </w:rPr>
      </w:pPr>
      <w:r>
        <w:rPr>
          <w:rFonts w:hint="default" w:ascii="Times New Roman" w:hAnsi="Times New Roman" w:eastAsia="宋体" w:cs="Times New Roman"/>
          <w:szCs w:val="24"/>
          <w:u w:val="none" w:color="auto"/>
        </w:rPr>
        <w:fldChar w:fldCharType="begin"/>
      </w:r>
      <w:r>
        <w:rPr>
          <w:rFonts w:hint="default" w:ascii="Times New Roman" w:hAnsi="Times New Roman" w:eastAsia="宋体" w:cs="Times New Roman"/>
          <w:szCs w:val="24"/>
          <w:u w:val="none" w:color="auto"/>
        </w:rPr>
        <w:instrText xml:space="preserve"> HYPERLINK \l _Toc6121 </w:instrText>
      </w:r>
      <w:r>
        <w:rPr>
          <w:rFonts w:hint="default" w:ascii="Times New Roman" w:hAnsi="Times New Roman" w:eastAsia="宋体" w:cs="Times New Roman"/>
          <w:szCs w:val="24"/>
          <w:u w:val="none" w:color="auto"/>
        </w:rPr>
        <w:fldChar w:fldCharType="separate"/>
      </w:r>
      <w:r>
        <w:rPr>
          <w:rFonts w:hint="default" w:ascii="Times New Roman" w:hAnsi="Times New Roman" w:eastAsia="宋体" w:cs="Times New Roman"/>
          <w:szCs w:val="32"/>
          <w:u w:val="none" w:color="auto"/>
        </w:rPr>
        <w:t>八、建设项目拟采取的防治措施及</w:t>
      </w:r>
      <w:r>
        <w:rPr>
          <w:rFonts w:hint="default" w:ascii="Times New Roman" w:hAnsi="Times New Roman" w:eastAsia="宋体" w:cs="Times New Roman"/>
          <w:u w:val="none" w:color="auto"/>
        </w:rPr>
        <w:t>预期治理效果</w:t>
      </w:r>
      <w:r>
        <w:rPr>
          <w:rFonts w:hint="default" w:ascii="Times New Roman" w:hAnsi="Times New Roman" w:eastAsia="宋体" w:cs="Times New Roman"/>
          <w:u w:val="none" w:color="auto"/>
        </w:rPr>
        <w:tab/>
      </w:r>
      <w:r>
        <w:rPr>
          <w:rFonts w:hint="default" w:ascii="Times New Roman" w:hAnsi="Times New Roman" w:eastAsia="宋体" w:cs="Times New Roman"/>
          <w:u w:val="none" w:color="auto"/>
        </w:rPr>
        <w:fldChar w:fldCharType="begin"/>
      </w:r>
      <w:r>
        <w:rPr>
          <w:rFonts w:hint="default" w:ascii="Times New Roman" w:hAnsi="Times New Roman" w:eastAsia="宋体" w:cs="Times New Roman"/>
          <w:u w:val="none" w:color="auto"/>
        </w:rPr>
        <w:instrText xml:space="preserve"> PAGEREF _Toc6121 </w:instrText>
      </w:r>
      <w:r>
        <w:rPr>
          <w:rFonts w:hint="default" w:ascii="Times New Roman" w:hAnsi="Times New Roman" w:eastAsia="宋体" w:cs="Times New Roman"/>
          <w:u w:val="none" w:color="auto"/>
        </w:rPr>
        <w:fldChar w:fldCharType="separate"/>
      </w:r>
      <w:r>
        <w:rPr>
          <w:rFonts w:hint="default" w:ascii="Times New Roman" w:hAnsi="Times New Roman" w:eastAsia="宋体" w:cs="Times New Roman"/>
          <w:u w:val="none" w:color="auto"/>
        </w:rPr>
        <w:t>60</w:t>
      </w:r>
      <w:r>
        <w:rPr>
          <w:rFonts w:hint="default" w:ascii="Times New Roman" w:hAnsi="Times New Roman" w:eastAsia="宋体" w:cs="Times New Roman"/>
          <w:u w:val="none" w:color="auto"/>
        </w:rPr>
        <w:fldChar w:fldCharType="end"/>
      </w:r>
      <w:r>
        <w:rPr>
          <w:rFonts w:hint="default" w:ascii="Times New Roman" w:hAnsi="Times New Roman" w:eastAsia="宋体" w:cs="Times New Roman"/>
          <w:szCs w:val="24"/>
          <w:u w:val="none" w:color="auto"/>
        </w:rPr>
        <w:fldChar w:fldCharType="end"/>
      </w:r>
    </w:p>
    <w:p>
      <w:pPr>
        <w:pStyle w:val="28"/>
        <w:tabs>
          <w:tab w:val="right" w:leader="dot" w:pos="8901"/>
          <w:tab w:val="clear" w:pos="8891"/>
        </w:tabs>
        <w:spacing w:line="480" w:lineRule="auto"/>
        <w:rPr>
          <w:u w:val="none" w:color="auto"/>
        </w:rPr>
      </w:pPr>
      <w:r>
        <w:rPr>
          <w:rFonts w:hint="default" w:ascii="Times New Roman" w:hAnsi="Times New Roman" w:eastAsia="宋体" w:cs="Times New Roman"/>
          <w:szCs w:val="24"/>
          <w:u w:val="none" w:color="auto"/>
        </w:rPr>
        <w:fldChar w:fldCharType="begin"/>
      </w:r>
      <w:r>
        <w:rPr>
          <w:rFonts w:hint="default" w:ascii="Times New Roman" w:hAnsi="Times New Roman" w:eastAsia="宋体" w:cs="Times New Roman"/>
          <w:szCs w:val="24"/>
          <w:u w:val="none" w:color="auto"/>
        </w:rPr>
        <w:instrText xml:space="preserve"> HYPERLINK \l _Toc22711 </w:instrText>
      </w:r>
      <w:r>
        <w:rPr>
          <w:rFonts w:hint="default" w:ascii="Times New Roman" w:hAnsi="Times New Roman" w:eastAsia="宋体" w:cs="Times New Roman"/>
          <w:szCs w:val="24"/>
          <w:u w:val="none" w:color="auto"/>
        </w:rPr>
        <w:fldChar w:fldCharType="separate"/>
      </w:r>
      <w:r>
        <w:rPr>
          <w:rFonts w:hint="default" w:ascii="Times New Roman" w:hAnsi="Times New Roman" w:eastAsia="宋体" w:cs="Times New Roman"/>
          <w:u w:val="none" w:color="auto"/>
        </w:rPr>
        <w:t>九、结论与建议</w:t>
      </w:r>
      <w:r>
        <w:rPr>
          <w:rFonts w:hint="default" w:ascii="Times New Roman" w:hAnsi="Times New Roman" w:eastAsia="宋体" w:cs="Times New Roman"/>
          <w:u w:val="none" w:color="auto"/>
        </w:rPr>
        <w:tab/>
      </w:r>
      <w:r>
        <w:rPr>
          <w:rFonts w:hint="default" w:ascii="Times New Roman" w:hAnsi="Times New Roman" w:eastAsia="宋体" w:cs="Times New Roman"/>
          <w:u w:val="none" w:color="auto"/>
        </w:rPr>
        <w:fldChar w:fldCharType="begin"/>
      </w:r>
      <w:r>
        <w:rPr>
          <w:rFonts w:hint="default" w:ascii="Times New Roman" w:hAnsi="Times New Roman" w:eastAsia="宋体" w:cs="Times New Roman"/>
          <w:u w:val="none" w:color="auto"/>
        </w:rPr>
        <w:instrText xml:space="preserve"> PAGEREF _Toc22711 </w:instrText>
      </w:r>
      <w:r>
        <w:rPr>
          <w:rFonts w:hint="default" w:ascii="Times New Roman" w:hAnsi="Times New Roman" w:eastAsia="宋体" w:cs="Times New Roman"/>
          <w:u w:val="none" w:color="auto"/>
        </w:rPr>
        <w:fldChar w:fldCharType="separate"/>
      </w:r>
      <w:r>
        <w:rPr>
          <w:rFonts w:hint="default" w:ascii="Times New Roman" w:hAnsi="Times New Roman" w:eastAsia="宋体" w:cs="Times New Roman"/>
          <w:u w:val="none" w:color="auto"/>
        </w:rPr>
        <w:t>62</w:t>
      </w:r>
      <w:r>
        <w:rPr>
          <w:rFonts w:hint="default" w:ascii="Times New Roman" w:hAnsi="Times New Roman" w:eastAsia="宋体" w:cs="Times New Roman"/>
          <w:u w:val="none" w:color="auto"/>
        </w:rPr>
        <w:fldChar w:fldCharType="end"/>
      </w:r>
      <w:r>
        <w:rPr>
          <w:rFonts w:hint="default" w:ascii="Times New Roman" w:hAnsi="Times New Roman" w:eastAsia="宋体" w:cs="Times New Roman"/>
          <w:szCs w:val="24"/>
          <w:u w:val="none" w:color="auto"/>
        </w:rPr>
        <w:fldChar w:fldCharType="end"/>
      </w:r>
    </w:p>
    <w:p>
      <w:pPr>
        <w:keepNext w:val="0"/>
        <w:keepLines w:val="0"/>
        <w:pageBreakBefore w:val="0"/>
        <w:widowControl w:val="0"/>
        <w:kinsoku/>
        <w:wordWrap/>
        <w:overflowPunct/>
        <w:topLinePunct w:val="0"/>
        <w:autoSpaceDE/>
        <w:autoSpaceDN/>
        <w:bidi w:val="0"/>
        <w:adjustRightInd/>
        <w:snapToGrid/>
        <w:spacing w:line="480" w:lineRule="auto"/>
        <w:ind w:firstLine="560"/>
        <w:textAlignment w:val="auto"/>
        <w:rPr>
          <w:rFonts w:hint="default" w:ascii="Times New Roman" w:hAnsi="Times New Roman" w:cs="Times New Roman"/>
          <w:color w:val="auto"/>
          <w:sz w:val="24"/>
          <w:szCs w:val="24"/>
          <w:u w:val="none" w:color="auto"/>
        </w:rPr>
        <w:sectPr>
          <w:footerReference r:id="rId5" w:type="first"/>
          <w:footerReference r:id="rId4" w:type="default"/>
          <w:pgSz w:w="11907" w:h="16840"/>
          <w:pgMar w:top="1418" w:right="1418" w:bottom="1418" w:left="1588" w:header="454" w:footer="964" w:gutter="0"/>
          <w:pgBorders>
            <w:top w:val="none" w:sz="0" w:space="0"/>
            <w:left w:val="none" w:sz="0" w:space="0"/>
            <w:bottom w:val="none" w:sz="0" w:space="0"/>
            <w:right w:val="none" w:sz="0" w:space="0"/>
          </w:pgBorders>
          <w:pgNumType w:start="1"/>
          <w:cols w:space="720" w:num="1"/>
          <w:docGrid w:linePitch="380" w:charSpace="0"/>
        </w:sectPr>
      </w:pPr>
      <w:r>
        <w:rPr>
          <w:rFonts w:hint="default" w:ascii="Times New Roman" w:hAnsi="Times New Roman" w:eastAsia="宋体" w:cs="Times New Roman"/>
          <w:szCs w:val="24"/>
          <w:u w:val="none" w:color="auto"/>
        </w:rPr>
        <w:fldChar w:fldCharType="end"/>
      </w:r>
    </w:p>
    <w:p>
      <w:pPr>
        <w:pStyle w:val="3"/>
        <w:spacing w:before="120" w:line="240" w:lineRule="auto"/>
        <w:rPr>
          <w:u w:val="none" w:color="auto"/>
        </w:rPr>
      </w:pPr>
      <w:bookmarkStart w:id="0" w:name="_Toc9987"/>
      <w:r>
        <w:rPr>
          <w:rFonts w:hint="eastAsia"/>
          <w:u w:val="none" w:color="auto"/>
        </w:rPr>
        <w:t>一、</w:t>
      </w:r>
      <w:r>
        <w:rPr>
          <w:u w:val="none" w:color="auto"/>
        </w:rPr>
        <w:t>建设项目基本情况</w:t>
      </w:r>
      <w:bookmarkEnd w:id="0"/>
    </w:p>
    <w:tbl>
      <w:tblPr>
        <w:tblStyle w:val="40"/>
        <w:tblW w:w="928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85" w:type="dxa"/>
          <w:bottom w:w="0" w:type="dxa"/>
          <w:right w:w="85" w:type="dxa"/>
        </w:tblCellMar>
      </w:tblPr>
      <w:tblGrid>
        <w:gridCol w:w="1635"/>
        <w:gridCol w:w="1816"/>
        <w:gridCol w:w="338"/>
        <w:gridCol w:w="1251"/>
        <w:gridCol w:w="1471"/>
        <w:gridCol w:w="1326"/>
        <w:gridCol w:w="119"/>
        <w:gridCol w:w="132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638" w:hRule="atLeast"/>
          <w:jc w:val="center"/>
        </w:trPr>
        <w:tc>
          <w:tcPr>
            <w:tcW w:w="1635" w:type="dxa"/>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sz w:val="24"/>
                <w:u w:val="none" w:color="auto"/>
              </w:rPr>
              <w:t>项目名称</w:t>
            </w:r>
          </w:p>
        </w:tc>
        <w:tc>
          <w:tcPr>
            <w:tcW w:w="7647" w:type="dxa"/>
            <w:gridSpan w:val="7"/>
            <w:vAlign w:val="center"/>
          </w:tcPr>
          <w:p>
            <w:pPr>
              <w:adjustRightInd w:val="0"/>
              <w:snapToGrid w:val="0"/>
              <w:spacing w:line="360" w:lineRule="auto"/>
              <w:jc w:val="center"/>
              <w:rPr>
                <w:rFonts w:hint="default" w:ascii="Times New Roman" w:hAnsi="Times New Roman" w:eastAsia="宋体" w:cs="Times New Roman"/>
                <w:sz w:val="24"/>
                <w:szCs w:val="24"/>
                <w:highlight w:val="yellow"/>
                <w:u w:val="none" w:color="auto"/>
                <w:lang w:eastAsia="zh-CN"/>
              </w:rPr>
            </w:pPr>
            <w:r>
              <w:rPr>
                <w:rFonts w:hint="eastAsia" w:cs="Times New Roman"/>
                <w:sz w:val="24"/>
                <w:szCs w:val="24"/>
                <w:u w:val="none" w:color="auto"/>
                <w:lang w:eastAsia="zh-CN"/>
              </w:rPr>
              <w:t>年产4500吨纸业用品建设项目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652" w:hRule="atLeast"/>
          <w:jc w:val="center"/>
        </w:trPr>
        <w:tc>
          <w:tcPr>
            <w:tcW w:w="1635" w:type="dxa"/>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sz w:val="24"/>
                <w:u w:val="none" w:color="auto"/>
              </w:rPr>
              <w:t>建设单位</w:t>
            </w:r>
          </w:p>
        </w:tc>
        <w:tc>
          <w:tcPr>
            <w:tcW w:w="7647" w:type="dxa"/>
            <w:gridSpan w:val="7"/>
            <w:vAlign w:val="center"/>
          </w:tcPr>
          <w:p>
            <w:pPr>
              <w:adjustRightInd w:val="0"/>
              <w:snapToGrid w:val="0"/>
              <w:spacing w:line="360" w:lineRule="auto"/>
              <w:jc w:val="center"/>
              <w:rPr>
                <w:rFonts w:hint="default" w:ascii="Times New Roman" w:hAnsi="Times New Roman" w:eastAsia="宋体" w:cs="Times New Roman"/>
                <w:sz w:val="24"/>
                <w:highlight w:val="yellow"/>
                <w:u w:val="none" w:color="auto"/>
                <w:lang w:eastAsia="zh-CN"/>
              </w:rPr>
            </w:pPr>
            <w:r>
              <w:rPr>
                <w:rFonts w:hint="eastAsia" w:cs="Times New Roman"/>
                <w:sz w:val="24"/>
                <w:u w:val="none" w:color="auto"/>
                <w:lang w:eastAsia="zh-CN"/>
              </w:rPr>
              <w:t>深圳市帝彩纸业有限公司岳阳市分公司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90" w:hRule="atLeast"/>
          <w:jc w:val="center"/>
        </w:trPr>
        <w:tc>
          <w:tcPr>
            <w:tcW w:w="1635" w:type="dxa"/>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sz w:val="24"/>
                <w:u w:val="none" w:color="auto"/>
              </w:rPr>
              <w:t>法人代表</w:t>
            </w:r>
          </w:p>
        </w:tc>
        <w:tc>
          <w:tcPr>
            <w:tcW w:w="3405" w:type="dxa"/>
            <w:gridSpan w:val="3"/>
            <w:vAlign w:val="center"/>
          </w:tcPr>
          <w:p>
            <w:pPr>
              <w:snapToGrid w:val="0"/>
              <w:spacing w:line="360" w:lineRule="auto"/>
              <w:jc w:val="center"/>
              <w:rPr>
                <w:rFonts w:hint="default" w:ascii="Times New Roman" w:hAnsi="Times New Roman" w:eastAsia="宋体" w:cs="Times New Roman"/>
                <w:kern w:val="24"/>
                <w:sz w:val="24"/>
                <w:u w:val="none" w:color="auto"/>
                <w:lang w:val="en-US" w:eastAsia="zh-CN"/>
              </w:rPr>
            </w:pPr>
            <w:r>
              <w:rPr>
                <w:rFonts w:hint="eastAsia" w:cs="Times New Roman"/>
                <w:kern w:val="24"/>
                <w:sz w:val="24"/>
                <w:u w:val="none" w:color="auto"/>
                <w:lang w:val="en-US" w:eastAsia="zh-CN"/>
              </w:rPr>
              <w:t>刘婷</w:t>
            </w:r>
          </w:p>
        </w:tc>
        <w:tc>
          <w:tcPr>
            <w:tcW w:w="1471" w:type="dxa"/>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sz w:val="24"/>
                <w:u w:val="none" w:color="auto"/>
              </w:rPr>
              <w:t>联 系 人</w:t>
            </w:r>
          </w:p>
        </w:tc>
        <w:tc>
          <w:tcPr>
            <w:tcW w:w="2771" w:type="dxa"/>
            <w:gridSpan w:val="3"/>
            <w:vAlign w:val="center"/>
          </w:tcPr>
          <w:p>
            <w:pPr>
              <w:snapToGrid w:val="0"/>
              <w:spacing w:line="360" w:lineRule="auto"/>
              <w:jc w:val="center"/>
              <w:rPr>
                <w:rFonts w:hint="default" w:ascii="Times New Roman" w:hAnsi="Times New Roman" w:eastAsia="宋体" w:cs="Times New Roman"/>
                <w:kern w:val="24"/>
                <w:sz w:val="24"/>
                <w:highlight w:val="yellow"/>
                <w:u w:val="none" w:color="auto"/>
                <w:lang w:val="en-US" w:eastAsia="zh-CN"/>
              </w:rPr>
            </w:pPr>
            <w:r>
              <w:rPr>
                <w:rFonts w:hint="eastAsia" w:cs="Times New Roman"/>
                <w:kern w:val="24"/>
                <w:sz w:val="24"/>
                <w:szCs w:val="22"/>
                <w:u w:val="none" w:color="auto"/>
                <w:lang w:val="en-US" w:eastAsia="zh-CN"/>
              </w:rPr>
              <w:t>姚辉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531" w:hRule="atLeast"/>
          <w:jc w:val="center"/>
        </w:trPr>
        <w:tc>
          <w:tcPr>
            <w:tcW w:w="1635" w:type="dxa"/>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sz w:val="24"/>
                <w:u w:val="none" w:color="auto"/>
              </w:rPr>
              <w:t>通讯地址</w:t>
            </w:r>
          </w:p>
        </w:tc>
        <w:tc>
          <w:tcPr>
            <w:tcW w:w="7647" w:type="dxa"/>
            <w:gridSpan w:val="7"/>
            <w:vAlign w:val="center"/>
          </w:tcPr>
          <w:p>
            <w:pPr>
              <w:snapToGrid w:val="0"/>
              <w:spacing w:line="360" w:lineRule="auto"/>
              <w:jc w:val="center"/>
              <w:rPr>
                <w:rFonts w:hint="default" w:ascii="Times New Roman" w:hAnsi="Times New Roman" w:eastAsia="宋体" w:cs="Times New Roman"/>
                <w:kern w:val="24"/>
                <w:sz w:val="24"/>
                <w:szCs w:val="24"/>
                <w:u w:val="none" w:color="auto"/>
                <w:lang w:eastAsia="zh-CN"/>
              </w:rPr>
            </w:pPr>
            <w:r>
              <w:rPr>
                <w:rFonts w:hint="eastAsia" w:cs="Times New Roman"/>
                <w:sz w:val="24"/>
                <w:u w:val="none" w:color="auto"/>
                <w:lang w:eastAsia="zh-CN"/>
              </w:rPr>
              <w:t>岳阳市湘阴县金龙新区工业园湖南卓达置业有限公司一期22栋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597" w:hRule="atLeast"/>
          <w:jc w:val="center"/>
        </w:trPr>
        <w:tc>
          <w:tcPr>
            <w:tcW w:w="1635" w:type="dxa"/>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sz w:val="24"/>
                <w:u w:val="none" w:color="auto"/>
              </w:rPr>
              <w:t>联系电话</w:t>
            </w:r>
          </w:p>
        </w:tc>
        <w:tc>
          <w:tcPr>
            <w:tcW w:w="2154" w:type="dxa"/>
            <w:gridSpan w:val="2"/>
            <w:vAlign w:val="center"/>
          </w:tcPr>
          <w:p>
            <w:pPr>
              <w:snapToGrid w:val="0"/>
              <w:spacing w:line="360" w:lineRule="auto"/>
              <w:jc w:val="center"/>
              <w:rPr>
                <w:rFonts w:hint="default" w:ascii="Times New Roman" w:hAnsi="Times New Roman" w:eastAsia="宋体" w:cs="Times New Roman"/>
                <w:kern w:val="0"/>
                <w:sz w:val="24"/>
                <w:u w:val="none" w:color="auto"/>
                <w:lang w:val="en-US" w:eastAsia="zh-CN"/>
              </w:rPr>
            </w:pPr>
            <w:r>
              <w:rPr>
                <w:rFonts w:hint="eastAsia" w:cs="Times New Roman"/>
                <w:sz w:val="24"/>
                <w:szCs w:val="24"/>
                <w:u w:val="none" w:color="auto"/>
                <w:lang w:val="en-US" w:eastAsia="zh-CN"/>
              </w:rPr>
              <w:t>18173027873</w:t>
            </w:r>
          </w:p>
        </w:tc>
        <w:tc>
          <w:tcPr>
            <w:tcW w:w="1251" w:type="dxa"/>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sz w:val="24"/>
                <w:u w:val="none" w:color="auto"/>
              </w:rPr>
              <w:t>传真</w:t>
            </w:r>
          </w:p>
        </w:tc>
        <w:tc>
          <w:tcPr>
            <w:tcW w:w="1471" w:type="dxa"/>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kern w:val="24"/>
                <w:sz w:val="24"/>
                <w:u w:val="none" w:color="auto"/>
              </w:rPr>
              <w:t>/</w:t>
            </w:r>
          </w:p>
        </w:tc>
        <w:tc>
          <w:tcPr>
            <w:tcW w:w="1326" w:type="dxa"/>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sz w:val="24"/>
                <w:u w:val="none" w:color="auto"/>
              </w:rPr>
              <w:t>邮政编码</w:t>
            </w:r>
          </w:p>
        </w:tc>
        <w:tc>
          <w:tcPr>
            <w:tcW w:w="1445" w:type="dxa"/>
            <w:gridSpan w:val="2"/>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sz w:val="24"/>
                <w:u w:val="none" w:color="auto"/>
              </w:rPr>
              <w:t>414600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686" w:hRule="atLeast"/>
          <w:jc w:val="center"/>
        </w:trPr>
        <w:tc>
          <w:tcPr>
            <w:tcW w:w="1635" w:type="dxa"/>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sz w:val="24"/>
                <w:u w:val="none" w:color="auto"/>
              </w:rPr>
              <w:t>建设地点</w:t>
            </w:r>
          </w:p>
        </w:tc>
        <w:tc>
          <w:tcPr>
            <w:tcW w:w="7647" w:type="dxa"/>
            <w:gridSpan w:val="7"/>
            <w:vAlign w:val="center"/>
          </w:tcPr>
          <w:p>
            <w:pPr>
              <w:snapToGrid w:val="0"/>
              <w:spacing w:line="360" w:lineRule="auto"/>
              <w:ind w:left="-105" w:leftChars="-50" w:right="-105" w:rightChars="-50"/>
              <w:jc w:val="center"/>
              <w:rPr>
                <w:rFonts w:hint="default" w:ascii="Times New Roman" w:hAnsi="Times New Roman" w:eastAsia="宋体" w:cs="Times New Roman"/>
                <w:sz w:val="24"/>
                <w:szCs w:val="24"/>
                <w:highlight w:val="yellow"/>
                <w:u w:val="none" w:color="auto"/>
                <w:lang w:eastAsia="zh-CN"/>
              </w:rPr>
            </w:pPr>
            <w:r>
              <w:rPr>
                <w:rFonts w:hint="eastAsia" w:cs="Times New Roman"/>
                <w:sz w:val="24"/>
                <w:u w:val="none" w:color="auto"/>
                <w:lang w:eastAsia="zh-CN"/>
              </w:rPr>
              <w:t>岳阳市湘阴县金龙新区工业园湖南卓达置业有限公司一期22栋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602" w:hRule="atLeast"/>
          <w:jc w:val="center"/>
        </w:trPr>
        <w:tc>
          <w:tcPr>
            <w:tcW w:w="1635" w:type="dxa"/>
            <w:vAlign w:val="center"/>
          </w:tcPr>
          <w:p>
            <w:pPr>
              <w:snapToGrid w:val="0"/>
              <w:spacing w:line="360" w:lineRule="auto"/>
              <w:jc w:val="center"/>
              <w:rPr>
                <w:rFonts w:hint="default" w:ascii="Times New Roman" w:hAnsi="Times New Roman" w:cs="Times New Roman"/>
                <w:sz w:val="24"/>
                <w:u w:val="none" w:color="auto"/>
              </w:rPr>
            </w:pPr>
            <w:r>
              <w:rPr>
                <w:rFonts w:hint="default" w:ascii="Times New Roman" w:hAnsi="Times New Roman" w:cs="Times New Roman"/>
                <w:sz w:val="24"/>
                <w:u w:val="none" w:color="auto"/>
              </w:rPr>
              <w:t>立项审批部门</w:t>
            </w:r>
          </w:p>
        </w:tc>
        <w:tc>
          <w:tcPr>
            <w:tcW w:w="3405" w:type="dxa"/>
            <w:gridSpan w:val="3"/>
            <w:vAlign w:val="center"/>
          </w:tcPr>
          <w:p>
            <w:pPr>
              <w:snapToGrid w:val="0"/>
              <w:spacing w:line="360" w:lineRule="auto"/>
              <w:jc w:val="center"/>
              <w:rPr>
                <w:rFonts w:hint="default" w:ascii="Times New Roman" w:hAnsi="Times New Roman" w:cs="Times New Roman"/>
                <w:spacing w:val="-6"/>
                <w:sz w:val="24"/>
                <w:u w:val="none" w:color="auto"/>
              </w:rPr>
            </w:pPr>
            <w:r>
              <w:rPr>
                <w:rFonts w:hint="default" w:ascii="Times New Roman" w:hAnsi="Times New Roman" w:cs="Times New Roman"/>
                <w:spacing w:val="-6"/>
                <w:sz w:val="24"/>
                <w:u w:val="none" w:color="auto"/>
              </w:rPr>
              <w:t>/</w:t>
            </w:r>
          </w:p>
        </w:tc>
        <w:tc>
          <w:tcPr>
            <w:tcW w:w="1471" w:type="dxa"/>
            <w:vAlign w:val="center"/>
          </w:tcPr>
          <w:p>
            <w:pPr>
              <w:snapToGrid w:val="0"/>
              <w:spacing w:line="360" w:lineRule="auto"/>
              <w:jc w:val="center"/>
              <w:rPr>
                <w:rFonts w:hint="default" w:ascii="Times New Roman" w:hAnsi="Times New Roman" w:cs="Times New Roman"/>
                <w:sz w:val="24"/>
                <w:u w:val="none" w:color="auto"/>
              </w:rPr>
            </w:pPr>
            <w:r>
              <w:rPr>
                <w:rFonts w:hint="default" w:ascii="Times New Roman" w:hAnsi="Times New Roman" w:cs="Times New Roman"/>
                <w:sz w:val="24"/>
                <w:u w:val="none" w:color="auto"/>
              </w:rPr>
              <w:t>批准文号</w:t>
            </w:r>
          </w:p>
        </w:tc>
        <w:tc>
          <w:tcPr>
            <w:tcW w:w="2771" w:type="dxa"/>
            <w:gridSpan w:val="3"/>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kern w:val="24"/>
                <w:sz w:val="24"/>
                <w:u w:val="none" w:color="auto"/>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454" w:hRule="atLeast"/>
          <w:jc w:val="center"/>
        </w:trPr>
        <w:tc>
          <w:tcPr>
            <w:tcW w:w="1635" w:type="dxa"/>
            <w:vAlign w:val="center"/>
          </w:tcPr>
          <w:p>
            <w:pPr>
              <w:snapToGrid w:val="0"/>
              <w:spacing w:line="360" w:lineRule="auto"/>
              <w:jc w:val="center"/>
              <w:rPr>
                <w:rFonts w:hint="default" w:ascii="Times New Roman" w:hAnsi="Times New Roman" w:cs="Times New Roman"/>
                <w:sz w:val="24"/>
                <w:u w:val="none" w:color="auto"/>
              </w:rPr>
            </w:pPr>
            <w:r>
              <w:rPr>
                <w:rFonts w:hint="default" w:ascii="Times New Roman" w:hAnsi="Times New Roman" w:cs="Times New Roman"/>
                <w:sz w:val="24"/>
                <w:u w:val="none" w:color="auto"/>
              </w:rPr>
              <w:t>建设性质</w:t>
            </w:r>
          </w:p>
        </w:tc>
        <w:tc>
          <w:tcPr>
            <w:tcW w:w="3405" w:type="dxa"/>
            <w:gridSpan w:val="3"/>
            <w:vAlign w:val="center"/>
          </w:tcPr>
          <w:p>
            <w:pPr>
              <w:snapToGrid w:val="0"/>
              <w:spacing w:line="360" w:lineRule="auto"/>
              <w:jc w:val="center"/>
              <w:rPr>
                <w:rFonts w:hint="eastAsia" w:ascii="Times New Roman" w:hAnsi="Times New Roman" w:eastAsia="宋体" w:cs="Times New Roman"/>
                <w:spacing w:val="-6"/>
                <w:kern w:val="24"/>
                <w:sz w:val="24"/>
                <w:u w:val="none" w:color="auto"/>
                <w:lang w:eastAsia="zh-CN"/>
              </w:rPr>
            </w:pPr>
            <w:r>
              <w:rPr>
                <w:rFonts w:hint="default" w:ascii="Times New Roman" w:hAnsi="Times New Roman" w:cs="Times New Roman"/>
                <w:sz w:val="24"/>
                <w:u w:val="none" w:color="auto"/>
              </w:rPr>
              <w:t>新建</w:t>
            </w:r>
          </w:p>
        </w:tc>
        <w:tc>
          <w:tcPr>
            <w:tcW w:w="1471" w:type="dxa"/>
            <w:vAlign w:val="center"/>
          </w:tcPr>
          <w:p>
            <w:pPr>
              <w:snapToGrid w:val="0"/>
              <w:spacing w:line="360" w:lineRule="auto"/>
              <w:jc w:val="center"/>
              <w:rPr>
                <w:rFonts w:hint="default" w:cs="Times New Roman"/>
                <w:spacing w:val="-6"/>
                <w:sz w:val="24"/>
                <w:szCs w:val="22"/>
                <w:u w:val="none" w:color="auto"/>
                <w:lang w:val="en-US" w:eastAsia="zh-CN"/>
              </w:rPr>
            </w:pPr>
            <w:r>
              <w:rPr>
                <w:rFonts w:hint="default" w:cs="Times New Roman"/>
                <w:spacing w:val="-6"/>
                <w:sz w:val="24"/>
                <w:szCs w:val="22"/>
                <w:u w:val="none" w:color="auto"/>
                <w:lang w:val="en-US" w:eastAsia="zh-CN"/>
              </w:rPr>
              <w:t>行业类别</w:t>
            </w:r>
          </w:p>
          <w:p>
            <w:pPr>
              <w:snapToGrid w:val="0"/>
              <w:spacing w:line="360" w:lineRule="auto"/>
              <w:jc w:val="center"/>
              <w:rPr>
                <w:rFonts w:hint="default" w:cs="Times New Roman"/>
                <w:spacing w:val="-6"/>
                <w:sz w:val="24"/>
                <w:szCs w:val="22"/>
                <w:u w:val="none" w:color="auto"/>
                <w:lang w:val="en-US" w:eastAsia="zh-CN"/>
              </w:rPr>
            </w:pPr>
            <w:r>
              <w:rPr>
                <w:rFonts w:hint="default" w:cs="Times New Roman"/>
                <w:spacing w:val="-6"/>
                <w:sz w:val="24"/>
                <w:szCs w:val="22"/>
                <w:u w:val="none" w:color="auto"/>
                <w:lang w:val="en-US" w:eastAsia="zh-CN"/>
              </w:rPr>
              <w:t>及代号</w:t>
            </w:r>
          </w:p>
        </w:tc>
        <w:tc>
          <w:tcPr>
            <w:tcW w:w="2771" w:type="dxa"/>
            <w:gridSpan w:val="3"/>
            <w:vAlign w:val="center"/>
          </w:tcPr>
          <w:p>
            <w:pPr>
              <w:snapToGrid w:val="0"/>
              <w:spacing w:line="360" w:lineRule="auto"/>
              <w:jc w:val="center"/>
              <w:rPr>
                <w:rFonts w:hint="default" w:cs="Times New Roman"/>
                <w:spacing w:val="-6"/>
                <w:sz w:val="24"/>
                <w:szCs w:val="22"/>
                <w:u w:val="none" w:color="auto"/>
                <w:lang w:val="en-US" w:eastAsia="zh-CN"/>
              </w:rPr>
            </w:pPr>
            <w:r>
              <w:rPr>
                <w:rFonts w:hint="eastAsia" w:cs="Times New Roman"/>
                <w:spacing w:val="-6"/>
                <w:sz w:val="24"/>
                <w:szCs w:val="22"/>
                <w:u w:val="none" w:color="auto"/>
                <w:lang w:val="en-US" w:eastAsia="zh-CN"/>
              </w:rPr>
              <w:t>C223纸制品制造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454" w:hRule="atLeast"/>
          <w:jc w:val="center"/>
        </w:trPr>
        <w:tc>
          <w:tcPr>
            <w:tcW w:w="1635" w:type="dxa"/>
            <w:vAlign w:val="center"/>
          </w:tcPr>
          <w:p>
            <w:pPr>
              <w:snapToGrid w:val="0"/>
              <w:spacing w:line="360" w:lineRule="auto"/>
              <w:jc w:val="center"/>
              <w:rPr>
                <w:rFonts w:hint="default" w:ascii="Times New Roman" w:hAnsi="Times New Roman" w:cs="Times New Roman"/>
                <w:sz w:val="24"/>
                <w:u w:val="none" w:color="auto"/>
              </w:rPr>
            </w:pPr>
            <w:r>
              <w:rPr>
                <w:rFonts w:hint="default" w:ascii="Times New Roman" w:hAnsi="Times New Roman" w:cs="Times New Roman"/>
                <w:sz w:val="24"/>
                <w:u w:val="none" w:color="auto"/>
              </w:rPr>
              <w:t>占地面积</w:t>
            </w:r>
          </w:p>
          <w:p>
            <w:pPr>
              <w:snapToGrid w:val="0"/>
              <w:spacing w:line="360" w:lineRule="auto"/>
              <w:jc w:val="center"/>
              <w:rPr>
                <w:rFonts w:hint="default" w:ascii="Times New Roman" w:hAnsi="Times New Roman" w:cs="Times New Roman"/>
                <w:sz w:val="24"/>
                <w:u w:val="none" w:color="auto"/>
              </w:rPr>
            </w:pPr>
            <w:r>
              <w:rPr>
                <w:rFonts w:hint="default" w:ascii="Times New Roman" w:hAnsi="Times New Roman" w:cs="Times New Roman"/>
                <w:sz w:val="24"/>
                <w:u w:val="none" w:color="auto"/>
              </w:rPr>
              <w:t>(平方米)</w:t>
            </w:r>
          </w:p>
        </w:tc>
        <w:tc>
          <w:tcPr>
            <w:tcW w:w="3405" w:type="dxa"/>
            <w:gridSpan w:val="3"/>
            <w:vAlign w:val="center"/>
          </w:tcPr>
          <w:p>
            <w:pPr>
              <w:snapToGrid w:val="0"/>
              <w:spacing w:line="360" w:lineRule="auto"/>
              <w:jc w:val="center"/>
              <w:rPr>
                <w:rFonts w:hint="default" w:ascii="Times New Roman" w:hAnsi="Times New Roman" w:eastAsia="宋体" w:cs="Times New Roman"/>
                <w:spacing w:val="-6"/>
                <w:sz w:val="24"/>
                <w:u w:val="none" w:color="auto"/>
                <w:lang w:val="en-US" w:eastAsia="zh-CN"/>
              </w:rPr>
            </w:pPr>
            <w:r>
              <w:rPr>
                <w:rFonts w:hint="eastAsia" w:cs="Times New Roman"/>
                <w:spacing w:val="-6"/>
                <w:sz w:val="24"/>
                <w:u w:val="none" w:color="auto"/>
                <w:lang w:val="en-US" w:eastAsia="zh-CN"/>
              </w:rPr>
              <w:t>1176.02</w:t>
            </w:r>
          </w:p>
        </w:tc>
        <w:tc>
          <w:tcPr>
            <w:tcW w:w="1471" w:type="dxa"/>
            <w:vAlign w:val="center"/>
          </w:tcPr>
          <w:p>
            <w:pPr>
              <w:snapToGrid w:val="0"/>
              <w:spacing w:line="360" w:lineRule="auto"/>
              <w:jc w:val="center"/>
              <w:rPr>
                <w:rFonts w:hint="default" w:ascii="Times New Roman" w:hAnsi="Times New Roman" w:cs="Times New Roman"/>
                <w:sz w:val="24"/>
                <w:u w:val="none" w:color="auto"/>
              </w:rPr>
            </w:pPr>
            <w:r>
              <w:rPr>
                <w:rFonts w:hint="default" w:ascii="Times New Roman" w:hAnsi="Times New Roman" w:cs="Times New Roman"/>
                <w:sz w:val="24"/>
                <w:u w:val="none" w:color="auto"/>
              </w:rPr>
              <w:t>绿化面积</w:t>
            </w:r>
          </w:p>
          <w:p>
            <w:pPr>
              <w:snapToGrid w:val="0"/>
              <w:spacing w:line="360" w:lineRule="auto"/>
              <w:jc w:val="center"/>
              <w:rPr>
                <w:rFonts w:hint="default" w:ascii="Times New Roman" w:hAnsi="Times New Roman" w:cs="Times New Roman"/>
                <w:sz w:val="24"/>
                <w:u w:val="none" w:color="auto"/>
              </w:rPr>
            </w:pPr>
            <w:r>
              <w:rPr>
                <w:rFonts w:hint="default" w:ascii="Times New Roman" w:hAnsi="Times New Roman" w:cs="Times New Roman"/>
                <w:sz w:val="24"/>
                <w:u w:val="none" w:color="auto"/>
              </w:rPr>
              <w:t>（平方米）</w:t>
            </w:r>
          </w:p>
        </w:tc>
        <w:tc>
          <w:tcPr>
            <w:tcW w:w="2771" w:type="dxa"/>
            <w:gridSpan w:val="3"/>
            <w:vAlign w:val="center"/>
          </w:tcPr>
          <w:p>
            <w:pPr>
              <w:snapToGrid w:val="0"/>
              <w:spacing w:line="360" w:lineRule="auto"/>
              <w:ind w:left="-105" w:leftChars="-50" w:right="-105" w:rightChars="-50"/>
              <w:jc w:val="center"/>
              <w:rPr>
                <w:rFonts w:hint="default" w:ascii="Times New Roman" w:hAnsi="Times New Roman" w:cs="Times New Roman"/>
                <w:sz w:val="24"/>
                <w:u w:val="none" w:color="auto"/>
              </w:rPr>
            </w:pPr>
            <w:r>
              <w:rPr>
                <w:rFonts w:hint="default" w:ascii="Times New Roman" w:hAnsi="Times New Roman" w:cs="Times New Roman"/>
                <w:sz w:val="24"/>
                <w:u w:val="none" w:color="auto"/>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454" w:hRule="atLeast"/>
          <w:jc w:val="center"/>
        </w:trPr>
        <w:tc>
          <w:tcPr>
            <w:tcW w:w="1635" w:type="dxa"/>
            <w:vAlign w:val="center"/>
          </w:tcPr>
          <w:p>
            <w:pPr>
              <w:snapToGrid w:val="0"/>
              <w:spacing w:line="360" w:lineRule="auto"/>
              <w:jc w:val="center"/>
              <w:rPr>
                <w:rFonts w:hint="default" w:ascii="Times New Roman" w:hAnsi="Times New Roman" w:cs="Times New Roman"/>
                <w:sz w:val="24"/>
                <w:u w:val="none" w:color="auto"/>
              </w:rPr>
            </w:pPr>
            <w:r>
              <w:rPr>
                <w:rFonts w:hint="default" w:ascii="Times New Roman" w:hAnsi="Times New Roman" w:cs="Times New Roman"/>
                <w:sz w:val="24"/>
                <w:u w:val="none" w:color="auto"/>
              </w:rPr>
              <w:t>总投资</w:t>
            </w:r>
          </w:p>
          <w:p>
            <w:pPr>
              <w:snapToGrid w:val="0"/>
              <w:spacing w:line="360" w:lineRule="auto"/>
              <w:jc w:val="center"/>
              <w:rPr>
                <w:rFonts w:hint="default" w:ascii="Times New Roman" w:hAnsi="Times New Roman" w:cs="Times New Roman"/>
                <w:sz w:val="24"/>
                <w:u w:val="none" w:color="auto"/>
              </w:rPr>
            </w:pPr>
            <w:r>
              <w:rPr>
                <w:rFonts w:hint="default" w:ascii="Times New Roman" w:hAnsi="Times New Roman" w:cs="Times New Roman"/>
                <w:sz w:val="24"/>
                <w:u w:val="none" w:color="auto"/>
              </w:rPr>
              <w:t>(万元)</w:t>
            </w:r>
          </w:p>
        </w:tc>
        <w:tc>
          <w:tcPr>
            <w:tcW w:w="1816" w:type="dxa"/>
            <w:vAlign w:val="center"/>
          </w:tcPr>
          <w:p>
            <w:pPr>
              <w:snapToGrid w:val="0"/>
              <w:spacing w:line="360" w:lineRule="auto"/>
              <w:jc w:val="center"/>
              <w:rPr>
                <w:rFonts w:hint="default" w:ascii="Times New Roman" w:hAnsi="Times New Roman" w:eastAsia="宋体" w:cs="Times New Roman"/>
                <w:kern w:val="24"/>
                <w:sz w:val="24"/>
                <w:highlight w:val="yellow"/>
                <w:u w:val="none" w:color="auto"/>
                <w:lang w:val="en-US" w:eastAsia="zh-CN"/>
              </w:rPr>
            </w:pPr>
            <w:r>
              <w:rPr>
                <w:rFonts w:hint="eastAsia" w:cs="Times New Roman"/>
                <w:kern w:val="24"/>
                <w:sz w:val="24"/>
                <w:u w:val="none" w:color="auto"/>
                <w:lang w:val="en-US" w:eastAsia="zh-CN"/>
              </w:rPr>
              <w:t>2000</w:t>
            </w:r>
          </w:p>
        </w:tc>
        <w:tc>
          <w:tcPr>
            <w:tcW w:w="1589" w:type="dxa"/>
            <w:gridSpan w:val="2"/>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其中:环保投资(万元)</w:t>
            </w:r>
          </w:p>
        </w:tc>
        <w:tc>
          <w:tcPr>
            <w:tcW w:w="1471" w:type="dxa"/>
            <w:vAlign w:val="center"/>
          </w:tcPr>
          <w:p>
            <w:pPr>
              <w:snapToGrid w:val="0"/>
              <w:spacing w:line="360" w:lineRule="auto"/>
              <w:jc w:val="center"/>
              <w:rPr>
                <w:rFonts w:hint="default" w:ascii="Times New Roman" w:hAnsi="Times New Roman" w:eastAsia="宋体" w:cs="Times New Roman"/>
                <w:color w:val="auto"/>
                <w:kern w:val="24"/>
                <w:sz w:val="24"/>
                <w:u w:val="none" w:color="auto"/>
                <w:lang w:val="en-US" w:eastAsia="zh-CN"/>
              </w:rPr>
            </w:pPr>
            <w:r>
              <w:rPr>
                <w:rFonts w:hint="eastAsia" w:cs="Times New Roman"/>
                <w:color w:val="auto"/>
                <w:kern w:val="24"/>
                <w:sz w:val="24"/>
                <w:u w:val="none" w:color="auto"/>
                <w:lang w:val="en-US" w:eastAsia="zh-CN"/>
              </w:rPr>
              <w:t>44.0</w:t>
            </w:r>
          </w:p>
        </w:tc>
        <w:tc>
          <w:tcPr>
            <w:tcW w:w="1445" w:type="dxa"/>
            <w:gridSpan w:val="2"/>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环保投资占总投资比例</w:t>
            </w:r>
          </w:p>
        </w:tc>
        <w:tc>
          <w:tcPr>
            <w:tcW w:w="1326"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eastAsia" w:cs="Times New Roman"/>
                <w:color w:val="auto"/>
                <w:kern w:val="24"/>
                <w:sz w:val="24"/>
                <w:u w:val="none" w:color="auto"/>
                <w:lang w:val="en-US" w:eastAsia="zh-CN"/>
              </w:rPr>
              <w:t>2.2</w:t>
            </w:r>
            <w:r>
              <w:rPr>
                <w:rFonts w:hint="default" w:ascii="Times New Roman" w:hAnsi="Times New Roman" w:cs="Times New Roman"/>
                <w:color w:val="auto"/>
                <w:kern w:val="24"/>
                <w:sz w:val="24"/>
                <w:u w:val="none" w:color="auto"/>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454" w:hRule="atLeast"/>
          <w:jc w:val="center"/>
        </w:trPr>
        <w:tc>
          <w:tcPr>
            <w:tcW w:w="1635" w:type="dxa"/>
            <w:vAlign w:val="center"/>
          </w:tcPr>
          <w:p>
            <w:pPr>
              <w:snapToGrid w:val="0"/>
              <w:spacing w:line="360" w:lineRule="auto"/>
              <w:jc w:val="center"/>
              <w:rPr>
                <w:rFonts w:hint="default" w:ascii="Times New Roman" w:hAnsi="Times New Roman" w:cs="Times New Roman"/>
                <w:sz w:val="24"/>
                <w:u w:val="none" w:color="auto"/>
              </w:rPr>
            </w:pPr>
            <w:r>
              <w:rPr>
                <w:rFonts w:hint="default" w:ascii="Times New Roman" w:hAnsi="Times New Roman" w:cs="Times New Roman"/>
                <w:sz w:val="24"/>
                <w:u w:val="none" w:color="auto"/>
              </w:rPr>
              <w:t>评价经费</w:t>
            </w:r>
          </w:p>
          <w:p>
            <w:pPr>
              <w:snapToGrid w:val="0"/>
              <w:spacing w:line="360" w:lineRule="auto"/>
              <w:jc w:val="center"/>
              <w:rPr>
                <w:rFonts w:hint="default" w:ascii="Times New Roman" w:hAnsi="Times New Roman" w:cs="Times New Roman"/>
                <w:sz w:val="24"/>
                <w:u w:val="none" w:color="auto"/>
              </w:rPr>
            </w:pPr>
            <w:r>
              <w:rPr>
                <w:rFonts w:hint="default" w:ascii="Times New Roman" w:hAnsi="Times New Roman" w:cs="Times New Roman"/>
                <w:sz w:val="24"/>
                <w:u w:val="none" w:color="auto"/>
              </w:rPr>
              <w:t>(万元)</w:t>
            </w:r>
          </w:p>
        </w:tc>
        <w:tc>
          <w:tcPr>
            <w:tcW w:w="1816" w:type="dxa"/>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kern w:val="24"/>
                <w:sz w:val="24"/>
                <w:u w:val="none" w:color="auto"/>
              </w:rPr>
              <w:t>/</w:t>
            </w:r>
          </w:p>
        </w:tc>
        <w:tc>
          <w:tcPr>
            <w:tcW w:w="1589" w:type="dxa"/>
            <w:gridSpan w:val="2"/>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sz w:val="24"/>
                <w:u w:val="none" w:color="auto"/>
              </w:rPr>
              <w:t>投产日期</w:t>
            </w:r>
          </w:p>
        </w:tc>
        <w:tc>
          <w:tcPr>
            <w:tcW w:w="4242" w:type="dxa"/>
            <w:gridSpan w:val="4"/>
            <w:vAlign w:val="center"/>
          </w:tcPr>
          <w:p>
            <w:pPr>
              <w:snapToGrid w:val="0"/>
              <w:spacing w:line="360" w:lineRule="auto"/>
              <w:jc w:val="center"/>
              <w:rPr>
                <w:rFonts w:hint="default" w:ascii="Times New Roman" w:hAnsi="Times New Roman" w:eastAsia="宋体" w:cs="Times New Roman"/>
                <w:kern w:val="24"/>
                <w:sz w:val="24"/>
                <w:u w:val="none" w:color="auto"/>
                <w:lang w:val="en-US" w:eastAsia="zh-CN"/>
              </w:rPr>
            </w:pPr>
            <w:r>
              <w:rPr>
                <w:rFonts w:hint="eastAsia" w:cs="Times New Roman"/>
                <w:kern w:val="24"/>
                <w:sz w:val="24"/>
                <w:u w:val="none" w:color="auto"/>
                <w:lang w:val="en-US" w:eastAsia="zh-CN"/>
              </w:rPr>
              <w:t>2020年12月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454" w:hRule="atLeast"/>
          <w:jc w:val="center"/>
        </w:trPr>
        <w:tc>
          <w:tcPr>
            <w:tcW w:w="9282" w:type="dxa"/>
            <w:gridSpan w:val="8"/>
            <w:vAlign w:val="center"/>
          </w:tcPr>
          <w:p>
            <w:pPr>
              <w:snapToGrid w:val="0"/>
              <w:spacing w:line="360" w:lineRule="auto"/>
              <w:rPr>
                <w:rFonts w:hint="default" w:ascii="Times New Roman" w:hAnsi="Times New Roman" w:cs="Times New Roman"/>
                <w:b/>
                <w:sz w:val="30"/>
                <w:szCs w:val="30"/>
                <w:u w:val="none" w:color="auto"/>
              </w:rPr>
            </w:pPr>
            <w:r>
              <w:rPr>
                <w:rFonts w:hint="default" w:ascii="Times New Roman" w:hAnsi="Times New Roman" w:cs="Times New Roman"/>
                <w:b/>
                <w:sz w:val="30"/>
                <w:szCs w:val="30"/>
                <w:u w:val="none" w:color="auto"/>
              </w:rPr>
              <w:t>工程内容及规模：</w:t>
            </w:r>
          </w:p>
          <w:p>
            <w:pPr>
              <w:pStyle w:val="4"/>
              <w:spacing w:before="0" w:beforeLines="0"/>
              <w:ind w:firstLine="482"/>
              <w:rPr>
                <w:rFonts w:hint="default" w:ascii="Times New Roman" w:hAnsi="Times New Roman" w:cs="Times New Roman"/>
                <w:b/>
                <w:u w:val="none" w:color="auto"/>
              </w:rPr>
            </w:pPr>
            <w:r>
              <w:rPr>
                <w:rFonts w:hint="default" w:ascii="Times New Roman" w:hAnsi="Times New Roman" w:cs="Times New Roman"/>
                <w:b/>
                <w:u w:val="none" w:color="auto"/>
              </w:rPr>
              <w:t>1、项目由来</w:t>
            </w:r>
          </w:p>
          <w:p>
            <w:pPr>
              <w:pStyle w:val="170"/>
              <w:rPr>
                <w:rFonts w:hint="default" w:ascii="Times New Roman" w:hAnsi="Times New Roman" w:cs="Times New Roman"/>
                <w:szCs w:val="24"/>
                <w:u w:val="none" w:color="auto"/>
              </w:rPr>
            </w:pPr>
            <w:r>
              <w:rPr>
                <w:rFonts w:hint="default" w:ascii="Times New Roman" w:hAnsi="Times New Roman" w:cs="Times New Roman"/>
                <w:color w:val="auto"/>
                <w:sz w:val="24"/>
                <w:u w:val="none" w:color="auto"/>
              </w:rPr>
              <w:t>改革开放以来，我国</w:t>
            </w:r>
            <w:r>
              <w:rPr>
                <w:rFonts w:hint="eastAsia" w:cs="Times New Roman"/>
                <w:color w:val="auto"/>
                <w:sz w:val="24"/>
                <w:u w:val="none" w:color="auto"/>
                <w:lang w:eastAsia="zh-CN"/>
              </w:rPr>
              <w:t>经济发展迅速，</w:t>
            </w:r>
            <w:r>
              <w:rPr>
                <w:rFonts w:hint="eastAsia" w:cs="Times New Roman"/>
                <w:color w:val="auto"/>
                <w:sz w:val="24"/>
                <w:u w:val="none" w:color="auto"/>
                <w:lang w:val="en-US" w:eastAsia="zh-CN"/>
              </w:rPr>
              <w:t>人们</w:t>
            </w:r>
            <w:r>
              <w:rPr>
                <w:rFonts w:hint="eastAsia" w:cs="Times New Roman"/>
                <w:color w:val="auto"/>
                <w:sz w:val="24"/>
                <w:u w:val="none" w:color="auto"/>
                <w:lang w:eastAsia="zh-CN"/>
              </w:rPr>
              <w:t>对</w:t>
            </w:r>
            <w:r>
              <w:rPr>
                <w:rFonts w:hint="eastAsia" w:cs="Times New Roman"/>
                <w:color w:val="auto"/>
                <w:sz w:val="24"/>
                <w:u w:val="none" w:color="auto"/>
                <w:lang w:val="en-US" w:eastAsia="zh-CN"/>
              </w:rPr>
              <w:t>纸制品</w:t>
            </w:r>
            <w:r>
              <w:rPr>
                <w:rFonts w:hint="eastAsia" w:cs="Times New Roman"/>
                <w:color w:val="auto"/>
                <w:sz w:val="24"/>
                <w:u w:val="none" w:color="auto"/>
                <w:lang w:eastAsia="zh-CN"/>
              </w:rPr>
              <w:t>需求量越来越大</w:t>
            </w:r>
            <w:r>
              <w:rPr>
                <w:rFonts w:hint="default" w:ascii="Times New Roman" w:hAnsi="Times New Roman" w:cs="Times New Roman"/>
                <w:szCs w:val="24"/>
                <w:u w:val="none" w:color="auto"/>
              </w:rPr>
              <w:t>。为了适应市场需求，</w:t>
            </w:r>
            <w:r>
              <w:rPr>
                <w:rFonts w:hint="eastAsia" w:cs="Times New Roman"/>
                <w:u w:val="none" w:color="auto"/>
                <w:lang w:eastAsia="zh-CN"/>
              </w:rPr>
              <w:t>深圳市帝彩纸业有限公司岳阳市分公司购买位于岳阳市湘阴县金龙新区工业园湖南卓达置业有限公司一期22栋（共</w:t>
            </w:r>
            <w:r>
              <w:rPr>
                <w:rFonts w:hint="eastAsia" w:cs="Times New Roman"/>
                <w:u w:val="none" w:color="auto"/>
                <w:lang w:val="en-US" w:eastAsia="zh-CN"/>
              </w:rPr>
              <w:t>4层，</w:t>
            </w:r>
            <w:r>
              <w:rPr>
                <w:rFonts w:hint="eastAsia" w:cs="Times New Roman"/>
                <w:u w:val="none" w:color="auto"/>
                <w:lang w:eastAsia="zh-CN"/>
              </w:rPr>
              <w:t>总占地面积为</w:t>
            </w:r>
            <w:r>
              <w:rPr>
                <w:rFonts w:hint="eastAsia" w:cs="Times New Roman"/>
                <w:u w:val="none" w:color="auto"/>
                <w:lang w:val="en-US" w:eastAsia="zh-CN"/>
              </w:rPr>
              <w:t>1176.02m</w:t>
            </w:r>
            <w:r>
              <w:rPr>
                <w:rFonts w:hint="eastAsia" w:cs="Times New Roman"/>
                <w:u w:val="none" w:color="auto"/>
                <w:vertAlign w:val="superscript"/>
                <w:lang w:val="en-US" w:eastAsia="zh-CN"/>
              </w:rPr>
              <w:t>2</w:t>
            </w:r>
            <w:r>
              <w:rPr>
                <w:rFonts w:hint="eastAsia" w:cs="Times New Roman"/>
                <w:u w:val="none" w:color="auto"/>
                <w:lang w:val="en-US" w:eastAsia="zh-CN"/>
              </w:rPr>
              <w:t>，建筑面积为4704.08m</w:t>
            </w:r>
            <w:r>
              <w:rPr>
                <w:rFonts w:hint="eastAsia" w:cs="Times New Roman"/>
                <w:u w:val="none" w:color="auto"/>
                <w:vertAlign w:val="superscript"/>
                <w:lang w:val="en-US" w:eastAsia="zh-CN"/>
              </w:rPr>
              <w:t>2</w:t>
            </w:r>
            <w:r>
              <w:rPr>
                <w:rFonts w:hint="eastAsia" w:cs="Times New Roman"/>
                <w:u w:val="none" w:color="auto"/>
                <w:lang w:eastAsia="zh-CN"/>
              </w:rPr>
              <w:t>）的现有厂房，</w:t>
            </w:r>
            <w:r>
              <w:rPr>
                <w:rFonts w:hint="default" w:ascii="Times New Roman" w:hAnsi="Times New Roman" w:cs="Times New Roman"/>
                <w:u w:val="none" w:color="auto"/>
              </w:rPr>
              <w:t>投资</w:t>
            </w:r>
            <w:r>
              <w:rPr>
                <w:rFonts w:hint="eastAsia" w:cs="Times New Roman"/>
                <w:u w:val="none" w:color="auto"/>
                <w:lang w:val="en-US" w:eastAsia="zh-CN"/>
              </w:rPr>
              <w:t>2000万元</w:t>
            </w:r>
            <w:r>
              <w:rPr>
                <w:rFonts w:hint="default" w:ascii="Times New Roman" w:hAnsi="Times New Roman" w:cs="Times New Roman"/>
                <w:u w:val="none" w:color="auto"/>
              </w:rPr>
              <w:t>建设“</w:t>
            </w:r>
            <w:r>
              <w:rPr>
                <w:rFonts w:hint="eastAsia" w:cs="Times New Roman"/>
                <w:szCs w:val="24"/>
                <w:u w:val="none" w:color="auto"/>
                <w:lang w:eastAsia="zh-CN"/>
              </w:rPr>
              <w:t>年产4500吨纸业用品建设项目</w:t>
            </w:r>
            <w:r>
              <w:rPr>
                <w:rFonts w:hint="default" w:ascii="Times New Roman" w:hAnsi="Times New Roman" w:cs="Times New Roman"/>
                <w:u w:val="none" w:color="auto"/>
              </w:rPr>
              <w:t>”</w:t>
            </w:r>
            <w:r>
              <w:rPr>
                <w:rFonts w:hint="eastAsia" w:cs="Times New Roman"/>
                <w:u w:val="none" w:color="auto"/>
                <w:lang w:eastAsia="zh-CN"/>
              </w:rPr>
              <w:t>，</w:t>
            </w:r>
            <w:r>
              <w:rPr>
                <w:rFonts w:hint="eastAsia" w:cs="Times New Roman"/>
                <w:u w:val="none" w:color="auto"/>
                <w:lang w:val="en-US" w:eastAsia="zh-CN"/>
              </w:rPr>
              <w:t>项目主要的纸制品为卫生用纸（卷纸、抽纸）、双胶卷纸、热敏卷纸、复印纸，本项目不进行造纸工作，只购买成品原纸进行分切、复卷或者印刷等加工工序</w:t>
            </w:r>
            <w:r>
              <w:rPr>
                <w:rFonts w:hint="default" w:ascii="Times New Roman" w:hAnsi="Times New Roman" w:cs="Times New Roman"/>
                <w:u w:val="none" w:color="auto"/>
              </w:rPr>
              <w:t>。</w:t>
            </w:r>
          </w:p>
          <w:p>
            <w:pPr>
              <w:pStyle w:val="170"/>
              <w:rPr>
                <w:rFonts w:hint="eastAsia" w:ascii="Times New Roman" w:hAnsi="Times New Roman" w:cs="Times New Roman"/>
                <w:color w:val="auto"/>
                <w:sz w:val="24"/>
                <w:szCs w:val="24"/>
                <w:u w:val="none" w:color="auto"/>
                <w:lang w:val="en-US" w:eastAsia="zh-CN"/>
              </w:rPr>
            </w:pPr>
            <w:r>
              <w:rPr>
                <w:rFonts w:hint="default" w:ascii="Times New Roman" w:hAnsi="Times New Roman" w:cs="Times New Roman"/>
                <w:kern w:val="0"/>
                <w:u w:val="none" w:color="auto"/>
              </w:rPr>
              <w:t>根据《中华人民共和国环境保护法》、《中华人民共和国环境影响评价法》及《建设项目环境保护管理条例》的有关规定，本工程需</w:t>
            </w:r>
            <w:r>
              <w:rPr>
                <w:rFonts w:hint="default" w:ascii="Times New Roman" w:hAnsi="Times New Roman" w:cs="Times New Roman"/>
                <w:kern w:val="0"/>
                <w:u w:val="none" w:color="auto"/>
                <w:lang w:eastAsia="zh-CN"/>
              </w:rPr>
              <w:t>办理</w:t>
            </w:r>
            <w:r>
              <w:rPr>
                <w:rFonts w:hint="default" w:ascii="Times New Roman" w:hAnsi="Times New Roman" w:cs="Times New Roman"/>
                <w:kern w:val="0"/>
                <w:u w:val="none" w:color="auto"/>
              </w:rPr>
              <w:t>环境影响评价。经查询《建设项目环境影响评价分类管理名录》（2018版、生态环境部部令第1号），</w:t>
            </w:r>
            <w:r>
              <w:rPr>
                <w:rFonts w:hint="default" w:ascii="Times New Roman" w:hAnsi="Times New Roman" w:cs="Times New Roman"/>
                <w:szCs w:val="24"/>
                <w:u w:val="none" w:color="auto"/>
              </w:rPr>
              <w:t>项目</w:t>
            </w:r>
            <w:r>
              <w:rPr>
                <w:rFonts w:hint="default" w:ascii="Times New Roman" w:hAnsi="Times New Roman" w:eastAsia="宋体" w:cs="Times New Roman"/>
                <w:color w:val="333333"/>
                <w:sz w:val="24"/>
                <w:szCs w:val="24"/>
                <w:u w:val="none" w:color="auto"/>
              </w:rPr>
              <w:t>属于“十</w:t>
            </w:r>
            <w:r>
              <w:rPr>
                <w:rFonts w:hint="eastAsia" w:cs="Times New Roman"/>
                <w:color w:val="333333"/>
                <w:sz w:val="24"/>
                <w:szCs w:val="24"/>
                <w:u w:val="none" w:color="auto"/>
                <w:lang w:val="en-US" w:eastAsia="zh-CN"/>
              </w:rPr>
              <w:t>一</w:t>
            </w:r>
            <w:r>
              <w:rPr>
                <w:rFonts w:hint="default" w:ascii="Times New Roman" w:hAnsi="Times New Roman" w:eastAsia="宋体" w:cs="Times New Roman"/>
                <w:color w:val="333333"/>
                <w:sz w:val="24"/>
                <w:szCs w:val="24"/>
                <w:u w:val="none" w:color="auto"/>
              </w:rPr>
              <w:t>、</w:t>
            </w:r>
            <w:r>
              <w:rPr>
                <w:rFonts w:hint="eastAsia" w:cs="Times New Roman"/>
                <w:color w:val="333333"/>
                <w:sz w:val="24"/>
                <w:szCs w:val="24"/>
                <w:u w:val="none" w:color="auto"/>
                <w:lang w:val="en-US" w:eastAsia="zh-CN"/>
              </w:rPr>
              <w:t>造纸和纸制品业</w:t>
            </w:r>
            <w:r>
              <w:rPr>
                <w:rFonts w:hint="default" w:ascii="Times New Roman" w:hAnsi="Times New Roman" w:eastAsia="宋体" w:cs="Times New Roman"/>
                <w:color w:val="333333"/>
                <w:sz w:val="24"/>
                <w:szCs w:val="24"/>
                <w:u w:val="none" w:color="auto"/>
              </w:rPr>
              <w:t>”的“</w:t>
            </w:r>
            <w:r>
              <w:rPr>
                <w:rFonts w:hint="eastAsia" w:cs="Times New Roman"/>
                <w:color w:val="333333"/>
                <w:sz w:val="24"/>
                <w:szCs w:val="24"/>
                <w:u w:val="none" w:color="auto"/>
                <w:lang w:val="en-US" w:eastAsia="zh-CN"/>
              </w:rPr>
              <w:t>29</w:t>
            </w:r>
            <w:r>
              <w:rPr>
                <w:rFonts w:hint="default" w:ascii="Times New Roman" w:hAnsi="Times New Roman" w:eastAsia="宋体" w:cs="Times New Roman"/>
                <w:color w:val="333333"/>
                <w:sz w:val="24"/>
                <w:szCs w:val="24"/>
                <w:u w:val="none" w:color="auto"/>
              </w:rPr>
              <w:t>、</w:t>
            </w:r>
            <w:r>
              <w:rPr>
                <w:rFonts w:hint="eastAsia" w:cs="Times New Roman"/>
                <w:color w:val="333333"/>
                <w:sz w:val="24"/>
                <w:szCs w:val="24"/>
                <w:u w:val="none" w:color="auto"/>
                <w:lang w:val="en-US" w:eastAsia="zh-CN"/>
              </w:rPr>
              <w:t>纸制品制造</w:t>
            </w:r>
            <w:r>
              <w:rPr>
                <w:rFonts w:hint="eastAsia" w:ascii="宋体" w:hAnsi="宋体" w:eastAsia="宋体" w:cs="宋体"/>
                <w:color w:val="333333"/>
                <w:sz w:val="24"/>
                <w:szCs w:val="24"/>
                <w:u w:val="none" w:color="auto"/>
              </w:rPr>
              <w:t>”中的“其他”，需编制建设项目环境影响报告表</w:t>
            </w:r>
            <w:r>
              <w:rPr>
                <w:rFonts w:hint="eastAsia" w:cs="Times New Roman"/>
                <w:color w:val="auto"/>
                <w:szCs w:val="24"/>
                <w:u w:val="none" w:color="auto"/>
                <w:lang w:eastAsia="zh-CN"/>
              </w:rPr>
              <w:t>。</w:t>
            </w:r>
            <w:r>
              <w:rPr>
                <w:rFonts w:hint="default" w:ascii="Times New Roman" w:hAnsi="Times New Roman" w:cs="Times New Roman"/>
                <w:color w:val="auto"/>
                <w:szCs w:val="24"/>
                <w:u w:val="none" w:color="auto"/>
              </w:rPr>
              <w:t>为此，</w:t>
            </w:r>
            <w:r>
              <w:rPr>
                <w:rFonts w:hint="eastAsia" w:cs="Times New Roman"/>
                <w:color w:val="auto"/>
                <w:u w:val="none" w:color="auto"/>
                <w:lang w:eastAsia="zh-CN"/>
              </w:rPr>
              <w:t>深圳市帝彩纸业有限公司岳阳市分公司</w:t>
            </w:r>
            <w:r>
              <w:rPr>
                <w:rFonts w:hint="default" w:ascii="Times New Roman" w:hAnsi="Times New Roman" w:cs="Times New Roman"/>
                <w:color w:val="auto"/>
                <w:szCs w:val="24"/>
                <w:u w:val="none" w:color="auto"/>
              </w:rPr>
              <w:t>委托</w:t>
            </w:r>
            <w:r>
              <w:rPr>
                <w:rFonts w:hint="eastAsia" w:cs="Times New Roman"/>
                <w:color w:val="auto"/>
                <w:szCs w:val="24"/>
                <w:u w:val="none" w:color="auto"/>
                <w:lang w:eastAsia="zh-CN"/>
              </w:rPr>
              <w:t>湖南智盛瀚海环保科技有限公司</w:t>
            </w:r>
            <w:r>
              <w:rPr>
                <w:rFonts w:hint="default" w:ascii="Times New Roman" w:hAnsi="Times New Roman" w:cs="Times New Roman"/>
                <w:color w:val="auto"/>
                <w:szCs w:val="24"/>
                <w:u w:val="none" w:color="auto"/>
              </w:rPr>
              <w:t>承</w:t>
            </w:r>
            <w:r>
              <w:rPr>
                <w:rFonts w:hint="default" w:ascii="Times New Roman" w:hAnsi="Times New Roman" w:cs="Times New Roman"/>
                <w:szCs w:val="24"/>
                <w:u w:val="none" w:color="auto"/>
              </w:rPr>
              <w:t>担了《</w:t>
            </w:r>
            <w:r>
              <w:rPr>
                <w:rFonts w:hint="eastAsia" w:cs="Times New Roman"/>
                <w:szCs w:val="24"/>
                <w:u w:val="none" w:color="auto"/>
                <w:lang w:eastAsia="zh-CN"/>
              </w:rPr>
              <w:t>深圳市帝彩纸业有限公司岳阳市分公司年产4500吨纸业用品建设项目</w:t>
            </w:r>
            <w:r>
              <w:rPr>
                <w:rFonts w:hint="default" w:ascii="Times New Roman" w:hAnsi="Times New Roman" w:cs="Times New Roman"/>
                <w:szCs w:val="24"/>
                <w:u w:val="none" w:color="auto"/>
              </w:rPr>
              <w:t>》的环境影响评价工作</w:t>
            </w:r>
            <w:r>
              <w:rPr>
                <w:rFonts w:hint="default" w:ascii="Times New Roman" w:hAnsi="Times New Roman" w:cs="Times New Roman"/>
                <w:u w:val="none" w:color="auto"/>
              </w:rPr>
              <w:t>（委托书见附件1所示）</w:t>
            </w:r>
            <w:r>
              <w:rPr>
                <w:rFonts w:hint="default" w:ascii="Times New Roman" w:hAnsi="Times New Roman" w:cs="Times New Roman"/>
                <w:szCs w:val="24"/>
                <w:u w:val="none" w:color="auto"/>
              </w:rPr>
              <w:t>。接受委托后， 环评技术人员按照技术导则所规定原则、方法、内容和要求，通过现场踏勘，收集资料，走访调查，分析评价，在建设方提供的有关文件资料的基础上，编制了本环境影响报告表</w:t>
            </w:r>
            <w:r>
              <w:rPr>
                <w:rFonts w:hint="eastAsia" w:cs="Times New Roman"/>
                <w:color w:val="auto"/>
                <w:sz w:val="24"/>
                <w:szCs w:val="24"/>
                <w:u w:val="none" w:color="auto"/>
                <w:lang w:val="en-US" w:eastAsia="zh-CN"/>
              </w:rPr>
              <w:t>。</w:t>
            </w:r>
          </w:p>
          <w:p>
            <w:pPr>
              <w:snapToGrid w:val="0"/>
              <w:spacing w:line="360" w:lineRule="auto"/>
              <w:ind w:right="113" w:firstLine="482" w:firstLineChars="200"/>
              <w:rPr>
                <w:rFonts w:hint="default" w:ascii="Times New Roman" w:hAnsi="Times New Roman" w:cs="Times New Roman"/>
                <w:b/>
                <w:bCs/>
                <w:sz w:val="24"/>
                <w:szCs w:val="24"/>
                <w:u w:val="none" w:color="auto"/>
              </w:rPr>
            </w:pPr>
            <w:r>
              <w:rPr>
                <w:rFonts w:hint="eastAsia" w:cs="Times New Roman"/>
                <w:b/>
                <w:bCs/>
                <w:sz w:val="24"/>
                <w:szCs w:val="24"/>
                <w:u w:val="none" w:color="auto"/>
                <w:lang w:val="en-US" w:eastAsia="zh-CN"/>
              </w:rPr>
              <w:t>2</w:t>
            </w:r>
            <w:r>
              <w:rPr>
                <w:rFonts w:hint="eastAsia" w:cs="Times New Roman"/>
                <w:b/>
                <w:bCs/>
                <w:sz w:val="24"/>
                <w:szCs w:val="24"/>
                <w:u w:val="none" w:color="auto"/>
                <w:lang w:eastAsia="zh-CN"/>
              </w:rPr>
              <w:t>、</w:t>
            </w:r>
            <w:r>
              <w:rPr>
                <w:rFonts w:hint="default" w:ascii="Times New Roman" w:hAnsi="Times New Roman" w:cs="Times New Roman"/>
                <w:b/>
                <w:bCs/>
                <w:sz w:val="24"/>
                <w:szCs w:val="24"/>
                <w:u w:val="none" w:color="auto"/>
              </w:rPr>
              <w:t>项目概况</w:t>
            </w:r>
          </w:p>
          <w:p>
            <w:pPr>
              <w:pStyle w:val="179"/>
              <w:spacing w:line="384" w:lineRule="auto"/>
              <w:jc w:val="left"/>
              <w:rPr>
                <w:rFonts w:hint="default" w:ascii="Times New Roman" w:hAnsi="Times New Roman" w:cs="Times New Roman"/>
                <w:u w:val="none" w:color="auto"/>
              </w:rPr>
            </w:pPr>
            <w:r>
              <w:rPr>
                <w:rFonts w:hint="default" w:ascii="Times New Roman" w:hAnsi="Times New Roman" w:cs="Times New Roman"/>
                <w:u w:val="none" w:color="auto"/>
              </w:rPr>
              <w:t>（1）项目名称：</w:t>
            </w:r>
            <w:r>
              <w:rPr>
                <w:rFonts w:hint="eastAsia" w:cs="Times New Roman"/>
                <w:szCs w:val="24"/>
                <w:u w:val="none" w:color="auto"/>
                <w:lang w:eastAsia="zh-CN"/>
              </w:rPr>
              <w:t>年产4500吨纸业用品建设项目</w:t>
            </w:r>
            <w:r>
              <w:rPr>
                <w:rFonts w:hint="default" w:ascii="Times New Roman" w:hAnsi="Times New Roman" w:cs="Times New Roman"/>
                <w:u w:val="none" w:color="auto"/>
              </w:rPr>
              <w:t>；</w:t>
            </w:r>
          </w:p>
          <w:p>
            <w:pPr>
              <w:pStyle w:val="179"/>
              <w:spacing w:line="384" w:lineRule="auto"/>
              <w:jc w:val="left"/>
              <w:rPr>
                <w:rFonts w:hint="default" w:ascii="Times New Roman" w:hAnsi="Times New Roman" w:cs="Times New Roman"/>
                <w:u w:val="none" w:color="auto"/>
              </w:rPr>
            </w:pPr>
            <w:r>
              <w:rPr>
                <w:rFonts w:hint="default" w:ascii="Times New Roman" w:hAnsi="Times New Roman" w:cs="Times New Roman"/>
                <w:u w:val="none" w:color="auto"/>
              </w:rPr>
              <w:t>（2）建设单位：</w:t>
            </w:r>
            <w:r>
              <w:rPr>
                <w:rFonts w:hint="eastAsia" w:cs="Times New Roman"/>
                <w:u w:val="none" w:color="auto"/>
                <w:lang w:eastAsia="zh-CN"/>
              </w:rPr>
              <w:t>深圳市帝彩纸业有限公司岳阳市分公司</w:t>
            </w:r>
            <w:r>
              <w:rPr>
                <w:rFonts w:hint="default" w:ascii="Times New Roman" w:hAnsi="Times New Roman" w:cs="Times New Roman"/>
                <w:u w:val="none" w:color="auto"/>
              </w:rPr>
              <w:t>；</w:t>
            </w:r>
          </w:p>
          <w:p>
            <w:pPr>
              <w:pStyle w:val="179"/>
              <w:spacing w:line="384" w:lineRule="auto"/>
              <w:jc w:val="left"/>
              <w:rPr>
                <w:rFonts w:hint="default" w:ascii="Times New Roman" w:hAnsi="Times New Roman" w:cs="Times New Roman"/>
                <w:u w:val="none" w:color="auto"/>
              </w:rPr>
            </w:pPr>
            <w:r>
              <w:rPr>
                <w:rFonts w:hint="default" w:ascii="Times New Roman" w:hAnsi="Times New Roman" w:cs="Times New Roman"/>
                <w:u w:val="none" w:color="auto"/>
              </w:rPr>
              <w:t>（3）建设地点：</w:t>
            </w:r>
            <w:r>
              <w:rPr>
                <w:rFonts w:hint="eastAsia" w:cs="Times New Roman"/>
                <w:u w:val="none" w:color="auto"/>
                <w:lang w:eastAsia="zh-CN"/>
              </w:rPr>
              <w:t>岳阳市湘阴县金龙新区工业园湖南卓达置业有限公司一期22栋</w:t>
            </w:r>
            <w:r>
              <w:rPr>
                <w:rFonts w:hint="default" w:ascii="Times New Roman" w:hAnsi="Times New Roman" w:cs="Times New Roman"/>
                <w:u w:val="none" w:color="auto"/>
              </w:rPr>
              <w:t>；</w:t>
            </w:r>
          </w:p>
          <w:p>
            <w:pPr>
              <w:pStyle w:val="179"/>
              <w:spacing w:line="384" w:lineRule="auto"/>
              <w:jc w:val="left"/>
              <w:rPr>
                <w:rFonts w:hint="default" w:ascii="Times New Roman" w:hAnsi="Times New Roman" w:cs="Times New Roman"/>
                <w:u w:val="none" w:color="auto"/>
              </w:rPr>
            </w:pPr>
            <w:r>
              <w:rPr>
                <w:rFonts w:hint="default" w:ascii="Times New Roman" w:hAnsi="Times New Roman" w:cs="Times New Roman"/>
                <w:u w:val="none" w:color="auto"/>
              </w:rPr>
              <w:t>（4）项目性质：新建；</w:t>
            </w:r>
          </w:p>
          <w:p>
            <w:pPr>
              <w:pStyle w:val="179"/>
              <w:spacing w:line="384" w:lineRule="auto"/>
              <w:jc w:val="left"/>
              <w:rPr>
                <w:rFonts w:hint="eastAsia" w:ascii="Times New Roman" w:hAnsi="Times New Roman" w:eastAsia="宋体" w:cs="Times New Roman"/>
                <w:u w:val="none" w:color="auto"/>
                <w:lang w:eastAsia="zh-CN"/>
              </w:rPr>
            </w:pPr>
            <w:r>
              <w:rPr>
                <w:rFonts w:hint="default" w:ascii="Times New Roman" w:hAnsi="Times New Roman" w:cs="Times New Roman"/>
                <w:u w:val="none" w:color="auto"/>
              </w:rPr>
              <w:t>（5）建设规模：项目总占地面积约</w:t>
            </w:r>
            <w:r>
              <w:rPr>
                <w:rFonts w:hint="eastAsia" w:cs="Times New Roman"/>
                <w:u w:val="none" w:color="auto"/>
                <w:lang w:val="en-US" w:eastAsia="zh-CN"/>
              </w:rPr>
              <w:t>1176.02</w:t>
            </w:r>
            <w:r>
              <w:rPr>
                <w:rFonts w:hint="default" w:ascii="Times New Roman" w:hAnsi="Times New Roman" w:cs="Times New Roman"/>
                <w:u w:val="none" w:color="auto"/>
              </w:rPr>
              <w:t>m</w:t>
            </w:r>
            <w:r>
              <w:rPr>
                <w:rFonts w:hint="default" w:ascii="Times New Roman" w:hAnsi="Times New Roman" w:cs="Times New Roman"/>
                <w:u w:val="none" w:color="auto"/>
                <w:vertAlign w:val="superscript"/>
              </w:rPr>
              <w:t>2</w:t>
            </w:r>
            <w:r>
              <w:rPr>
                <w:rFonts w:hint="eastAsia" w:cs="Times New Roman"/>
                <w:u w:val="none" w:color="auto"/>
                <w:lang w:eastAsia="zh-CN"/>
              </w:rPr>
              <w:t>；</w:t>
            </w:r>
          </w:p>
          <w:p>
            <w:pPr>
              <w:pStyle w:val="179"/>
              <w:spacing w:line="384" w:lineRule="auto"/>
              <w:jc w:val="left"/>
              <w:rPr>
                <w:rFonts w:hint="eastAsia" w:ascii="Times New Roman" w:hAnsi="Times New Roman" w:eastAsia="宋体" w:cs="Times New Roman"/>
                <w:color w:val="0000FF"/>
                <w:u w:val="none" w:color="auto"/>
                <w:lang w:eastAsia="zh-CN"/>
              </w:rPr>
            </w:pPr>
            <w:r>
              <w:rPr>
                <w:rFonts w:hint="default" w:ascii="Times New Roman" w:hAnsi="Times New Roman" w:cs="Times New Roman"/>
                <w:u w:val="none" w:color="auto"/>
              </w:rPr>
              <w:t>（6）总投资：</w:t>
            </w:r>
            <w:r>
              <w:rPr>
                <w:rFonts w:hint="eastAsia" w:cs="Times New Roman"/>
                <w:color w:val="auto"/>
                <w:u w:val="none" w:color="auto"/>
                <w:lang w:val="en-US" w:eastAsia="zh-CN"/>
              </w:rPr>
              <w:t>2000万元</w:t>
            </w:r>
            <w:r>
              <w:rPr>
                <w:rFonts w:hint="default" w:ascii="Times New Roman" w:hAnsi="Times New Roman" w:cs="Times New Roman"/>
                <w:color w:val="auto"/>
                <w:u w:val="none" w:color="auto"/>
              </w:rPr>
              <w:t>，其中环保投资</w:t>
            </w:r>
            <w:r>
              <w:rPr>
                <w:rFonts w:hint="eastAsia" w:cs="Times New Roman"/>
                <w:color w:val="auto"/>
                <w:u w:val="none" w:color="auto"/>
                <w:lang w:val="en-US" w:eastAsia="zh-CN"/>
              </w:rPr>
              <w:t>44.0</w:t>
            </w:r>
            <w:r>
              <w:rPr>
                <w:rFonts w:hint="default" w:ascii="Times New Roman" w:hAnsi="Times New Roman" w:cs="Times New Roman"/>
                <w:color w:val="auto"/>
                <w:u w:val="none" w:color="auto"/>
              </w:rPr>
              <w:t>万</w:t>
            </w:r>
            <w:r>
              <w:rPr>
                <w:rFonts w:hint="eastAsia" w:cs="Times New Roman"/>
                <w:color w:val="auto"/>
                <w:u w:val="none" w:color="auto"/>
                <w:lang w:eastAsia="zh-CN"/>
              </w:rPr>
              <w:t>；</w:t>
            </w:r>
          </w:p>
          <w:p>
            <w:pPr>
              <w:pStyle w:val="179"/>
              <w:spacing w:line="384" w:lineRule="auto"/>
              <w:jc w:val="left"/>
              <w:rPr>
                <w:rFonts w:hint="default" w:ascii="Times New Roman" w:hAnsi="Times New Roman" w:cs="Times New Roman"/>
                <w:b/>
                <w:u w:val="none" w:color="auto"/>
              </w:rPr>
            </w:pPr>
            <w:r>
              <w:rPr>
                <w:rFonts w:hint="default" w:ascii="Times New Roman" w:hAnsi="Times New Roman" w:cs="Times New Roman"/>
                <w:u w:val="none" w:color="auto"/>
              </w:rPr>
              <w:t>（7）劳动定员：厂区员工人数</w:t>
            </w:r>
            <w:r>
              <w:rPr>
                <w:rFonts w:hint="eastAsia" w:cs="Times New Roman"/>
                <w:u w:val="none" w:color="auto"/>
                <w:lang w:val="en-US" w:eastAsia="zh-CN"/>
              </w:rPr>
              <w:t>50</w:t>
            </w:r>
            <w:r>
              <w:rPr>
                <w:rFonts w:hint="default" w:ascii="Times New Roman" w:hAnsi="Times New Roman" w:cs="Times New Roman"/>
                <w:u w:val="none" w:color="auto"/>
              </w:rPr>
              <w:t>人</w:t>
            </w:r>
            <w:r>
              <w:rPr>
                <w:rFonts w:hint="default" w:ascii="Times New Roman" w:hAnsi="Times New Roman" w:cs="Times New Roman"/>
                <w:u w:val="none" w:color="auto"/>
                <w:lang w:eastAsia="zh-CN"/>
              </w:rPr>
              <w:t>，均不在厂内食宿</w:t>
            </w:r>
            <w:r>
              <w:rPr>
                <w:rFonts w:hint="default" w:ascii="Times New Roman" w:hAnsi="Times New Roman" w:cs="Times New Roman"/>
                <w:u w:val="none" w:color="auto"/>
              </w:rPr>
              <w:t>，年工作时间为300天，每天工作8小时。</w:t>
            </w:r>
          </w:p>
          <w:p>
            <w:pPr>
              <w:pStyle w:val="4"/>
              <w:spacing w:before="0" w:beforeLines="0"/>
              <w:ind w:firstLine="482"/>
              <w:rPr>
                <w:rFonts w:hint="default" w:ascii="Times New Roman" w:hAnsi="Times New Roman" w:cs="Times New Roman"/>
                <w:b/>
                <w:u w:val="single" w:color="auto"/>
              </w:rPr>
            </w:pPr>
            <w:r>
              <w:rPr>
                <w:rFonts w:hint="eastAsia" w:cs="Times New Roman"/>
                <w:b/>
                <w:u w:val="single" w:color="auto"/>
                <w:lang w:val="en-US" w:eastAsia="zh-CN"/>
              </w:rPr>
              <w:t>3</w:t>
            </w:r>
            <w:r>
              <w:rPr>
                <w:rFonts w:hint="default" w:ascii="Times New Roman" w:hAnsi="Times New Roman" w:cs="Times New Roman"/>
                <w:b/>
                <w:u w:val="single" w:color="auto"/>
              </w:rPr>
              <w:t>、主要建设内容及规模</w:t>
            </w:r>
          </w:p>
          <w:p>
            <w:pPr>
              <w:snapToGrid w:val="0"/>
              <w:spacing w:line="360" w:lineRule="auto"/>
              <w:ind w:firstLine="470" w:firstLineChars="196"/>
              <w:rPr>
                <w:rFonts w:hint="default" w:ascii="Times New Roman" w:hAnsi="Times New Roman" w:cs="Times New Roman"/>
                <w:bCs/>
                <w:sz w:val="24"/>
                <w:u w:val="single" w:color="auto"/>
              </w:rPr>
            </w:pPr>
            <w:r>
              <w:rPr>
                <w:rFonts w:hint="default" w:ascii="Times New Roman" w:hAnsi="Times New Roman" w:cs="Times New Roman"/>
                <w:bCs/>
                <w:sz w:val="24"/>
                <w:u w:val="single" w:color="auto"/>
              </w:rPr>
              <w:t>本项目选址于</w:t>
            </w:r>
            <w:r>
              <w:rPr>
                <w:rFonts w:hint="eastAsia" w:cs="Times New Roman"/>
                <w:sz w:val="24"/>
                <w:szCs w:val="24"/>
                <w:u w:val="single" w:color="auto"/>
                <w:lang w:eastAsia="zh-CN"/>
              </w:rPr>
              <w:t>岳阳市湘阴县金龙新区工业园湖南卓达置业有限公司一期22栋（共</w:t>
            </w:r>
            <w:r>
              <w:rPr>
                <w:rFonts w:hint="eastAsia" w:cs="Times New Roman"/>
                <w:sz w:val="24"/>
                <w:szCs w:val="24"/>
                <w:u w:val="single" w:color="auto"/>
                <w:lang w:val="en-US" w:eastAsia="zh-CN"/>
              </w:rPr>
              <w:t>4层</w:t>
            </w:r>
            <w:r>
              <w:rPr>
                <w:rFonts w:hint="eastAsia" w:cs="Times New Roman"/>
                <w:sz w:val="24"/>
                <w:szCs w:val="24"/>
                <w:u w:val="single" w:color="auto"/>
                <w:lang w:eastAsia="zh-CN"/>
              </w:rPr>
              <w:t>）现有厂房进行生产</w:t>
            </w:r>
            <w:r>
              <w:rPr>
                <w:rFonts w:hint="default" w:ascii="Times New Roman" w:hAnsi="Times New Roman" w:cs="Times New Roman"/>
                <w:bCs/>
                <w:sz w:val="24"/>
                <w:u w:val="single" w:color="auto"/>
              </w:rPr>
              <w:t>，</w:t>
            </w:r>
            <w:r>
              <w:rPr>
                <w:rFonts w:hint="eastAsia" w:cs="Times New Roman"/>
                <w:bCs/>
                <w:sz w:val="24"/>
                <w:szCs w:val="24"/>
                <w:u w:val="single" w:color="auto"/>
                <w:lang w:eastAsia="zh-CN"/>
              </w:rPr>
              <w:t>项目建</w:t>
            </w:r>
            <w:r>
              <w:rPr>
                <w:rFonts w:hint="eastAsia" w:cs="Times New Roman"/>
                <w:sz w:val="24"/>
                <w:szCs w:val="24"/>
                <w:u w:val="single" w:color="auto"/>
                <w:lang w:eastAsia="zh-CN"/>
              </w:rPr>
              <w:t>成后，年产4500吨纸业用品，</w:t>
            </w:r>
            <w:r>
              <w:rPr>
                <w:rFonts w:hint="eastAsia" w:cs="Times New Roman"/>
                <w:sz w:val="24"/>
                <w:szCs w:val="24"/>
                <w:u w:val="single" w:color="auto"/>
                <w:lang w:val="en-US" w:eastAsia="zh-CN"/>
              </w:rPr>
              <w:t>项目主要的纸制品为卫生用纸（卷纸、抽纸）、双胶卷纸、热敏卷纸、复印纸，本项目不生产纸，只购买成品原纸进行简单的加工及印刷</w:t>
            </w:r>
            <w:r>
              <w:rPr>
                <w:rFonts w:hint="default" w:cs="Times New Roman"/>
                <w:sz w:val="24"/>
                <w:szCs w:val="24"/>
                <w:u w:val="single" w:color="auto"/>
                <w:lang w:eastAsia="zh-CN"/>
              </w:rPr>
              <w:t>。项目具</w:t>
            </w:r>
            <w:r>
              <w:rPr>
                <w:rFonts w:hint="default" w:ascii="Times New Roman" w:hAnsi="Times New Roman" w:cs="Times New Roman"/>
                <w:bCs/>
                <w:sz w:val="24"/>
                <w:u w:val="single" w:color="auto"/>
              </w:rPr>
              <w:t>体建设内容如表1-1所示：</w:t>
            </w:r>
          </w:p>
          <w:p>
            <w:pPr>
              <w:adjustRightInd w:val="0"/>
              <w:snapToGrid w:val="0"/>
              <w:jc w:val="center"/>
              <w:rPr>
                <w:rFonts w:hint="default" w:ascii="Times New Roman" w:hAnsi="Times New Roman" w:cs="Times New Roman"/>
                <w:b/>
                <w:sz w:val="24"/>
                <w:szCs w:val="24"/>
                <w:u w:val="single" w:color="auto"/>
              </w:rPr>
            </w:pPr>
            <w:r>
              <w:rPr>
                <w:rFonts w:hint="default" w:ascii="Times New Roman" w:hAnsi="Times New Roman" w:cs="Times New Roman"/>
                <w:b/>
                <w:sz w:val="24"/>
                <w:szCs w:val="24"/>
                <w:u w:val="single" w:color="auto"/>
              </w:rPr>
              <w:t>表1-1  项目组成一览表</w:t>
            </w:r>
          </w:p>
          <w:tbl>
            <w:tblPr>
              <w:tblStyle w:val="40"/>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2074"/>
              <w:gridCol w:w="921"/>
              <w:gridCol w:w="53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541" w:type="pct"/>
                  <w:gridSpan w:val="2"/>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
                      <w:sz w:val="24"/>
                      <w:szCs w:val="24"/>
                      <w:u w:val="single" w:color="auto"/>
                    </w:rPr>
                  </w:pPr>
                  <w:r>
                    <w:rPr>
                      <w:rFonts w:hint="default" w:ascii="Times New Roman" w:hAnsi="Times New Roman" w:eastAsia="宋体" w:cs="Times New Roman"/>
                      <w:b/>
                      <w:sz w:val="24"/>
                      <w:szCs w:val="24"/>
                      <w:u w:val="single" w:color="auto"/>
                    </w:rPr>
                    <w:t>建设项目</w:t>
                  </w:r>
                </w:p>
              </w:tc>
              <w:tc>
                <w:tcPr>
                  <w:tcW w:w="3458" w:type="pct"/>
                  <w:gridSpan w:val="2"/>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
                      <w:sz w:val="24"/>
                      <w:szCs w:val="24"/>
                      <w:u w:val="single" w:color="auto"/>
                    </w:rPr>
                  </w:pPr>
                  <w:r>
                    <w:rPr>
                      <w:rFonts w:hint="default" w:ascii="Times New Roman" w:hAnsi="Times New Roman" w:eastAsia="宋体" w:cs="Times New Roman"/>
                      <w:b/>
                      <w:sz w:val="24"/>
                      <w:szCs w:val="24"/>
                      <w:u w:val="single" w:color="auto"/>
                    </w:rPr>
                    <w:t>建设内容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541" w:type="pct"/>
                  <w:gridSpan w:val="2"/>
                  <w:vMerge w:val="restar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r>
                    <w:rPr>
                      <w:rFonts w:hint="default" w:ascii="Times New Roman" w:hAnsi="Times New Roman" w:eastAsia="宋体" w:cs="Times New Roman"/>
                      <w:bCs/>
                      <w:sz w:val="24"/>
                      <w:szCs w:val="24"/>
                      <w:u w:val="single" w:color="auto"/>
                    </w:rPr>
                    <w:t>主体工程</w:t>
                  </w:r>
                </w:p>
              </w:tc>
              <w:tc>
                <w:tcPr>
                  <w:tcW w:w="507" w:type="pct"/>
                  <w:tcBorders>
                    <w:tl2br w:val="nil"/>
                    <w:tr2bl w:val="nil"/>
                  </w:tcBorders>
                  <w:vAlign w:val="center"/>
                </w:tcPr>
                <w:p>
                  <w:pPr>
                    <w:adjustRightInd w:val="0"/>
                    <w:snapToGrid w:val="0"/>
                    <w:spacing w:line="360" w:lineRule="auto"/>
                    <w:jc w:val="center"/>
                    <w:rPr>
                      <w:rFonts w:hint="eastAsia" w:ascii="Times New Roman" w:hAnsi="Times New Roman" w:eastAsia="宋体" w:cs="Times New Roman"/>
                      <w:bCs/>
                      <w:sz w:val="24"/>
                      <w:szCs w:val="24"/>
                      <w:u w:val="single" w:color="auto"/>
                      <w:lang w:eastAsia="zh-CN"/>
                    </w:rPr>
                  </w:pPr>
                  <w:r>
                    <w:rPr>
                      <w:rFonts w:hint="eastAsia" w:cs="Times New Roman"/>
                      <w:bCs/>
                      <w:sz w:val="24"/>
                      <w:szCs w:val="24"/>
                      <w:u w:val="single" w:color="auto"/>
                      <w:lang w:eastAsia="zh-CN"/>
                    </w:rPr>
                    <w:t>一层</w:t>
                  </w:r>
                </w:p>
              </w:tc>
              <w:tc>
                <w:tcPr>
                  <w:tcW w:w="2950"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总建筑面积</w:t>
                  </w:r>
                  <w:r>
                    <w:rPr>
                      <w:rFonts w:hint="eastAsia" w:cs="Times New Roman"/>
                      <w:bCs/>
                      <w:color w:val="auto"/>
                      <w:sz w:val="24"/>
                      <w:szCs w:val="24"/>
                      <w:u w:val="single" w:color="auto"/>
                      <w:lang w:val="en-US" w:eastAsia="zh-CN"/>
                    </w:rPr>
                    <w:t>1176.02</w:t>
                  </w:r>
                  <w:r>
                    <w:rPr>
                      <w:rFonts w:hint="default" w:ascii="Times New Roman" w:hAnsi="Times New Roman" w:eastAsia="宋体" w:cs="Times New Roman"/>
                      <w:bCs/>
                      <w:color w:val="auto"/>
                      <w:sz w:val="24"/>
                      <w:szCs w:val="24"/>
                      <w:u w:val="single" w:color="auto"/>
                    </w:rPr>
                    <w:t>m</w:t>
                  </w:r>
                  <w:r>
                    <w:rPr>
                      <w:rFonts w:hint="default" w:ascii="Times New Roman" w:hAnsi="Times New Roman" w:eastAsia="宋体" w:cs="Times New Roman"/>
                      <w:bCs/>
                      <w:color w:val="auto"/>
                      <w:sz w:val="24"/>
                      <w:szCs w:val="24"/>
                      <w:u w:val="single" w:color="auto"/>
                      <w:vertAlign w:val="superscript"/>
                    </w:rPr>
                    <w:t>2</w:t>
                  </w:r>
                  <w:r>
                    <w:rPr>
                      <w:rFonts w:hint="default" w:ascii="Times New Roman" w:hAnsi="Times New Roman" w:eastAsia="宋体" w:cs="Times New Roman"/>
                      <w:bCs/>
                      <w:color w:val="auto"/>
                      <w:sz w:val="24"/>
                      <w:szCs w:val="24"/>
                      <w:u w:val="single" w:color="auto"/>
                    </w:rPr>
                    <w:t>，</w:t>
                  </w:r>
                  <w:r>
                    <w:rPr>
                      <w:rFonts w:hint="eastAsia" w:cs="Times New Roman"/>
                      <w:bCs/>
                      <w:color w:val="auto"/>
                      <w:sz w:val="24"/>
                      <w:szCs w:val="24"/>
                      <w:u w:val="single" w:color="auto"/>
                      <w:lang w:eastAsia="zh-CN"/>
                    </w:rPr>
                    <w:t>原料</w:t>
                  </w:r>
                  <w:r>
                    <w:rPr>
                      <w:rFonts w:hint="eastAsia" w:cs="Times New Roman"/>
                      <w:bCs/>
                      <w:color w:val="auto"/>
                      <w:sz w:val="24"/>
                      <w:szCs w:val="24"/>
                      <w:u w:val="single" w:color="auto"/>
                      <w:lang w:val="en-US" w:eastAsia="zh-CN"/>
                    </w:rPr>
                    <w:t>仓库</w:t>
                  </w:r>
                  <w:r>
                    <w:rPr>
                      <w:rFonts w:hint="eastAsia" w:cs="Times New Roman"/>
                      <w:bCs/>
                      <w:color w:val="auto"/>
                      <w:sz w:val="24"/>
                      <w:szCs w:val="24"/>
                      <w:u w:val="single" w:color="auto"/>
                      <w:lang w:eastAsia="zh-CN"/>
                    </w:rPr>
                    <w:t>、</w:t>
                  </w:r>
                  <w:r>
                    <w:rPr>
                      <w:rFonts w:hint="eastAsia" w:cs="Times New Roman"/>
                      <w:bCs/>
                      <w:color w:val="auto"/>
                      <w:sz w:val="24"/>
                      <w:szCs w:val="24"/>
                      <w:u w:val="single" w:color="auto"/>
                      <w:lang w:val="en-US" w:eastAsia="zh-CN"/>
                    </w:rPr>
                    <w:t>成品仓库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1" w:type="pct"/>
                  <w:gridSpan w:val="2"/>
                  <w:vMerge w:val="continue"/>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p>
              </w:tc>
              <w:tc>
                <w:tcPr>
                  <w:tcW w:w="507" w:type="pct"/>
                  <w:tcBorders>
                    <w:tl2br w:val="nil"/>
                    <w:tr2bl w:val="nil"/>
                  </w:tcBorders>
                  <w:vAlign w:val="center"/>
                </w:tcPr>
                <w:p>
                  <w:pPr>
                    <w:adjustRightInd w:val="0"/>
                    <w:snapToGrid w:val="0"/>
                    <w:spacing w:line="360" w:lineRule="auto"/>
                    <w:jc w:val="center"/>
                    <w:rPr>
                      <w:rFonts w:hint="eastAsia" w:ascii="Times New Roman" w:hAnsi="Times New Roman" w:eastAsia="宋体" w:cs="Times New Roman"/>
                      <w:bCs/>
                      <w:sz w:val="24"/>
                      <w:szCs w:val="24"/>
                      <w:u w:val="single" w:color="auto"/>
                      <w:lang w:eastAsia="zh-CN"/>
                    </w:rPr>
                  </w:pPr>
                  <w:r>
                    <w:rPr>
                      <w:rFonts w:hint="eastAsia" w:cs="Times New Roman"/>
                      <w:bCs/>
                      <w:sz w:val="24"/>
                      <w:szCs w:val="24"/>
                      <w:u w:val="single" w:color="auto"/>
                      <w:lang w:eastAsia="zh-CN"/>
                    </w:rPr>
                    <w:t>二层</w:t>
                  </w:r>
                </w:p>
              </w:tc>
              <w:tc>
                <w:tcPr>
                  <w:tcW w:w="2950" w:type="pct"/>
                  <w:tcBorders>
                    <w:tl2br w:val="nil"/>
                    <w:tr2bl w:val="nil"/>
                  </w:tcBorders>
                  <w:vAlign w:val="center"/>
                </w:tcPr>
                <w:p>
                  <w:pPr>
                    <w:spacing w:line="360" w:lineRule="auto"/>
                    <w:jc w:val="both"/>
                    <w:rPr>
                      <w:rFonts w:hint="default" w:ascii="Times New Roman" w:hAnsi="Times New Roman" w:eastAsia="宋体" w:cs="Times New Roman"/>
                      <w:bCs/>
                      <w:color w:val="auto"/>
                      <w:sz w:val="24"/>
                      <w:szCs w:val="24"/>
                      <w:u w:val="single" w:color="auto"/>
                      <w:lang w:val="en-US" w:eastAsia="zh-CN"/>
                    </w:rPr>
                  </w:pPr>
                  <w:r>
                    <w:rPr>
                      <w:rFonts w:hint="default" w:ascii="Times New Roman" w:hAnsi="Times New Roman" w:eastAsia="宋体" w:cs="Times New Roman"/>
                      <w:bCs/>
                      <w:color w:val="auto"/>
                      <w:sz w:val="24"/>
                      <w:szCs w:val="24"/>
                      <w:u w:val="single" w:color="auto"/>
                    </w:rPr>
                    <w:t>总建筑面积</w:t>
                  </w:r>
                  <w:r>
                    <w:rPr>
                      <w:rFonts w:hint="eastAsia" w:cs="Times New Roman"/>
                      <w:bCs/>
                      <w:color w:val="auto"/>
                      <w:sz w:val="24"/>
                      <w:szCs w:val="24"/>
                      <w:u w:val="single" w:color="auto"/>
                      <w:lang w:val="en-US" w:eastAsia="zh-CN"/>
                    </w:rPr>
                    <w:t>1176.02</w:t>
                  </w:r>
                  <w:r>
                    <w:rPr>
                      <w:rFonts w:hint="default" w:ascii="Times New Roman" w:hAnsi="Times New Roman" w:eastAsia="宋体" w:cs="Times New Roman"/>
                      <w:bCs/>
                      <w:color w:val="auto"/>
                      <w:sz w:val="24"/>
                      <w:szCs w:val="24"/>
                      <w:u w:val="single" w:color="auto"/>
                    </w:rPr>
                    <w:t>m</w:t>
                  </w:r>
                  <w:r>
                    <w:rPr>
                      <w:rFonts w:hint="default" w:ascii="Times New Roman" w:hAnsi="Times New Roman" w:eastAsia="宋体" w:cs="Times New Roman"/>
                      <w:bCs/>
                      <w:color w:val="auto"/>
                      <w:sz w:val="24"/>
                      <w:szCs w:val="24"/>
                      <w:u w:val="single" w:color="auto"/>
                      <w:vertAlign w:val="superscript"/>
                    </w:rPr>
                    <w:t>2</w:t>
                  </w:r>
                  <w:r>
                    <w:rPr>
                      <w:rFonts w:hint="default" w:ascii="Times New Roman" w:hAnsi="Times New Roman" w:eastAsia="宋体" w:cs="Times New Roman"/>
                      <w:bCs/>
                      <w:color w:val="auto"/>
                      <w:sz w:val="24"/>
                      <w:szCs w:val="24"/>
                      <w:u w:val="single" w:color="auto"/>
                    </w:rPr>
                    <w:t>，</w:t>
                  </w:r>
                  <w:r>
                    <w:rPr>
                      <w:rFonts w:hint="eastAsia" w:cs="Times New Roman"/>
                      <w:bCs/>
                      <w:color w:val="auto"/>
                      <w:sz w:val="24"/>
                      <w:szCs w:val="24"/>
                      <w:u w:val="single" w:color="auto"/>
                      <w:lang w:val="en-US" w:eastAsia="zh-CN"/>
                    </w:rPr>
                    <w:t>印刷、固化</w:t>
                  </w:r>
                  <w:r>
                    <w:rPr>
                      <w:rFonts w:hint="eastAsia" w:eastAsia="宋体" w:cs="Times New Roman"/>
                      <w:bCs/>
                      <w:color w:val="auto"/>
                      <w:sz w:val="24"/>
                      <w:szCs w:val="24"/>
                      <w:u w:val="single" w:color="auto"/>
                      <w:lang w:val="en-US" w:eastAsia="zh-CN"/>
                    </w:rPr>
                    <w:t>区（复印原纸、部分双胶原纸、热敏原纸）</w:t>
                  </w:r>
                  <w:r>
                    <w:rPr>
                      <w:rFonts w:hint="eastAsia" w:cs="Times New Roman"/>
                      <w:bCs/>
                      <w:color w:val="auto"/>
                      <w:sz w:val="24"/>
                      <w:szCs w:val="24"/>
                      <w:u w:val="single" w:color="auto"/>
                      <w:lang w:val="en-US" w:eastAsia="zh-CN"/>
                    </w:rPr>
                    <w:t>、分切、复卷、包装区</w:t>
                  </w:r>
                  <w:r>
                    <w:rPr>
                      <w:rFonts w:hint="eastAsia" w:eastAsia="宋体" w:cs="Times New Roman"/>
                      <w:bCs/>
                      <w:color w:val="auto"/>
                      <w:sz w:val="24"/>
                      <w:szCs w:val="24"/>
                      <w:u w:val="single" w:color="auto"/>
                      <w:lang w:val="en-US" w:eastAsia="zh-CN"/>
                    </w:rPr>
                    <w:t>（印刷后的复印原纸、部分双胶原纸、热敏原纸和未印刷的双胶原纸、热敏原纸）、危废储存间（5m</w:t>
                  </w:r>
                  <w:r>
                    <w:rPr>
                      <w:rFonts w:hint="eastAsia" w:eastAsia="宋体" w:cs="Times New Roman"/>
                      <w:bCs/>
                      <w:color w:val="auto"/>
                      <w:sz w:val="24"/>
                      <w:szCs w:val="24"/>
                      <w:u w:val="single" w:color="auto"/>
                      <w:vertAlign w:val="superscript"/>
                      <w:lang w:val="en-US" w:eastAsia="zh-CN"/>
                    </w:rPr>
                    <w:t>2</w:t>
                  </w:r>
                  <w:r>
                    <w:rPr>
                      <w:rFonts w:hint="eastAsia" w:eastAsia="宋体" w:cs="Times New Roman"/>
                      <w:bCs/>
                      <w:color w:val="auto"/>
                      <w:sz w:val="24"/>
                      <w:szCs w:val="24"/>
                      <w:u w:val="single" w:color="auto"/>
                      <w:lang w:val="en-US" w:eastAsia="zh-CN"/>
                    </w:rPr>
                    <w:t>）、一般固废储存间（</w:t>
                  </w:r>
                  <w:r>
                    <w:rPr>
                      <w:rFonts w:hint="eastAsia" w:cs="Times New Roman"/>
                      <w:bCs/>
                      <w:color w:val="auto"/>
                      <w:sz w:val="24"/>
                      <w:szCs w:val="24"/>
                      <w:u w:val="single" w:color="auto"/>
                      <w:lang w:val="en-US" w:eastAsia="zh-CN"/>
                    </w:rPr>
                    <w:t>15</w:t>
                  </w:r>
                  <w:r>
                    <w:rPr>
                      <w:rFonts w:hint="eastAsia" w:eastAsia="宋体" w:cs="Times New Roman"/>
                      <w:bCs/>
                      <w:color w:val="auto"/>
                      <w:sz w:val="24"/>
                      <w:szCs w:val="24"/>
                      <w:u w:val="single" w:color="auto"/>
                      <w:lang w:val="en-US" w:eastAsia="zh-CN"/>
                    </w:rPr>
                    <w:t>m</w:t>
                  </w:r>
                  <w:r>
                    <w:rPr>
                      <w:rFonts w:hint="eastAsia" w:eastAsia="宋体" w:cs="Times New Roman"/>
                      <w:bCs/>
                      <w:color w:val="auto"/>
                      <w:sz w:val="24"/>
                      <w:szCs w:val="24"/>
                      <w:u w:val="single" w:color="auto"/>
                      <w:vertAlign w:val="superscript"/>
                      <w:lang w:val="en-US" w:eastAsia="zh-CN"/>
                    </w:rPr>
                    <w:t>2</w:t>
                  </w:r>
                  <w:r>
                    <w:rPr>
                      <w:rFonts w:hint="eastAsia" w:eastAsia="宋体" w:cs="Times New Roman"/>
                      <w:bCs/>
                      <w:color w:val="auto"/>
                      <w:sz w:val="24"/>
                      <w:szCs w:val="24"/>
                      <w:u w:val="singl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41" w:type="pct"/>
                  <w:gridSpan w:val="2"/>
                  <w:vMerge w:val="continue"/>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p>
              </w:tc>
              <w:tc>
                <w:tcPr>
                  <w:tcW w:w="507" w:type="pct"/>
                  <w:tcBorders>
                    <w:tl2br w:val="nil"/>
                    <w:tr2bl w:val="nil"/>
                  </w:tcBorders>
                  <w:vAlign w:val="center"/>
                </w:tcPr>
                <w:p>
                  <w:pPr>
                    <w:adjustRightInd w:val="0"/>
                    <w:snapToGrid w:val="0"/>
                    <w:spacing w:line="360" w:lineRule="auto"/>
                    <w:jc w:val="center"/>
                    <w:rPr>
                      <w:rFonts w:hint="eastAsia" w:ascii="Times New Roman" w:hAnsi="Times New Roman" w:eastAsia="宋体" w:cs="Times New Roman"/>
                      <w:bCs/>
                      <w:sz w:val="24"/>
                      <w:szCs w:val="24"/>
                      <w:u w:val="single" w:color="auto"/>
                      <w:lang w:eastAsia="zh-CN"/>
                    </w:rPr>
                  </w:pPr>
                  <w:r>
                    <w:rPr>
                      <w:rFonts w:hint="eastAsia" w:cs="Times New Roman"/>
                      <w:bCs/>
                      <w:sz w:val="24"/>
                      <w:szCs w:val="24"/>
                      <w:u w:val="single" w:color="auto"/>
                      <w:lang w:eastAsia="zh-CN"/>
                    </w:rPr>
                    <w:t>三层</w:t>
                  </w:r>
                </w:p>
              </w:tc>
              <w:tc>
                <w:tcPr>
                  <w:tcW w:w="2950"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lang w:val="en-US" w:eastAsia="zh-CN"/>
                    </w:rPr>
                  </w:pPr>
                  <w:r>
                    <w:rPr>
                      <w:rFonts w:hint="default" w:ascii="Times New Roman" w:hAnsi="Times New Roman" w:eastAsia="宋体" w:cs="Times New Roman"/>
                      <w:bCs/>
                      <w:color w:val="auto"/>
                      <w:sz w:val="24"/>
                      <w:szCs w:val="24"/>
                      <w:u w:val="single" w:color="auto"/>
                    </w:rPr>
                    <w:t>总建筑面积</w:t>
                  </w:r>
                  <w:r>
                    <w:rPr>
                      <w:rFonts w:hint="eastAsia" w:cs="Times New Roman"/>
                      <w:bCs/>
                      <w:color w:val="auto"/>
                      <w:sz w:val="24"/>
                      <w:szCs w:val="24"/>
                      <w:u w:val="single" w:color="auto"/>
                      <w:lang w:val="en-US" w:eastAsia="zh-CN"/>
                    </w:rPr>
                    <w:t>1176.02</w:t>
                  </w:r>
                  <w:r>
                    <w:rPr>
                      <w:rFonts w:hint="default" w:ascii="Times New Roman" w:hAnsi="Times New Roman" w:eastAsia="宋体" w:cs="Times New Roman"/>
                      <w:bCs/>
                      <w:color w:val="auto"/>
                      <w:sz w:val="24"/>
                      <w:szCs w:val="24"/>
                      <w:u w:val="single" w:color="auto"/>
                    </w:rPr>
                    <w:t>m</w:t>
                  </w:r>
                  <w:r>
                    <w:rPr>
                      <w:rFonts w:hint="default" w:ascii="Times New Roman" w:hAnsi="Times New Roman" w:eastAsia="宋体" w:cs="Times New Roman"/>
                      <w:bCs/>
                      <w:color w:val="auto"/>
                      <w:sz w:val="24"/>
                      <w:szCs w:val="24"/>
                      <w:u w:val="single" w:color="auto"/>
                      <w:vertAlign w:val="superscript"/>
                    </w:rPr>
                    <w:t>2</w:t>
                  </w:r>
                  <w:r>
                    <w:rPr>
                      <w:rFonts w:hint="default" w:ascii="Times New Roman" w:hAnsi="Times New Roman" w:eastAsia="宋体" w:cs="Times New Roman"/>
                      <w:bCs/>
                      <w:color w:val="auto"/>
                      <w:sz w:val="24"/>
                      <w:szCs w:val="24"/>
                      <w:u w:val="single" w:color="auto"/>
                    </w:rPr>
                    <w:t>，</w:t>
                  </w:r>
                  <w:r>
                    <w:rPr>
                      <w:rFonts w:hint="eastAsia" w:cs="Times New Roman"/>
                      <w:bCs/>
                      <w:color w:val="auto"/>
                      <w:sz w:val="24"/>
                      <w:szCs w:val="24"/>
                      <w:u w:val="single" w:color="auto"/>
                      <w:lang w:val="en-US" w:eastAsia="zh-CN"/>
                    </w:rPr>
                    <w:t>擦手纸、卷纸、抽纸加工区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541" w:type="pct"/>
                  <w:gridSpan w:val="2"/>
                  <w:vMerge w:val="continue"/>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p>
              </w:tc>
              <w:tc>
                <w:tcPr>
                  <w:tcW w:w="507" w:type="pct"/>
                  <w:tcBorders>
                    <w:tl2br w:val="nil"/>
                    <w:tr2bl w:val="nil"/>
                  </w:tcBorders>
                  <w:vAlign w:val="center"/>
                </w:tcPr>
                <w:p>
                  <w:pPr>
                    <w:adjustRightInd w:val="0"/>
                    <w:snapToGrid w:val="0"/>
                    <w:spacing w:line="360" w:lineRule="auto"/>
                    <w:jc w:val="center"/>
                    <w:rPr>
                      <w:rFonts w:hint="eastAsia" w:ascii="Times New Roman" w:hAnsi="Times New Roman" w:eastAsia="宋体" w:cs="Times New Roman"/>
                      <w:bCs/>
                      <w:sz w:val="24"/>
                      <w:szCs w:val="24"/>
                      <w:u w:val="single" w:color="auto"/>
                      <w:lang w:eastAsia="zh-CN"/>
                    </w:rPr>
                  </w:pPr>
                  <w:r>
                    <w:rPr>
                      <w:rFonts w:hint="eastAsia" w:cs="Times New Roman"/>
                      <w:bCs/>
                      <w:sz w:val="24"/>
                      <w:szCs w:val="24"/>
                      <w:u w:val="single" w:color="auto"/>
                      <w:lang w:eastAsia="zh-CN"/>
                    </w:rPr>
                    <w:t>四层</w:t>
                  </w:r>
                </w:p>
              </w:tc>
              <w:tc>
                <w:tcPr>
                  <w:tcW w:w="2950"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lang w:val="en-US" w:eastAsia="zh-CN"/>
                    </w:rPr>
                  </w:pPr>
                  <w:r>
                    <w:rPr>
                      <w:rFonts w:hint="default" w:ascii="Times New Roman" w:hAnsi="Times New Roman" w:eastAsia="宋体" w:cs="Times New Roman"/>
                      <w:bCs/>
                      <w:color w:val="auto"/>
                      <w:sz w:val="24"/>
                      <w:szCs w:val="24"/>
                      <w:u w:val="single" w:color="auto"/>
                    </w:rPr>
                    <w:t>总建筑面积</w:t>
                  </w:r>
                  <w:r>
                    <w:rPr>
                      <w:rFonts w:hint="eastAsia" w:cs="Times New Roman"/>
                      <w:bCs/>
                      <w:color w:val="auto"/>
                      <w:sz w:val="24"/>
                      <w:szCs w:val="24"/>
                      <w:u w:val="single" w:color="auto"/>
                      <w:lang w:val="en-US" w:eastAsia="zh-CN"/>
                    </w:rPr>
                    <w:t>1176.02</w:t>
                  </w:r>
                  <w:r>
                    <w:rPr>
                      <w:rFonts w:hint="default" w:ascii="Times New Roman" w:hAnsi="Times New Roman" w:eastAsia="宋体" w:cs="Times New Roman"/>
                      <w:bCs/>
                      <w:color w:val="auto"/>
                      <w:sz w:val="24"/>
                      <w:szCs w:val="24"/>
                      <w:u w:val="single" w:color="auto"/>
                    </w:rPr>
                    <w:t>m</w:t>
                  </w:r>
                  <w:r>
                    <w:rPr>
                      <w:rFonts w:hint="default" w:ascii="Times New Roman" w:hAnsi="Times New Roman" w:eastAsia="宋体" w:cs="Times New Roman"/>
                      <w:bCs/>
                      <w:color w:val="auto"/>
                      <w:sz w:val="24"/>
                      <w:szCs w:val="24"/>
                      <w:u w:val="single" w:color="auto"/>
                      <w:vertAlign w:val="superscript"/>
                    </w:rPr>
                    <w:t>2</w:t>
                  </w:r>
                  <w:r>
                    <w:rPr>
                      <w:rFonts w:hint="default" w:ascii="Times New Roman" w:hAnsi="Times New Roman" w:eastAsia="宋体" w:cs="Times New Roman"/>
                      <w:bCs/>
                      <w:color w:val="auto"/>
                      <w:sz w:val="24"/>
                      <w:szCs w:val="24"/>
                      <w:u w:val="single" w:color="auto"/>
                    </w:rPr>
                    <w:t>，</w:t>
                  </w:r>
                  <w:r>
                    <w:rPr>
                      <w:rFonts w:hint="eastAsia" w:cs="Times New Roman"/>
                      <w:bCs/>
                      <w:color w:val="auto"/>
                      <w:sz w:val="24"/>
                      <w:szCs w:val="24"/>
                      <w:u w:val="single" w:color="auto"/>
                      <w:lang w:eastAsia="zh-CN"/>
                    </w:rPr>
                    <w:t>办公区、</w:t>
                  </w:r>
                  <w:r>
                    <w:rPr>
                      <w:rFonts w:hint="eastAsia" w:cs="Times New Roman"/>
                      <w:bCs/>
                      <w:color w:val="auto"/>
                      <w:sz w:val="24"/>
                      <w:szCs w:val="24"/>
                      <w:u w:val="single" w:color="auto"/>
                      <w:lang w:val="en-US" w:eastAsia="zh-CN"/>
                    </w:rPr>
                    <w:t>半成品仓库、预留车间、其他原辅材料仓库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399" w:type="pct"/>
                  <w:vMerge w:val="restar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r>
                    <w:rPr>
                      <w:rFonts w:hint="default" w:ascii="Times New Roman" w:hAnsi="Times New Roman" w:eastAsia="宋体" w:cs="Times New Roman"/>
                      <w:bCs/>
                      <w:sz w:val="24"/>
                      <w:szCs w:val="24"/>
                      <w:u w:val="single" w:color="auto"/>
                    </w:rPr>
                    <w:t>公用工程</w:t>
                  </w:r>
                </w:p>
              </w:tc>
              <w:tc>
                <w:tcPr>
                  <w:tcW w:w="1142"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r>
                    <w:rPr>
                      <w:rFonts w:hint="default" w:ascii="Times New Roman" w:hAnsi="Times New Roman" w:eastAsia="宋体" w:cs="Times New Roman"/>
                      <w:bCs/>
                      <w:sz w:val="24"/>
                      <w:szCs w:val="24"/>
                      <w:u w:val="single" w:color="auto"/>
                    </w:rPr>
                    <w:t>供电系统</w:t>
                  </w:r>
                </w:p>
              </w:tc>
              <w:tc>
                <w:tcPr>
                  <w:tcW w:w="3458" w:type="pct"/>
                  <w:gridSpan w:val="2"/>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r>
                    <w:rPr>
                      <w:rFonts w:hint="eastAsia" w:cs="Times New Roman"/>
                      <w:bCs/>
                      <w:sz w:val="24"/>
                      <w:szCs w:val="24"/>
                      <w:u w:val="single" w:color="auto"/>
                      <w:lang w:eastAsia="zh-CN"/>
                    </w:rPr>
                    <w:t>国家电网</w:t>
                  </w:r>
                  <w:r>
                    <w:rPr>
                      <w:rFonts w:hint="default" w:ascii="Times New Roman" w:hAnsi="Times New Roman" w:eastAsia="宋体" w:cs="Times New Roman"/>
                      <w:bCs/>
                      <w:sz w:val="24"/>
                      <w:szCs w:val="24"/>
                      <w:u w:val="single" w:color="auto"/>
                    </w:rPr>
                    <w:t>供电系统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399" w:type="pct"/>
                  <w:vMerge w:val="continue"/>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p>
              </w:tc>
              <w:tc>
                <w:tcPr>
                  <w:tcW w:w="1142"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r>
                    <w:rPr>
                      <w:rFonts w:hint="default" w:ascii="Times New Roman" w:hAnsi="Times New Roman" w:eastAsia="宋体" w:cs="Times New Roman"/>
                      <w:bCs/>
                      <w:sz w:val="24"/>
                      <w:szCs w:val="24"/>
                      <w:u w:val="single" w:color="auto"/>
                    </w:rPr>
                    <w:t>给水系统</w:t>
                  </w:r>
                </w:p>
              </w:tc>
              <w:tc>
                <w:tcPr>
                  <w:tcW w:w="3458" w:type="pct"/>
                  <w:gridSpan w:val="2"/>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r>
                    <w:rPr>
                      <w:rFonts w:hint="default" w:ascii="Times New Roman" w:hAnsi="Times New Roman" w:eastAsia="宋体" w:cs="Times New Roman"/>
                      <w:bCs/>
                      <w:sz w:val="24"/>
                      <w:szCs w:val="24"/>
                      <w:u w:val="single" w:color="auto"/>
                    </w:rPr>
                    <w:t>市政给水管网给水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399" w:type="pct"/>
                  <w:vMerge w:val="continue"/>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p>
              </w:tc>
              <w:tc>
                <w:tcPr>
                  <w:tcW w:w="1142"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r>
                    <w:rPr>
                      <w:rFonts w:hint="default" w:ascii="Times New Roman" w:hAnsi="Times New Roman" w:eastAsia="宋体" w:cs="Times New Roman"/>
                      <w:bCs/>
                      <w:sz w:val="24"/>
                      <w:szCs w:val="24"/>
                      <w:u w:val="single" w:color="auto"/>
                    </w:rPr>
                    <w:t>排水系统</w:t>
                  </w:r>
                </w:p>
              </w:tc>
              <w:tc>
                <w:tcPr>
                  <w:tcW w:w="3458" w:type="pct"/>
                  <w:gridSpan w:val="2"/>
                  <w:tcBorders>
                    <w:tl2br w:val="nil"/>
                    <w:tr2bl w:val="nil"/>
                  </w:tcBorders>
                  <w:vAlign w:val="center"/>
                </w:tcPr>
                <w:p>
                  <w:pPr>
                    <w:adjustRightInd w:val="0"/>
                    <w:snapToGrid w:val="0"/>
                    <w:spacing w:line="360" w:lineRule="auto"/>
                    <w:jc w:val="center"/>
                    <w:rPr>
                      <w:rFonts w:hint="eastAsia" w:ascii="Times New Roman" w:hAnsi="Times New Roman" w:eastAsia="宋体" w:cs="Times New Roman"/>
                      <w:bCs/>
                      <w:sz w:val="24"/>
                      <w:szCs w:val="24"/>
                      <w:u w:val="single" w:color="auto"/>
                      <w:lang w:val="en-US" w:eastAsia="zh-CN"/>
                    </w:rPr>
                  </w:pPr>
                  <w:r>
                    <w:rPr>
                      <w:rFonts w:hint="default" w:ascii="Times New Roman" w:hAnsi="Times New Roman" w:eastAsia="宋体" w:cs="Times New Roman"/>
                      <w:sz w:val="24"/>
                      <w:szCs w:val="24"/>
                      <w:u w:val="single" w:color="auto"/>
                    </w:rPr>
                    <w:t>雨污分流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3" w:hRule="atLeast"/>
                <w:jc w:val="center"/>
              </w:trPr>
              <w:tc>
                <w:tcPr>
                  <w:tcW w:w="399" w:type="pct"/>
                  <w:vMerge w:val="restar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r>
                    <w:rPr>
                      <w:rFonts w:hint="default" w:ascii="Times New Roman" w:hAnsi="Times New Roman" w:eastAsia="宋体" w:cs="Times New Roman"/>
                      <w:bCs/>
                      <w:sz w:val="24"/>
                      <w:szCs w:val="24"/>
                      <w:u w:val="single" w:color="auto"/>
                    </w:rPr>
                    <w:t>环保工程</w:t>
                  </w:r>
                </w:p>
              </w:tc>
              <w:tc>
                <w:tcPr>
                  <w:tcW w:w="1142"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r>
                    <w:rPr>
                      <w:rFonts w:hint="default" w:ascii="Times New Roman" w:hAnsi="Times New Roman" w:eastAsia="宋体" w:cs="Times New Roman"/>
                      <w:bCs/>
                      <w:sz w:val="24"/>
                      <w:szCs w:val="24"/>
                      <w:u w:val="single" w:color="auto"/>
                    </w:rPr>
                    <w:t>废水</w:t>
                  </w:r>
                </w:p>
              </w:tc>
              <w:tc>
                <w:tcPr>
                  <w:tcW w:w="3458" w:type="pct"/>
                  <w:gridSpan w:val="2"/>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r>
                    <w:rPr>
                      <w:sz w:val="24"/>
                      <w:szCs w:val="24"/>
                      <w:u w:val="single" w:color="auto"/>
                    </w:rPr>
                    <w:t>雨污分流，雨水进入园区雨水管网</w:t>
                  </w:r>
                  <w:r>
                    <w:rPr>
                      <w:rFonts w:hint="eastAsia"/>
                      <w:sz w:val="24"/>
                      <w:szCs w:val="24"/>
                      <w:u w:val="single" w:color="auto"/>
                      <w:lang w:eastAsia="zh-CN"/>
                    </w:rPr>
                    <w:t>。</w:t>
                  </w:r>
                  <w:r>
                    <w:rPr>
                      <w:rFonts w:hint="eastAsia"/>
                      <w:sz w:val="24"/>
                      <w:szCs w:val="24"/>
                      <w:u w:val="single" w:color="auto"/>
                      <w:lang w:val="en-US" w:eastAsia="zh-CN"/>
                    </w:rPr>
                    <w:t>湘阴县第三污水处理厂建成且接通前：</w:t>
                  </w:r>
                  <w:r>
                    <w:rPr>
                      <w:sz w:val="24"/>
                      <w:szCs w:val="24"/>
                      <w:u w:val="single" w:color="auto"/>
                    </w:rPr>
                    <w:t>项目</w:t>
                  </w:r>
                  <w:r>
                    <w:rPr>
                      <w:rFonts w:hint="eastAsia"/>
                      <w:sz w:val="24"/>
                      <w:szCs w:val="24"/>
                      <w:u w:val="single" w:color="auto"/>
                      <w:lang w:val="en-US" w:eastAsia="zh-CN"/>
                    </w:rPr>
                    <w:t>生活</w:t>
                  </w:r>
                  <w:r>
                    <w:rPr>
                      <w:sz w:val="24"/>
                      <w:szCs w:val="24"/>
                      <w:u w:val="single" w:color="auto"/>
                    </w:rPr>
                    <w:t>污水通过化粪池处理后排入园区污水管网再进入</w:t>
                  </w:r>
                  <w:r>
                    <w:rPr>
                      <w:rFonts w:hint="eastAsia"/>
                      <w:sz w:val="24"/>
                      <w:szCs w:val="24"/>
                      <w:u w:val="single" w:color="auto"/>
                      <w:lang w:eastAsia="zh-CN"/>
                    </w:rPr>
                    <w:t>卓达金谷创业园自建的污水处理站</w:t>
                  </w:r>
                  <w:r>
                    <w:rPr>
                      <w:sz w:val="24"/>
                      <w:szCs w:val="24"/>
                      <w:u w:val="single" w:color="auto"/>
                    </w:rPr>
                    <w:t>处理</w:t>
                  </w:r>
                  <w:r>
                    <w:rPr>
                      <w:rFonts w:hAnsi="宋体"/>
                      <w:sz w:val="24"/>
                      <w:szCs w:val="24"/>
                      <w:u w:val="single" w:color="auto"/>
                    </w:rPr>
                    <w:t>达</w:t>
                  </w:r>
                  <w:r>
                    <w:rPr>
                      <w:rFonts w:hint="eastAsia" w:hAnsi="宋体"/>
                      <w:sz w:val="24"/>
                      <w:szCs w:val="24"/>
                      <w:u w:val="single" w:color="auto"/>
                      <w:lang w:eastAsia="zh-CN"/>
                    </w:rPr>
                    <w:t>到</w:t>
                  </w:r>
                  <w:r>
                    <w:rPr>
                      <w:sz w:val="24"/>
                      <w:szCs w:val="24"/>
                      <w:u w:val="single" w:color="auto"/>
                    </w:rPr>
                    <w:t>《城镇污水处理厂污染物排放标准（GB18918—2002）》中一级标准的A类标准后</w:t>
                  </w:r>
                  <w:r>
                    <w:rPr>
                      <w:rFonts w:hint="eastAsia"/>
                      <w:sz w:val="24"/>
                      <w:szCs w:val="24"/>
                      <w:u w:val="single" w:color="auto"/>
                      <w:lang w:eastAsia="zh-CN"/>
                    </w:rPr>
                    <w:t>进入洋沙河</w:t>
                  </w:r>
                  <w:r>
                    <w:rPr>
                      <w:rFonts w:hint="eastAsia"/>
                      <w:sz w:val="24"/>
                      <w:szCs w:val="24"/>
                      <w:u w:val="single" w:color="auto"/>
                      <w:lang w:val="en-US" w:eastAsia="zh-CN"/>
                    </w:rPr>
                    <w:t>流入洋沙湖</w:t>
                  </w:r>
                  <w:r>
                    <w:rPr>
                      <w:sz w:val="24"/>
                      <w:szCs w:val="24"/>
                      <w:u w:val="single" w:color="auto"/>
                    </w:rPr>
                    <w:t>，最终汇入湘江</w:t>
                  </w:r>
                  <w:r>
                    <w:rPr>
                      <w:rFonts w:hint="eastAsia"/>
                      <w:sz w:val="24"/>
                      <w:szCs w:val="24"/>
                      <w:u w:val="single" w:color="auto"/>
                      <w:lang w:eastAsia="zh-CN"/>
                    </w:rPr>
                    <w:t>。</w:t>
                  </w:r>
                  <w:r>
                    <w:rPr>
                      <w:rFonts w:hint="eastAsia"/>
                      <w:sz w:val="24"/>
                      <w:szCs w:val="24"/>
                      <w:u w:val="single" w:color="auto"/>
                      <w:lang w:val="en-US" w:eastAsia="zh-CN"/>
                    </w:rPr>
                    <w:t>湘阴县第三污水处理厂建成且接通后：</w:t>
                  </w:r>
                  <w:r>
                    <w:rPr>
                      <w:sz w:val="24"/>
                      <w:szCs w:val="24"/>
                      <w:u w:val="single" w:color="auto"/>
                    </w:rPr>
                    <w:t>项目</w:t>
                  </w:r>
                  <w:r>
                    <w:rPr>
                      <w:rFonts w:hint="eastAsia"/>
                      <w:sz w:val="24"/>
                      <w:szCs w:val="24"/>
                      <w:u w:val="single" w:color="auto"/>
                      <w:lang w:val="en-US" w:eastAsia="zh-CN"/>
                    </w:rPr>
                    <w:t>生活</w:t>
                  </w:r>
                  <w:r>
                    <w:rPr>
                      <w:sz w:val="24"/>
                      <w:szCs w:val="24"/>
                      <w:u w:val="single" w:color="auto"/>
                    </w:rPr>
                    <w:t>污水通过化粪池处理后排入园区污水管网</w:t>
                  </w:r>
                  <w:r>
                    <w:rPr>
                      <w:rFonts w:hint="eastAsia"/>
                      <w:sz w:val="24"/>
                      <w:szCs w:val="24"/>
                      <w:u w:val="single" w:color="auto"/>
                      <w:lang w:val="en-US" w:eastAsia="zh-CN"/>
                    </w:rPr>
                    <w:t>进入湘阴县第三污水处理厂处理后排入洋沙河流入洋沙湖，最终进入湘江</w:t>
                  </w:r>
                  <w:r>
                    <w:rPr>
                      <w:rFonts w:hint="eastAsia"/>
                      <w:sz w:val="24"/>
                      <w:szCs w:val="24"/>
                      <w:u w:val="single" w:color="auto"/>
                      <w:lang w:eastAsia="zh-CN"/>
                    </w:rPr>
                    <w:t>；</w:t>
                  </w:r>
                  <w:r>
                    <w:rPr>
                      <w:rFonts w:hint="eastAsia"/>
                      <w:color w:val="auto"/>
                      <w:sz w:val="24"/>
                      <w:szCs w:val="24"/>
                      <w:u w:val="single" w:color="auto"/>
                      <w:lang w:val="en-US" w:eastAsia="zh-CN"/>
                    </w:rPr>
                    <w:t>印刷后擦洗废水经废水收集罐（设计容积为5吨）收集后交由湖南洋沙湖危险废物治理有限公司进行托运和处置（处理协议详见附件8）</w:t>
                  </w:r>
                  <w:r>
                    <w:rPr>
                      <w:color w:val="auto"/>
                      <w:sz w:val="24"/>
                      <w:szCs w:val="24"/>
                      <w:u w:val="single" w:color="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399" w:type="pct"/>
                  <w:vMerge w:val="continue"/>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p>
              </w:tc>
              <w:tc>
                <w:tcPr>
                  <w:tcW w:w="1142"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r>
                    <w:rPr>
                      <w:rFonts w:hint="default" w:ascii="Times New Roman" w:hAnsi="Times New Roman" w:eastAsia="宋体" w:cs="Times New Roman"/>
                      <w:bCs/>
                      <w:sz w:val="24"/>
                      <w:szCs w:val="24"/>
                      <w:u w:val="single" w:color="auto"/>
                    </w:rPr>
                    <w:t>噪声</w:t>
                  </w:r>
                </w:p>
              </w:tc>
              <w:tc>
                <w:tcPr>
                  <w:tcW w:w="3458" w:type="pct"/>
                  <w:gridSpan w:val="2"/>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r>
                    <w:rPr>
                      <w:rFonts w:hint="default" w:ascii="Times New Roman" w:hAnsi="Times New Roman" w:eastAsia="宋体" w:cs="Times New Roman"/>
                      <w:bCs/>
                      <w:sz w:val="24"/>
                      <w:szCs w:val="24"/>
                      <w:u w:val="single" w:color="auto"/>
                    </w:rPr>
                    <w:t>合理布局，</w:t>
                  </w:r>
                  <w:r>
                    <w:rPr>
                      <w:rFonts w:hint="default" w:ascii="Times New Roman" w:hAnsi="Times New Roman" w:eastAsia="宋体" w:cs="Times New Roman"/>
                      <w:sz w:val="24"/>
                      <w:szCs w:val="24"/>
                      <w:u w:val="single" w:color="auto"/>
                    </w:rPr>
                    <w:t>对高噪设备采取隔声、减振措施进行处理。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399" w:type="pct"/>
                  <w:vMerge w:val="continue"/>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p>
              </w:tc>
              <w:tc>
                <w:tcPr>
                  <w:tcW w:w="1142"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r>
                    <w:rPr>
                      <w:rFonts w:hint="default" w:ascii="Times New Roman" w:hAnsi="Times New Roman" w:eastAsia="宋体" w:cs="Times New Roman"/>
                      <w:bCs/>
                      <w:sz w:val="24"/>
                      <w:szCs w:val="24"/>
                      <w:u w:val="single" w:color="auto"/>
                    </w:rPr>
                    <w:t>废气</w:t>
                  </w:r>
                </w:p>
              </w:tc>
              <w:tc>
                <w:tcPr>
                  <w:tcW w:w="3458" w:type="pct"/>
                  <w:gridSpan w:val="2"/>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lang w:val="en-US" w:eastAsia="zh-CN"/>
                    </w:rPr>
                  </w:pPr>
                  <w:r>
                    <w:rPr>
                      <w:rFonts w:hint="eastAsia" w:cs="Times New Roman"/>
                      <w:sz w:val="24"/>
                      <w:szCs w:val="24"/>
                      <w:u w:val="single" w:color="auto"/>
                      <w:lang w:val="en-US" w:eastAsia="zh-CN"/>
                    </w:rPr>
                    <w:t>印刷、固化废气分别</w:t>
                  </w:r>
                  <w:r>
                    <w:rPr>
                      <w:rFonts w:hint="default" w:ascii="Times New Roman" w:hAnsi="Times New Roman" w:cs="Times New Roman"/>
                      <w:sz w:val="24"/>
                      <w:szCs w:val="24"/>
                      <w:u w:val="single" w:color="auto"/>
                      <w:lang w:eastAsia="zh-CN"/>
                    </w:rPr>
                    <w:t>经</w:t>
                  </w:r>
                  <w:r>
                    <w:rPr>
                      <w:rFonts w:hint="eastAsia" w:cs="Times New Roman"/>
                      <w:sz w:val="24"/>
                      <w:szCs w:val="24"/>
                      <w:u w:val="single" w:color="auto"/>
                      <w:lang w:eastAsia="zh-CN"/>
                    </w:rPr>
                    <w:t>集气罩收集后通过</w:t>
                  </w:r>
                  <w:r>
                    <w:rPr>
                      <w:rFonts w:hint="eastAsia" w:cs="Times New Roman"/>
                      <w:sz w:val="24"/>
                      <w:szCs w:val="24"/>
                      <w:u w:val="single" w:color="auto"/>
                      <w:lang w:val="en-US" w:eastAsia="zh-CN"/>
                    </w:rPr>
                    <w:t>UV光解设施+活性炭吸附处理+24</w:t>
                  </w:r>
                  <w:r>
                    <w:rPr>
                      <w:rFonts w:hint="default" w:ascii="Times New Roman" w:hAnsi="Times New Roman" w:eastAsia="宋体" w:cs="Times New Roman"/>
                      <w:sz w:val="24"/>
                      <w:szCs w:val="24"/>
                      <w:u w:val="single" w:color="auto"/>
                    </w:rPr>
                    <w:t>m</w:t>
                  </w:r>
                  <w:r>
                    <w:rPr>
                      <w:rFonts w:hint="eastAsia" w:cs="Times New Roman"/>
                      <w:sz w:val="24"/>
                      <w:szCs w:val="24"/>
                      <w:u w:val="single" w:color="auto"/>
                      <w:lang w:eastAsia="zh-CN"/>
                    </w:rPr>
                    <w:t>高</w:t>
                  </w:r>
                  <w:r>
                    <w:rPr>
                      <w:rFonts w:hint="default" w:ascii="Times New Roman" w:hAnsi="Times New Roman" w:eastAsia="宋体" w:cs="Times New Roman"/>
                      <w:sz w:val="24"/>
                      <w:szCs w:val="24"/>
                      <w:u w:val="single" w:color="auto"/>
                    </w:rPr>
                    <w:t>排气筒排放</w:t>
                  </w:r>
                  <w:r>
                    <w:rPr>
                      <w:rFonts w:hint="eastAsia" w:cs="Times New Roman"/>
                      <w:sz w:val="24"/>
                      <w:szCs w:val="24"/>
                      <w:u w:val="single" w:color="auto"/>
                      <w:lang w:eastAsia="zh-CN"/>
                    </w:rPr>
                    <w:t>；</w:t>
                  </w:r>
                  <w:r>
                    <w:rPr>
                      <w:rFonts w:hint="eastAsia" w:cs="Times New Roman"/>
                      <w:sz w:val="24"/>
                      <w:szCs w:val="24"/>
                      <w:u w:val="single" w:color="auto"/>
                      <w:lang w:val="en-US" w:eastAsia="zh-CN"/>
                    </w:rPr>
                    <w:t>分切工序粉尘经集气罩收集</w:t>
                  </w:r>
                  <w:r>
                    <w:rPr>
                      <w:rFonts w:hint="eastAsia" w:cs="Times New Roman"/>
                      <w:sz w:val="24"/>
                      <w:szCs w:val="24"/>
                      <w:u w:val="single" w:color="auto"/>
                      <w:lang w:eastAsia="zh-CN"/>
                    </w:rPr>
                    <w:t>后</w:t>
                  </w:r>
                  <w:r>
                    <w:rPr>
                      <w:rFonts w:hint="eastAsia" w:cs="Times New Roman"/>
                      <w:sz w:val="24"/>
                      <w:szCs w:val="24"/>
                      <w:u w:val="single" w:color="auto"/>
                      <w:lang w:val="en-US" w:eastAsia="zh-CN"/>
                    </w:rPr>
                    <w:t>通过布袋除尘器处理后和印刷固化废气一同经24m高排气筒高空排放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399" w:type="pct"/>
                  <w:vMerge w:val="continue"/>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p>
              </w:tc>
              <w:tc>
                <w:tcPr>
                  <w:tcW w:w="1142"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r>
                    <w:rPr>
                      <w:rFonts w:hint="default" w:ascii="Times New Roman" w:hAnsi="Times New Roman" w:eastAsia="宋体" w:cs="Times New Roman"/>
                      <w:bCs/>
                      <w:sz w:val="24"/>
                      <w:szCs w:val="24"/>
                      <w:u w:val="single" w:color="auto"/>
                    </w:rPr>
                    <w:t>固废</w:t>
                  </w:r>
                </w:p>
              </w:tc>
              <w:tc>
                <w:tcPr>
                  <w:tcW w:w="3458" w:type="pct"/>
                  <w:gridSpan w:val="2"/>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r>
                    <w:rPr>
                      <w:rFonts w:hint="default" w:ascii="Times New Roman" w:hAnsi="Times New Roman" w:eastAsia="宋体" w:cs="Times New Roman"/>
                      <w:bCs/>
                      <w:sz w:val="24"/>
                      <w:szCs w:val="24"/>
                      <w:u w:val="single" w:color="auto"/>
                    </w:rPr>
                    <w:t>生活垃圾交由环卫部门处理，</w:t>
                  </w:r>
                  <w:r>
                    <w:rPr>
                      <w:rFonts w:hint="eastAsia" w:cs="Times New Roman"/>
                      <w:bCs/>
                      <w:sz w:val="24"/>
                      <w:szCs w:val="24"/>
                      <w:u w:val="single" w:color="auto"/>
                      <w:lang w:eastAsia="zh-CN"/>
                    </w:rPr>
                    <w:t>一般固废收集后回收综合利用，危险废物收集于危险废物储存间内（</w:t>
                  </w:r>
                  <w:r>
                    <w:rPr>
                      <w:rFonts w:hint="eastAsia" w:cs="Times New Roman"/>
                      <w:bCs/>
                      <w:sz w:val="24"/>
                      <w:szCs w:val="24"/>
                      <w:u w:val="single" w:color="auto"/>
                      <w:lang w:val="en-US" w:eastAsia="zh-CN"/>
                    </w:rPr>
                    <w:t>位于车间二楼，面积为5m</w:t>
                  </w:r>
                  <w:r>
                    <w:rPr>
                      <w:rFonts w:hint="eastAsia" w:cs="Times New Roman"/>
                      <w:bCs/>
                      <w:sz w:val="24"/>
                      <w:szCs w:val="24"/>
                      <w:u w:val="single" w:color="auto"/>
                      <w:vertAlign w:val="superscript"/>
                      <w:lang w:val="en-US" w:eastAsia="zh-CN"/>
                    </w:rPr>
                    <w:t>2</w:t>
                  </w:r>
                  <w:r>
                    <w:rPr>
                      <w:rFonts w:hint="eastAsia" w:cs="Times New Roman"/>
                      <w:bCs/>
                      <w:sz w:val="24"/>
                      <w:szCs w:val="24"/>
                      <w:u w:val="single" w:color="auto"/>
                      <w:lang w:eastAsia="zh-CN"/>
                    </w:rPr>
                    <w:t>），再交由有资质单位进行处理</w:t>
                  </w:r>
                </w:p>
              </w:tc>
            </w:tr>
          </w:tbl>
          <w:p>
            <w:pPr>
              <w:adjustRightInd w:val="0"/>
              <w:snapToGrid w:val="0"/>
              <w:spacing w:line="360" w:lineRule="auto"/>
              <w:ind w:firstLine="482" w:firstLineChars="200"/>
              <w:rPr>
                <w:rFonts w:hint="default" w:ascii="Times New Roman" w:hAnsi="Times New Roman" w:cs="Times New Roman"/>
                <w:b/>
                <w:sz w:val="24"/>
                <w:szCs w:val="24"/>
                <w:u w:val="single" w:color="auto"/>
              </w:rPr>
            </w:pPr>
            <w:r>
              <w:rPr>
                <w:rFonts w:hint="eastAsia" w:cs="Times New Roman"/>
                <w:b/>
                <w:sz w:val="24"/>
                <w:szCs w:val="24"/>
                <w:u w:val="single" w:color="auto"/>
                <w:lang w:val="en-US" w:eastAsia="zh-CN"/>
              </w:rPr>
              <w:t>4</w:t>
            </w:r>
            <w:r>
              <w:rPr>
                <w:rFonts w:hint="default" w:ascii="Times New Roman" w:hAnsi="Times New Roman" w:cs="Times New Roman"/>
                <w:b/>
                <w:sz w:val="24"/>
                <w:szCs w:val="24"/>
                <w:u w:val="single" w:color="auto"/>
              </w:rPr>
              <w:t>、主要生产设备</w:t>
            </w:r>
          </w:p>
          <w:p>
            <w:pPr>
              <w:pStyle w:val="172"/>
              <w:shd w:val="clear" w:color="auto" w:fill="FFFFFF"/>
              <w:spacing w:before="0" w:beforeLines="0" w:after="0" w:afterLines="0" w:line="360" w:lineRule="auto"/>
              <w:ind w:firstLine="480" w:firstLineChars="200"/>
              <w:jc w:val="left"/>
              <w:rPr>
                <w:rFonts w:hint="default" w:ascii="Times New Roman" w:hAnsi="Times New Roman" w:cs="Times New Roman"/>
                <w:u w:val="single" w:color="auto"/>
              </w:rPr>
            </w:pPr>
            <w:r>
              <w:rPr>
                <w:rFonts w:hint="default" w:ascii="Times New Roman" w:hAnsi="Times New Roman" w:eastAsia="宋体" w:cs="Times New Roman"/>
                <w:u w:val="single" w:color="auto"/>
              </w:rPr>
              <w:t>主要生产设备数量及型号见表</w:t>
            </w:r>
            <w:r>
              <w:rPr>
                <w:rFonts w:hint="default" w:ascii="Times New Roman" w:hAnsi="Times New Roman" w:cs="Times New Roman"/>
                <w:u w:val="single" w:color="auto"/>
              </w:rPr>
              <w:t>1-2。</w:t>
            </w:r>
          </w:p>
          <w:p>
            <w:pPr>
              <w:pStyle w:val="34"/>
              <w:jc w:val="center"/>
              <w:rPr>
                <w:rFonts w:hint="default" w:ascii="Times New Roman" w:hAnsi="Times New Roman" w:cs="Times New Roman"/>
                <w:b/>
                <w:color w:val="auto"/>
                <w:sz w:val="24"/>
                <w:u w:val="single" w:color="auto"/>
              </w:rPr>
            </w:pPr>
            <w:r>
              <w:rPr>
                <w:rFonts w:hint="default" w:ascii="Times New Roman" w:hAnsi="Times New Roman" w:cs="Times New Roman"/>
                <w:b/>
                <w:color w:val="auto"/>
                <w:sz w:val="24"/>
                <w:u w:val="single" w:color="auto"/>
              </w:rPr>
              <w:t>表1-2   主要生产设备一览表</w:t>
            </w:r>
          </w:p>
          <w:tbl>
            <w:tblPr>
              <w:tblStyle w:val="40"/>
              <w:tblW w:w="4997"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2334"/>
              <w:gridCol w:w="2234"/>
              <w:gridCol w:w="1444"/>
              <w:gridCol w:w="185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4" w:hRule="atLeast"/>
                <w:tblHeader/>
              </w:trPr>
              <w:tc>
                <w:tcPr>
                  <w:tcW w:w="681" w:type="pct"/>
                  <w:tcBorders>
                    <w:tl2br w:val="nil"/>
                    <w:tr2bl w:val="nil"/>
                  </w:tcBorders>
                </w:tcPr>
                <w:p>
                  <w:pPr>
                    <w:adjustRightInd w:val="0"/>
                    <w:snapToGrid w:val="0"/>
                    <w:spacing w:line="360" w:lineRule="auto"/>
                    <w:jc w:val="center"/>
                    <w:rPr>
                      <w:rFonts w:hint="default" w:ascii="Times New Roman" w:hAnsi="Times New Roman" w:cs="Times New Roman"/>
                      <w:b/>
                      <w:sz w:val="22"/>
                      <w:szCs w:val="22"/>
                      <w:u w:val="single" w:color="auto"/>
                    </w:rPr>
                  </w:pPr>
                  <w:r>
                    <w:rPr>
                      <w:rFonts w:hint="default" w:ascii="Times New Roman" w:hAnsi="Times New Roman" w:cs="Times New Roman"/>
                      <w:b/>
                      <w:sz w:val="22"/>
                      <w:szCs w:val="22"/>
                      <w:u w:val="single" w:color="auto"/>
                    </w:rPr>
                    <w:t>序号</w:t>
                  </w:r>
                </w:p>
              </w:tc>
              <w:tc>
                <w:tcPr>
                  <w:tcW w:w="1281" w:type="pct"/>
                  <w:tcBorders>
                    <w:tl2br w:val="nil"/>
                    <w:tr2bl w:val="nil"/>
                  </w:tcBorders>
                  <w:vAlign w:val="center"/>
                </w:tcPr>
                <w:p>
                  <w:pPr>
                    <w:adjustRightInd w:val="0"/>
                    <w:snapToGrid w:val="0"/>
                    <w:spacing w:line="360" w:lineRule="auto"/>
                    <w:jc w:val="center"/>
                    <w:rPr>
                      <w:rFonts w:hint="default" w:ascii="Times New Roman" w:hAnsi="Times New Roman" w:cs="Times New Roman"/>
                      <w:b/>
                      <w:sz w:val="22"/>
                      <w:szCs w:val="22"/>
                      <w:u w:val="single" w:color="auto"/>
                    </w:rPr>
                  </w:pPr>
                  <w:r>
                    <w:rPr>
                      <w:rFonts w:hint="default" w:ascii="Times New Roman" w:hAnsi="Times New Roman" w:cs="Times New Roman"/>
                      <w:b/>
                      <w:sz w:val="22"/>
                      <w:szCs w:val="22"/>
                      <w:u w:val="single" w:color="auto"/>
                    </w:rPr>
                    <w:t>设备名称</w:t>
                  </w:r>
                </w:p>
              </w:tc>
              <w:tc>
                <w:tcPr>
                  <w:tcW w:w="1226" w:type="pct"/>
                  <w:tcBorders>
                    <w:tl2br w:val="nil"/>
                    <w:tr2bl w:val="nil"/>
                  </w:tcBorders>
                  <w:vAlign w:val="center"/>
                </w:tcPr>
                <w:p>
                  <w:pPr>
                    <w:adjustRightInd w:val="0"/>
                    <w:snapToGrid w:val="0"/>
                    <w:spacing w:line="360" w:lineRule="auto"/>
                    <w:jc w:val="center"/>
                    <w:rPr>
                      <w:rFonts w:hint="default" w:ascii="Times New Roman" w:hAnsi="Times New Roman" w:cs="Times New Roman"/>
                      <w:b/>
                      <w:sz w:val="22"/>
                      <w:szCs w:val="22"/>
                      <w:u w:val="single" w:color="auto"/>
                    </w:rPr>
                  </w:pPr>
                  <w:r>
                    <w:rPr>
                      <w:rFonts w:hint="default" w:ascii="Times New Roman" w:hAnsi="Times New Roman" w:cs="Times New Roman"/>
                      <w:b/>
                      <w:sz w:val="22"/>
                      <w:szCs w:val="22"/>
                      <w:u w:val="single" w:color="auto"/>
                    </w:rPr>
                    <w:t>型号</w:t>
                  </w:r>
                </w:p>
              </w:tc>
              <w:tc>
                <w:tcPr>
                  <w:tcW w:w="792" w:type="pct"/>
                  <w:tcBorders>
                    <w:tl2br w:val="nil"/>
                    <w:tr2bl w:val="nil"/>
                  </w:tcBorders>
                  <w:vAlign w:val="center"/>
                </w:tcPr>
                <w:p>
                  <w:pPr>
                    <w:adjustRightInd w:val="0"/>
                    <w:snapToGrid w:val="0"/>
                    <w:spacing w:line="360" w:lineRule="auto"/>
                    <w:jc w:val="center"/>
                    <w:rPr>
                      <w:rFonts w:hint="eastAsia" w:ascii="Times New Roman" w:hAnsi="Times New Roman" w:eastAsia="宋体" w:cs="Times New Roman"/>
                      <w:b/>
                      <w:sz w:val="22"/>
                      <w:szCs w:val="22"/>
                      <w:u w:val="single" w:color="auto"/>
                      <w:lang w:eastAsia="zh-CN"/>
                    </w:rPr>
                  </w:pPr>
                  <w:r>
                    <w:rPr>
                      <w:rFonts w:hint="default" w:ascii="Times New Roman" w:hAnsi="Times New Roman" w:cs="Times New Roman"/>
                      <w:b/>
                      <w:sz w:val="22"/>
                      <w:szCs w:val="22"/>
                      <w:u w:val="single" w:color="auto"/>
                    </w:rPr>
                    <w:t>数量</w:t>
                  </w:r>
                  <w:r>
                    <w:rPr>
                      <w:rFonts w:hint="eastAsia" w:cs="Times New Roman"/>
                      <w:b/>
                      <w:sz w:val="22"/>
                      <w:szCs w:val="22"/>
                      <w:u w:val="single" w:color="auto"/>
                      <w:lang w:eastAsia="zh-CN"/>
                    </w:rPr>
                    <w:t>（</w:t>
                  </w:r>
                  <w:r>
                    <w:rPr>
                      <w:rFonts w:hint="eastAsia" w:cs="Times New Roman"/>
                      <w:b/>
                      <w:sz w:val="22"/>
                      <w:szCs w:val="22"/>
                      <w:u w:val="single" w:color="auto"/>
                      <w:lang w:val="en-US" w:eastAsia="zh-CN"/>
                    </w:rPr>
                    <w:t>台</w:t>
                  </w:r>
                  <w:r>
                    <w:rPr>
                      <w:rFonts w:hint="eastAsia" w:cs="Times New Roman"/>
                      <w:b/>
                      <w:sz w:val="22"/>
                      <w:szCs w:val="22"/>
                      <w:u w:val="single" w:color="auto"/>
                      <w:lang w:eastAsia="zh-CN"/>
                    </w:rPr>
                    <w:t>）</w:t>
                  </w:r>
                </w:p>
              </w:tc>
              <w:tc>
                <w:tcPr>
                  <w:tcW w:w="1017"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
                      <w:sz w:val="22"/>
                      <w:szCs w:val="22"/>
                      <w:u w:val="single" w:color="auto"/>
                      <w:lang w:val="en-US" w:eastAsia="zh-CN"/>
                    </w:rPr>
                  </w:pPr>
                  <w:r>
                    <w:rPr>
                      <w:rFonts w:hint="default" w:ascii="Times New Roman" w:hAnsi="Times New Roman" w:cs="Times New Roman"/>
                      <w:b/>
                      <w:sz w:val="22"/>
                      <w:szCs w:val="22"/>
                      <w:u w:val="single" w:color="auto"/>
                      <w:lang w:val="en-US"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681" w:type="pct"/>
                  <w:tcBorders>
                    <w:tl2br w:val="nil"/>
                    <w:tr2bl w:val="nil"/>
                  </w:tcBorders>
                  <w:vAlign w:val="center"/>
                </w:tcPr>
                <w:p>
                  <w:pPr>
                    <w:adjustRightInd w:val="0"/>
                    <w:snapToGrid w:val="0"/>
                    <w:spacing w:line="360" w:lineRule="auto"/>
                    <w:jc w:val="center"/>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1</w:t>
                  </w:r>
                </w:p>
              </w:tc>
              <w:tc>
                <w:tcPr>
                  <w:tcW w:w="1281" w:type="pct"/>
                  <w:tcBorders>
                    <w:tl2br w:val="nil"/>
                    <w:tr2bl w:val="nil"/>
                  </w:tcBorders>
                  <w:vAlign w:val="center"/>
                </w:tcPr>
                <w:p>
                  <w:pPr>
                    <w:adjustRightInd w:val="0"/>
                    <w:snapToGrid w:val="0"/>
                    <w:jc w:val="center"/>
                    <w:rPr>
                      <w:rFonts w:hint="default" w:ascii="Times New Roman" w:hAnsi="Times New Roman" w:eastAsia="宋体" w:cs="Times New Roman"/>
                      <w:sz w:val="22"/>
                      <w:szCs w:val="22"/>
                      <w:u w:val="single" w:color="auto"/>
                      <w:lang w:val="en-US" w:eastAsia="zh-CN"/>
                    </w:rPr>
                  </w:pPr>
                  <w:r>
                    <w:rPr>
                      <w:rFonts w:hint="eastAsia"/>
                      <w:szCs w:val="21"/>
                      <w:u w:val="single" w:color="auto"/>
                    </w:rPr>
                    <w:t>2色印刷机</w:t>
                  </w:r>
                </w:p>
              </w:tc>
              <w:tc>
                <w:tcPr>
                  <w:tcW w:w="1226" w:type="pct"/>
                  <w:tcBorders>
                    <w:tl2br w:val="nil"/>
                    <w:tr2bl w:val="nil"/>
                  </w:tcBorders>
                  <w:vAlign w:val="center"/>
                </w:tcPr>
                <w:p>
                  <w:pPr>
                    <w:adjustRightInd w:val="0"/>
                    <w:snapToGrid w:val="0"/>
                    <w:jc w:val="center"/>
                    <w:rPr>
                      <w:rFonts w:hint="default" w:ascii="Times New Roman" w:hAnsi="Times New Roman" w:eastAsia="宋体" w:cs="Times New Roman"/>
                      <w:sz w:val="22"/>
                      <w:szCs w:val="22"/>
                      <w:u w:val="single" w:color="auto"/>
                      <w:lang w:val="en-US" w:eastAsia="zh-CN"/>
                    </w:rPr>
                  </w:pPr>
                  <w:r>
                    <w:rPr>
                      <w:rFonts w:hint="eastAsia"/>
                      <w:szCs w:val="21"/>
                      <w:u w:val="single" w:color="auto"/>
                    </w:rPr>
                    <w:t>NDS-900B2</w:t>
                  </w:r>
                </w:p>
              </w:tc>
              <w:tc>
                <w:tcPr>
                  <w:tcW w:w="1442" w:type="dxa"/>
                  <w:tcBorders>
                    <w:tl2br w:val="nil"/>
                    <w:tr2bl w:val="nil"/>
                  </w:tcBorders>
                  <w:vAlign w:val="center"/>
                </w:tcPr>
                <w:p>
                  <w:pPr>
                    <w:adjustRightInd w:val="0"/>
                    <w:snapToGrid w:val="0"/>
                    <w:jc w:val="center"/>
                    <w:rPr>
                      <w:rFonts w:hint="default" w:ascii="Times New Roman" w:hAnsi="Times New Roman" w:eastAsia="宋体" w:cs="Times New Roman"/>
                      <w:sz w:val="22"/>
                      <w:szCs w:val="22"/>
                      <w:u w:val="single" w:color="auto"/>
                      <w:lang w:val="en-US" w:eastAsia="zh-CN"/>
                    </w:rPr>
                  </w:pPr>
                  <w:r>
                    <w:rPr>
                      <w:rFonts w:hint="eastAsia"/>
                      <w:szCs w:val="21"/>
                      <w:u w:val="single" w:color="auto"/>
                    </w:rPr>
                    <w:t>1</w:t>
                  </w:r>
                </w:p>
              </w:tc>
              <w:tc>
                <w:tcPr>
                  <w:tcW w:w="1851" w:type="dxa"/>
                  <w:tcBorders>
                    <w:tl2br w:val="nil"/>
                    <w:tr2bl w:val="nil"/>
                  </w:tcBorders>
                  <w:vAlign w:val="center"/>
                </w:tcPr>
                <w:p>
                  <w:pPr>
                    <w:adjustRightInd w:val="0"/>
                    <w:snapToGrid w:val="0"/>
                    <w:jc w:val="center"/>
                    <w:rPr>
                      <w:rFonts w:hint="default" w:ascii="Times New Roman" w:hAnsi="Times New Roman" w:cs="Times New Roman"/>
                      <w:sz w:val="22"/>
                      <w:szCs w:val="22"/>
                      <w:u w:val="single" w:color="auto"/>
                      <w:lang w:val="en-US" w:eastAsia="zh-CN"/>
                    </w:rPr>
                  </w:pPr>
                  <w:r>
                    <w:rPr>
                      <w:rFonts w:hint="eastAsia"/>
                      <w:szCs w:val="21"/>
                      <w:u w:val="single" w:color="auto"/>
                    </w:rPr>
                    <w:t>印刷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81" w:type="pct"/>
                  <w:tcBorders>
                    <w:tl2br w:val="nil"/>
                    <w:tr2bl w:val="nil"/>
                  </w:tcBorders>
                </w:tcPr>
                <w:p>
                  <w:pPr>
                    <w:adjustRightInd w:val="0"/>
                    <w:snapToGrid w:val="0"/>
                    <w:spacing w:line="360" w:lineRule="auto"/>
                    <w:jc w:val="center"/>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2</w:t>
                  </w:r>
                </w:p>
              </w:tc>
              <w:tc>
                <w:tcPr>
                  <w:tcW w:w="1281" w:type="pct"/>
                  <w:tcBorders>
                    <w:tl2br w:val="nil"/>
                    <w:tr2bl w:val="nil"/>
                  </w:tcBorders>
                  <w:vAlign w:val="center"/>
                </w:tcPr>
                <w:p>
                  <w:pPr>
                    <w:adjustRightInd w:val="0"/>
                    <w:snapToGrid w:val="0"/>
                    <w:jc w:val="center"/>
                    <w:rPr>
                      <w:rFonts w:hint="default" w:ascii="Times New Roman" w:hAnsi="Times New Roman" w:eastAsia="宋体" w:cs="Times New Roman"/>
                      <w:sz w:val="22"/>
                      <w:szCs w:val="22"/>
                      <w:u w:val="single" w:color="auto"/>
                      <w:lang w:val="en-US" w:eastAsia="zh-CN"/>
                    </w:rPr>
                  </w:pPr>
                  <w:r>
                    <w:rPr>
                      <w:rFonts w:hint="eastAsia"/>
                      <w:szCs w:val="21"/>
                      <w:u w:val="single" w:color="auto"/>
                      <w:lang w:val="en-US" w:eastAsia="zh-CN"/>
                    </w:rPr>
                    <w:t>6色</w:t>
                  </w:r>
                  <w:r>
                    <w:rPr>
                      <w:rFonts w:hint="eastAsia"/>
                      <w:szCs w:val="21"/>
                      <w:u w:val="single" w:color="auto"/>
                    </w:rPr>
                    <w:t>柔印机</w:t>
                  </w:r>
                </w:p>
              </w:tc>
              <w:tc>
                <w:tcPr>
                  <w:tcW w:w="1226" w:type="pct"/>
                  <w:tcBorders>
                    <w:tl2br w:val="nil"/>
                    <w:tr2bl w:val="nil"/>
                  </w:tcBorders>
                  <w:vAlign w:val="center"/>
                </w:tcPr>
                <w:p>
                  <w:pPr>
                    <w:adjustRightInd w:val="0"/>
                    <w:snapToGrid w:val="0"/>
                    <w:jc w:val="center"/>
                    <w:rPr>
                      <w:rFonts w:hint="default" w:ascii="Times New Roman" w:hAnsi="Times New Roman" w:eastAsia="宋体" w:cs="Times New Roman"/>
                      <w:sz w:val="22"/>
                      <w:szCs w:val="22"/>
                      <w:u w:val="single" w:color="auto"/>
                      <w:lang w:val="en-US" w:eastAsia="zh-CN"/>
                    </w:rPr>
                  </w:pPr>
                  <w:r>
                    <w:rPr>
                      <w:rFonts w:hint="eastAsia"/>
                      <w:szCs w:val="21"/>
                      <w:u w:val="single" w:color="auto"/>
                    </w:rPr>
                    <w:t>JCYT6-450</w:t>
                  </w:r>
                </w:p>
              </w:tc>
              <w:tc>
                <w:tcPr>
                  <w:tcW w:w="1442" w:type="dxa"/>
                  <w:tcBorders>
                    <w:tl2br w:val="nil"/>
                    <w:tr2bl w:val="nil"/>
                  </w:tcBorders>
                  <w:vAlign w:val="center"/>
                </w:tcPr>
                <w:p>
                  <w:pPr>
                    <w:adjustRightInd w:val="0"/>
                    <w:snapToGrid w:val="0"/>
                    <w:jc w:val="center"/>
                    <w:rPr>
                      <w:rFonts w:hint="default" w:ascii="Times New Roman" w:hAnsi="Times New Roman" w:eastAsia="宋体" w:cs="Times New Roman"/>
                      <w:sz w:val="22"/>
                      <w:szCs w:val="22"/>
                      <w:u w:val="single" w:color="auto"/>
                      <w:lang w:val="en-US" w:eastAsia="zh-CN"/>
                    </w:rPr>
                  </w:pPr>
                  <w:r>
                    <w:rPr>
                      <w:rFonts w:hint="eastAsia"/>
                      <w:szCs w:val="21"/>
                      <w:u w:val="single" w:color="auto"/>
                      <w:lang w:val="en-US" w:eastAsia="zh-CN"/>
                    </w:rPr>
                    <w:t>1</w:t>
                  </w:r>
                </w:p>
              </w:tc>
              <w:tc>
                <w:tcPr>
                  <w:tcW w:w="1851" w:type="dxa"/>
                  <w:tcBorders>
                    <w:tl2br w:val="nil"/>
                    <w:tr2bl w:val="nil"/>
                  </w:tcBorders>
                  <w:vAlign w:val="center"/>
                </w:tcPr>
                <w:p>
                  <w:pPr>
                    <w:adjustRightInd w:val="0"/>
                    <w:snapToGrid w:val="0"/>
                    <w:jc w:val="center"/>
                    <w:rPr>
                      <w:rFonts w:hint="default" w:ascii="Times New Roman" w:hAnsi="Times New Roman" w:cs="Times New Roman"/>
                      <w:sz w:val="22"/>
                      <w:szCs w:val="22"/>
                      <w:u w:val="single" w:color="auto"/>
                      <w:lang w:val="en-US" w:eastAsia="zh-CN"/>
                    </w:rPr>
                  </w:pPr>
                  <w:r>
                    <w:rPr>
                      <w:rFonts w:hint="eastAsia"/>
                      <w:szCs w:val="21"/>
                      <w:u w:val="single" w:color="auto"/>
                    </w:rPr>
                    <w:t>印刷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1" w:type="pct"/>
                  <w:tcBorders>
                    <w:tl2br w:val="nil"/>
                    <w:tr2bl w:val="nil"/>
                  </w:tcBorders>
                </w:tcPr>
                <w:p>
                  <w:pPr>
                    <w:adjustRightInd w:val="0"/>
                    <w:snapToGrid w:val="0"/>
                    <w:spacing w:line="360" w:lineRule="auto"/>
                    <w:jc w:val="center"/>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3</w:t>
                  </w:r>
                </w:p>
              </w:tc>
              <w:tc>
                <w:tcPr>
                  <w:tcW w:w="1281" w:type="pct"/>
                  <w:tcBorders>
                    <w:tl2br w:val="nil"/>
                    <w:tr2bl w:val="nil"/>
                  </w:tcBorders>
                  <w:vAlign w:val="center"/>
                </w:tcPr>
                <w:p>
                  <w:pPr>
                    <w:adjustRightInd w:val="0"/>
                    <w:snapToGrid w:val="0"/>
                    <w:jc w:val="center"/>
                    <w:rPr>
                      <w:rFonts w:hint="default" w:ascii="Times New Roman" w:hAnsi="Times New Roman" w:eastAsia="宋体" w:cs="Times New Roman"/>
                      <w:sz w:val="22"/>
                      <w:szCs w:val="22"/>
                      <w:u w:val="single" w:color="auto"/>
                      <w:lang w:val="en-US" w:eastAsia="zh-CN"/>
                    </w:rPr>
                  </w:pPr>
                  <w:r>
                    <w:rPr>
                      <w:rFonts w:hint="eastAsia"/>
                      <w:szCs w:val="21"/>
                      <w:u w:val="single" w:color="auto"/>
                    </w:rPr>
                    <w:t>分条机</w:t>
                  </w:r>
                </w:p>
              </w:tc>
              <w:tc>
                <w:tcPr>
                  <w:tcW w:w="1226" w:type="pct"/>
                  <w:tcBorders>
                    <w:tl2br w:val="nil"/>
                    <w:tr2bl w:val="nil"/>
                  </w:tcBorders>
                  <w:vAlign w:val="center"/>
                </w:tcPr>
                <w:p>
                  <w:pPr>
                    <w:adjustRightInd w:val="0"/>
                    <w:snapToGrid w:val="0"/>
                    <w:jc w:val="center"/>
                    <w:rPr>
                      <w:rFonts w:hint="default" w:ascii="Times New Roman" w:hAnsi="Times New Roman" w:eastAsia="宋体" w:cs="Times New Roman"/>
                      <w:sz w:val="22"/>
                      <w:szCs w:val="22"/>
                      <w:u w:val="single" w:color="auto"/>
                      <w:lang w:val="en-US" w:eastAsia="zh-CN"/>
                    </w:rPr>
                  </w:pPr>
                  <w:r>
                    <w:rPr>
                      <w:rFonts w:hint="eastAsia"/>
                      <w:szCs w:val="21"/>
                      <w:u w:val="single" w:color="auto"/>
                    </w:rPr>
                    <w:t>宇拓</w:t>
                  </w:r>
                </w:p>
              </w:tc>
              <w:tc>
                <w:tcPr>
                  <w:tcW w:w="1442" w:type="dxa"/>
                  <w:tcBorders>
                    <w:tl2br w:val="nil"/>
                    <w:tr2bl w:val="nil"/>
                  </w:tcBorders>
                  <w:vAlign w:val="center"/>
                </w:tcPr>
                <w:p>
                  <w:pPr>
                    <w:adjustRightInd w:val="0"/>
                    <w:snapToGrid w:val="0"/>
                    <w:jc w:val="center"/>
                    <w:rPr>
                      <w:rFonts w:hint="default" w:ascii="Times New Roman" w:hAnsi="Times New Roman" w:eastAsia="宋体" w:cs="Times New Roman"/>
                      <w:sz w:val="22"/>
                      <w:szCs w:val="22"/>
                      <w:u w:val="single" w:color="auto"/>
                      <w:lang w:val="en-US" w:eastAsia="zh-CN"/>
                    </w:rPr>
                  </w:pPr>
                  <w:r>
                    <w:rPr>
                      <w:rFonts w:hint="eastAsia"/>
                      <w:szCs w:val="21"/>
                      <w:u w:val="single" w:color="auto"/>
                      <w:lang w:val="en-US" w:eastAsia="zh-CN"/>
                    </w:rPr>
                    <w:t>2</w:t>
                  </w:r>
                </w:p>
              </w:tc>
              <w:tc>
                <w:tcPr>
                  <w:tcW w:w="1851" w:type="dxa"/>
                  <w:tcBorders>
                    <w:tl2br w:val="nil"/>
                    <w:tr2bl w:val="nil"/>
                  </w:tcBorders>
                  <w:vAlign w:val="center"/>
                </w:tcPr>
                <w:p>
                  <w:pPr>
                    <w:adjustRightInd w:val="0"/>
                    <w:snapToGrid w:val="0"/>
                    <w:jc w:val="center"/>
                    <w:rPr>
                      <w:rFonts w:hint="default" w:ascii="Times New Roman" w:hAnsi="Times New Roman" w:cs="Times New Roman"/>
                      <w:sz w:val="22"/>
                      <w:szCs w:val="22"/>
                      <w:u w:val="single" w:color="auto"/>
                      <w:lang w:val="en-US" w:eastAsia="zh-CN"/>
                    </w:rPr>
                  </w:pPr>
                  <w:r>
                    <w:rPr>
                      <w:rFonts w:hint="eastAsia"/>
                      <w:szCs w:val="21"/>
                      <w:u w:val="single" w:color="auto"/>
                    </w:rPr>
                    <w:t>分切凭条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81" w:type="pct"/>
                  <w:tcBorders>
                    <w:tl2br w:val="nil"/>
                    <w:tr2bl w:val="nil"/>
                  </w:tcBorders>
                </w:tcPr>
                <w:p>
                  <w:pPr>
                    <w:adjustRightInd w:val="0"/>
                    <w:snapToGrid w:val="0"/>
                    <w:spacing w:line="360" w:lineRule="auto"/>
                    <w:jc w:val="center"/>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4</w:t>
                  </w:r>
                </w:p>
              </w:tc>
              <w:tc>
                <w:tcPr>
                  <w:tcW w:w="1281" w:type="pct"/>
                  <w:tcBorders>
                    <w:tl2br w:val="nil"/>
                    <w:tr2bl w:val="nil"/>
                  </w:tcBorders>
                  <w:vAlign w:val="center"/>
                </w:tcPr>
                <w:p>
                  <w:pPr>
                    <w:adjustRightInd w:val="0"/>
                    <w:snapToGrid w:val="0"/>
                    <w:jc w:val="center"/>
                    <w:rPr>
                      <w:rFonts w:hint="default" w:ascii="Times New Roman" w:hAnsi="Times New Roman" w:eastAsia="宋体" w:cs="Times New Roman"/>
                      <w:sz w:val="22"/>
                      <w:szCs w:val="22"/>
                      <w:u w:val="single" w:color="auto"/>
                      <w:lang w:val="en-US" w:eastAsia="zh-CN"/>
                    </w:rPr>
                  </w:pPr>
                  <w:r>
                    <w:rPr>
                      <w:rFonts w:hint="eastAsia"/>
                      <w:szCs w:val="21"/>
                      <w:u w:val="single" w:color="auto"/>
                    </w:rPr>
                    <w:t>票证传真分切机</w:t>
                  </w:r>
                </w:p>
              </w:tc>
              <w:tc>
                <w:tcPr>
                  <w:tcW w:w="1226" w:type="pct"/>
                  <w:tcBorders>
                    <w:tl2br w:val="nil"/>
                    <w:tr2bl w:val="nil"/>
                  </w:tcBorders>
                  <w:vAlign w:val="center"/>
                </w:tcPr>
                <w:p>
                  <w:pPr>
                    <w:adjustRightInd w:val="0"/>
                    <w:snapToGrid w:val="0"/>
                    <w:jc w:val="center"/>
                    <w:rPr>
                      <w:rFonts w:hint="default" w:ascii="Times New Roman" w:hAnsi="Times New Roman" w:eastAsia="宋体" w:cs="Times New Roman"/>
                      <w:sz w:val="22"/>
                      <w:szCs w:val="22"/>
                      <w:u w:val="single" w:color="auto"/>
                      <w:lang w:val="en-US" w:eastAsia="zh-CN"/>
                    </w:rPr>
                  </w:pPr>
                  <w:r>
                    <w:rPr>
                      <w:rFonts w:hint="eastAsia"/>
                      <w:szCs w:val="21"/>
                      <w:u w:val="single" w:color="auto"/>
                    </w:rPr>
                    <w:t>宇拓</w:t>
                  </w:r>
                </w:p>
              </w:tc>
              <w:tc>
                <w:tcPr>
                  <w:tcW w:w="1442" w:type="dxa"/>
                  <w:tcBorders>
                    <w:tl2br w:val="nil"/>
                    <w:tr2bl w:val="nil"/>
                  </w:tcBorders>
                  <w:vAlign w:val="center"/>
                </w:tcPr>
                <w:p>
                  <w:pPr>
                    <w:adjustRightInd w:val="0"/>
                    <w:snapToGrid w:val="0"/>
                    <w:jc w:val="center"/>
                    <w:rPr>
                      <w:rFonts w:hint="default" w:ascii="Times New Roman" w:hAnsi="Times New Roman" w:eastAsia="宋体" w:cs="Times New Roman"/>
                      <w:sz w:val="22"/>
                      <w:szCs w:val="22"/>
                      <w:u w:val="single" w:color="auto"/>
                      <w:lang w:val="en-US" w:eastAsia="zh-CN"/>
                    </w:rPr>
                  </w:pPr>
                  <w:r>
                    <w:rPr>
                      <w:rFonts w:hint="eastAsia"/>
                      <w:szCs w:val="21"/>
                      <w:u w:val="single" w:color="auto"/>
                      <w:lang w:val="en-US" w:eastAsia="zh-CN"/>
                    </w:rPr>
                    <w:t>2</w:t>
                  </w:r>
                </w:p>
              </w:tc>
              <w:tc>
                <w:tcPr>
                  <w:tcW w:w="1851" w:type="dxa"/>
                  <w:tcBorders>
                    <w:tl2br w:val="nil"/>
                    <w:tr2bl w:val="nil"/>
                  </w:tcBorders>
                  <w:vAlign w:val="center"/>
                </w:tcPr>
                <w:p>
                  <w:pPr>
                    <w:adjustRightInd w:val="0"/>
                    <w:snapToGrid w:val="0"/>
                    <w:jc w:val="center"/>
                    <w:rPr>
                      <w:rFonts w:hint="default" w:ascii="Times New Roman" w:hAnsi="Times New Roman" w:cs="Times New Roman"/>
                      <w:sz w:val="22"/>
                      <w:szCs w:val="22"/>
                      <w:u w:val="single" w:color="auto"/>
                      <w:lang w:val="en-US" w:eastAsia="zh-CN"/>
                    </w:rPr>
                  </w:pPr>
                  <w:r>
                    <w:rPr>
                      <w:rFonts w:hint="eastAsia"/>
                      <w:szCs w:val="21"/>
                      <w:u w:val="single" w:color="auto"/>
                    </w:rPr>
                    <w:t>分切凭条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1" w:type="pct"/>
                  <w:tcBorders>
                    <w:tl2br w:val="nil"/>
                    <w:tr2bl w:val="nil"/>
                  </w:tcBorders>
                </w:tcPr>
                <w:p>
                  <w:pPr>
                    <w:adjustRightInd w:val="0"/>
                    <w:snapToGrid w:val="0"/>
                    <w:spacing w:line="360" w:lineRule="auto"/>
                    <w:jc w:val="center"/>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5</w:t>
                  </w:r>
                </w:p>
              </w:tc>
              <w:tc>
                <w:tcPr>
                  <w:tcW w:w="1281" w:type="pct"/>
                  <w:tcBorders>
                    <w:tl2br w:val="nil"/>
                    <w:tr2bl w:val="nil"/>
                  </w:tcBorders>
                  <w:vAlign w:val="center"/>
                </w:tcPr>
                <w:p>
                  <w:pPr>
                    <w:adjustRightInd w:val="0"/>
                    <w:snapToGrid w:val="0"/>
                    <w:jc w:val="center"/>
                    <w:rPr>
                      <w:rFonts w:hint="default" w:ascii="Times New Roman" w:hAnsi="Times New Roman" w:eastAsia="宋体" w:cs="Times New Roman"/>
                      <w:sz w:val="22"/>
                      <w:szCs w:val="22"/>
                      <w:u w:val="single" w:color="auto"/>
                      <w:lang w:val="en-US" w:eastAsia="zh-CN"/>
                    </w:rPr>
                  </w:pPr>
                  <w:r>
                    <w:rPr>
                      <w:rFonts w:hint="eastAsia"/>
                      <w:u w:val="single" w:color="auto"/>
                    </w:rPr>
                    <w:t>分切机</w:t>
                  </w:r>
                </w:p>
              </w:tc>
              <w:tc>
                <w:tcPr>
                  <w:tcW w:w="1226" w:type="pct"/>
                  <w:tcBorders>
                    <w:tl2br w:val="nil"/>
                    <w:tr2bl w:val="nil"/>
                  </w:tcBorders>
                  <w:vAlign w:val="center"/>
                </w:tcPr>
                <w:p>
                  <w:pPr>
                    <w:adjustRightInd w:val="0"/>
                    <w:snapToGrid w:val="0"/>
                    <w:jc w:val="center"/>
                    <w:rPr>
                      <w:rFonts w:hint="default" w:ascii="Times New Roman" w:hAnsi="Times New Roman" w:eastAsia="宋体" w:cs="Times New Roman"/>
                      <w:sz w:val="22"/>
                      <w:szCs w:val="22"/>
                      <w:u w:val="single" w:color="auto"/>
                      <w:lang w:val="en-US" w:eastAsia="zh-CN"/>
                    </w:rPr>
                  </w:pPr>
                  <w:r>
                    <w:rPr>
                      <w:rFonts w:hint="eastAsia"/>
                      <w:szCs w:val="21"/>
                      <w:u w:val="single" w:color="auto"/>
                    </w:rPr>
                    <w:t>甘露</w:t>
                  </w:r>
                </w:p>
              </w:tc>
              <w:tc>
                <w:tcPr>
                  <w:tcW w:w="1442" w:type="dxa"/>
                  <w:tcBorders>
                    <w:tl2br w:val="nil"/>
                    <w:tr2bl w:val="nil"/>
                  </w:tcBorders>
                  <w:vAlign w:val="center"/>
                </w:tcPr>
                <w:p>
                  <w:pPr>
                    <w:adjustRightInd w:val="0"/>
                    <w:snapToGrid w:val="0"/>
                    <w:jc w:val="center"/>
                    <w:rPr>
                      <w:rFonts w:hint="default" w:ascii="Times New Roman" w:hAnsi="Times New Roman" w:eastAsia="宋体" w:cs="Times New Roman"/>
                      <w:sz w:val="22"/>
                      <w:szCs w:val="22"/>
                      <w:u w:val="single" w:color="auto"/>
                      <w:lang w:val="en-US" w:eastAsia="zh-CN"/>
                    </w:rPr>
                  </w:pPr>
                  <w:r>
                    <w:rPr>
                      <w:rFonts w:hint="eastAsia"/>
                      <w:szCs w:val="21"/>
                      <w:u w:val="single" w:color="auto"/>
                      <w:lang w:val="en-US" w:eastAsia="zh-CN"/>
                    </w:rPr>
                    <w:t>1</w:t>
                  </w:r>
                </w:p>
              </w:tc>
              <w:tc>
                <w:tcPr>
                  <w:tcW w:w="1851" w:type="dxa"/>
                  <w:tcBorders>
                    <w:tl2br w:val="nil"/>
                    <w:tr2bl w:val="nil"/>
                  </w:tcBorders>
                  <w:vAlign w:val="center"/>
                </w:tcPr>
                <w:p>
                  <w:pPr>
                    <w:adjustRightInd w:val="0"/>
                    <w:snapToGrid w:val="0"/>
                    <w:jc w:val="center"/>
                    <w:rPr>
                      <w:rFonts w:hint="default" w:ascii="Times New Roman" w:hAnsi="Times New Roman" w:cs="Times New Roman"/>
                      <w:sz w:val="22"/>
                      <w:szCs w:val="22"/>
                      <w:u w:val="single" w:color="auto"/>
                      <w:lang w:val="en-US" w:eastAsia="zh-CN"/>
                    </w:rPr>
                  </w:pPr>
                  <w:r>
                    <w:rPr>
                      <w:rFonts w:hint="eastAsia"/>
                      <w:szCs w:val="21"/>
                      <w:u w:val="single" w:color="auto"/>
                    </w:rPr>
                    <w:t>空白分切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1" w:type="pct"/>
                  <w:tcBorders>
                    <w:tl2br w:val="nil"/>
                    <w:tr2bl w:val="nil"/>
                  </w:tcBorders>
                </w:tcPr>
                <w:p>
                  <w:pPr>
                    <w:adjustRightInd w:val="0"/>
                    <w:snapToGrid w:val="0"/>
                    <w:spacing w:line="360" w:lineRule="auto"/>
                    <w:jc w:val="center"/>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6</w:t>
                  </w:r>
                </w:p>
              </w:tc>
              <w:tc>
                <w:tcPr>
                  <w:tcW w:w="1281" w:type="pct"/>
                  <w:tcBorders>
                    <w:tl2br w:val="nil"/>
                    <w:tr2bl w:val="nil"/>
                  </w:tcBorders>
                  <w:vAlign w:val="center"/>
                </w:tcPr>
                <w:p>
                  <w:pPr>
                    <w:adjustRightInd w:val="0"/>
                    <w:snapToGrid w:val="0"/>
                    <w:jc w:val="center"/>
                    <w:rPr>
                      <w:rFonts w:hint="default" w:ascii="Times New Roman" w:hAnsi="Times New Roman" w:eastAsia="宋体" w:cs="Times New Roman"/>
                      <w:sz w:val="22"/>
                      <w:szCs w:val="22"/>
                      <w:u w:val="single" w:color="auto"/>
                      <w:lang w:val="en-US" w:eastAsia="zh-CN"/>
                    </w:rPr>
                  </w:pPr>
                  <w:r>
                    <w:rPr>
                      <w:rFonts w:hint="eastAsia"/>
                      <w:szCs w:val="21"/>
                      <w:u w:val="single" w:color="auto"/>
                    </w:rPr>
                    <w:t>无管芯分切机</w:t>
                  </w:r>
                </w:p>
              </w:tc>
              <w:tc>
                <w:tcPr>
                  <w:tcW w:w="1226" w:type="pct"/>
                  <w:tcBorders>
                    <w:tl2br w:val="nil"/>
                    <w:tr2bl w:val="nil"/>
                  </w:tcBorders>
                  <w:vAlign w:val="center"/>
                </w:tcPr>
                <w:p>
                  <w:pPr>
                    <w:adjustRightInd w:val="0"/>
                    <w:snapToGrid w:val="0"/>
                    <w:jc w:val="center"/>
                    <w:rPr>
                      <w:rFonts w:hint="default" w:ascii="Times New Roman" w:hAnsi="Times New Roman" w:eastAsia="宋体" w:cs="Times New Roman"/>
                      <w:sz w:val="22"/>
                      <w:szCs w:val="22"/>
                      <w:u w:val="single" w:color="auto"/>
                      <w:lang w:val="en-US" w:eastAsia="zh-CN"/>
                    </w:rPr>
                  </w:pPr>
                  <w:r>
                    <w:rPr>
                      <w:rFonts w:hint="eastAsia"/>
                      <w:szCs w:val="21"/>
                      <w:u w:val="single" w:color="auto"/>
                    </w:rPr>
                    <w:t>900</w:t>
                  </w:r>
                </w:p>
              </w:tc>
              <w:tc>
                <w:tcPr>
                  <w:tcW w:w="1442" w:type="dxa"/>
                  <w:tcBorders>
                    <w:tl2br w:val="nil"/>
                    <w:tr2bl w:val="nil"/>
                  </w:tcBorders>
                  <w:vAlign w:val="center"/>
                </w:tcPr>
                <w:p>
                  <w:pPr>
                    <w:adjustRightInd w:val="0"/>
                    <w:snapToGrid w:val="0"/>
                    <w:jc w:val="center"/>
                    <w:rPr>
                      <w:rFonts w:hint="default" w:ascii="Times New Roman" w:hAnsi="Times New Roman" w:eastAsia="宋体" w:cs="Times New Roman"/>
                      <w:sz w:val="22"/>
                      <w:szCs w:val="22"/>
                      <w:u w:val="single" w:color="auto"/>
                      <w:lang w:val="en-US" w:eastAsia="zh-CN"/>
                    </w:rPr>
                  </w:pPr>
                  <w:r>
                    <w:rPr>
                      <w:rFonts w:hint="eastAsia"/>
                      <w:szCs w:val="21"/>
                      <w:u w:val="single" w:color="auto"/>
                      <w:lang w:val="en-US" w:eastAsia="zh-CN"/>
                    </w:rPr>
                    <w:t>4</w:t>
                  </w:r>
                </w:p>
              </w:tc>
              <w:tc>
                <w:tcPr>
                  <w:tcW w:w="1851" w:type="dxa"/>
                  <w:tcBorders>
                    <w:tl2br w:val="nil"/>
                    <w:tr2bl w:val="nil"/>
                  </w:tcBorders>
                  <w:vAlign w:val="center"/>
                </w:tcPr>
                <w:p>
                  <w:pPr>
                    <w:adjustRightInd w:val="0"/>
                    <w:snapToGrid w:val="0"/>
                    <w:jc w:val="center"/>
                    <w:rPr>
                      <w:rFonts w:hint="default" w:ascii="Times New Roman" w:hAnsi="Times New Roman" w:cs="Times New Roman"/>
                      <w:sz w:val="22"/>
                      <w:szCs w:val="22"/>
                      <w:u w:val="single" w:color="auto"/>
                      <w:lang w:val="en-US" w:eastAsia="zh-CN"/>
                    </w:rPr>
                  </w:pPr>
                  <w:r>
                    <w:rPr>
                      <w:rFonts w:hint="eastAsia"/>
                      <w:szCs w:val="21"/>
                      <w:u w:val="single" w:color="auto"/>
                    </w:rPr>
                    <w:t>空白分切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81" w:type="pct"/>
                  <w:tcBorders>
                    <w:tl2br w:val="nil"/>
                    <w:tr2bl w:val="nil"/>
                  </w:tcBorders>
                </w:tcPr>
                <w:p>
                  <w:pPr>
                    <w:adjustRightInd w:val="0"/>
                    <w:snapToGrid w:val="0"/>
                    <w:spacing w:line="360" w:lineRule="auto"/>
                    <w:jc w:val="center"/>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7</w:t>
                  </w:r>
                </w:p>
              </w:tc>
              <w:tc>
                <w:tcPr>
                  <w:tcW w:w="1281" w:type="pct"/>
                  <w:tcBorders>
                    <w:tl2br w:val="nil"/>
                    <w:tr2bl w:val="nil"/>
                  </w:tcBorders>
                  <w:vAlign w:val="center"/>
                </w:tcPr>
                <w:p>
                  <w:pPr>
                    <w:adjustRightInd w:val="0"/>
                    <w:snapToGrid w:val="0"/>
                    <w:jc w:val="center"/>
                    <w:rPr>
                      <w:rFonts w:hint="default" w:ascii="Times New Roman" w:hAnsi="Times New Roman" w:eastAsia="宋体" w:cs="Times New Roman"/>
                      <w:sz w:val="22"/>
                      <w:szCs w:val="22"/>
                      <w:u w:val="single" w:color="auto"/>
                      <w:lang w:val="en-US" w:eastAsia="zh-CN"/>
                    </w:rPr>
                  </w:pPr>
                  <w:r>
                    <w:rPr>
                      <w:rFonts w:hint="eastAsia"/>
                      <w:szCs w:val="21"/>
                      <w:u w:val="single" w:color="auto"/>
                    </w:rPr>
                    <w:t>收银纸包装机</w:t>
                  </w:r>
                </w:p>
              </w:tc>
              <w:tc>
                <w:tcPr>
                  <w:tcW w:w="1226" w:type="pct"/>
                  <w:tcBorders>
                    <w:tl2br w:val="nil"/>
                    <w:tr2bl w:val="nil"/>
                  </w:tcBorders>
                  <w:vAlign w:val="center"/>
                </w:tcPr>
                <w:p>
                  <w:pPr>
                    <w:adjustRightInd w:val="0"/>
                    <w:snapToGrid w:val="0"/>
                    <w:jc w:val="center"/>
                    <w:rPr>
                      <w:rFonts w:hint="default" w:ascii="Times New Roman" w:hAnsi="Times New Roman" w:eastAsia="宋体" w:cs="Times New Roman"/>
                      <w:sz w:val="22"/>
                      <w:szCs w:val="22"/>
                      <w:u w:val="single" w:color="auto"/>
                      <w:lang w:val="en-US" w:eastAsia="zh-CN"/>
                    </w:rPr>
                  </w:pPr>
                  <w:r>
                    <w:rPr>
                      <w:rFonts w:hint="eastAsia" w:cs="Times New Roman"/>
                      <w:sz w:val="22"/>
                      <w:szCs w:val="22"/>
                      <w:u w:val="single" w:color="auto"/>
                      <w:lang w:val="en-US" w:eastAsia="zh-CN"/>
                    </w:rPr>
                    <w:t>/</w:t>
                  </w:r>
                </w:p>
              </w:tc>
              <w:tc>
                <w:tcPr>
                  <w:tcW w:w="1442" w:type="dxa"/>
                  <w:tcBorders>
                    <w:tl2br w:val="nil"/>
                    <w:tr2bl w:val="nil"/>
                  </w:tcBorders>
                  <w:vAlign w:val="center"/>
                </w:tcPr>
                <w:p>
                  <w:pPr>
                    <w:adjustRightInd w:val="0"/>
                    <w:snapToGrid w:val="0"/>
                    <w:jc w:val="center"/>
                    <w:rPr>
                      <w:rFonts w:hint="default" w:ascii="Times New Roman" w:hAnsi="Times New Roman" w:eastAsia="宋体" w:cs="Times New Roman"/>
                      <w:sz w:val="22"/>
                      <w:szCs w:val="22"/>
                      <w:u w:val="single" w:color="auto"/>
                      <w:lang w:val="en-US" w:eastAsia="zh-CN"/>
                    </w:rPr>
                  </w:pPr>
                  <w:r>
                    <w:rPr>
                      <w:rFonts w:hint="eastAsia"/>
                      <w:szCs w:val="21"/>
                      <w:u w:val="single" w:color="auto"/>
                      <w:lang w:val="en-US" w:eastAsia="zh-CN"/>
                    </w:rPr>
                    <w:t>1</w:t>
                  </w:r>
                </w:p>
              </w:tc>
              <w:tc>
                <w:tcPr>
                  <w:tcW w:w="1851" w:type="dxa"/>
                  <w:tcBorders>
                    <w:tl2br w:val="nil"/>
                    <w:tr2bl w:val="nil"/>
                  </w:tcBorders>
                  <w:vAlign w:val="center"/>
                </w:tcPr>
                <w:p>
                  <w:pPr>
                    <w:adjustRightInd w:val="0"/>
                    <w:snapToGrid w:val="0"/>
                    <w:jc w:val="center"/>
                    <w:rPr>
                      <w:rFonts w:hint="default" w:ascii="Times New Roman" w:hAnsi="Times New Roman" w:cs="Times New Roman"/>
                      <w:sz w:val="22"/>
                      <w:szCs w:val="22"/>
                      <w:u w:val="single" w:color="auto"/>
                      <w:lang w:val="en-US" w:eastAsia="zh-CN"/>
                    </w:rPr>
                  </w:pPr>
                  <w:r>
                    <w:rPr>
                      <w:rFonts w:hint="eastAsia"/>
                      <w:szCs w:val="21"/>
                      <w:u w:val="single" w:color="auto"/>
                    </w:rPr>
                    <w:t>包装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1" w:type="pct"/>
                  <w:tcBorders>
                    <w:tl2br w:val="nil"/>
                    <w:tr2bl w:val="nil"/>
                  </w:tcBorders>
                </w:tcPr>
                <w:p>
                  <w:pPr>
                    <w:adjustRightInd w:val="0"/>
                    <w:snapToGrid w:val="0"/>
                    <w:spacing w:line="360" w:lineRule="auto"/>
                    <w:jc w:val="center"/>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8</w:t>
                  </w:r>
                </w:p>
              </w:tc>
              <w:tc>
                <w:tcPr>
                  <w:tcW w:w="1281" w:type="pct"/>
                  <w:tcBorders>
                    <w:tl2br w:val="nil"/>
                    <w:tr2bl w:val="nil"/>
                  </w:tcBorders>
                  <w:vAlign w:val="center"/>
                </w:tcPr>
                <w:p>
                  <w:pPr>
                    <w:adjustRightInd w:val="0"/>
                    <w:snapToGrid w:val="0"/>
                    <w:jc w:val="center"/>
                    <w:rPr>
                      <w:rFonts w:hint="default" w:ascii="Times New Roman" w:hAnsi="Times New Roman" w:eastAsia="宋体" w:cs="Times New Roman"/>
                      <w:sz w:val="22"/>
                      <w:szCs w:val="22"/>
                      <w:u w:val="single" w:color="auto"/>
                      <w:lang w:val="en-US" w:eastAsia="zh-CN"/>
                    </w:rPr>
                  </w:pPr>
                  <w:r>
                    <w:rPr>
                      <w:rFonts w:hint="eastAsia"/>
                      <w:szCs w:val="21"/>
                      <w:u w:val="single" w:color="auto"/>
                    </w:rPr>
                    <w:t>空压机</w:t>
                  </w:r>
                </w:p>
              </w:tc>
              <w:tc>
                <w:tcPr>
                  <w:tcW w:w="1226" w:type="pct"/>
                  <w:tcBorders>
                    <w:tl2br w:val="nil"/>
                    <w:tr2bl w:val="nil"/>
                  </w:tcBorders>
                  <w:vAlign w:val="center"/>
                </w:tcPr>
                <w:p>
                  <w:pPr>
                    <w:adjustRightInd w:val="0"/>
                    <w:snapToGrid w:val="0"/>
                    <w:jc w:val="center"/>
                    <w:rPr>
                      <w:rFonts w:hint="default" w:ascii="Times New Roman" w:hAnsi="Times New Roman" w:eastAsia="宋体" w:cs="Times New Roman"/>
                      <w:sz w:val="22"/>
                      <w:szCs w:val="22"/>
                      <w:u w:val="single" w:color="auto"/>
                      <w:lang w:val="en-US" w:eastAsia="zh-CN"/>
                    </w:rPr>
                  </w:pPr>
                  <w:r>
                    <w:rPr>
                      <w:rFonts w:hint="eastAsia"/>
                      <w:szCs w:val="21"/>
                      <w:u w:val="single" w:color="auto"/>
                    </w:rPr>
                    <w:t>FTM-180/7T</w:t>
                  </w:r>
                </w:p>
              </w:tc>
              <w:tc>
                <w:tcPr>
                  <w:tcW w:w="1442" w:type="dxa"/>
                  <w:tcBorders>
                    <w:tl2br w:val="nil"/>
                    <w:tr2bl w:val="nil"/>
                  </w:tcBorders>
                  <w:vAlign w:val="center"/>
                </w:tcPr>
                <w:p>
                  <w:pPr>
                    <w:adjustRightInd w:val="0"/>
                    <w:snapToGrid w:val="0"/>
                    <w:jc w:val="center"/>
                    <w:rPr>
                      <w:rFonts w:hint="default" w:ascii="Times New Roman" w:hAnsi="Times New Roman" w:eastAsia="宋体" w:cs="Times New Roman"/>
                      <w:sz w:val="22"/>
                      <w:szCs w:val="22"/>
                      <w:u w:val="single" w:color="auto"/>
                      <w:lang w:val="en-US" w:eastAsia="zh-CN"/>
                    </w:rPr>
                  </w:pPr>
                  <w:r>
                    <w:rPr>
                      <w:rFonts w:hint="eastAsia"/>
                      <w:szCs w:val="21"/>
                      <w:u w:val="single" w:color="auto"/>
                      <w:lang w:val="en-US" w:eastAsia="zh-CN"/>
                    </w:rPr>
                    <w:t>1</w:t>
                  </w:r>
                </w:p>
              </w:tc>
              <w:tc>
                <w:tcPr>
                  <w:tcW w:w="1851" w:type="dxa"/>
                  <w:tcBorders>
                    <w:tl2br w:val="nil"/>
                    <w:tr2bl w:val="nil"/>
                  </w:tcBorders>
                  <w:vAlign w:val="center"/>
                </w:tcPr>
                <w:p>
                  <w:pPr>
                    <w:adjustRightInd w:val="0"/>
                    <w:snapToGrid w:val="0"/>
                    <w:jc w:val="center"/>
                    <w:rPr>
                      <w:rFonts w:hint="default" w:ascii="Times New Roman" w:hAnsi="Times New Roman" w:cs="Times New Roman"/>
                      <w:sz w:val="22"/>
                      <w:szCs w:val="22"/>
                      <w:u w:val="single" w:color="auto"/>
                      <w:lang w:val="en-US" w:eastAsia="zh-CN"/>
                    </w:rPr>
                  </w:pPr>
                  <w:r>
                    <w:rPr>
                      <w:rFonts w:hint="eastAsia"/>
                      <w:szCs w:val="21"/>
                      <w:u w:val="single" w:color="auto"/>
                    </w:rPr>
                    <w:t>压缩空气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81" w:type="pct"/>
                  <w:tcBorders>
                    <w:tl2br w:val="nil"/>
                    <w:tr2bl w:val="nil"/>
                  </w:tcBorders>
                </w:tcPr>
                <w:p>
                  <w:pPr>
                    <w:adjustRightInd w:val="0"/>
                    <w:snapToGrid w:val="0"/>
                    <w:spacing w:line="360" w:lineRule="auto"/>
                    <w:ind w:firstLine="440" w:firstLineChars="200"/>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11</w:t>
                  </w:r>
                </w:p>
              </w:tc>
              <w:tc>
                <w:tcPr>
                  <w:tcW w:w="1281" w:type="pct"/>
                  <w:tcBorders>
                    <w:tl2br w:val="nil"/>
                    <w:tr2bl w:val="nil"/>
                  </w:tcBorders>
                  <w:vAlign w:val="center"/>
                </w:tcPr>
                <w:p>
                  <w:pPr>
                    <w:adjustRightInd w:val="0"/>
                    <w:snapToGrid w:val="0"/>
                    <w:jc w:val="center"/>
                    <w:rPr>
                      <w:rFonts w:hint="default" w:ascii="Times New Roman" w:hAnsi="Times New Roman" w:cs="Times New Roman"/>
                      <w:sz w:val="22"/>
                      <w:szCs w:val="22"/>
                      <w:u w:val="single" w:color="auto"/>
                      <w:lang w:val="en-US" w:eastAsia="zh-CN"/>
                    </w:rPr>
                  </w:pPr>
                  <w:r>
                    <w:rPr>
                      <w:rFonts w:hint="eastAsia"/>
                      <w:szCs w:val="21"/>
                      <w:u w:val="single" w:color="auto"/>
                    </w:rPr>
                    <w:t>抽取式面巾纸折叠机</w:t>
                  </w:r>
                </w:p>
              </w:tc>
              <w:tc>
                <w:tcPr>
                  <w:tcW w:w="1226" w:type="pct"/>
                  <w:tcBorders>
                    <w:tl2br w:val="nil"/>
                    <w:tr2bl w:val="nil"/>
                  </w:tcBorders>
                  <w:vAlign w:val="center"/>
                </w:tcPr>
                <w:p>
                  <w:pPr>
                    <w:adjustRightInd w:val="0"/>
                    <w:snapToGrid w:val="0"/>
                    <w:jc w:val="center"/>
                    <w:rPr>
                      <w:rFonts w:hint="default" w:ascii="Times New Roman" w:hAnsi="Times New Roman" w:cs="Times New Roman"/>
                      <w:sz w:val="22"/>
                      <w:szCs w:val="22"/>
                      <w:u w:val="single" w:color="auto"/>
                      <w:lang w:val="en-US" w:eastAsia="zh-CN"/>
                    </w:rPr>
                  </w:pPr>
                  <w:r>
                    <w:rPr>
                      <w:rFonts w:hint="eastAsia"/>
                      <w:szCs w:val="21"/>
                      <w:u w:val="single" w:color="auto"/>
                    </w:rPr>
                    <w:t>HTM-3Z(225)-5L</w:t>
                  </w:r>
                </w:p>
              </w:tc>
              <w:tc>
                <w:tcPr>
                  <w:tcW w:w="1442" w:type="dxa"/>
                  <w:tcBorders>
                    <w:tl2br w:val="nil"/>
                    <w:tr2bl w:val="nil"/>
                  </w:tcBorders>
                  <w:vAlign w:val="center"/>
                </w:tcPr>
                <w:p>
                  <w:pPr>
                    <w:adjustRightInd w:val="0"/>
                    <w:snapToGrid w:val="0"/>
                    <w:jc w:val="center"/>
                    <w:rPr>
                      <w:rFonts w:hint="default" w:ascii="Times New Roman" w:hAnsi="Times New Roman" w:cs="Times New Roman"/>
                      <w:sz w:val="22"/>
                      <w:szCs w:val="22"/>
                      <w:u w:val="single" w:color="auto"/>
                      <w:lang w:val="en-US" w:eastAsia="zh-CN"/>
                    </w:rPr>
                  </w:pPr>
                  <w:r>
                    <w:rPr>
                      <w:rFonts w:hint="eastAsia"/>
                      <w:szCs w:val="21"/>
                      <w:u w:val="single" w:color="auto"/>
                      <w:lang w:val="en-US" w:eastAsia="zh-CN"/>
                    </w:rPr>
                    <w:t>1</w:t>
                  </w:r>
                </w:p>
              </w:tc>
              <w:tc>
                <w:tcPr>
                  <w:tcW w:w="1851" w:type="dxa"/>
                  <w:tcBorders>
                    <w:tl2br w:val="nil"/>
                    <w:tr2bl w:val="nil"/>
                  </w:tcBorders>
                  <w:vAlign w:val="center"/>
                </w:tcPr>
                <w:p>
                  <w:pPr>
                    <w:adjustRightInd w:val="0"/>
                    <w:snapToGrid w:val="0"/>
                    <w:jc w:val="center"/>
                    <w:rPr>
                      <w:rFonts w:hint="eastAsia" w:ascii="Times New Roman" w:hAnsi="Times New Roman" w:eastAsia="宋体" w:cs="Times New Roman"/>
                      <w:sz w:val="22"/>
                      <w:szCs w:val="22"/>
                      <w:u w:val="single" w:color="auto"/>
                      <w:lang w:val="en-US" w:eastAsia="zh-CN"/>
                    </w:rPr>
                  </w:pPr>
                  <w:r>
                    <w:rPr>
                      <w:rFonts w:hint="eastAsia"/>
                      <w:szCs w:val="21"/>
                      <w:u w:val="single" w:color="auto"/>
                      <w:lang w:val="en-US" w:eastAsia="zh-CN"/>
                    </w:rPr>
                    <w:t>折叠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81" w:type="pct"/>
                  <w:tcBorders>
                    <w:tl2br w:val="nil"/>
                    <w:tr2bl w:val="nil"/>
                  </w:tcBorders>
                </w:tcPr>
                <w:p>
                  <w:pPr>
                    <w:adjustRightInd w:val="0"/>
                    <w:snapToGrid w:val="0"/>
                    <w:spacing w:line="360" w:lineRule="auto"/>
                    <w:ind w:firstLine="440" w:firstLineChars="200"/>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12</w:t>
                  </w:r>
                </w:p>
              </w:tc>
              <w:tc>
                <w:tcPr>
                  <w:tcW w:w="1281" w:type="pct"/>
                  <w:tcBorders>
                    <w:tl2br w:val="nil"/>
                    <w:tr2bl w:val="nil"/>
                  </w:tcBorders>
                  <w:vAlign w:val="center"/>
                </w:tcPr>
                <w:p>
                  <w:pPr>
                    <w:adjustRightInd w:val="0"/>
                    <w:snapToGrid w:val="0"/>
                    <w:jc w:val="center"/>
                    <w:rPr>
                      <w:rFonts w:hint="default" w:ascii="Times New Roman" w:hAnsi="Times New Roman" w:cs="Times New Roman"/>
                      <w:sz w:val="22"/>
                      <w:szCs w:val="22"/>
                      <w:u w:val="single" w:color="auto"/>
                      <w:lang w:val="en-US" w:eastAsia="zh-CN"/>
                    </w:rPr>
                  </w:pPr>
                  <w:r>
                    <w:rPr>
                      <w:rFonts w:hint="eastAsia"/>
                      <w:szCs w:val="21"/>
                      <w:u w:val="single" w:color="auto"/>
                    </w:rPr>
                    <w:t>三折擦手纸折叠机</w:t>
                  </w:r>
                </w:p>
              </w:tc>
              <w:tc>
                <w:tcPr>
                  <w:tcW w:w="1226" w:type="pct"/>
                  <w:tcBorders>
                    <w:tl2br w:val="nil"/>
                    <w:tr2bl w:val="nil"/>
                  </w:tcBorders>
                  <w:vAlign w:val="center"/>
                </w:tcPr>
                <w:p>
                  <w:pPr>
                    <w:adjustRightInd w:val="0"/>
                    <w:snapToGrid w:val="0"/>
                    <w:jc w:val="center"/>
                    <w:rPr>
                      <w:rFonts w:hint="default" w:ascii="Times New Roman" w:hAnsi="Times New Roman" w:cs="Times New Roman"/>
                      <w:sz w:val="22"/>
                      <w:szCs w:val="22"/>
                      <w:u w:val="single" w:color="auto"/>
                      <w:lang w:val="en-US" w:eastAsia="zh-CN"/>
                    </w:rPr>
                  </w:pPr>
                  <w:r>
                    <w:rPr>
                      <w:rFonts w:hint="eastAsia"/>
                      <w:szCs w:val="21"/>
                      <w:u w:val="single" w:color="auto"/>
                    </w:rPr>
                    <w:t>2E-FJ-E-1760</w:t>
                  </w:r>
                </w:p>
              </w:tc>
              <w:tc>
                <w:tcPr>
                  <w:tcW w:w="1442" w:type="dxa"/>
                  <w:tcBorders>
                    <w:tl2br w:val="nil"/>
                    <w:tr2bl w:val="nil"/>
                  </w:tcBorders>
                  <w:vAlign w:val="center"/>
                </w:tcPr>
                <w:p>
                  <w:pPr>
                    <w:adjustRightInd w:val="0"/>
                    <w:snapToGrid w:val="0"/>
                    <w:jc w:val="center"/>
                    <w:rPr>
                      <w:rFonts w:hint="default" w:ascii="Times New Roman" w:hAnsi="Times New Roman" w:cs="Times New Roman"/>
                      <w:sz w:val="22"/>
                      <w:szCs w:val="22"/>
                      <w:u w:val="single" w:color="auto"/>
                      <w:lang w:val="en-US" w:eastAsia="zh-CN"/>
                    </w:rPr>
                  </w:pPr>
                  <w:r>
                    <w:rPr>
                      <w:rFonts w:hint="eastAsia"/>
                      <w:szCs w:val="21"/>
                      <w:u w:val="single" w:color="auto"/>
                      <w:lang w:val="en-US" w:eastAsia="zh-CN"/>
                    </w:rPr>
                    <w:t>1</w:t>
                  </w:r>
                </w:p>
              </w:tc>
              <w:tc>
                <w:tcPr>
                  <w:tcW w:w="1851" w:type="dxa"/>
                  <w:tcBorders>
                    <w:tl2br w:val="nil"/>
                    <w:tr2bl w:val="nil"/>
                  </w:tcBorders>
                  <w:vAlign w:val="center"/>
                </w:tcPr>
                <w:p>
                  <w:pPr>
                    <w:adjustRightInd w:val="0"/>
                    <w:snapToGrid w:val="0"/>
                    <w:jc w:val="center"/>
                    <w:rPr>
                      <w:rFonts w:hint="default" w:ascii="Times New Roman" w:hAnsi="Times New Roman" w:cs="Times New Roman"/>
                      <w:sz w:val="22"/>
                      <w:szCs w:val="22"/>
                      <w:u w:val="single" w:color="auto"/>
                      <w:lang w:val="en-US" w:eastAsia="zh-CN"/>
                    </w:rPr>
                  </w:pPr>
                  <w:r>
                    <w:rPr>
                      <w:rFonts w:hint="eastAsia"/>
                      <w:szCs w:val="21"/>
                      <w:u w:val="single" w:color="auto"/>
                      <w:lang w:val="en-US" w:eastAsia="zh-CN"/>
                    </w:rPr>
                    <w:t>折叠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1" w:type="pct"/>
                  <w:tcBorders>
                    <w:tl2br w:val="nil"/>
                    <w:tr2bl w:val="nil"/>
                  </w:tcBorders>
                </w:tcPr>
                <w:p>
                  <w:pPr>
                    <w:adjustRightInd w:val="0"/>
                    <w:snapToGrid w:val="0"/>
                    <w:spacing w:line="360" w:lineRule="auto"/>
                    <w:ind w:firstLine="440" w:firstLineChars="200"/>
                    <w:rPr>
                      <w:rFonts w:hint="default" w:cs="Times New Roman"/>
                      <w:sz w:val="22"/>
                      <w:szCs w:val="22"/>
                      <w:u w:val="single" w:color="auto"/>
                      <w:lang w:val="en-US" w:eastAsia="zh-CN"/>
                    </w:rPr>
                  </w:pPr>
                  <w:r>
                    <w:rPr>
                      <w:rFonts w:hint="eastAsia" w:cs="Times New Roman"/>
                      <w:sz w:val="22"/>
                      <w:szCs w:val="22"/>
                      <w:u w:val="single" w:color="auto"/>
                      <w:lang w:val="en-US" w:eastAsia="zh-CN"/>
                    </w:rPr>
                    <w:t>13</w:t>
                  </w:r>
                </w:p>
              </w:tc>
              <w:tc>
                <w:tcPr>
                  <w:tcW w:w="1281" w:type="pct"/>
                  <w:tcBorders>
                    <w:tl2br w:val="nil"/>
                    <w:tr2bl w:val="nil"/>
                  </w:tcBorders>
                  <w:vAlign w:val="center"/>
                </w:tcPr>
                <w:p>
                  <w:pPr>
                    <w:adjustRightInd w:val="0"/>
                    <w:snapToGrid w:val="0"/>
                    <w:jc w:val="center"/>
                    <w:rPr>
                      <w:rFonts w:hint="eastAsia" w:cs="Times New Roman"/>
                      <w:sz w:val="22"/>
                      <w:szCs w:val="22"/>
                      <w:u w:val="single" w:color="auto"/>
                      <w:lang w:val="en-US" w:eastAsia="zh-CN"/>
                    </w:rPr>
                  </w:pPr>
                  <w:r>
                    <w:rPr>
                      <w:rFonts w:hint="eastAsia"/>
                      <w:szCs w:val="21"/>
                      <w:u w:val="single" w:color="auto"/>
                    </w:rPr>
                    <w:t>小盘纸两用机</w:t>
                  </w:r>
                </w:p>
              </w:tc>
              <w:tc>
                <w:tcPr>
                  <w:tcW w:w="1226" w:type="pct"/>
                  <w:tcBorders>
                    <w:tl2br w:val="nil"/>
                    <w:tr2bl w:val="nil"/>
                  </w:tcBorders>
                  <w:vAlign w:val="center"/>
                </w:tcPr>
                <w:p>
                  <w:pPr>
                    <w:adjustRightInd w:val="0"/>
                    <w:snapToGrid w:val="0"/>
                    <w:jc w:val="center"/>
                    <w:rPr>
                      <w:rFonts w:hint="eastAsia" w:cs="Times New Roman"/>
                      <w:sz w:val="22"/>
                      <w:szCs w:val="22"/>
                      <w:u w:val="single" w:color="auto"/>
                      <w:lang w:val="en-US" w:eastAsia="zh-CN"/>
                    </w:rPr>
                  </w:pPr>
                  <w:r>
                    <w:rPr>
                      <w:rFonts w:hint="eastAsia"/>
                      <w:szCs w:val="21"/>
                      <w:u w:val="single" w:color="auto"/>
                    </w:rPr>
                    <w:t>ZWH-400</w:t>
                  </w:r>
                </w:p>
              </w:tc>
              <w:tc>
                <w:tcPr>
                  <w:tcW w:w="1442" w:type="dxa"/>
                  <w:tcBorders>
                    <w:tl2br w:val="nil"/>
                    <w:tr2bl w:val="nil"/>
                  </w:tcBorders>
                  <w:vAlign w:val="center"/>
                </w:tcPr>
                <w:p>
                  <w:pPr>
                    <w:adjustRightInd w:val="0"/>
                    <w:snapToGrid w:val="0"/>
                    <w:jc w:val="center"/>
                    <w:rPr>
                      <w:rFonts w:hint="default" w:ascii="Times New Roman" w:hAnsi="Times New Roman" w:cs="Times New Roman"/>
                      <w:sz w:val="22"/>
                      <w:szCs w:val="22"/>
                      <w:u w:val="single" w:color="auto"/>
                      <w:lang w:val="en-US" w:eastAsia="zh-CN"/>
                    </w:rPr>
                  </w:pPr>
                  <w:r>
                    <w:rPr>
                      <w:rFonts w:hint="eastAsia"/>
                      <w:szCs w:val="21"/>
                      <w:u w:val="single" w:color="auto"/>
                      <w:lang w:val="en-US" w:eastAsia="zh-CN"/>
                    </w:rPr>
                    <w:t>1</w:t>
                  </w:r>
                </w:p>
              </w:tc>
              <w:tc>
                <w:tcPr>
                  <w:tcW w:w="1851" w:type="dxa"/>
                  <w:tcBorders>
                    <w:tl2br w:val="nil"/>
                    <w:tr2bl w:val="nil"/>
                  </w:tcBorders>
                  <w:vAlign w:val="center"/>
                </w:tcPr>
                <w:p>
                  <w:pPr>
                    <w:adjustRightInd w:val="0"/>
                    <w:snapToGrid w:val="0"/>
                    <w:jc w:val="center"/>
                    <w:rPr>
                      <w:rFonts w:hint="eastAsia" w:cs="Times New Roman"/>
                      <w:sz w:val="22"/>
                      <w:szCs w:val="22"/>
                      <w:u w:val="single" w:color="auto"/>
                      <w:lang w:val="en-US" w:eastAsia="zh-CN"/>
                    </w:rPr>
                  </w:pPr>
                  <w:r>
                    <w:rPr>
                      <w:rFonts w:hint="eastAsia"/>
                      <w:szCs w:val="21"/>
                      <w:u w:val="single" w:color="auto"/>
                    </w:rPr>
                    <w:t>大小盘纸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1" w:type="pct"/>
                  <w:tcBorders>
                    <w:tl2br w:val="nil"/>
                    <w:tr2bl w:val="nil"/>
                  </w:tcBorders>
                </w:tcPr>
                <w:p>
                  <w:pPr>
                    <w:adjustRightInd w:val="0"/>
                    <w:snapToGrid w:val="0"/>
                    <w:spacing w:line="360" w:lineRule="auto"/>
                    <w:ind w:firstLine="440" w:firstLineChars="200"/>
                    <w:rPr>
                      <w:rFonts w:hint="default" w:cs="Times New Roman"/>
                      <w:sz w:val="22"/>
                      <w:szCs w:val="22"/>
                      <w:u w:val="single" w:color="auto"/>
                      <w:lang w:val="en-US" w:eastAsia="zh-CN"/>
                    </w:rPr>
                  </w:pPr>
                  <w:r>
                    <w:rPr>
                      <w:rFonts w:hint="eastAsia" w:cs="Times New Roman"/>
                      <w:sz w:val="22"/>
                      <w:szCs w:val="22"/>
                      <w:u w:val="single" w:color="auto"/>
                      <w:lang w:val="en-US" w:eastAsia="zh-CN"/>
                    </w:rPr>
                    <w:t>14</w:t>
                  </w:r>
                </w:p>
              </w:tc>
              <w:tc>
                <w:tcPr>
                  <w:tcW w:w="1281" w:type="pct"/>
                  <w:tcBorders>
                    <w:tl2br w:val="nil"/>
                    <w:tr2bl w:val="nil"/>
                  </w:tcBorders>
                  <w:vAlign w:val="center"/>
                </w:tcPr>
                <w:p>
                  <w:pPr>
                    <w:adjustRightInd w:val="0"/>
                    <w:snapToGrid w:val="0"/>
                    <w:jc w:val="center"/>
                    <w:rPr>
                      <w:rFonts w:hint="eastAsia" w:cs="Times New Roman"/>
                      <w:sz w:val="22"/>
                      <w:szCs w:val="22"/>
                      <w:u w:val="single" w:color="auto"/>
                      <w:lang w:val="en-US" w:eastAsia="zh-CN"/>
                    </w:rPr>
                  </w:pPr>
                  <w:r>
                    <w:rPr>
                      <w:rFonts w:hint="eastAsia"/>
                      <w:szCs w:val="21"/>
                      <w:u w:val="single" w:color="auto"/>
                    </w:rPr>
                    <w:t>全自动热收缩包装机</w:t>
                  </w:r>
                </w:p>
              </w:tc>
              <w:tc>
                <w:tcPr>
                  <w:tcW w:w="1226" w:type="pct"/>
                  <w:tcBorders>
                    <w:tl2br w:val="nil"/>
                    <w:tr2bl w:val="nil"/>
                  </w:tcBorders>
                  <w:vAlign w:val="center"/>
                </w:tcPr>
                <w:p>
                  <w:pPr>
                    <w:adjustRightInd w:val="0"/>
                    <w:snapToGrid w:val="0"/>
                    <w:jc w:val="center"/>
                    <w:rPr>
                      <w:rFonts w:hint="eastAsia" w:cs="Times New Roman"/>
                      <w:sz w:val="22"/>
                      <w:szCs w:val="22"/>
                      <w:u w:val="single" w:color="auto"/>
                      <w:lang w:val="en-US" w:eastAsia="zh-CN"/>
                    </w:rPr>
                  </w:pPr>
                  <w:r>
                    <w:rPr>
                      <w:rFonts w:hint="eastAsia"/>
                      <w:szCs w:val="21"/>
                      <w:u w:val="single" w:color="auto"/>
                    </w:rPr>
                    <w:t>JF-3040D</w:t>
                  </w:r>
                </w:p>
              </w:tc>
              <w:tc>
                <w:tcPr>
                  <w:tcW w:w="1442" w:type="dxa"/>
                  <w:tcBorders>
                    <w:tl2br w:val="nil"/>
                    <w:tr2bl w:val="nil"/>
                  </w:tcBorders>
                  <w:vAlign w:val="center"/>
                </w:tcPr>
                <w:p>
                  <w:pPr>
                    <w:adjustRightInd w:val="0"/>
                    <w:snapToGrid w:val="0"/>
                    <w:jc w:val="center"/>
                    <w:rPr>
                      <w:rFonts w:hint="default" w:ascii="Times New Roman" w:hAnsi="Times New Roman" w:cs="Times New Roman"/>
                      <w:sz w:val="22"/>
                      <w:szCs w:val="22"/>
                      <w:u w:val="single" w:color="auto"/>
                      <w:lang w:val="en-US" w:eastAsia="zh-CN"/>
                    </w:rPr>
                  </w:pPr>
                  <w:r>
                    <w:rPr>
                      <w:rFonts w:hint="eastAsia"/>
                      <w:szCs w:val="21"/>
                      <w:u w:val="single" w:color="auto"/>
                      <w:lang w:val="en-US" w:eastAsia="zh-CN"/>
                    </w:rPr>
                    <w:t>1</w:t>
                  </w:r>
                </w:p>
              </w:tc>
              <w:tc>
                <w:tcPr>
                  <w:tcW w:w="1851" w:type="dxa"/>
                  <w:tcBorders>
                    <w:tl2br w:val="nil"/>
                    <w:tr2bl w:val="nil"/>
                  </w:tcBorders>
                  <w:vAlign w:val="center"/>
                </w:tcPr>
                <w:p>
                  <w:pPr>
                    <w:adjustRightInd w:val="0"/>
                    <w:snapToGrid w:val="0"/>
                    <w:jc w:val="center"/>
                    <w:rPr>
                      <w:rFonts w:hint="eastAsia" w:cs="Times New Roman"/>
                      <w:sz w:val="22"/>
                      <w:szCs w:val="22"/>
                      <w:u w:val="single" w:color="auto"/>
                      <w:lang w:val="en-US" w:eastAsia="zh-CN"/>
                    </w:rPr>
                  </w:pPr>
                  <w:r>
                    <w:rPr>
                      <w:rFonts w:hint="eastAsia"/>
                      <w:szCs w:val="21"/>
                      <w:u w:val="single" w:color="auto"/>
                    </w:rPr>
                    <w:t>包装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1" w:type="pct"/>
                  <w:tcBorders>
                    <w:tl2br w:val="nil"/>
                    <w:tr2bl w:val="nil"/>
                  </w:tcBorders>
                </w:tcPr>
                <w:p>
                  <w:pPr>
                    <w:adjustRightInd w:val="0"/>
                    <w:snapToGrid w:val="0"/>
                    <w:spacing w:line="360" w:lineRule="auto"/>
                    <w:ind w:firstLine="440" w:firstLineChars="200"/>
                    <w:rPr>
                      <w:rFonts w:hint="default" w:cs="Times New Roman"/>
                      <w:sz w:val="22"/>
                      <w:szCs w:val="22"/>
                      <w:u w:val="single" w:color="auto"/>
                      <w:lang w:val="en-US" w:eastAsia="zh-CN"/>
                    </w:rPr>
                  </w:pPr>
                  <w:r>
                    <w:rPr>
                      <w:rFonts w:hint="eastAsia" w:cs="Times New Roman"/>
                      <w:sz w:val="22"/>
                      <w:szCs w:val="22"/>
                      <w:u w:val="single" w:color="auto"/>
                      <w:lang w:val="en-US" w:eastAsia="zh-CN"/>
                    </w:rPr>
                    <w:t>15</w:t>
                  </w:r>
                </w:p>
              </w:tc>
              <w:tc>
                <w:tcPr>
                  <w:tcW w:w="1281" w:type="pct"/>
                  <w:tcBorders>
                    <w:tl2br w:val="nil"/>
                    <w:tr2bl w:val="nil"/>
                  </w:tcBorders>
                  <w:vAlign w:val="center"/>
                </w:tcPr>
                <w:p>
                  <w:pPr>
                    <w:adjustRightInd w:val="0"/>
                    <w:snapToGrid w:val="0"/>
                    <w:jc w:val="center"/>
                    <w:rPr>
                      <w:rFonts w:hint="eastAsia" w:cs="Times New Roman"/>
                      <w:sz w:val="22"/>
                      <w:szCs w:val="22"/>
                      <w:u w:val="single" w:color="auto"/>
                      <w:lang w:val="en-US" w:eastAsia="zh-CN"/>
                    </w:rPr>
                  </w:pPr>
                  <w:r>
                    <w:rPr>
                      <w:rFonts w:hint="eastAsia"/>
                      <w:szCs w:val="21"/>
                      <w:u w:val="single" w:color="auto"/>
                    </w:rPr>
                    <w:t>软轴中包包装机</w:t>
                  </w:r>
                </w:p>
              </w:tc>
              <w:tc>
                <w:tcPr>
                  <w:tcW w:w="1226" w:type="pct"/>
                  <w:tcBorders>
                    <w:tl2br w:val="nil"/>
                    <w:tr2bl w:val="nil"/>
                  </w:tcBorders>
                  <w:vAlign w:val="center"/>
                </w:tcPr>
                <w:p>
                  <w:pPr>
                    <w:adjustRightInd w:val="0"/>
                    <w:snapToGrid w:val="0"/>
                    <w:jc w:val="center"/>
                    <w:rPr>
                      <w:rFonts w:hint="eastAsia" w:cs="Times New Roman"/>
                      <w:sz w:val="22"/>
                      <w:szCs w:val="22"/>
                      <w:u w:val="single" w:color="auto"/>
                      <w:lang w:val="en-US" w:eastAsia="zh-CN"/>
                    </w:rPr>
                  </w:pPr>
                  <w:r>
                    <w:rPr>
                      <w:rFonts w:hint="eastAsia"/>
                      <w:szCs w:val="21"/>
                      <w:u w:val="single" w:color="auto"/>
                    </w:rPr>
                    <w:t>JF-200E</w:t>
                  </w:r>
                </w:p>
              </w:tc>
              <w:tc>
                <w:tcPr>
                  <w:tcW w:w="1442" w:type="dxa"/>
                  <w:tcBorders>
                    <w:tl2br w:val="nil"/>
                    <w:tr2bl w:val="nil"/>
                  </w:tcBorders>
                  <w:vAlign w:val="center"/>
                </w:tcPr>
                <w:p>
                  <w:pPr>
                    <w:adjustRightInd w:val="0"/>
                    <w:snapToGrid w:val="0"/>
                    <w:jc w:val="center"/>
                    <w:rPr>
                      <w:rFonts w:hint="default" w:ascii="Times New Roman" w:hAnsi="Times New Roman" w:cs="Times New Roman"/>
                      <w:sz w:val="22"/>
                      <w:szCs w:val="22"/>
                      <w:u w:val="single" w:color="auto"/>
                      <w:lang w:val="en-US" w:eastAsia="zh-CN"/>
                    </w:rPr>
                  </w:pPr>
                  <w:r>
                    <w:rPr>
                      <w:rFonts w:hint="eastAsia"/>
                      <w:szCs w:val="21"/>
                      <w:u w:val="single" w:color="auto"/>
                      <w:lang w:val="en-US" w:eastAsia="zh-CN"/>
                    </w:rPr>
                    <w:t>1</w:t>
                  </w:r>
                </w:p>
              </w:tc>
              <w:tc>
                <w:tcPr>
                  <w:tcW w:w="1851" w:type="dxa"/>
                  <w:tcBorders>
                    <w:tl2br w:val="nil"/>
                    <w:tr2bl w:val="nil"/>
                  </w:tcBorders>
                  <w:vAlign w:val="center"/>
                </w:tcPr>
                <w:p>
                  <w:pPr>
                    <w:adjustRightInd w:val="0"/>
                    <w:snapToGrid w:val="0"/>
                    <w:jc w:val="center"/>
                    <w:rPr>
                      <w:rFonts w:hint="eastAsia" w:cs="Times New Roman"/>
                      <w:sz w:val="22"/>
                      <w:szCs w:val="22"/>
                      <w:u w:val="single" w:color="auto"/>
                      <w:lang w:val="en-US" w:eastAsia="zh-CN"/>
                    </w:rPr>
                  </w:pPr>
                  <w:r>
                    <w:rPr>
                      <w:rFonts w:hint="eastAsia"/>
                      <w:szCs w:val="21"/>
                      <w:u w:val="single" w:color="auto"/>
                    </w:rPr>
                    <w:t>包装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1" w:type="pct"/>
                  <w:tcBorders>
                    <w:tl2br w:val="nil"/>
                    <w:tr2bl w:val="nil"/>
                  </w:tcBorders>
                </w:tcPr>
                <w:p>
                  <w:pPr>
                    <w:adjustRightInd w:val="0"/>
                    <w:snapToGrid w:val="0"/>
                    <w:spacing w:line="360" w:lineRule="auto"/>
                    <w:ind w:firstLine="440" w:firstLineChars="200"/>
                    <w:rPr>
                      <w:rFonts w:hint="default" w:cs="Times New Roman"/>
                      <w:sz w:val="22"/>
                      <w:szCs w:val="22"/>
                      <w:u w:val="single" w:color="auto"/>
                      <w:lang w:val="en-US" w:eastAsia="zh-CN"/>
                    </w:rPr>
                  </w:pPr>
                  <w:r>
                    <w:rPr>
                      <w:rFonts w:hint="eastAsia" w:cs="Times New Roman"/>
                      <w:sz w:val="22"/>
                      <w:szCs w:val="22"/>
                      <w:u w:val="single" w:color="auto"/>
                      <w:lang w:val="en-US" w:eastAsia="zh-CN"/>
                    </w:rPr>
                    <w:t>16</w:t>
                  </w:r>
                </w:p>
              </w:tc>
              <w:tc>
                <w:tcPr>
                  <w:tcW w:w="1281" w:type="pct"/>
                  <w:tcBorders>
                    <w:tl2br w:val="nil"/>
                    <w:tr2bl w:val="nil"/>
                  </w:tcBorders>
                  <w:vAlign w:val="center"/>
                </w:tcPr>
                <w:p>
                  <w:pPr>
                    <w:adjustRightInd w:val="0"/>
                    <w:snapToGrid w:val="0"/>
                    <w:jc w:val="center"/>
                    <w:rPr>
                      <w:rFonts w:hint="eastAsia" w:cs="Times New Roman"/>
                      <w:sz w:val="22"/>
                      <w:szCs w:val="22"/>
                      <w:u w:val="single" w:color="auto"/>
                      <w:lang w:val="en-US" w:eastAsia="zh-CN"/>
                    </w:rPr>
                  </w:pPr>
                  <w:r>
                    <w:rPr>
                      <w:rFonts w:hint="eastAsia"/>
                      <w:szCs w:val="21"/>
                      <w:u w:val="single" w:color="auto"/>
                    </w:rPr>
                    <w:t>输送带软抽包装机</w:t>
                  </w:r>
                </w:p>
              </w:tc>
              <w:tc>
                <w:tcPr>
                  <w:tcW w:w="1226" w:type="pct"/>
                  <w:tcBorders>
                    <w:tl2br w:val="nil"/>
                    <w:tr2bl w:val="nil"/>
                  </w:tcBorders>
                  <w:vAlign w:val="center"/>
                </w:tcPr>
                <w:p>
                  <w:pPr>
                    <w:adjustRightInd w:val="0"/>
                    <w:snapToGrid w:val="0"/>
                    <w:jc w:val="center"/>
                    <w:rPr>
                      <w:rFonts w:hint="eastAsia" w:cs="Times New Roman"/>
                      <w:sz w:val="22"/>
                      <w:szCs w:val="22"/>
                      <w:u w:val="single" w:color="auto"/>
                      <w:lang w:val="en-US" w:eastAsia="zh-CN"/>
                    </w:rPr>
                  </w:pPr>
                  <w:r>
                    <w:rPr>
                      <w:rFonts w:hint="eastAsia"/>
                      <w:szCs w:val="21"/>
                      <w:u w:val="single" w:color="auto"/>
                    </w:rPr>
                    <w:t>JF-2030C</w:t>
                  </w:r>
                </w:p>
              </w:tc>
              <w:tc>
                <w:tcPr>
                  <w:tcW w:w="1442" w:type="dxa"/>
                  <w:tcBorders>
                    <w:tl2br w:val="nil"/>
                    <w:tr2bl w:val="nil"/>
                  </w:tcBorders>
                  <w:vAlign w:val="center"/>
                </w:tcPr>
                <w:p>
                  <w:pPr>
                    <w:adjustRightInd w:val="0"/>
                    <w:snapToGrid w:val="0"/>
                    <w:jc w:val="center"/>
                    <w:rPr>
                      <w:rFonts w:hint="default" w:ascii="Times New Roman" w:hAnsi="Times New Roman" w:cs="Times New Roman"/>
                      <w:sz w:val="22"/>
                      <w:szCs w:val="22"/>
                      <w:u w:val="single" w:color="auto"/>
                      <w:lang w:val="en-US" w:eastAsia="zh-CN"/>
                    </w:rPr>
                  </w:pPr>
                  <w:r>
                    <w:rPr>
                      <w:rFonts w:hint="eastAsia"/>
                      <w:szCs w:val="21"/>
                      <w:u w:val="single" w:color="auto"/>
                      <w:lang w:val="en-US" w:eastAsia="zh-CN"/>
                    </w:rPr>
                    <w:t>1</w:t>
                  </w:r>
                </w:p>
              </w:tc>
              <w:tc>
                <w:tcPr>
                  <w:tcW w:w="1851" w:type="dxa"/>
                  <w:tcBorders>
                    <w:tl2br w:val="nil"/>
                    <w:tr2bl w:val="nil"/>
                  </w:tcBorders>
                  <w:vAlign w:val="center"/>
                </w:tcPr>
                <w:p>
                  <w:pPr>
                    <w:adjustRightInd w:val="0"/>
                    <w:snapToGrid w:val="0"/>
                    <w:jc w:val="center"/>
                    <w:rPr>
                      <w:rFonts w:hint="eastAsia" w:cs="Times New Roman"/>
                      <w:sz w:val="22"/>
                      <w:szCs w:val="22"/>
                      <w:u w:val="single" w:color="auto"/>
                      <w:lang w:val="en-US" w:eastAsia="zh-CN"/>
                    </w:rPr>
                  </w:pPr>
                  <w:r>
                    <w:rPr>
                      <w:rFonts w:hint="eastAsia"/>
                      <w:szCs w:val="21"/>
                      <w:u w:val="single" w:color="auto"/>
                    </w:rPr>
                    <w:t>包装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1" w:type="pct"/>
                  <w:tcBorders>
                    <w:tl2br w:val="nil"/>
                    <w:tr2bl w:val="nil"/>
                  </w:tcBorders>
                </w:tcPr>
                <w:p>
                  <w:pPr>
                    <w:adjustRightInd w:val="0"/>
                    <w:snapToGrid w:val="0"/>
                    <w:spacing w:line="360" w:lineRule="auto"/>
                    <w:ind w:firstLine="440" w:firstLineChars="200"/>
                    <w:rPr>
                      <w:rFonts w:hint="default" w:cs="Times New Roman"/>
                      <w:sz w:val="22"/>
                      <w:szCs w:val="22"/>
                      <w:u w:val="single" w:color="auto"/>
                      <w:lang w:val="en-US" w:eastAsia="zh-CN"/>
                    </w:rPr>
                  </w:pPr>
                  <w:r>
                    <w:rPr>
                      <w:rFonts w:hint="eastAsia" w:cs="Times New Roman"/>
                      <w:sz w:val="22"/>
                      <w:szCs w:val="22"/>
                      <w:u w:val="single" w:color="auto"/>
                      <w:lang w:val="en-US" w:eastAsia="zh-CN"/>
                    </w:rPr>
                    <w:t>17</w:t>
                  </w:r>
                </w:p>
              </w:tc>
              <w:tc>
                <w:tcPr>
                  <w:tcW w:w="1281" w:type="pct"/>
                  <w:tcBorders>
                    <w:tl2br w:val="nil"/>
                    <w:tr2bl w:val="nil"/>
                  </w:tcBorders>
                  <w:vAlign w:val="center"/>
                </w:tcPr>
                <w:p>
                  <w:pPr>
                    <w:adjustRightInd w:val="0"/>
                    <w:snapToGrid w:val="0"/>
                    <w:jc w:val="center"/>
                    <w:rPr>
                      <w:rFonts w:hint="eastAsia" w:cs="Times New Roman"/>
                      <w:sz w:val="22"/>
                      <w:szCs w:val="22"/>
                      <w:u w:val="single" w:color="auto"/>
                      <w:lang w:val="en-US" w:eastAsia="zh-CN"/>
                    </w:rPr>
                  </w:pPr>
                  <w:r>
                    <w:rPr>
                      <w:rFonts w:hint="eastAsia"/>
                      <w:szCs w:val="21"/>
                      <w:u w:val="single" w:color="auto"/>
                    </w:rPr>
                    <w:t>擦手纸包装机</w:t>
                  </w:r>
                </w:p>
              </w:tc>
              <w:tc>
                <w:tcPr>
                  <w:tcW w:w="1226" w:type="pct"/>
                  <w:tcBorders>
                    <w:tl2br w:val="nil"/>
                    <w:tr2bl w:val="nil"/>
                  </w:tcBorders>
                  <w:vAlign w:val="center"/>
                </w:tcPr>
                <w:p>
                  <w:pPr>
                    <w:adjustRightInd w:val="0"/>
                    <w:snapToGrid w:val="0"/>
                    <w:jc w:val="center"/>
                    <w:rPr>
                      <w:rFonts w:hint="default" w:cs="Times New Roman"/>
                      <w:sz w:val="22"/>
                      <w:szCs w:val="22"/>
                      <w:u w:val="single" w:color="auto"/>
                      <w:lang w:val="en-US" w:eastAsia="zh-CN"/>
                    </w:rPr>
                  </w:pPr>
                  <w:r>
                    <w:rPr>
                      <w:rFonts w:hint="eastAsia" w:cs="Times New Roman"/>
                      <w:sz w:val="22"/>
                      <w:szCs w:val="22"/>
                      <w:u w:val="single" w:color="auto"/>
                      <w:lang w:val="en-US" w:eastAsia="zh-CN"/>
                    </w:rPr>
                    <w:t>/</w:t>
                  </w:r>
                </w:p>
              </w:tc>
              <w:tc>
                <w:tcPr>
                  <w:tcW w:w="1442" w:type="dxa"/>
                  <w:tcBorders>
                    <w:tl2br w:val="nil"/>
                    <w:tr2bl w:val="nil"/>
                  </w:tcBorders>
                  <w:vAlign w:val="center"/>
                </w:tcPr>
                <w:p>
                  <w:pPr>
                    <w:adjustRightInd w:val="0"/>
                    <w:snapToGrid w:val="0"/>
                    <w:jc w:val="center"/>
                    <w:rPr>
                      <w:rFonts w:hint="default" w:ascii="Times New Roman" w:hAnsi="Times New Roman" w:cs="Times New Roman"/>
                      <w:sz w:val="22"/>
                      <w:szCs w:val="22"/>
                      <w:u w:val="single" w:color="auto"/>
                      <w:lang w:val="en-US" w:eastAsia="zh-CN"/>
                    </w:rPr>
                  </w:pPr>
                  <w:r>
                    <w:rPr>
                      <w:rFonts w:hint="eastAsia"/>
                      <w:szCs w:val="21"/>
                      <w:u w:val="single" w:color="auto"/>
                      <w:lang w:val="en-US" w:eastAsia="zh-CN"/>
                    </w:rPr>
                    <w:t>1</w:t>
                  </w:r>
                </w:p>
              </w:tc>
              <w:tc>
                <w:tcPr>
                  <w:tcW w:w="1851" w:type="dxa"/>
                  <w:tcBorders>
                    <w:tl2br w:val="nil"/>
                    <w:tr2bl w:val="nil"/>
                  </w:tcBorders>
                  <w:vAlign w:val="center"/>
                </w:tcPr>
                <w:p>
                  <w:pPr>
                    <w:adjustRightInd w:val="0"/>
                    <w:snapToGrid w:val="0"/>
                    <w:jc w:val="center"/>
                    <w:rPr>
                      <w:rFonts w:hint="eastAsia" w:cs="Times New Roman"/>
                      <w:sz w:val="22"/>
                      <w:szCs w:val="22"/>
                      <w:u w:val="single" w:color="auto"/>
                      <w:lang w:val="en-US" w:eastAsia="zh-CN"/>
                    </w:rPr>
                  </w:pPr>
                  <w:r>
                    <w:rPr>
                      <w:rFonts w:hint="eastAsia"/>
                      <w:szCs w:val="21"/>
                      <w:u w:val="single" w:color="auto"/>
                    </w:rPr>
                    <w:t>包装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1" w:type="pct"/>
                  <w:tcBorders>
                    <w:tl2br w:val="nil"/>
                    <w:tr2bl w:val="nil"/>
                  </w:tcBorders>
                </w:tcPr>
                <w:p>
                  <w:pPr>
                    <w:adjustRightInd w:val="0"/>
                    <w:snapToGrid w:val="0"/>
                    <w:spacing w:line="360" w:lineRule="auto"/>
                    <w:ind w:firstLine="440" w:firstLineChars="200"/>
                    <w:rPr>
                      <w:rFonts w:hint="default" w:cs="Times New Roman"/>
                      <w:sz w:val="22"/>
                      <w:szCs w:val="22"/>
                      <w:u w:val="single" w:color="auto"/>
                      <w:lang w:val="en-US" w:eastAsia="zh-CN"/>
                    </w:rPr>
                  </w:pPr>
                  <w:r>
                    <w:rPr>
                      <w:rFonts w:hint="eastAsia" w:cs="Times New Roman"/>
                      <w:sz w:val="22"/>
                      <w:szCs w:val="22"/>
                      <w:u w:val="single" w:color="auto"/>
                      <w:lang w:val="en-US" w:eastAsia="zh-CN"/>
                    </w:rPr>
                    <w:t>18</w:t>
                  </w:r>
                </w:p>
              </w:tc>
              <w:tc>
                <w:tcPr>
                  <w:tcW w:w="1281" w:type="pct"/>
                  <w:tcBorders>
                    <w:tl2br w:val="nil"/>
                    <w:tr2bl w:val="nil"/>
                  </w:tcBorders>
                  <w:vAlign w:val="center"/>
                </w:tcPr>
                <w:p>
                  <w:pPr>
                    <w:adjustRightInd w:val="0"/>
                    <w:snapToGrid w:val="0"/>
                    <w:jc w:val="center"/>
                    <w:rPr>
                      <w:rFonts w:hint="eastAsia" w:cs="Times New Roman"/>
                      <w:sz w:val="22"/>
                      <w:szCs w:val="22"/>
                      <w:u w:val="single" w:color="auto"/>
                      <w:lang w:val="en-US" w:eastAsia="zh-CN"/>
                    </w:rPr>
                  </w:pPr>
                  <w:r>
                    <w:rPr>
                      <w:rFonts w:hint="eastAsia"/>
                      <w:szCs w:val="21"/>
                      <w:u w:val="single" w:color="auto"/>
                    </w:rPr>
                    <w:t>圆卷纸自动带锯切割机</w:t>
                  </w:r>
                </w:p>
              </w:tc>
              <w:tc>
                <w:tcPr>
                  <w:tcW w:w="1226" w:type="pct"/>
                  <w:tcBorders>
                    <w:tl2br w:val="nil"/>
                    <w:tr2bl w:val="nil"/>
                  </w:tcBorders>
                  <w:vAlign w:val="center"/>
                </w:tcPr>
                <w:p>
                  <w:pPr>
                    <w:adjustRightInd w:val="0"/>
                    <w:snapToGrid w:val="0"/>
                    <w:spacing w:line="360" w:lineRule="auto"/>
                    <w:jc w:val="center"/>
                    <w:rPr>
                      <w:rFonts w:hint="default" w:cs="Times New Roman"/>
                      <w:sz w:val="22"/>
                      <w:szCs w:val="22"/>
                      <w:u w:val="single" w:color="auto"/>
                      <w:lang w:val="en-US" w:eastAsia="zh-CN"/>
                    </w:rPr>
                  </w:pPr>
                  <w:r>
                    <w:rPr>
                      <w:rFonts w:hint="eastAsia" w:cs="Times New Roman"/>
                      <w:sz w:val="22"/>
                      <w:szCs w:val="22"/>
                      <w:u w:val="single" w:color="auto"/>
                      <w:lang w:val="en-US" w:eastAsia="zh-CN"/>
                    </w:rPr>
                    <w:t>/</w:t>
                  </w:r>
                </w:p>
              </w:tc>
              <w:tc>
                <w:tcPr>
                  <w:tcW w:w="1442" w:type="dxa"/>
                  <w:tcBorders>
                    <w:tl2br w:val="nil"/>
                    <w:tr2bl w:val="nil"/>
                  </w:tcBorders>
                  <w:vAlign w:val="center"/>
                </w:tcPr>
                <w:p>
                  <w:pPr>
                    <w:adjustRightInd w:val="0"/>
                    <w:snapToGrid w:val="0"/>
                    <w:jc w:val="center"/>
                    <w:rPr>
                      <w:rFonts w:hint="default" w:ascii="Times New Roman" w:hAnsi="Times New Roman" w:cs="Times New Roman"/>
                      <w:sz w:val="22"/>
                      <w:szCs w:val="22"/>
                      <w:u w:val="single" w:color="auto"/>
                      <w:lang w:val="en-US" w:eastAsia="zh-CN"/>
                    </w:rPr>
                  </w:pPr>
                  <w:r>
                    <w:rPr>
                      <w:rFonts w:hint="eastAsia"/>
                      <w:szCs w:val="21"/>
                      <w:u w:val="single" w:color="auto"/>
                      <w:lang w:val="en-US" w:eastAsia="zh-CN"/>
                    </w:rPr>
                    <w:t>1</w:t>
                  </w:r>
                </w:p>
              </w:tc>
              <w:tc>
                <w:tcPr>
                  <w:tcW w:w="1851" w:type="dxa"/>
                  <w:tcBorders>
                    <w:tl2br w:val="nil"/>
                    <w:tr2bl w:val="nil"/>
                  </w:tcBorders>
                  <w:vAlign w:val="center"/>
                </w:tcPr>
                <w:p>
                  <w:pPr>
                    <w:adjustRightInd w:val="0"/>
                    <w:snapToGrid w:val="0"/>
                    <w:jc w:val="center"/>
                    <w:rPr>
                      <w:rFonts w:hint="eastAsia" w:cs="Times New Roman"/>
                      <w:sz w:val="22"/>
                      <w:szCs w:val="22"/>
                      <w:u w:val="single" w:color="auto"/>
                      <w:lang w:val="en-US" w:eastAsia="zh-CN"/>
                    </w:rPr>
                  </w:pPr>
                  <w:r>
                    <w:rPr>
                      <w:rFonts w:hint="eastAsia"/>
                      <w:szCs w:val="21"/>
                      <w:u w:val="single" w:color="auto"/>
                    </w:rPr>
                    <w:t>切纸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1" w:type="pct"/>
                  <w:tcBorders>
                    <w:tl2br w:val="nil"/>
                    <w:tr2bl w:val="nil"/>
                  </w:tcBorders>
                </w:tcPr>
                <w:p>
                  <w:pPr>
                    <w:adjustRightInd w:val="0"/>
                    <w:snapToGrid w:val="0"/>
                    <w:spacing w:line="360" w:lineRule="auto"/>
                    <w:ind w:firstLine="440" w:firstLineChars="200"/>
                    <w:rPr>
                      <w:rFonts w:hint="default" w:cs="Times New Roman"/>
                      <w:sz w:val="22"/>
                      <w:szCs w:val="22"/>
                      <w:u w:val="single" w:color="auto"/>
                      <w:lang w:val="en-US" w:eastAsia="zh-CN"/>
                    </w:rPr>
                  </w:pPr>
                  <w:r>
                    <w:rPr>
                      <w:rFonts w:hint="eastAsia" w:cs="Times New Roman"/>
                      <w:sz w:val="22"/>
                      <w:szCs w:val="22"/>
                      <w:u w:val="single" w:color="auto"/>
                      <w:lang w:val="en-US" w:eastAsia="zh-CN"/>
                    </w:rPr>
                    <w:t>19</w:t>
                  </w:r>
                </w:p>
              </w:tc>
              <w:tc>
                <w:tcPr>
                  <w:tcW w:w="1281" w:type="pct"/>
                  <w:tcBorders>
                    <w:tl2br w:val="nil"/>
                    <w:tr2bl w:val="nil"/>
                  </w:tcBorders>
                  <w:vAlign w:val="center"/>
                </w:tcPr>
                <w:p>
                  <w:pPr>
                    <w:adjustRightInd w:val="0"/>
                    <w:snapToGrid w:val="0"/>
                    <w:jc w:val="center"/>
                    <w:rPr>
                      <w:rFonts w:hint="eastAsia" w:cs="Times New Roman"/>
                      <w:sz w:val="22"/>
                      <w:szCs w:val="22"/>
                      <w:u w:val="single" w:color="auto"/>
                      <w:lang w:val="en-US" w:eastAsia="zh-CN"/>
                    </w:rPr>
                  </w:pPr>
                  <w:r>
                    <w:rPr>
                      <w:rFonts w:hint="eastAsia"/>
                      <w:szCs w:val="21"/>
                      <w:u w:val="single" w:color="auto"/>
                    </w:rPr>
                    <w:t>分流输送机</w:t>
                  </w:r>
                </w:p>
              </w:tc>
              <w:tc>
                <w:tcPr>
                  <w:tcW w:w="1226" w:type="pct"/>
                  <w:tcBorders>
                    <w:tl2br w:val="nil"/>
                    <w:tr2bl w:val="nil"/>
                  </w:tcBorders>
                  <w:vAlign w:val="center"/>
                </w:tcPr>
                <w:p>
                  <w:pPr>
                    <w:adjustRightInd w:val="0"/>
                    <w:snapToGrid w:val="0"/>
                    <w:spacing w:line="360" w:lineRule="auto"/>
                    <w:jc w:val="center"/>
                    <w:rPr>
                      <w:rFonts w:hint="default" w:cs="Times New Roman"/>
                      <w:sz w:val="22"/>
                      <w:szCs w:val="22"/>
                      <w:u w:val="single" w:color="auto"/>
                      <w:lang w:val="en-US" w:eastAsia="zh-CN"/>
                    </w:rPr>
                  </w:pPr>
                  <w:r>
                    <w:rPr>
                      <w:rFonts w:hint="eastAsia" w:cs="Times New Roman"/>
                      <w:sz w:val="22"/>
                      <w:szCs w:val="22"/>
                      <w:u w:val="single" w:color="auto"/>
                      <w:lang w:val="en-US" w:eastAsia="zh-CN"/>
                    </w:rPr>
                    <w:t>/</w:t>
                  </w:r>
                </w:p>
              </w:tc>
              <w:tc>
                <w:tcPr>
                  <w:tcW w:w="1442" w:type="dxa"/>
                  <w:tcBorders>
                    <w:tl2br w:val="nil"/>
                    <w:tr2bl w:val="nil"/>
                  </w:tcBorders>
                  <w:vAlign w:val="center"/>
                </w:tcPr>
                <w:p>
                  <w:pPr>
                    <w:adjustRightInd w:val="0"/>
                    <w:snapToGrid w:val="0"/>
                    <w:jc w:val="center"/>
                    <w:rPr>
                      <w:rFonts w:hint="default" w:ascii="Times New Roman" w:hAnsi="Times New Roman" w:cs="Times New Roman"/>
                      <w:sz w:val="22"/>
                      <w:szCs w:val="22"/>
                      <w:u w:val="single" w:color="auto"/>
                      <w:lang w:val="en-US" w:eastAsia="zh-CN"/>
                    </w:rPr>
                  </w:pPr>
                  <w:r>
                    <w:rPr>
                      <w:rFonts w:hint="eastAsia"/>
                      <w:szCs w:val="21"/>
                      <w:u w:val="single" w:color="auto"/>
                      <w:lang w:val="en-US" w:eastAsia="zh-CN"/>
                    </w:rPr>
                    <w:t>1</w:t>
                  </w:r>
                </w:p>
              </w:tc>
              <w:tc>
                <w:tcPr>
                  <w:tcW w:w="1851" w:type="dxa"/>
                  <w:tcBorders>
                    <w:tl2br w:val="nil"/>
                    <w:tr2bl w:val="nil"/>
                  </w:tcBorders>
                  <w:vAlign w:val="center"/>
                </w:tcPr>
                <w:p>
                  <w:pPr>
                    <w:adjustRightInd w:val="0"/>
                    <w:snapToGrid w:val="0"/>
                    <w:jc w:val="center"/>
                    <w:rPr>
                      <w:rFonts w:hint="eastAsia" w:cs="Times New Roman"/>
                      <w:sz w:val="22"/>
                      <w:szCs w:val="22"/>
                      <w:u w:val="single" w:color="auto"/>
                      <w:lang w:val="en-US" w:eastAsia="zh-CN"/>
                    </w:rPr>
                  </w:pPr>
                  <w:r>
                    <w:rPr>
                      <w:rFonts w:hint="eastAsia"/>
                      <w:szCs w:val="21"/>
                      <w:u w:val="single" w:color="auto"/>
                    </w:rPr>
                    <w:t>输送</w:t>
                  </w:r>
                </w:p>
              </w:tc>
            </w:tr>
          </w:tbl>
          <w:p>
            <w:pPr>
              <w:spacing w:line="360" w:lineRule="auto"/>
              <w:ind w:firstLine="456" w:firstLineChars="200"/>
              <w:rPr>
                <w:rFonts w:hint="eastAsia" w:cs="Times New Roman"/>
                <w:b/>
                <w:sz w:val="24"/>
                <w:szCs w:val="24"/>
                <w:u w:val="single" w:color="auto"/>
                <w:lang w:val="en-US" w:eastAsia="zh-CN"/>
              </w:rPr>
            </w:pPr>
            <w:r>
              <w:rPr>
                <w:color w:val="auto"/>
                <w:spacing w:val="-6"/>
                <w:sz w:val="24"/>
                <w:u w:val="single" w:color="auto"/>
              </w:rPr>
              <w:t>项目设备</w:t>
            </w:r>
            <w:r>
              <w:rPr>
                <w:rFonts w:hint="default" w:ascii="Times New Roman" w:hAnsi="Times New Roman" w:eastAsia="宋体" w:cs="Times New Roman"/>
                <w:bCs/>
                <w:color w:val="auto"/>
                <w:sz w:val="24"/>
                <w:szCs w:val="24"/>
                <w:u w:val="single" w:color="auto"/>
              </w:rPr>
              <w:t>无国家发改委《产业结构调整指导目录》（2019 年本）</w:t>
            </w:r>
            <w:r>
              <w:rPr>
                <w:rFonts w:hint="eastAsia" w:ascii="Times New Roman" w:hAnsi="Times New Roman" w:eastAsia="宋体" w:cs="Times New Roman"/>
                <w:bCs/>
                <w:color w:val="auto"/>
                <w:sz w:val="24"/>
                <w:szCs w:val="24"/>
                <w:u w:val="single" w:color="auto"/>
                <w:lang w:eastAsia="zh-CN"/>
              </w:rPr>
              <w:t>、</w:t>
            </w:r>
            <w:r>
              <w:rPr>
                <w:rFonts w:hint="default" w:ascii="Times New Roman" w:hAnsi="Times New Roman" w:eastAsia="宋体" w:cs="Times New Roman"/>
                <w:bCs/>
                <w:color w:val="auto"/>
                <w:sz w:val="24"/>
                <w:szCs w:val="24"/>
                <w:u w:val="single" w:color="auto"/>
              </w:rPr>
              <w:t>《工业和信息化部高耗能落后机电设备（产品）淘汰目录》、《部分工业行业淘汰落后生产工艺装备和产品指导目录》中淘汰及明令禁止使用的设备</w:t>
            </w:r>
            <w:r>
              <w:rPr>
                <w:rFonts w:hint="eastAsia" w:ascii="Times New Roman" w:hAnsi="Times New Roman" w:cs="Times New Roman"/>
                <w:bCs/>
                <w:color w:val="auto"/>
                <w:sz w:val="24"/>
                <w:szCs w:val="24"/>
                <w:u w:val="single" w:color="auto"/>
                <w:lang w:eastAsia="zh-CN"/>
              </w:rPr>
              <w:t>。</w:t>
            </w:r>
          </w:p>
          <w:p>
            <w:pPr>
              <w:ind w:firstLine="482" w:firstLineChars="200"/>
              <w:rPr>
                <w:rFonts w:hint="eastAsia" w:cs="Times New Roman"/>
                <w:b/>
                <w:sz w:val="24"/>
                <w:szCs w:val="24"/>
                <w:u w:val="single" w:color="auto"/>
                <w:lang w:val="en-US" w:eastAsia="zh-CN"/>
              </w:rPr>
            </w:pPr>
          </w:p>
          <w:p>
            <w:pPr>
              <w:ind w:firstLine="482" w:firstLineChars="200"/>
              <w:rPr>
                <w:rFonts w:hint="eastAsia" w:cs="Times New Roman"/>
                <w:b/>
                <w:sz w:val="24"/>
                <w:szCs w:val="24"/>
                <w:u w:val="single" w:color="auto"/>
                <w:lang w:val="en-US" w:eastAsia="zh-CN"/>
              </w:rPr>
            </w:pPr>
          </w:p>
          <w:p>
            <w:pPr>
              <w:ind w:firstLine="482" w:firstLineChars="200"/>
              <w:rPr>
                <w:rFonts w:hint="eastAsia" w:cs="Times New Roman"/>
                <w:b/>
                <w:sz w:val="24"/>
                <w:szCs w:val="24"/>
                <w:u w:val="single" w:color="auto"/>
                <w:lang w:val="en-US" w:eastAsia="zh-CN"/>
              </w:rPr>
            </w:pPr>
          </w:p>
          <w:p>
            <w:pPr>
              <w:ind w:firstLine="482" w:firstLineChars="200"/>
              <w:rPr>
                <w:rFonts w:hint="default" w:ascii="Times New Roman" w:hAnsi="Times New Roman" w:cs="Times New Roman"/>
                <w:b/>
                <w:sz w:val="24"/>
                <w:szCs w:val="24"/>
                <w:u w:val="single" w:color="auto"/>
              </w:rPr>
            </w:pPr>
            <w:r>
              <w:rPr>
                <w:rFonts w:hint="eastAsia" w:cs="Times New Roman"/>
                <w:b/>
                <w:sz w:val="24"/>
                <w:szCs w:val="24"/>
                <w:u w:val="single" w:color="auto"/>
                <w:lang w:val="en-US" w:eastAsia="zh-CN"/>
              </w:rPr>
              <w:t>5</w:t>
            </w:r>
            <w:r>
              <w:rPr>
                <w:rFonts w:hint="default" w:ascii="Times New Roman" w:hAnsi="Times New Roman" w:cs="Times New Roman"/>
                <w:b/>
                <w:sz w:val="24"/>
                <w:szCs w:val="24"/>
                <w:u w:val="single" w:color="auto"/>
              </w:rPr>
              <w:t>、产品方案及原辅材料消耗</w:t>
            </w:r>
          </w:p>
          <w:p>
            <w:pPr>
              <w:spacing w:line="500" w:lineRule="exact"/>
              <w:ind w:firstLine="480" w:firstLineChars="200"/>
              <w:jc w:val="left"/>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（1）本项目产品方案见表1-3。</w:t>
            </w:r>
          </w:p>
          <w:p>
            <w:pPr>
              <w:jc w:val="center"/>
              <w:rPr>
                <w:rFonts w:hint="default" w:ascii="Times New Roman" w:hAnsi="Times New Roman" w:cs="Times New Roman"/>
                <w:sz w:val="24"/>
                <w:szCs w:val="24"/>
                <w:u w:val="single" w:color="auto"/>
              </w:rPr>
            </w:pPr>
            <w:r>
              <w:rPr>
                <w:rFonts w:hint="default" w:ascii="Times New Roman" w:hAnsi="Times New Roman" w:cs="Times New Roman"/>
                <w:b/>
                <w:bCs/>
                <w:sz w:val="24"/>
                <w:szCs w:val="24"/>
                <w:u w:val="single" w:color="auto"/>
              </w:rPr>
              <w:t>表1-3  产品方案一览表</w:t>
            </w:r>
          </w:p>
          <w:tbl>
            <w:tblPr>
              <w:tblStyle w:val="40"/>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780"/>
              <w:gridCol w:w="1883"/>
              <w:gridCol w:w="1767"/>
              <w:gridCol w:w="36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980" w:type="pct"/>
                  <w:tcBorders>
                    <w:tl2br w:val="nil"/>
                    <w:tr2bl w:val="nil"/>
                  </w:tcBorders>
                  <w:vAlign w:val="center"/>
                </w:tcPr>
                <w:p>
                  <w:pPr>
                    <w:pStyle w:val="171"/>
                    <w:spacing w:line="360" w:lineRule="auto"/>
                    <w:rPr>
                      <w:rFonts w:hint="default" w:ascii="Times New Roman" w:hAnsi="Times New Roman" w:cs="Times New Roman"/>
                      <w:b/>
                      <w:sz w:val="22"/>
                      <w:szCs w:val="22"/>
                      <w:u w:val="single" w:color="auto"/>
                    </w:rPr>
                  </w:pPr>
                  <w:r>
                    <w:rPr>
                      <w:rFonts w:hint="default" w:ascii="Times New Roman" w:hAnsi="Times New Roman" w:cs="Times New Roman"/>
                      <w:b/>
                      <w:sz w:val="22"/>
                      <w:szCs w:val="22"/>
                      <w:u w:val="single" w:color="auto"/>
                    </w:rPr>
                    <w:t>产品名称</w:t>
                  </w:r>
                </w:p>
              </w:tc>
              <w:tc>
                <w:tcPr>
                  <w:tcW w:w="2010" w:type="pct"/>
                  <w:gridSpan w:val="2"/>
                  <w:tcBorders>
                    <w:tl2br w:val="nil"/>
                    <w:tr2bl w:val="nil"/>
                  </w:tcBorders>
                  <w:vAlign w:val="center"/>
                </w:tcPr>
                <w:p>
                  <w:pPr>
                    <w:pStyle w:val="171"/>
                    <w:spacing w:line="360" w:lineRule="auto"/>
                    <w:rPr>
                      <w:rFonts w:hint="default" w:ascii="Times New Roman" w:hAnsi="Times New Roman" w:cs="Times New Roman"/>
                      <w:b/>
                      <w:sz w:val="22"/>
                      <w:szCs w:val="22"/>
                      <w:u w:val="single" w:color="auto"/>
                    </w:rPr>
                  </w:pPr>
                  <w:r>
                    <w:rPr>
                      <w:rFonts w:hint="default" w:ascii="Times New Roman" w:hAnsi="Times New Roman" w:cs="Times New Roman"/>
                      <w:b/>
                      <w:sz w:val="22"/>
                      <w:szCs w:val="22"/>
                      <w:u w:val="single" w:color="auto"/>
                    </w:rPr>
                    <w:t>年</w:t>
                  </w:r>
                  <w:r>
                    <w:rPr>
                      <w:rFonts w:hint="eastAsia" w:cs="Times New Roman"/>
                      <w:b/>
                      <w:sz w:val="22"/>
                      <w:szCs w:val="22"/>
                      <w:u w:val="single" w:color="auto"/>
                      <w:lang w:eastAsia="zh-CN"/>
                    </w:rPr>
                    <w:t>产</w:t>
                  </w:r>
                  <w:r>
                    <w:rPr>
                      <w:rFonts w:hint="default" w:ascii="Times New Roman" w:hAnsi="Times New Roman" w:cs="Times New Roman"/>
                      <w:b/>
                      <w:sz w:val="22"/>
                      <w:szCs w:val="22"/>
                      <w:u w:val="single" w:color="auto"/>
                    </w:rPr>
                    <w:t>（</w:t>
                  </w:r>
                  <w:r>
                    <w:rPr>
                      <w:rFonts w:hint="eastAsia" w:cs="Times New Roman"/>
                      <w:b/>
                      <w:sz w:val="22"/>
                      <w:szCs w:val="22"/>
                      <w:u w:val="single" w:color="auto"/>
                      <w:lang w:val="en-US" w:eastAsia="zh-CN"/>
                    </w:rPr>
                    <w:t>吨</w:t>
                  </w:r>
                  <w:r>
                    <w:rPr>
                      <w:rFonts w:hint="default" w:ascii="Times New Roman" w:hAnsi="Times New Roman" w:cs="Times New Roman"/>
                      <w:b/>
                      <w:sz w:val="22"/>
                      <w:szCs w:val="22"/>
                      <w:u w:val="single" w:color="auto"/>
                    </w:rPr>
                    <w:t>）</w:t>
                  </w:r>
                </w:p>
              </w:tc>
              <w:tc>
                <w:tcPr>
                  <w:tcW w:w="2008" w:type="pct"/>
                  <w:tcBorders>
                    <w:tl2br w:val="nil"/>
                    <w:tr2bl w:val="nil"/>
                  </w:tcBorders>
                  <w:vAlign w:val="center"/>
                </w:tcPr>
                <w:p>
                  <w:pPr>
                    <w:pStyle w:val="171"/>
                    <w:spacing w:line="360" w:lineRule="auto"/>
                    <w:rPr>
                      <w:rFonts w:hint="default" w:ascii="Times New Roman" w:hAnsi="Times New Roman" w:eastAsia="宋体" w:cs="Times New Roman"/>
                      <w:b/>
                      <w:sz w:val="22"/>
                      <w:szCs w:val="22"/>
                      <w:u w:val="single" w:color="auto"/>
                      <w:lang w:val="en-US" w:eastAsia="zh-CN"/>
                    </w:rPr>
                  </w:pPr>
                  <w:r>
                    <w:rPr>
                      <w:rFonts w:hint="eastAsia" w:cs="Times New Roman"/>
                      <w:b/>
                      <w:sz w:val="22"/>
                      <w:szCs w:val="22"/>
                      <w:u w:val="single" w:color="auto"/>
                      <w:lang w:val="en-US" w:eastAsia="zh-CN"/>
                    </w:rPr>
                    <w:t>用途或规格型号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980" w:type="pct"/>
                  <w:vMerge w:val="restart"/>
                  <w:tcBorders>
                    <w:tl2br w:val="nil"/>
                    <w:tr2bl w:val="nil"/>
                  </w:tcBorders>
                  <w:vAlign w:val="center"/>
                </w:tcPr>
                <w:p>
                  <w:pPr>
                    <w:pStyle w:val="171"/>
                    <w:spacing w:line="360" w:lineRule="auto"/>
                    <w:rPr>
                      <w:rFonts w:hint="default" w:ascii="Times New Roman" w:hAnsi="Times New Roman" w:eastAsia="宋体" w:cs="Times New Roman"/>
                      <w:sz w:val="22"/>
                      <w:szCs w:val="22"/>
                      <w:u w:val="single" w:color="auto"/>
                      <w:lang w:eastAsia="zh-CN"/>
                    </w:rPr>
                  </w:pPr>
                  <w:r>
                    <w:rPr>
                      <w:rFonts w:hint="eastAsia" w:cs="Times New Roman"/>
                      <w:sz w:val="22"/>
                      <w:szCs w:val="22"/>
                      <w:u w:val="single" w:color="auto"/>
                      <w:lang w:val="en-US" w:eastAsia="zh-CN"/>
                    </w:rPr>
                    <w:t>卫生纸</w:t>
                  </w:r>
                </w:p>
              </w:tc>
              <w:tc>
                <w:tcPr>
                  <w:tcW w:w="1037" w:type="pct"/>
                  <w:tcBorders>
                    <w:tl2br w:val="nil"/>
                    <w:tr2bl w:val="nil"/>
                  </w:tcBorders>
                  <w:vAlign w:val="center"/>
                </w:tcPr>
                <w:p>
                  <w:pPr>
                    <w:pStyle w:val="171"/>
                    <w:spacing w:line="360" w:lineRule="auto"/>
                    <w:rPr>
                      <w:rFonts w:hint="default" w:ascii="Times New Roman" w:hAnsi="Times New Roman" w:eastAsia="宋体" w:cs="Times New Roman"/>
                      <w:sz w:val="22"/>
                      <w:szCs w:val="22"/>
                      <w:u w:val="single" w:color="auto"/>
                      <w:lang w:val="en-US" w:eastAsia="zh-CN"/>
                    </w:rPr>
                  </w:pPr>
                  <w:r>
                    <w:rPr>
                      <w:rFonts w:hint="eastAsia" w:cs="Times New Roman"/>
                      <w:sz w:val="22"/>
                      <w:szCs w:val="22"/>
                      <w:u w:val="single" w:color="auto"/>
                      <w:lang w:val="en-US" w:eastAsia="zh-CN"/>
                    </w:rPr>
                    <w:t>大卷纸</w:t>
                  </w:r>
                </w:p>
              </w:tc>
              <w:tc>
                <w:tcPr>
                  <w:tcW w:w="973" w:type="pct"/>
                  <w:tcBorders>
                    <w:tl2br w:val="nil"/>
                    <w:tr2bl w:val="nil"/>
                  </w:tcBorders>
                  <w:vAlign w:val="center"/>
                </w:tcPr>
                <w:p>
                  <w:pPr>
                    <w:pStyle w:val="171"/>
                    <w:spacing w:line="360" w:lineRule="auto"/>
                    <w:rPr>
                      <w:rFonts w:hint="default" w:cs="Times New Roman"/>
                      <w:sz w:val="22"/>
                      <w:szCs w:val="22"/>
                      <w:u w:val="single" w:color="auto"/>
                      <w:lang w:val="en-US" w:eastAsia="zh-CN"/>
                    </w:rPr>
                  </w:pPr>
                  <w:r>
                    <w:rPr>
                      <w:rFonts w:hint="eastAsia" w:cs="Times New Roman"/>
                      <w:sz w:val="22"/>
                      <w:szCs w:val="22"/>
                      <w:u w:val="single" w:color="auto"/>
                      <w:lang w:val="en-US" w:eastAsia="zh-CN"/>
                    </w:rPr>
                    <w:t>400</w:t>
                  </w:r>
                </w:p>
              </w:tc>
              <w:tc>
                <w:tcPr>
                  <w:tcW w:w="2008" w:type="pct"/>
                  <w:tcBorders>
                    <w:tl2br w:val="nil"/>
                    <w:tr2bl w:val="nil"/>
                  </w:tcBorders>
                  <w:vAlign w:val="center"/>
                </w:tcPr>
                <w:p>
                  <w:pPr>
                    <w:pStyle w:val="171"/>
                    <w:spacing w:line="360" w:lineRule="auto"/>
                    <w:rPr>
                      <w:rFonts w:hint="eastAsia" w:eastAsia="宋体" w:cs="Times New Roman"/>
                      <w:sz w:val="22"/>
                      <w:szCs w:val="22"/>
                      <w:u w:val="single" w:color="auto"/>
                      <w:lang w:val="en-US" w:eastAsia="zh-CN"/>
                    </w:rPr>
                  </w:pPr>
                  <w:r>
                    <w:rPr>
                      <w:rFonts w:hint="eastAsia" w:eastAsia="宋体" w:cs="Times New Roman"/>
                      <w:sz w:val="22"/>
                      <w:szCs w:val="22"/>
                      <w:u w:val="single" w:color="auto"/>
                      <w:lang w:val="en-US" w:eastAsia="zh-CN"/>
                    </w:rPr>
                    <w:t>700-1100g/卷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6" w:hRule="atLeast"/>
                <w:jc w:val="center"/>
              </w:trPr>
              <w:tc>
                <w:tcPr>
                  <w:tcW w:w="980" w:type="pct"/>
                  <w:vMerge w:val="continue"/>
                  <w:tcBorders>
                    <w:tl2br w:val="nil"/>
                    <w:tr2bl w:val="nil"/>
                  </w:tcBorders>
                  <w:vAlign w:val="center"/>
                </w:tcPr>
                <w:p>
                  <w:pPr>
                    <w:pStyle w:val="171"/>
                    <w:spacing w:line="360" w:lineRule="auto"/>
                    <w:rPr>
                      <w:rFonts w:hint="eastAsia" w:cs="Times New Roman"/>
                      <w:sz w:val="22"/>
                      <w:szCs w:val="22"/>
                      <w:u w:val="single" w:color="auto"/>
                      <w:lang w:eastAsia="zh-CN"/>
                    </w:rPr>
                  </w:pPr>
                </w:p>
              </w:tc>
              <w:tc>
                <w:tcPr>
                  <w:tcW w:w="1037" w:type="pct"/>
                  <w:tcBorders>
                    <w:tl2br w:val="nil"/>
                    <w:tr2bl w:val="nil"/>
                  </w:tcBorders>
                  <w:vAlign w:val="center"/>
                </w:tcPr>
                <w:p>
                  <w:pPr>
                    <w:pStyle w:val="171"/>
                    <w:spacing w:line="360" w:lineRule="auto"/>
                    <w:rPr>
                      <w:rFonts w:hint="default" w:cs="Times New Roman"/>
                      <w:sz w:val="22"/>
                      <w:szCs w:val="22"/>
                      <w:u w:val="single" w:color="auto"/>
                      <w:lang w:val="en-US" w:eastAsia="zh-CN"/>
                    </w:rPr>
                  </w:pPr>
                  <w:r>
                    <w:rPr>
                      <w:rFonts w:hint="eastAsia" w:cs="Times New Roman"/>
                      <w:sz w:val="22"/>
                      <w:szCs w:val="22"/>
                      <w:u w:val="single" w:color="auto"/>
                      <w:lang w:val="en-US" w:eastAsia="zh-CN"/>
                    </w:rPr>
                    <w:t>小卷纸</w:t>
                  </w:r>
                </w:p>
              </w:tc>
              <w:tc>
                <w:tcPr>
                  <w:tcW w:w="973" w:type="pct"/>
                  <w:tcBorders>
                    <w:tl2br w:val="nil"/>
                    <w:tr2bl w:val="nil"/>
                  </w:tcBorders>
                  <w:vAlign w:val="center"/>
                </w:tcPr>
                <w:p>
                  <w:pPr>
                    <w:pStyle w:val="171"/>
                    <w:spacing w:line="360" w:lineRule="auto"/>
                    <w:rPr>
                      <w:rFonts w:hint="default" w:cs="Times New Roman"/>
                      <w:sz w:val="22"/>
                      <w:szCs w:val="22"/>
                      <w:u w:val="single" w:color="auto"/>
                      <w:lang w:val="en-US" w:eastAsia="zh-CN"/>
                    </w:rPr>
                  </w:pPr>
                  <w:r>
                    <w:rPr>
                      <w:rFonts w:hint="eastAsia" w:cs="Times New Roman"/>
                      <w:sz w:val="22"/>
                      <w:szCs w:val="22"/>
                      <w:u w:val="single" w:color="auto"/>
                      <w:lang w:val="en-US" w:eastAsia="zh-CN"/>
                    </w:rPr>
                    <w:t>400</w:t>
                  </w:r>
                </w:p>
              </w:tc>
              <w:tc>
                <w:tcPr>
                  <w:tcW w:w="2008" w:type="pct"/>
                  <w:tcBorders>
                    <w:tl2br w:val="nil"/>
                    <w:tr2bl w:val="nil"/>
                  </w:tcBorders>
                  <w:vAlign w:val="center"/>
                </w:tcPr>
                <w:p>
                  <w:pPr>
                    <w:pStyle w:val="171"/>
                    <w:spacing w:line="360" w:lineRule="auto"/>
                    <w:rPr>
                      <w:rFonts w:hint="default" w:eastAsia="宋体" w:cs="Times New Roman"/>
                      <w:sz w:val="22"/>
                      <w:szCs w:val="22"/>
                      <w:u w:val="single" w:color="auto"/>
                      <w:lang w:val="en-US" w:eastAsia="zh-CN"/>
                    </w:rPr>
                  </w:pPr>
                  <w:r>
                    <w:rPr>
                      <w:rFonts w:hint="eastAsia" w:eastAsia="宋体" w:cs="Times New Roman"/>
                      <w:sz w:val="22"/>
                      <w:szCs w:val="22"/>
                      <w:u w:val="single" w:color="auto"/>
                      <w:lang w:val="en-US" w:eastAsia="zh-CN"/>
                    </w:rPr>
                    <w:t>110-220g/卷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80" w:type="pct"/>
                  <w:vMerge w:val="continue"/>
                  <w:tcBorders>
                    <w:tl2br w:val="nil"/>
                    <w:tr2bl w:val="nil"/>
                  </w:tcBorders>
                  <w:vAlign w:val="center"/>
                </w:tcPr>
                <w:p>
                  <w:pPr>
                    <w:pStyle w:val="171"/>
                    <w:spacing w:line="360" w:lineRule="auto"/>
                    <w:rPr>
                      <w:rFonts w:hint="eastAsia" w:cs="Times New Roman"/>
                      <w:sz w:val="22"/>
                      <w:szCs w:val="22"/>
                      <w:u w:val="single" w:color="auto"/>
                      <w:lang w:eastAsia="zh-CN"/>
                    </w:rPr>
                  </w:pPr>
                </w:p>
              </w:tc>
              <w:tc>
                <w:tcPr>
                  <w:tcW w:w="1037" w:type="pct"/>
                  <w:tcBorders>
                    <w:tl2br w:val="nil"/>
                    <w:tr2bl w:val="nil"/>
                  </w:tcBorders>
                  <w:vAlign w:val="center"/>
                </w:tcPr>
                <w:p>
                  <w:pPr>
                    <w:pStyle w:val="171"/>
                    <w:spacing w:line="360" w:lineRule="auto"/>
                    <w:rPr>
                      <w:rFonts w:hint="default" w:cs="Times New Roman"/>
                      <w:sz w:val="22"/>
                      <w:szCs w:val="22"/>
                      <w:u w:val="single" w:color="auto"/>
                      <w:lang w:val="en-US" w:eastAsia="zh-CN"/>
                    </w:rPr>
                  </w:pPr>
                  <w:r>
                    <w:rPr>
                      <w:rFonts w:hint="eastAsia" w:cs="Times New Roman"/>
                      <w:sz w:val="22"/>
                      <w:szCs w:val="22"/>
                      <w:u w:val="single" w:color="auto"/>
                      <w:lang w:val="en-US" w:eastAsia="zh-CN"/>
                    </w:rPr>
                    <w:t>擦手纸</w:t>
                  </w:r>
                </w:p>
              </w:tc>
              <w:tc>
                <w:tcPr>
                  <w:tcW w:w="973" w:type="pct"/>
                  <w:tcBorders>
                    <w:tl2br w:val="nil"/>
                    <w:tr2bl w:val="nil"/>
                  </w:tcBorders>
                  <w:vAlign w:val="center"/>
                </w:tcPr>
                <w:p>
                  <w:pPr>
                    <w:pStyle w:val="171"/>
                    <w:spacing w:line="360" w:lineRule="auto"/>
                    <w:rPr>
                      <w:rFonts w:hint="default" w:cs="Times New Roman"/>
                      <w:sz w:val="22"/>
                      <w:szCs w:val="22"/>
                      <w:u w:val="single" w:color="auto"/>
                      <w:lang w:val="en-US" w:eastAsia="zh-CN"/>
                    </w:rPr>
                  </w:pPr>
                  <w:r>
                    <w:rPr>
                      <w:rFonts w:hint="eastAsia" w:cs="Times New Roman"/>
                      <w:sz w:val="22"/>
                      <w:szCs w:val="22"/>
                      <w:u w:val="single" w:color="auto"/>
                      <w:lang w:val="en-US" w:eastAsia="zh-CN"/>
                    </w:rPr>
                    <w:t>600</w:t>
                  </w:r>
                </w:p>
              </w:tc>
              <w:tc>
                <w:tcPr>
                  <w:tcW w:w="2008" w:type="pct"/>
                  <w:tcBorders>
                    <w:tl2br w:val="nil"/>
                    <w:tr2bl w:val="nil"/>
                  </w:tcBorders>
                  <w:vAlign w:val="center"/>
                </w:tcPr>
                <w:p>
                  <w:pPr>
                    <w:pStyle w:val="171"/>
                    <w:spacing w:line="360" w:lineRule="auto"/>
                    <w:rPr>
                      <w:rFonts w:hint="default" w:eastAsia="宋体" w:cs="Times New Roman"/>
                      <w:sz w:val="22"/>
                      <w:szCs w:val="22"/>
                      <w:u w:val="single" w:color="auto"/>
                      <w:lang w:val="en-US" w:eastAsia="zh-CN"/>
                    </w:rPr>
                  </w:pPr>
                  <w:r>
                    <w:rPr>
                      <w:rFonts w:hint="eastAsia" w:eastAsia="宋体" w:cs="Times New Roman"/>
                      <w:sz w:val="22"/>
                      <w:szCs w:val="22"/>
                      <w:u w:val="single" w:color="auto"/>
                      <w:lang w:val="en-US" w:eastAsia="zh-CN"/>
                    </w:rPr>
                    <w:t>220mm*210mm、225mm*225mm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80" w:type="pct"/>
                  <w:vMerge w:val="continue"/>
                  <w:tcBorders>
                    <w:tl2br w:val="nil"/>
                    <w:tr2bl w:val="nil"/>
                  </w:tcBorders>
                  <w:vAlign w:val="center"/>
                </w:tcPr>
                <w:p>
                  <w:pPr>
                    <w:pStyle w:val="171"/>
                    <w:spacing w:line="360" w:lineRule="auto"/>
                    <w:rPr>
                      <w:rFonts w:hint="eastAsia" w:cs="Times New Roman"/>
                      <w:sz w:val="22"/>
                      <w:szCs w:val="22"/>
                      <w:u w:val="single" w:color="auto"/>
                      <w:lang w:eastAsia="zh-CN"/>
                    </w:rPr>
                  </w:pPr>
                </w:p>
              </w:tc>
              <w:tc>
                <w:tcPr>
                  <w:tcW w:w="1037" w:type="pct"/>
                  <w:tcBorders>
                    <w:tl2br w:val="nil"/>
                    <w:tr2bl w:val="nil"/>
                  </w:tcBorders>
                  <w:vAlign w:val="center"/>
                </w:tcPr>
                <w:p>
                  <w:pPr>
                    <w:pStyle w:val="171"/>
                    <w:spacing w:line="360" w:lineRule="auto"/>
                    <w:rPr>
                      <w:rFonts w:hint="default" w:cs="Times New Roman"/>
                      <w:sz w:val="22"/>
                      <w:szCs w:val="22"/>
                      <w:u w:val="single" w:color="auto"/>
                      <w:lang w:val="en-US" w:eastAsia="zh-CN"/>
                    </w:rPr>
                  </w:pPr>
                  <w:r>
                    <w:rPr>
                      <w:rFonts w:hint="eastAsia" w:cs="Times New Roman"/>
                      <w:sz w:val="22"/>
                      <w:szCs w:val="22"/>
                      <w:u w:val="single" w:color="auto"/>
                      <w:lang w:val="en-US" w:eastAsia="zh-CN"/>
                    </w:rPr>
                    <w:t>抽纸</w:t>
                  </w:r>
                </w:p>
              </w:tc>
              <w:tc>
                <w:tcPr>
                  <w:tcW w:w="973" w:type="pct"/>
                  <w:tcBorders>
                    <w:tl2br w:val="nil"/>
                    <w:tr2bl w:val="nil"/>
                  </w:tcBorders>
                  <w:vAlign w:val="center"/>
                </w:tcPr>
                <w:p>
                  <w:pPr>
                    <w:pStyle w:val="171"/>
                    <w:spacing w:line="360" w:lineRule="auto"/>
                    <w:rPr>
                      <w:rFonts w:hint="default" w:cs="Times New Roman"/>
                      <w:sz w:val="22"/>
                      <w:szCs w:val="22"/>
                      <w:u w:val="single" w:color="auto"/>
                      <w:lang w:val="en-US" w:eastAsia="zh-CN"/>
                    </w:rPr>
                  </w:pPr>
                  <w:r>
                    <w:rPr>
                      <w:rFonts w:hint="eastAsia" w:cs="Times New Roman"/>
                      <w:sz w:val="22"/>
                      <w:szCs w:val="22"/>
                      <w:u w:val="single" w:color="auto"/>
                      <w:lang w:val="en-US" w:eastAsia="zh-CN"/>
                    </w:rPr>
                    <w:t>800</w:t>
                  </w:r>
                </w:p>
              </w:tc>
              <w:tc>
                <w:tcPr>
                  <w:tcW w:w="2008" w:type="pct"/>
                  <w:tcBorders>
                    <w:tl2br w:val="nil"/>
                    <w:tr2bl w:val="nil"/>
                  </w:tcBorders>
                  <w:vAlign w:val="center"/>
                </w:tcPr>
                <w:p>
                  <w:pPr>
                    <w:pStyle w:val="171"/>
                    <w:spacing w:line="360" w:lineRule="auto"/>
                    <w:rPr>
                      <w:rFonts w:hint="default" w:eastAsia="宋体" w:cs="Times New Roman"/>
                      <w:sz w:val="22"/>
                      <w:szCs w:val="22"/>
                      <w:u w:val="single" w:color="auto"/>
                      <w:lang w:val="en-US" w:eastAsia="zh-CN"/>
                    </w:rPr>
                  </w:pPr>
                  <w:r>
                    <w:rPr>
                      <w:rFonts w:hint="eastAsia" w:eastAsia="宋体" w:cs="Times New Roman"/>
                      <w:sz w:val="22"/>
                      <w:szCs w:val="22"/>
                      <w:u w:val="single" w:color="auto"/>
                      <w:lang w:val="en-US" w:eastAsia="zh-CN"/>
                    </w:rPr>
                    <w:t>225mm*195mm  、200mm*195mm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2017" w:type="pct"/>
                  <w:gridSpan w:val="2"/>
                  <w:tcBorders>
                    <w:tl2br w:val="nil"/>
                    <w:tr2bl w:val="nil"/>
                  </w:tcBorders>
                  <w:vAlign w:val="center"/>
                </w:tcPr>
                <w:p>
                  <w:pPr>
                    <w:pStyle w:val="171"/>
                    <w:spacing w:line="360" w:lineRule="auto"/>
                    <w:rPr>
                      <w:rFonts w:hint="eastAsia" w:cs="Times New Roman"/>
                      <w:sz w:val="22"/>
                      <w:szCs w:val="22"/>
                      <w:u w:val="single" w:color="auto"/>
                      <w:lang w:val="en-US" w:eastAsia="zh-CN"/>
                    </w:rPr>
                  </w:pPr>
                  <w:r>
                    <w:rPr>
                      <w:rFonts w:hint="eastAsia" w:cs="Times New Roman"/>
                      <w:sz w:val="22"/>
                      <w:szCs w:val="22"/>
                      <w:u w:val="single" w:color="auto"/>
                      <w:lang w:val="en-US" w:eastAsia="zh-CN"/>
                    </w:rPr>
                    <w:t>双胶卷纸</w:t>
                  </w:r>
                </w:p>
              </w:tc>
              <w:tc>
                <w:tcPr>
                  <w:tcW w:w="973" w:type="pct"/>
                  <w:tcBorders>
                    <w:tl2br w:val="nil"/>
                    <w:tr2bl w:val="nil"/>
                  </w:tcBorders>
                  <w:vAlign w:val="center"/>
                </w:tcPr>
                <w:p>
                  <w:pPr>
                    <w:pStyle w:val="171"/>
                    <w:spacing w:line="360" w:lineRule="auto"/>
                    <w:rPr>
                      <w:rFonts w:hint="default" w:cs="Times New Roman"/>
                      <w:sz w:val="22"/>
                      <w:szCs w:val="22"/>
                      <w:u w:val="single" w:color="auto"/>
                      <w:lang w:val="en-US" w:eastAsia="zh-CN"/>
                    </w:rPr>
                  </w:pPr>
                  <w:r>
                    <w:rPr>
                      <w:rFonts w:hint="eastAsia" w:cs="Times New Roman"/>
                      <w:sz w:val="22"/>
                      <w:szCs w:val="22"/>
                      <w:u w:val="single" w:color="auto"/>
                      <w:lang w:val="en-US" w:eastAsia="zh-CN"/>
                    </w:rPr>
                    <w:t>400</w:t>
                  </w:r>
                </w:p>
              </w:tc>
              <w:tc>
                <w:tcPr>
                  <w:tcW w:w="2008" w:type="pct"/>
                  <w:vMerge w:val="restart"/>
                  <w:tcBorders>
                    <w:tl2br w:val="nil"/>
                    <w:tr2bl w:val="nil"/>
                  </w:tcBorders>
                  <w:vAlign w:val="center"/>
                </w:tcPr>
                <w:p>
                  <w:pPr>
                    <w:pStyle w:val="171"/>
                    <w:spacing w:line="360" w:lineRule="auto"/>
                    <w:rPr>
                      <w:rFonts w:hint="default" w:cs="Times New Roman"/>
                      <w:sz w:val="22"/>
                      <w:szCs w:val="22"/>
                      <w:u w:val="single" w:color="auto"/>
                      <w:lang w:val="en-US" w:eastAsia="zh-CN"/>
                    </w:rPr>
                  </w:pPr>
                  <w:r>
                    <w:rPr>
                      <w:rFonts w:hint="eastAsia" w:cs="Times New Roman"/>
                      <w:sz w:val="22"/>
                      <w:szCs w:val="22"/>
                      <w:u w:val="single" w:color="auto"/>
                      <w:lang w:val="en-US" w:eastAsia="zh-CN"/>
                    </w:rPr>
                    <w:t>用于收银纸、票据打印纸等，根据客户要求，部分需要进行印刷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2017" w:type="pct"/>
                  <w:gridSpan w:val="2"/>
                  <w:tcBorders>
                    <w:tl2br w:val="nil"/>
                    <w:tr2bl w:val="nil"/>
                  </w:tcBorders>
                  <w:vAlign w:val="center"/>
                </w:tcPr>
                <w:p>
                  <w:pPr>
                    <w:pStyle w:val="171"/>
                    <w:spacing w:line="360" w:lineRule="auto"/>
                    <w:rPr>
                      <w:rFonts w:hint="eastAsia" w:cs="Times New Roman"/>
                      <w:sz w:val="22"/>
                      <w:szCs w:val="22"/>
                      <w:u w:val="single" w:color="auto"/>
                      <w:lang w:val="en-US" w:eastAsia="zh-CN"/>
                    </w:rPr>
                  </w:pPr>
                  <w:r>
                    <w:rPr>
                      <w:rFonts w:hint="eastAsia" w:cs="Times New Roman"/>
                      <w:sz w:val="22"/>
                      <w:szCs w:val="22"/>
                      <w:u w:val="single" w:color="auto"/>
                      <w:lang w:val="en-US" w:eastAsia="zh-CN"/>
                    </w:rPr>
                    <w:t>热敏卷纸</w:t>
                  </w:r>
                </w:p>
              </w:tc>
              <w:tc>
                <w:tcPr>
                  <w:tcW w:w="973" w:type="pct"/>
                  <w:tcBorders>
                    <w:tl2br w:val="nil"/>
                    <w:tr2bl w:val="nil"/>
                  </w:tcBorders>
                  <w:vAlign w:val="center"/>
                </w:tcPr>
                <w:p>
                  <w:pPr>
                    <w:pStyle w:val="171"/>
                    <w:spacing w:line="360" w:lineRule="auto"/>
                    <w:rPr>
                      <w:rFonts w:hint="default" w:cs="Times New Roman"/>
                      <w:sz w:val="22"/>
                      <w:szCs w:val="22"/>
                      <w:u w:val="single" w:color="auto"/>
                      <w:lang w:val="en-US" w:eastAsia="zh-CN"/>
                    </w:rPr>
                  </w:pPr>
                  <w:r>
                    <w:rPr>
                      <w:rFonts w:hint="eastAsia" w:cs="Times New Roman"/>
                      <w:sz w:val="22"/>
                      <w:szCs w:val="22"/>
                      <w:u w:val="single" w:color="auto"/>
                      <w:lang w:val="en-US" w:eastAsia="zh-CN"/>
                    </w:rPr>
                    <w:t>700</w:t>
                  </w:r>
                </w:p>
              </w:tc>
              <w:tc>
                <w:tcPr>
                  <w:tcW w:w="2008" w:type="pct"/>
                  <w:vMerge w:val="continue"/>
                  <w:tcBorders>
                    <w:tl2br w:val="nil"/>
                    <w:tr2bl w:val="nil"/>
                  </w:tcBorders>
                  <w:vAlign w:val="center"/>
                </w:tcPr>
                <w:p>
                  <w:pPr>
                    <w:pStyle w:val="171"/>
                    <w:spacing w:line="360" w:lineRule="auto"/>
                    <w:rPr>
                      <w:rFonts w:hint="eastAsia" w:cs="Times New Roman"/>
                      <w:sz w:val="22"/>
                      <w:szCs w:val="22"/>
                      <w:u w:val="singl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2017" w:type="pct"/>
                  <w:gridSpan w:val="2"/>
                  <w:tcBorders>
                    <w:tl2br w:val="nil"/>
                    <w:tr2bl w:val="nil"/>
                  </w:tcBorders>
                  <w:vAlign w:val="center"/>
                </w:tcPr>
                <w:p>
                  <w:pPr>
                    <w:pStyle w:val="171"/>
                    <w:spacing w:line="360" w:lineRule="auto"/>
                    <w:rPr>
                      <w:rFonts w:hint="eastAsia" w:cs="Times New Roman"/>
                      <w:sz w:val="22"/>
                      <w:szCs w:val="22"/>
                      <w:u w:val="single" w:color="auto"/>
                      <w:lang w:val="en-US" w:eastAsia="zh-CN"/>
                    </w:rPr>
                  </w:pPr>
                  <w:r>
                    <w:rPr>
                      <w:rFonts w:hint="eastAsia" w:cs="Times New Roman"/>
                      <w:sz w:val="22"/>
                      <w:szCs w:val="22"/>
                      <w:u w:val="single" w:color="auto"/>
                      <w:lang w:val="en-US" w:eastAsia="zh-CN"/>
                    </w:rPr>
                    <w:t>复印纸</w:t>
                  </w:r>
                </w:p>
              </w:tc>
              <w:tc>
                <w:tcPr>
                  <w:tcW w:w="973" w:type="pct"/>
                  <w:tcBorders>
                    <w:tl2br w:val="nil"/>
                    <w:tr2bl w:val="nil"/>
                  </w:tcBorders>
                  <w:vAlign w:val="center"/>
                </w:tcPr>
                <w:p>
                  <w:pPr>
                    <w:pStyle w:val="171"/>
                    <w:spacing w:line="360" w:lineRule="auto"/>
                    <w:rPr>
                      <w:rFonts w:hint="default" w:cs="Times New Roman"/>
                      <w:sz w:val="22"/>
                      <w:szCs w:val="22"/>
                      <w:u w:val="single" w:color="auto"/>
                      <w:lang w:val="en-US" w:eastAsia="zh-CN"/>
                    </w:rPr>
                  </w:pPr>
                  <w:r>
                    <w:rPr>
                      <w:rFonts w:hint="eastAsia" w:cs="Times New Roman"/>
                      <w:sz w:val="22"/>
                      <w:szCs w:val="22"/>
                      <w:u w:val="single" w:color="auto"/>
                      <w:lang w:val="en-US" w:eastAsia="zh-CN"/>
                    </w:rPr>
                    <w:t>1200</w:t>
                  </w:r>
                </w:p>
              </w:tc>
              <w:tc>
                <w:tcPr>
                  <w:tcW w:w="2008" w:type="pct"/>
                  <w:tcBorders>
                    <w:tl2br w:val="nil"/>
                    <w:tr2bl w:val="nil"/>
                  </w:tcBorders>
                  <w:vAlign w:val="center"/>
                </w:tcPr>
                <w:p>
                  <w:pPr>
                    <w:pStyle w:val="171"/>
                    <w:spacing w:line="360" w:lineRule="auto"/>
                    <w:rPr>
                      <w:rFonts w:hint="default" w:cs="Times New Roman"/>
                      <w:sz w:val="22"/>
                      <w:szCs w:val="22"/>
                      <w:u w:val="single" w:color="auto"/>
                      <w:lang w:val="en-US" w:eastAsia="zh-CN"/>
                    </w:rPr>
                  </w:pPr>
                  <w:r>
                    <w:rPr>
                      <w:rFonts w:hint="eastAsia" w:cs="Times New Roman"/>
                      <w:sz w:val="22"/>
                      <w:szCs w:val="22"/>
                      <w:u w:val="single" w:color="auto"/>
                      <w:lang w:val="en-US" w:eastAsia="zh-CN"/>
                    </w:rPr>
                    <w:t>复印用纸，需要进行印刷</w:t>
                  </w:r>
                </w:p>
              </w:tc>
            </w:tr>
          </w:tbl>
          <w:p>
            <w:pPr>
              <w:pStyle w:val="173"/>
              <w:ind w:firstLine="480"/>
              <w:rPr>
                <w:rFonts w:hint="default" w:ascii="Times New Roman" w:hAnsi="Times New Roman" w:eastAsia="宋体" w:cs="Times New Roman"/>
                <w:b/>
                <w:u w:val="none" w:color="auto"/>
              </w:rPr>
            </w:pPr>
            <w:r>
              <w:rPr>
                <w:rFonts w:hint="default" w:ascii="Times New Roman" w:hAnsi="Times New Roman" w:cs="Times New Roman"/>
                <w:u w:val="none" w:color="auto"/>
              </w:rPr>
              <w:t>（2）本项目主要的原材料消耗</w:t>
            </w:r>
            <w:r>
              <w:rPr>
                <w:rFonts w:hint="eastAsia" w:cs="Times New Roman"/>
                <w:u w:val="none" w:color="auto"/>
                <w:lang w:val="en-US" w:eastAsia="zh-CN"/>
              </w:rPr>
              <w:t>及能源消耗</w:t>
            </w:r>
            <w:r>
              <w:rPr>
                <w:rFonts w:hint="default" w:ascii="Times New Roman" w:hAnsi="Times New Roman" w:cs="Times New Roman"/>
                <w:u w:val="none" w:color="auto"/>
              </w:rPr>
              <w:t xml:space="preserve">情况详见表1-4。 </w:t>
            </w:r>
          </w:p>
          <w:p>
            <w:pPr>
              <w:pStyle w:val="172"/>
              <w:spacing w:before="0" w:beforeLines="0" w:after="0" w:afterLines="0" w:line="240" w:lineRule="auto"/>
              <w:rPr>
                <w:rFonts w:hint="default" w:ascii="Times New Roman" w:hAnsi="Times New Roman" w:eastAsia="宋体" w:cs="Times New Roman"/>
                <w:b/>
                <w:color w:val="auto"/>
                <w:u w:val="none" w:color="auto"/>
              </w:rPr>
            </w:pPr>
            <w:r>
              <w:rPr>
                <w:rFonts w:hint="default" w:ascii="Times New Roman" w:hAnsi="Times New Roman" w:eastAsia="宋体" w:cs="Times New Roman"/>
                <w:b/>
                <w:color w:val="auto"/>
                <w:u w:val="none" w:color="auto"/>
              </w:rPr>
              <w:t>表1-4  主要原辅材料消耗一览表</w:t>
            </w:r>
          </w:p>
          <w:tbl>
            <w:tblPr>
              <w:tblStyle w:val="40"/>
              <w:tblW w:w="5000"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616"/>
              <w:gridCol w:w="1034"/>
              <w:gridCol w:w="976"/>
              <w:gridCol w:w="2370"/>
              <w:gridCol w:w="1245"/>
              <w:gridCol w:w="11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366"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none" w:color="auto"/>
                    </w:rPr>
                  </w:pPr>
                  <w:r>
                    <w:rPr>
                      <w:rFonts w:hint="default" w:ascii="Times New Roman" w:hAnsi="Times New Roman" w:cs="Times New Roman"/>
                      <w:b w:val="0"/>
                      <w:bCs/>
                      <w:sz w:val="22"/>
                      <w:szCs w:val="22"/>
                      <w:u w:val="none" w:color="auto"/>
                    </w:rPr>
                    <w:t>序号</w:t>
                  </w:r>
                </w:p>
              </w:tc>
              <w:tc>
                <w:tcPr>
                  <w:tcW w:w="889"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none" w:color="auto"/>
                    </w:rPr>
                  </w:pPr>
                  <w:r>
                    <w:rPr>
                      <w:rFonts w:hint="default" w:ascii="Times New Roman" w:hAnsi="Times New Roman" w:cs="Times New Roman"/>
                      <w:b w:val="0"/>
                      <w:bCs/>
                      <w:sz w:val="22"/>
                      <w:szCs w:val="22"/>
                      <w:u w:val="none" w:color="auto"/>
                    </w:rPr>
                    <w:t>原料名称</w:t>
                  </w:r>
                </w:p>
              </w:tc>
              <w:tc>
                <w:tcPr>
                  <w:tcW w:w="569"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none" w:color="auto"/>
                    </w:rPr>
                  </w:pPr>
                  <w:r>
                    <w:rPr>
                      <w:rFonts w:hint="default" w:ascii="Times New Roman" w:hAnsi="Times New Roman" w:cs="Times New Roman"/>
                      <w:b w:val="0"/>
                      <w:bCs/>
                      <w:sz w:val="22"/>
                      <w:szCs w:val="22"/>
                      <w:u w:val="none" w:color="auto"/>
                    </w:rPr>
                    <w:t>年用量</w:t>
                  </w:r>
                </w:p>
              </w:tc>
              <w:tc>
                <w:tcPr>
                  <w:tcW w:w="537"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 w:val="0"/>
                      <w:bCs/>
                      <w:sz w:val="22"/>
                      <w:szCs w:val="22"/>
                      <w:u w:val="none" w:color="auto"/>
                      <w:lang w:val="en-US" w:eastAsia="zh-CN"/>
                    </w:rPr>
                  </w:pPr>
                  <w:r>
                    <w:rPr>
                      <w:rFonts w:hint="eastAsia" w:cs="Times New Roman"/>
                      <w:b w:val="0"/>
                      <w:bCs/>
                      <w:sz w:val="22"/>
                      <w:szCs w:val="22"/>
                      <w:u w:val="none" w:color="auto"/>
                      <w:lang w:val="en-US" w:eastAsia="zh-CN"/>
                    </w:rPr>
                    <w:t>最大储存量</w:t>
                  </w:r>
                </w:p>
              </w:tc>
              <w:tc>
                <w:tcPr>
                  <w:tcW w:w="1304"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none" w:color="auto"/>
                    </w:rPr>
                  </w:pPr>
                  <w:r>
                    <w:rPr>
                      <w:rFonts w:hint="default" w:ascii="Times New Roman" w:hAnsi="Times New Roman" w:cs="Times New Roman"/>
                      <w:b w:val="0"/>
                      <w:bCs/>
                      <w:sz w:val="22"/>
                      <w:szCs w:val="22"/>
                      <w:u w:val="none" w:color="auto"/>
                    </w:rPr>
                    <w:t>备注</w:t>
                  </w:r>
                </w:p>
              </w:tc>
              <w:tc>
                <w:tcPr>
                  <w:tcW w:w="685"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 w:val="0"/>
                      <w:bCs/>
                      <w:sz w:val="22"/>
                      <w:szCs w:val="22"/>
                      <w:u w:val="none" w:color="auto"/>
                      <w:lang w:val="en-US" w:eastAsia="zh-CN"/>
                    </w:rPr>
                  </w:pPr>
                  <w:r>
                    <w:rPr>
                      <w:rFonts w:hint="eastAsia" w:cs="Times New Roman"/>
                      <w:b w:val="0"/>
                      <w:bCs/>
                      <w:sz w:val="22"/>
                      <w:szCs w:val="22"/>
                      <w:u w:val="none" w:color="auto"/>
                      <w:lang w:val="en-US" w:eastAsia="zh-CN"/>
                    </w:rPr>
                    <w:t>储存方式</w:t>
                  </w:r>
                </w:p>
              </w:tc>
              <w:tc>
                <w:tcPr>
                  <w:tcW w:w="647" w:type="pct"/>
                  <w:tcBorders>
                    <w:tl2br w:val="nil"/>
                    <w:tr2bl w:val="nil"/>
                  </w:tcBorders>
                  <w:vAlign w:val="center"/>
                </w:tcPr>
                <w:p>
                  <w:pPr>
                    <w:adjustRightInd w:val="0"/>
                    <w:snapToGrid w:val="0"/>
                    <w:spacing w:line="360" w:lineRule="auto"/>
                    <w:jc w:val="center"/>
                    <w:rPr>
                      <w:rFonts w:hint="eastAsia" w:cs="Times New Roman"/>
                      <w:b w:val="0"/>
                      <w:bCs/>
                      <w:sz w:val="22"/>
                      <w:szCs w:val="22"/>
                      <w:u w:val="none" w:color="auto"/>
                      <w:lang w:val="en-US" w:eastAsia="zh-CN"/>
                    </w:rPr>
                  </w:pPr>
                  <w:r>
                    <w:rPr>
                      <w:rFonts w:hint="default" w:ascii="Times New Roman" w:hAnsi="Times New Roman" w:cs="Times New Roman"/>
                      <w:b w:val="0"/>
                      <w:bCs/>
                      <w:sz w:val="22"/>
                      <w:szCs w:val="22"/>
                      <w:u w:val="none" w:color="auto"/>
                    </w:rPr>
                    <w:t>存放位置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366"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none" w:color="auto"/>
                    </w:rPr>
                  </w:pPr>
                  <w:r>
                    <w:rPr>
                      <w:rFonts w:hint="default" w:ascii="Times New Roman" w:hAnsi="Times New Roman" w:cs="Times New Roman"/>
                      <w:b w:val="0"/>
                      <w:bCs/>
                      <w:sz w:val="22"/>
                      <w:szCs w:val="22"/>
                      <w:u w:val="none" w:color="auto"/>
                    </w:rPr>
                    <w:t>1</w:t>
                  </w:r>
                </w:p>
              </w:tc>
              <w:tc>
                <w:tcPr>
                  <w:tcW w:w="889" w:type="pct"/>
                  <w:tcBorders>
                    <w:tl2br w:val="nil"/>
                    <w:tr2bl w:val="nil"/>
                  </w:tcBorders>
                  <w:vAlign w:val="center"/>
                </w:tcPr>
                <w:p>
                  <w:pPr>
                    <w:adjustRightInd w:val="0"/>
                    <w:snapToGrid w:val="0"/>
                    <w:jc w:val="center"/>
                    <w:rPr>
                      <w:rFonts w:hint="default" w:ascii="Times New Roman" w:hAnsi="Times New Roman" w:eastAsia="宋体" w:cs="Times New Roman"/>
                      <w:b w:val="0"/>
                      <w:bCs/>
                      <w:sz w:val="22"/>
                      <w:szCs w:val="22"/>
                      <w:u w:val="none" w:color="auto"/>
                      <w:lang w:val="en-US" w:eastAsia="zh-CN"/>
                    </w:rPr>
                  </w:pPr>
                  <w:r>
                    <w:rPr>
                      <w:rFonts w:hint="eastAsia"/>
                      <w:b w:val="0"/>
                      <w:bCs/>
                      <w:szCs w:val="21"/>
                      <w:u w:val="none" w:color="auto"/>
                      <w:lang w:eastAsia="zh-CN"/>
                    </w:rPr>
                    <w:t>双胶</w:t>
                  </w:r>
                  <w:r>
                    <w:rPr>
                      <w:rFonts w:hint="eastAsia"/>
                      <w:b w:val="0"/>
                      <w:bCs/>
                      <w:szCs w:val="21"/>
                      <w:u w:val="none" w:color="auto"/>
                      <w:lang w:val="en-US" w:eastAsia="zh-CN"/>
                    </w:rPr>
                    <w:t>原</w:t>
                  </w:r>
                  <w:r>
                    <w:rPr>
                      <w:rFonts w:hint="eastAsia"/>
                      <w:b w:val="0"/>
                      <w:bCs/>
                      <w:szCs w:val="21"/>
                      <w:u w:val="none" w:color="auto"/>
                      <w:lang w:eastAsia="zh-CN"/>
                    </w:rPr>
                    <w:t>纸</w:t>
                  </w:r>
                </w:p>
              </w:tc>
              <w:tc>
                <w:tcPr>
                  <w:tcW w:w="569"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 w:val="0"/>
                      <w:bCs/>
                      <w:sz w:val="22"/>
                      <w:szCs w:val="22"/>
                      <w:u w:val="none" w:color="auto"/>
                      <w:lang w:val="en-US" w:eastAsia="zh-CN"/>
                    </w:rPr>
                  </w:pPr>
                  <w:r>
                    <w:rPr>
                      <w:rFonts w:hint="eastAsia" w:cs="Times New Roman"/>
                      <w:b w:val="0"/>
                      <w:bCs/>
                      <w:sz w:val="22"/>
                      <w:szCs w:val="22"/>
                      <w:u w:val="none" w:color="auto"/>
                      <w:lang w:val="en-US" w:eastAsia="zh-CN"/>
                    </w:rPr>
                    <w:t>440t</w:t>
                  </w:r>
                </w:p>
              </w:tc>
              <w:tc>
                <w:tcPr>
                  <w:tcW w:w="537"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none" w:color="auto"/>
                      <w:lang w:val="en-US" w:eastAsia="zh-CN"/>
                    </w:rPr>
                  </w:pPr>
                  <w:r>
                    <w:rPr>
                      <w:rFonts w:hint="eastAsia" w:cs="Times New Roman"/>
                      <w:b w:val="0"/>
                      <w:bCs/>
                      <w:sz w:val="22"/>
                      <w:szCs w:val="22"/>
                      <w:u w:val="none" w:color="auto"/>
                      <w:lang w:val="en-US" w:eastAsia="zh-CN"/>
                    </w:rPr>
                    <w:t>/</w:t>
                  </w:r>
                </w:p>
              </w:tc>
              <w:tc>
                <w:tcPr>
                  <w:tcW w:w="1304" w:type="pct"/>
                  <w:vMerge w:val="restar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 w:val="0"/>
                      <w:bCs/>
                      <w:sz w:val="22"/>
                      <w:szCs w:val="22"/>
                      <w:u w:val="none" w:color="auto"/>
                      <w:lang w:val="en-US" w:eastAsia="zh-CN"/>
                    </w:rPr>
                  </w:pPr>
                  <w:r>
                    <w:rPr>
                      <w:rFonts w:hint="default" w:ascii="Times New Roman" w:hAnsi="Times New Roman" w:cs="Times New Roman"/>
                      <w:b w:val="0"/>
                      <w:bCs/>
                      <w:sz w:val="22"/>
                      <w:szCs w:val="22"/>
                      <w:u w:val="none" w:color="auto"/>
                      <w:lang w:val="en-US" w:eastAsia="zh-CN"/>
                    </w:rPr>
                    <w:t>外购</w:t>
                  </w:r>
                  <w:r>
                    <w:rPr>
                      <w:rFonts w:hint="eastAsia" w:cs="Times New Roman"/>
                      <w:b w:val="0"/>
                      <w:bCs/>
                      <w:sz w:val="22"/>
                      <w:szCs w:val="22"/>
                      <w:u w:val="none" w:color="auto"/>
                      <w:lang w:val="en-US" w:eastAsia="zh-CN"/>
                    </w:rPr>
                    <w:t>半成品，</w:t>
                  </w:r>
                  <w:r>
                    <w:rPr>
                      <w:rFonts w:hint="default" w:ascii="Times New Roman" w:hAnsi="Times New Roman" w:eastAsia="宋体" w:cs="Times New Roman"/>
                      <w:color w:val="333333"/>
                      <w:sz w:val="22"/>
                      <w:szCs w:val="22"/>
                      <w:u w:val="none" w:color="auto"/>
                    </w:rPr>
                    <w:t>经</w:t>
                  </w:r>
                  <w:r>
                    <w:rPr>
                      <w:rFonts w:hint="eastAsia" w:cs="Times New Roman"/>
                      <w:color w:val="333333"/>
                      <w:sz w:val="22"/>
                      <w:szCs w:val="22"/>
                      <w:u w:val="none" w:color="auto"/>
                      <w:lang w:val="en-US" w:eastAsia="zh-CN"/>
                    </w:rPr>
                    <w:t>加工生产好的原纸</w:t>
                  </w:r>
                </w:p>
              </w:tc>
              <w:tc>
                <w:tcPr>
                  <w:tcW w:w="685" w:type="pct"/>
                  <w:vMerge w:val="restar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none" w:color="auto"/>
                      <w:lang w:val="en-US" w:eastAsia="zh-CN"/>
                    </w:rPr>
                  </w:pPr>
                  <w:r>
                    <w:rPr>
                      <w:rFonts w:hint="eastAsia" w:cs="Times New Roman"/>
                      <w:b w:val="0"/>
                      <w:bCs/>
                      <w:sz w:val="22"/>
                      <w:szCs w:val="22"/>
                      <w:u w:val="none" w:color="auto"/>
                      <w:lang w:val="en-US" w:eastAsia="zh-CN"/>
                    </w:rPr>
                    <w:t>固体，袋装</w:t>
                  </w:r>
                </w:p>
              </w:tc>
              <w:tc>
                <w:tcPr>
                  <w:tcW w:w="647" w:type="pct"/>
                  <w:tcBorders>
                    <w:tl2br w:val="nil"/>
                    <w:tr2bl w:val="nil"/>
                  </w:tcBorders>
                  <w:vAlign w:val="center"/>
                </w:tcPr>
                <w:p>
                  <w:pPr>
                    <w:adjustRightInd w:val="0"/>
                    <w:snapToGrid w:val="0"/>
                    <w:spacing w:line="360" w:lineRule="auto"/>
                    <w:jc w:val="center"/>
                    <w:rPr>
                      <w:rFonts w:hint="eastAsia" w:cs="Times New Roman"/>
                      <w:b w:val="0"/>
                      <w:bCs/>
                      <w:sz w:val="22"/>
                      <w:szCs w:val="22"/>
                      <w:u w:val="none" w:color="auto"/>
                      <w:lang w:val="en-US" w:eastAsia="zh-CN"/>
                    </w:rPr>
                  </w:pPr>
                  <w:r>
                    <w:rPr>
                      <w:rFonts w:hint="default" w:ascii="Times New Roman" w:hAnsi="Times New Roman" w:cs="Times New Roman"/>
                      <w:b w:val="0"/>
                      <w:bCs/>
                      <w:sz w:val="22"/>
                      <w:szCs w:val="22"/>
                      <w:u w:val="none" w:color="auto"/>
                      <w:lang w:val="en-US" w:eastAsia="zh-CN"/>
                    </w:rPr>
                    <w:t>一楼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366"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none" w:color="auto"/>
                    </w:rPr>
                  </w:pPr>
                  <w:r>
                    <w:rPr>
                      <w:rFonts w:hint="default" w:ascii="Times New Roman" w:hAnsi="Times New Roman" w:cs="Times New Roman"/>
                      <w:b w:val="0"/>
                      <w:bCs/>
                      <w:sz w:val="22"/>
                      <w:szCs w:val="22"/>
                      <w:u w:val="none" w:color="auto"/>
                    </w:rPr>
                    <w:t>2</w:t>
                  </w:r>
                </w:p>
              </w:tc>
              <w:tc>
                <w:tcPr>
                  <w:tcW w:w="889" w:type="pct"/>
                  <w:tcBorders>
                    <w:tl2br w:val="nil"/>
                    <w:tr2bl w:val="nil"/>
                  </w:tcBorders>
                  <w:vAlign w:val="center"/>
                </w:tcPr>
                <w:p>
                  <w:pPr>
                    <w:adjustRightInd w:val="0"/>
                    <w:snapToGrid w:val="0"/>
                    <w:jc w:val="center"/>
                    <w:rPr>
                      <w:rFonts w:hint="default" w:ascii="Times New Roman" w:hAnsi="Times New Roman" w:eastAsia="宋体" w:cs="Times New Roman"/>
                      <w:b w:val="0"/>
                      <w:bCs/>
                      <w:sz w:val="22"/>
                      <w:szCs w:val="22"/>
                      <w:u w:val="none" w:color="auto"/>
                      <w:lang w:val="en-US" w:eastAsia="zh-CN"/>
                    </w:rPr>
                  </w:pPr>
                  <w:r>
                    <w:rPr>
                      <w:rFonts w:hint="eastAsia"/>
                      <w:b w:val="0"/>
                      <w:bCs/>
                      <w:szCs w:val="21"/>
                      <w:u w:val="none" w:color="auto"/>
                      <w:lang w:eastAsia="zh-CN"/>
                    </w:rPr>
                    <w:t>热敏</w:t>
                  </w:r>
                  <w:r>
                    <w:rPr>
                      <w:rFonts w:hint="eastAsia"/>
                      <w:b w:val="0"/>
                      <w:bCs/>
                      <w:szCs w:val="21"/>
                      <w:u w:val="none" w:color="auto"/>
                      <w:lang w:val="en-US" w:eastAsia="zh-CN"/>
                    </w:rPr>
                    <w:t>原</w:t>
                  </w:r>
                  <w:r>
                    <w:rPr>
                      <w:rFonts w:hint="eastAsia"/>
                      <w:b w:val="0"/>
                      <w:bCs/>
                      <w:szCs w:val="21"/>
                      <w:u w:val="none" w:color="auto"/>
                      <w:lang w:eastAsia="zh-CN"/>
                    </w:rPr>
                    <w:t>纸</w:t>
                  </w:r>
                </w:p>
              </w:tc>
              <w:tc>
                <w:tcPr>
                  <w:tcW w:w="569"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 w:val="0"/>
                      <w:bCs/>
                      <w:sz w:val="22"/>
                      <w:szCs w:val="22"/>
                      <w:u w:val="none" w:color="auto"/>
                      <w:lang w:val="en-US" w:eastAsia="zh-CN"/>
                    </w:rPr>
                  </w:pPr>
                  <w:r>
                    <w:rPr>
                      <w:rFonts w:hint="eastAsia" w:cs="Times New Roman"/>
                      <w:b w:val="0"/>
                      <w:bCs/>
                      <w:sz w:val="22"/>
                      <w:szCs w:val="22"/>
                      <w:u w:val="none" w:color="auto"/>
                      <w:lang w:val="en-US" w:eastAsia="zh-CN"/>
                    </w:rPr>
                    <w:t>780t</w:t>
                  </w:r>
                </w:p>
              </w:tc>
              <w:tc>
                <w:tcPr>
                  <w:tcW w:w="537"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 w:val="0"/>
                      <w:bCs/>
                      <w:sz w:val="22"/>
                      <w:szCs w:val="22"/>
                      <w:u w:val="none" w:color="auto"/>
                      <w:lang w:val="en-US" w:eastAsia="zh-CN"/>
                    </w:rPr>
                  </w:pPr>
                  <w:r>
                    <w:rPr>
                      <w:rFonts w:hint="eastAsia" w:cs="Times New Roman"/>
                      <w:b w:val="0"/>
                      <w:bCs/>
                      <w:sz w:val="22"/>
                      <w:szCs w:val="22"/>
                      <w:u w:val="none" w:color="auto"/>
                      <w:lang w:val="en-US" w:eastAsia="zh-CN"/>
                    </w:rPr>
                    <w:t>/</w:t>
                  </w:r>
                </w:p>
              </w:tc>
              <w:tc>
                <w:tcPr>
                  <w:tcW w:w="1304" w:type="pct"/>
                  <w:vMerge w:val="continue"/>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none" w:color="auto"/>
                    </w:rPr>
                  </w:pPr>
                </w:p>
              </w:tc>
              <w:tc>
                <w:tcPr>
                  <w:tcW w:w="685" w:type="pct"/>
                  <w:vMerge w:val="continue"/>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none" w:color="auto"/>
                      <w:lang w:val="en-US" w:eastAsia="zh-CN"/>
                    </w:rPr>
                  </w:pPr>
                </w:p>
              </w:tc>
              <w:tc>
                <w:tcPr>
                  <w:tcW w:w="647" w:type="pct"/>
                  <w:tcBorders>
                    <w:tl2br w:val="nil"/>
                    <w:tr2bl w:val="nil"/>
                  </w:tcBorders>
                  <w:vAlign w:val="center"/>
                </w:tcPr>
                <w:p>
                  <w:pPr>
                    <w:adjustRightInd w:val="0"/>
                    <w:snapToGrid w:val="0"/>
                    <w:spacing w:line="360" w:lineRule="auto"/>
                    <w:jc w:val="center"/>
                    <w:rPr>
                      <w:rFonts w:hint="eastAsia" w:cs="Times New Roman"/>
                      <w:b w:val="0"/>
                      <w:bCs/>
                      <w:sz w:val="22"/>
                      <w:szCs w:val="22"/>
                      <w:u w:val="none" w:color="auto"/>
                      <w:lang w:val="en-US" w:eastAsia="zh-CN"/>
                    </w:rPr>
                  </w:pPr>
                  <w:r>
                    <w:rPr>
                      <w:rFonts w:hint="default" w:ascii="Times New Roman" w:hAnsi="Times New Roman" w:cs="Times New Roman"/>
                      <w:b w:val="0"/>
                      <w:bCs/>
                      <w:sz w:val="22"/>
                      <w:szCs w:val="22"/>
                      <w:u w:val="none" w:color="auto"/>
                      <w:lang w:val="en-US" w:eastAsia="zh-CN"/>
                    </w:rPr>
                    <w:t>一楼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366"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none" w:color="auto"/>
                    </w:rPr>
                  </w:pPr>
                  <w:r>
                    <w:rPr>
                      <w:rFonts w:hint="default" w:ascii="Times New Roman" w:hAnsi="Times New Roman" w:cs="Times New Roman"/>
                      <w:b w:val="0"/>
                      <w:bCs/>
                      <w:sz w:val="22"/>
                      <w:szCs w:val="22"/>
                      <w:u w:val="none" w:color="auto"/>
                    </w:rPr>
                    <w:t>3</w:t>
                  </w:r>
                </w:p>
              </w:tc>
              <w:tc>
                <w:tcPr>
                  <w:tcW w:w="889" w:type="pct"/>
                  <w:tcBorders>
                    <w:tl2br w:val="nil"/>
                    <w:tr2bl w:val="nil"/>
                  </w:tcBorders>
                  <w:vAlign w:val="center"/>
                </w:tcPr>
                <w:p>
                  <w:pPr>
                    <w:adjustRightInd w:val="0"/>
                    <w:snapToGrid w:val="0"/>
                    <w:jc w:val="center"/>
                    <w:rPr>
                      <w:rFonts w:hint="default" w:ascii="Times New Roman" w:hAnsi="Times New Roman" w:eastAsia="宋体" w:cs="Times New Roman"/>
                      <w:b w:val="0"/>
                      <w:bCs/>
                      <w:sz w:val="22"/>
                      <w:szCs w:val="22"/>
                      <w:u w:val="none" w:color="auto"/>
                      <w:lang w:val="en-US" w:eastAsia="zh-CN"/>
                    </w:rPr>
                  </w:pPr>
                  <w:r>
                    <w:rPr>
                      <w:rFonts w:hint="eastAsia"/>
                      <w:b w:val="0"/>
                      <w:bCs/>
                      <w:szCs w:val="21"/>
                      <w:u w:val="none" w:color="auto"/>
                      <w:lang w:eastAsia="zh-CN"/>
                    </w:rPr>
                    <w:t>卫生</w:t>
                  </w:r>
                  <w:r>
                    <w:rPr>
                      <w:rFonts w:hint="eastAsia"/>
                      <w:b w:val="0"/>
                      <w:bCs/>
                      <w:szCs w:val="21"/>
                      <w:u w:val="none" w:color="auto"/>
                      <w:lang w:val="en-US" w:eastAsia="zh-CN"/>
                    </w:rPr>
                    <w:t>原</w:t>
                  </w:r>
                  <w:r>
                    <w:rPr>
                      <w:rFonts w:hint="eastAsia"/>
                      <w:b w:val="0"/>
                      <w:bCs/>
                      <w:szCs w:val="21"/>
                      <w:u w:val="none" w:color="auto"/>
                      <w:lang w:eastAsia="zh-CN"/>
                    </w:rPr>
                    <w:t>纸</w:t>
                  </w:r>
                </w:p>
              </w:tc>
              <w:tc>
                <w:tcPr>
                  <w:tcW w:w="569"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 w:val="0"/>
                      <w:bCs/>
                      <w:sz w:val="22"/>
                      <w:szCs w:val="22"/>
                      <w:u w:val="none" w:color="auto"/>
                      <w:lang w:val="en-US" w:eastAsia="zh-CN"/>
                    </w:rPr>
                  </w:pPr>
                  <w:r>
                    <w:rPr>
                      <w:rFonts w:hint="eastAsia" w:cs="Times New Roman"/>
                      <w:b w:val="0"/>
                      <w:bCs/>
                      <w:sz w:val="22"/>
                      <w:szCs w:val="22"/>
                      <w:u w:val="none" w:color="auto"/>
                      <w:lang w:val="en-US" w:eastAsia="zh-CN"/>
                    </w:rPr>
                    <w:t>2420t</w:t>
                  </w:r>
                </w:p>
              </w:tc>
              <w:tc>
                <w:tcPr>
                  <w:tcW w:w="537"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 w:val="0"/>
                      <w:bCs/>
                      <w:sz w:val="22"/>
                      <w:szCs w:val="22"/>
                      <w:u w:val="none" w:color="auto"/>
                      <w:lang w:val="en-US" w:eastAsia="zh-CN"/>
                    </w:rPr>
                  </w:pPr>
                  <w:r>
                    <w:rPr>
                      <w:rFonts w:hint="eastAsia" w:cs="Times New Roman"/>
                      <w:b w:val="0"/>
                      <w:bCs/>
                      <w:sz w:val="22"/>
                      <w:szCs w:val="22"/>
                      <w:u w:val="none" w:color="auto"/>
                      <w:lang w:val="en-US" w:eastAsia="zh-CN"/>
                    </w:rPr>
                    <w:t>/</w:t>
                  </w:r>
                </w:p>
              </w:tc>
              <w:tc>
                <w:tcPr>
                  <w:tcW w:w="1304" w:type="pct"/>
                  <w:vMerge w:val="continue"/>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none" w:color="auto"/>
                    </w:rPr>
                  </w:pPr>
                </w:p>
              </w:tc>
              <w:tc>
                <w:tcPr>
                  <w:tcW w:w="685" w:type="pct"/>
                  <w:vMerge w:val="continue"/>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none" w:color="auto"/>
                      <w:lang w:val="en-US" w:eastAsia="zh-CN"/>
                    </w:rPr>
                  </w:pPr>
                </w:p>
              </w:tc>
              <w:tc>
                <w:tcPr>
                  <w:tcW w:w="647" w:type="pct"/>
                  <w:tcBorders>
                    <w:tl2br w:val="nil"/>
                    <w:tr2bl w:val="nil"/>
                  </w:tcBorders>
                  <w:vAlign w:val="center"/>
                </w:tcPr>
                <w:p>
                  <w:pPr>
                    <w:adjustRightInd w:val="0"/>
                    <w:snapToGrid w:val="0"/>
                    <w:spacing w:line="360" w:lineRule="auto"/>
                    <w:jc w:val="center"/>
                    <w:rPr>
                      <w:rFonts w:hint="eastAsia" w:cs="Times New Roman"/>
                      <w:b w:val="0"/>
                      <w:bCs/>
                      <w:sz w:val="22"/>
                      <w:szCs w:val="22"/>
                      <w:u w:val="none" w:color="auto"/>
                      <w:lang w:val="en-US" w:eastAsia="zh-CN"/>
                    </w:rPr>
                  </w:pPr>
                  <w:r>
                    <w:rPr>
                      <w:rFonts w:hint="default" w:ascii="Times New Roman" w:hAnsi="Times New Roman" w:cs="Times New Roman"/>
                      <w:b w:val="0"/>
                      <w:bCs/>
                      <w:sz w:val="22"/>
                      <w:szCs w:val="22"/>
                      <w:u w:val="none" w:color="auto"/>
                      <w:lang w:val="en-US" w:eastAsia="zh-CN"/>
                    </w:rPr>
                    <w:t>一楼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66" w:type="pct"/>
                  <w:tcBorders>
                    <w:tl2br w:val="nil"/>
                    <w:tr2bl w:val="nil"/>
                  </w:tcBorders>
                  <w:vAlign w:val="center"/>
                </w:tcPr>
                <w:p>
                  <w:pPr>
                    <w:adjustRightInd w:val="0"/>
                    <w:snapToGrid w:val="0"/>
                    <w:spacing w:line="360" w:lineRule="auto"/>
                    <w:jc w:val="center"/>
                    <w:rPr>
                      <w:rFonts w:hint="eastAsia" w:ascii="Times New Roman" w:hAnsi="Times New Roman" w:eastAsia="宋体" w:cs="Times New Roman"/>
                      <w:b w:val="0"/>
                      <w:bCs/>
                      <w:sz w:val="22"/>
                      <w:szCs w:val="22"/>
                      <w:u w:val="none" w:color="auto"/>
                      <w:lang w:val="en-US" w:eastAsia="zh-CN"/>
                    </w:rPr>
                  </w:pPr>
                  <w:r>
                    <w:rPr>
                      <w:rFonts w:hint="eastAsia" w:cs="Times New Roman"/>
                      <w:b w:val="0"/>
                      <w:bCs/>
                      <w:sz w:val="22"/>
                      <w:szCs w:val="22"/>
                      <w:u w:val="none" w:color="auto"/>
                      <w:lang w:val="en-US" w:eastAsia="zh-CN"/>
                    </w:rPr>
                    <w:t>4</w:t>
                  </w:r>
                </w:p>
              </w:tc>
              <w:tc>
                <w:tcPr>
                  <w:tcW w:w="889" w:type="pct"/>
                  <w:tcBorders>
                    <w:tl2br w:val="nil"/>
                    <w:tr2bl w:val="nil"/>
                  </w:tcBorders>
                  <w:vAlign w:val="center"/>
                </w:tcPr>
                <w:p>
                  <w:pPr>
                    <w:adjustRightInd w:val="0"/>
                    <w:snapToGrid w:val="0"/>
                    <w:jc w:val="center"/>
                    <w:rPr>
                      <w:rFonts w:hint="default" w:cs="Times New Roman"/>
                      <w:b w:val="0"/>
                      <w:bCs/>
                      <w:sz w:val="22"/>
                      <w:szCs w:val="22"/>
                      <w:u w:val="none" w:color="auto"/>
                      <w:lang w:val="en-US" w:eastAsia="zh-CN"/>
                    </w:rPr>
                  </w:pPr>
                  <w:r>
                    <w:rPr>
                      <w:rFonts w:hint="eastAsia"/>
                      <w:b w:val="0"/>
                      <w:bCs/>
                      <w:szCs w:val="21"/>
                      <w:u w:val="none" w:color="auto"/>
                      <w:lang w:eastAsia="zh-CN"/>
                    </w:rPr>
                    <w:t>水性油墨</w:t>
                  </w:r>
                </w:p>
              </w:tc>
              <w:tc>
                <w:tcPr>
                  <w:tcW w:w="569" w:type="pct"/>
                  <w:tcBorders>
                    <w:tl2br w:val="nil"/>
                    <w:tr2bl w:val="nil"/>
                  </w:tcBorders>
                  <w:vAlign w:val="center"/>
                </w:tcPr>
                <w:p>
                  <w:pPr>
                    <w:adjustRightInd w:val="0"/>
                    <w:snapToGrid w:val="0"/>
                    <w:spacing w:line="360" w:lineRule="auto"/>
                    <w:jc w:val="center"/>
                    <w:rPr>
                      <w:rFonts w:hint="default" w:cs="Times New Roman"/>
                      <w:b w:val="0"/>
                      <w:bCs/>
                      <w:sz w:val="22"/>
                      <w:szCs w:val="22"/>
                      <w:u w:val="none" w:color="auto"/>
                      <w:lang w:val="en-US" w:eastAsia="zh-CN"/>
                    </w:rPr>
                  </w:pPr>
                  <w:r>
                    <w:rPr>
                      <w:rFonts w:hint="eastAsia" w:cs="Times New Roman"/>
                      <w:b w:val="0"/>
                      <w:bCs/>
                      <w:sz w:val="22"/>
                      <w:szCs w:val="22"/>
                      <w:u w:val="none" w:color="auto"/>
                      <w:lang w:val="en-US" w:eastAsia="zh-CN"/>
                    </w:rPr>
                    <w:t>1.5t</w:t>
                  </w:r>
                </w:p>
              </w:tc>
              <w:tc>
                <w:tcPr>
                  <w:tcW w:w="537"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none" w:color="auto"/>
                      <w:lang w:val="en-US" w:eastAsia="zh-CN"/>
                    </w:rPr>
                  </w:pPr>
                  <w:r>
                    <w:rPr>
                      <w:rFonts w:hint="eastAsia" w:cs="Times New Roman"/>
                      <w:b w:val="0"/>
                      <w:bCs/>
                      <w:sz w:val="22"/>
                      <w:szCs w:val="22"/>
                      <w:u w:val="none" w:color="auto"/>
                      <w:lang w:val="en-US" w:eastAsia="zh-CN"/>
                    </w:rPr>
                    <w:t>0.2t</w:t>
                  </w:r>
                </w:p>
              </w:tc>
              <w:tc>
                <w:tcPr>
                  <w:tcW w:w="1304"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none" w:color="auto"/>
                      <w:lang w:val="en-US" w:eastAsia="zh-CN"/>
                    </w:rPr>
                  </w:pPr>
                  <w:r>
                    <w:rPr>
                      <w:rFonts w:hint="default" w:ascii="Times New Roman" w:hAnsi="Times New Roman" w:cs="Times New Roman"/>
                      <w:b w:val="0"/>
                      <w:bCs/>
                      <w:sz w:val="22"/>
                      <w:szCs w:val="22"/>
                      <w:u w:val="none" w:color="auto"/>
                      <w:lang w:val="en-US" w:eastAsia="zh-CN"/>
                    </w:rPr>
                    <w:t>外购</w:t>
                  </w:r>
                </w:p>
              </w:tc>
              <w:tc>
                <w:tcPr>
                  <w:tcW w:w="685"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none" w:color="auto"/>
                      <w:lang w:val="en-US" w:eastAsia="zh-CN"/>
                    </w:rPr>
                  </w:pPr>
                  <w:r>
                    <w:rPr>
                      <w:rFonts w:hint="eastAsia" w:cs="Times New Roman"/>
                      <w:b w:val="0"/>
                      <w:bCs/>
                      <w:sz w:val="22"/>
                      <w:szCs w:val="22"/>
                      <w:u w:val="none" w:color="auto"/>
                      <w:lang w:val="en-US" w:eastAsia="zh-CN"/>
                    </w:rPr>
                    <w:t>液体，桶装</w:t>
                  </w:r>
                </w:p>
              </w:tc>
              <w:tc>
                <w:tcPr>
                  <w:tcW w:w="647" w:type="pct"/>
                  <w:tcBorders>
                    <w:tl2br w:val="nil"/>
                    <w:tr2bl w:val="nil"/>
                  </w:tcBorders>
                  <w:vAlign w:val="center"/>
                </w:tcPr>
                <w:p>
                  <w:pPr>
                    <w:adjustRightInd w:val="0"/>
                    <w:snapToGrid w:val="0"/>
                    <w:spacing w:line="360" w:lineRule="auto"/>
                    <w:jc w:val="center"/>
                    <w:rPr>
                      <w:rFonts w:hint="eastAsia" w:cs="Times New Roman"/>
                      <w:b w:val="0"/>
                      <w:bCs/>
                      <w:sz w:val="22"/>
                      <w:szCs w:val="22"/>
                      <w:u w:val="none" w:color="auto"/>
                      <w:lang w:val="en-US" w:eastAsia="zh-CN"/>
                    </w:rPr>
                  </w:pPr>
                  <w:r>
                    <w:rPr>
                      <w:rFonts w:hint="eastAsia" w:cs="Times New Roman"/>
                      <w:b w:val="0"/>
                      <w:bCs/>
                      <w:sz w:val="22"/>
                      <w:szCs w:val="22"/>
                      <w:u w:val="none" w:color="auto"/>
                      <w:lang w:val="en-US" w:eastAsia="zh-CN"/>
                    </w:rPr>
                    <w:t>四</w:t>
                  </w:r>
                  <w:r>
                    <w:rPr>
                      <w:rFonts w:hint="default" w:ascii="Times New Roman" w:hAnsi="Times New Roman" w:cs="Times New Roman"/>
                      <w:b w:val="0"/>
                      <w:bCs/>
                      <w:sz w:val="22"/>
                      <w:szCs w:val="22"/>
                      <w:u w:val="none" w:color="auto"/>
                      <w:lang w:val="en-US" w:eastAsia="zh-CN"/>
                    </w:rPr>
                    <w:t>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366" w:type="pct"/>
                  <w:tcBorders>
                    <w:tl2br w:val="nil"/>
                    <w:tr2bl w:val="nil"/>
                  </w:tcBorders>
                  <w:vAlign w:val="center"/>
                </w:tcPr>
                <w:p>
                  <w:pPr>
                    <w:adjustRightInd w:val="0"/>
                    <w:snapToGrid w:val="0"/>
                    <w:spacing w:line="360" w:lineRule="auto"/>
                    <w:jc w:val="center"/>
                    <w:rPr>
                      <w:rFonts w:hint="eastAsia" w:ascii="Times New Roman" w:hAnsi="Times New Roman" w:eastAsia="宋体" w:cs="Times New Roman"/>
                      <w:b w:val="0"/>
                      <w:bCs/>
                      <w:sz w:val="22"/>
                      <w:szCs w:val="22"/>
                      <w:u w:val="none" w:color="auto"/>
                      <w:lang w:eastAsia="zh-CN"/>
                    </w:rPr>
                  </w:pPr>
                  <w:r>
                    <w:rPr>
                      <w:rFonts w:hint="eastAsia" w:cs="Times New Roman"/>
                      <w:b w:val="0"/>
                      <w:bCs/>
                      <w:sz w:val="22"/>
                      <w:szCs w:val="22"/>
                      <w:u w:val="none" w:color="auto"/>
                      <w:lang w:val="en-US" w:eastAsia="zh-CN"/>
                    </w:rPr>
                    <w:t>5</w:t>
                  </w:r>
                </w:p>
              </w:tc>
              <w:tc>
                <w:tcPr>
                  <w:tcW w:w="889" w:type="pct"/>
                  <w:tcBorders>
                    <w:tl2br w:val="nil"/>
                    <w:tr2bl w:val="nil"/>
                  </w:tcBorders>
                  <w:vAlign w:val="center"/>
                </w:tcPr>
                <w:p>
                  <w:pPr>
                    <w:adjustRightInd w:val="0"/>
                    <w:snapToGrid w:val="0"/>
                    <w:jc w:val="center"/>
                    <w:rPr>
                      <w:rFonts w:hint="default" w:ascii="Times New Roman" w:hAnsi="Times New Roman" w:eastAsia="宋体" w:cs="Times New Roman"/>
                      <w:b w:val="0"/>
                      <w:bCs/>
                      <w:sz w:val="22"/>
                      <w:szCs w:val="22"/>
                      <w:u w:val="none" w:color="auto"/>
                      <w:lang w:val="en-US" w:eastAsia="zh-CN"/>
                    </w:rPr>
                  </w:pPr>
                  <w:r>
                    <w:rPr>
                      <w:rFonts w:hint="eastAsia"/>
                      <w:b w:val="0"/>
                      <w:bCs/>
                      <w:szCs w:val="21"/>
                      <w:u w:val="none" w:color="auto"/>
                      <w:lang w:val="en-US" w:eastAsia="zh-CN"/>
                    </w:rPr>
                    <w:t>复印原纸</w:t>
                  </w:r>
                </w:p>
              </w:tc>
              <w:tc>
                <w:tcPr>
                  <w:tcW w:w="569"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 w:val="0"/>
                      <w:bCs/>
                      <w:sz w:val="22"/>
                      <w:szCs w:val="22"/>
                      <w:u w:val="none" w:color="auto"/>
                      <w:lang w:val="en-US" w:eastAsia="zh-CN"/>
                    </w:rPr>
                  </w:pPr>
                  <w:r>
                    <w:rPr>
                      <w:rFonts w:hint="eastAsia" w:cs="Times New Roman"/>
                      <w:b w:val="0"/>
                      <w:bCs/>
                      <w:sz w:val="22"/>
                      <w:szCs w:val="22"/>
                      <w:u w:val="none" w:color="auto"/>
                      <w:lang w:val="en-US" w:eastAsia="zh-CN"/>
                    </w:rPr>
                    <w:t>1246t</w:t>
                  </w:r>
                </w:p>
              </w:tc>
              <w:tc>
                <w:tcPr>
                  <w:tcW w:w="537"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 w:val="0"/>
                      <w:bCs/>
                      <w:sz w:val="22"/>
                      <w:szCs w:val="22"/>
                      <w:u w:val="none" w:color="auto"/>
                      <w:lang w:val="en-US" w:eastAsia="zh-CN"/>
                    </w:rPr>
                  </w:pPr>
                  <w:r>
                    <w:rPr>
                      <w:rFonts w:hint="eastAsia" w:cs="Times New Roman"/>
                      <w:b w:val="0"/>
                      <w:bCs/>
                      <w:sz w:val="22"/>
                      <w:szCs w:val="22"/>
                      <w:u w:val="none" w:color="auto"/>
                      <w:lang w:val="en-US" w:eastAsia="zh-CN"/>
                    </w:rPr>
                    <w:t>/</w:t>
                  </w:r>
                </w:p>
              </w:tc>
              <w:tc>
                <w:tcPr>
                  <w:tcW w:w="1304"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none" w:color="auto"/>
                    </w:rPr>
                  </w:pPr>
                  <w:r>
                    <w:rPr>
                      <w:rFonts w:hint="default" w:ascii="Times New Roman" w:hAnsi="Times New Roman" w:cs="Times New Roman"/>
                      <w:b w:val="0"/>
                      <w:bCs/>
                      <w:sz w:val="22"/>
                      <w:szCs w:val="22"/>
                      <w:u w:val="none" w:color="auto"/>
                      <w:lang w:val="en-US" w:eastAsia="zh-CN"/>
                    </w:rPr>
                    <w:t>外购</w:t>
                  </w:r>
                  <w:r>
                    <w:rPr>
                      <w:rFonts w:hint="eastAsia" w:cs="Times New Roman"/>
                      <w:b w:val="0"/>
                      <w:bCs/>
                      <w:sz w:val="22"/>
                      <w:szCs w:val="22"/>
                      <w:u w:val="none" w:color="auto"/>
                      <w:lang w:val="en-US" w:eastAsia="zh-CN"/>
                    </w:rPr>
                    <w:t>半成品，</w:t>
                  </w:r>
                  <w:r>
                    <w:rPr>
                      <w:rFonts w:hint="default" w:ascii="Times New Roman" w:hAnsi="Times New Roman" w:eastAsia="宋体" w:cs="Times New Roman"/>
                      <w:color w:val="333333"/>
                      <w:sz w:val="22"/>
                      <w:szCs w:val="22"/>
                      <w:u w:val="none" w:color="auto"/>
                    </w:rPr>
                    <w:t>经</w:t>
                  </w:r>
                  <w:r>
                    <w:rPr>
                      <w:rFonts w:hint="eastAsia" w:cs="Times New Roman"/>
                      <w:color w:val="333333"/>
                      <w:sz w:val="22"/>
                      <w:szCs w:val="22"/>
                      <w:u w:val="none" w:color="auto"/>
                      <w:lang w:val="en-US" w:eastAsia="zh-CN"/>
                    </w:rPr>
                    <w:t>加工生产好的原纸</w:t>
                  </w:r>
                </w:p>
              </w:tc>
              <w:tc>
                <w:tcPr>
                  <w:tcW w:w="685"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 w:val="0"/>
                      <w:bCs/>
                      <w:sz w:val="22"/>
                      <w:szCs w:val="22"/>
                      <w:u w:val="none" w:color="auto"/>
                      <w:lang w:val="en-US" w:eastAsia="zh-CN"/>
                    </w:rPr>
                  </w:pPr>
                  <w:r>
                    <w:rPr>
                      <w:rFonts w:hint="eastAsia" w:cs="Times New Roman"/>
                      <w:b w:val="0"/>
                      <w:bCs/>
                      <w:sz w:val="22"/>
                      <w:szCs w:val="22"/>
                      <w:u w:val="none" w:color="auto"/>
                      <w:lang w:val="en-US" w:eastAsia="zh-CN"/>
                    </w:rPr>
                    <w:t>固体，袋装</w:t>
                  </w:r>
                </w:p>
              </w:tc>
              <w:tc>
                <w:tcPr>
                  <w:tcW w:w="647"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val="0"/>
                      <w:sz w:val="22"/>
                      <w:szCs w:val="22"/>
                      <w:u w:val="none" w:color="auto"/>
                    </w:rPr>
                  </w:pPr>
                  <w:r>
                    <w:rPr>
                      <w:rFonts w:hint="default" w:ascii="Times New Roman" w:hAnsi="Times New Roman" w:cs="Times New Roman"/>
                      <w:b w:val="0"/>
                      <w:bCs/>
                      <w:sz w:val="22"/>
                      <w:szCs w:val="22"/>
                      <w:u w:val="none" w:color="auto"/>
                      <w:lang w:val="en-US" w:eastAsia="zh-CN"/>
                    </w:rPr>
                    <w:t>一楼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366" w:type="pct"/>
                  <w:tcBorders>
                    <w:tl2br w:val="nil"/>
                    <w:tr2bl w:val="nil"/>
                  </w:tcBorders>
                  <w:vAlign w:val="center"/>
                </w:tcPr>
                <w:p>
                  <w:pPr>
                    <w:adjustRightInd w:val="0"/>
                    <w:snapToGrid w:val="0"/>
                    <w:spacing w:line="360" w:lineRule="auto"/>
                    <w:jc w:val="center"/>
                    <w:rPr>
                      <w:rFonts w:hint="eastAsia" w:ascii="Times New Roman" w:hAnsi="Times New Roman" w:eastAsia="宋体" w:cs="Times New Roman"/>
                      <w:b w:val="0"/>
                      <w:bCs/>
                      <w:sz w:val="22"/>
                      <w:szCs w:val="22"/>
                      <w:u w:val="none" w:color="auto"/>
                      <w:lang w:val="en-US" w:eastAsia="zh-CN"/>
                    </w:rPr>
                  </w:pPr>
                  <w:r>
                    <w:rPr>
                      <w:rFonts w:hint="eastAsia" w:cs="Times New Roman"/>
                      <w:b w:val="0"/>
                      <w:bCs/>
                      <w:sz w:val="22"/>
                      <w:szCs w:val="22"/>
                      <w:u w:val="none" w:color="auto"/>
                      <w:lang w:val="en-US" w:eastAsia="zh-CN"/>
                    </w:rPr>
                    <w:t>6</w:t>
                  </w:r>
                </w:p>
              </w:tc>
              <w:tc>
                <w:tcPr>
                  <w:tcW w:w="889" w:type="pct"/>
                  <w:tcBorders>
                    <w:tl2br w:val="nil"/>
                    <w:tr2bl w:val="nil"/>
                  </w:tcBorders>
                  <w:vAlign w:val="center"/>
                </w:tcPr>
                <w:p>
                  <w:pPr>
                    <w:adjustRightInd w:val="0"/>
                    <w:snapToGrid w:val="0"/>
                    <w:spacing w:line="360" w:lineRule="auto"/>
                    <w:jc w:val="center"/>
                    <w:rPr>
                      <w:rFonts w:hint="eastAsia"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水</w:t>
                  </w:r>
                </w:p>
              </w:tc>
              <w:tc>
                <w:tcPr>
                  <w:tcW w:w="569" w:type="pct"/>
                  <w:tcBorders>
                    <w:tl2br w:val="nil"/>
                    <w:tr2bl w:val="nil"/>
                  </w:tcBorders>
                  <w:vAlign w:val="center"/>
                </w:tcPr>
                <w:p>
                  <w:pPr>
                    <w:adjustRightInd w:val="0"/>
                    <w:snapToGrid w:val="0"/>
                    <w:spacing w:line="360" w:lineRule="auto"/>
                    <w:jc w:val="center"/>
                    <w:rPr>
                      <w:rFonts w:hint="default" w:cs="Times New Roman"/>
                      <w:b w:val="0"/>
                      <w:bCs/>
                      <w:sz w:val="22"/>
                      <w:szCs w:val="22"/>
                      <w:u w:val="none" w:color="auto"/>
                      <w:lang w:val="en-US" w:eastAsia="zh-CN"/>
                    </w:rPr>
                  </w:pPr>
                  <w:r>
                    <w:rPr>
                      <w:rFonts w:hint="eastAsia" w:cs="Times New Roman"/>
                      <w:b w:val="0"/>
                      <w:bCs/>
                      <w:sz w:val="22"/>
                      <w:szCs w:val="22"/>
                      <w:u w:val="none" w:color="auto"/>
                      <w:lang w:val="en-US" w:eastAsia="zh-CN"/>
                    </w:rPr>
                    <w:t>771t</w:t>
                  </w:r>
                </w:p>
              </w:tc>
              <w:tc>
                <w:tcPr>
                  <w:tcW w:w="537"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none" w:color="auto"/>
                      <w:lang w:val="en-US" w:eastAsia="zh-CN"/>
                    </w:rPr>
                  </w:pPr>
                  <w:r>
                    <w:rPr>
                      <w:rFonts w:hint="eastAsia" w:cs="Times New Roman"/>
                      <w:b w:val="0"/>
                      <w:bCs/>
                      <w:sz w:val="22"/>
                      <w:szCs w:val="22"/>
                      <w:u w:val="none" w:color="auto"/>
                      <w:lang w:val="en-US" w:eastAsia="zh-CN"/>
                    </w:rPr>
                    <w:t>/</w:t>
                  </w:r>
                </w:p>
              </w:tc>
              <w:tc>
                <w:tcPr>
                  <w:tcW w:w="1304"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none" w:color="auto"/>
                      <w:lang w:val="en-US" w:eastAsia="zh-CN"/>
                    </w:rPr>
                  </w:pPr>
                  <w:r>
                    <w:rPr>
                      <w:rFonts w:hint="eastAsia" w:cs="Times New Roman"/>
                      <w:b w:val="0"/>
                      <w:bCs/>
                      <w:sz w:val="22"/>
                      <w:szCs w:val="22"/>
                      <w:u w:val="none" w:color="auto"/>
                      <w:lang w:val="en-US" w:eastAsia="zh-CN"/>
                    </w:rPr>
                    <w:t>自来水公司</w:t>
                  </w:r>
                </w:p>
              </w:tc>
              <w:tc>
                <w:tcPr>
                  <w:tcW w:w="685"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none" w:color="auto"/>
                      <w:lang w:val="en-US" w:eastAsia="zh-CN"/>
                    </w:rPr>
                  </w:pPr>
                  <w:r>
                    <w:rPr>
                      <w:rFonts w:hint="eastAsia" w:cs="Times New Roman"/>
                      <w:b w:val="0"/>
                      <w:bCs/>
                      <w:sz w:val="22"/>
                      <w:szCs w:val="22"/>
                      <w:u w:val="none" w:color="auto"/>
                      <w:lang w:val="en-US" w:eastAsia="zh-CN"/>
                    </w:rPr>
                    <w:t>/</w:t>
                  </w:r>
                </w:p>
              </w:tc>
              <w:tc>
                <w:tcPr>
                  <w:tcW w:w="647"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none" w:color="auto"/>
                      <w:lang w:val="en-US" w:eastAsia="zh-CN"/>
                    </w:rPr>
                  </w:pPr>
                  <w:r>
                    <w:rPr>
                      <w:rFonts w:hint="eastAsia" w:cs="Times New Roman"/>
                      <w:b w:val="0"/>
                      <w:bCs/>
                      <w:sz w:val="22"/>
                      <w:szCs w:val="22"/>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366" w:type="pct"/>
                  <w:tcBorders>
                    <w:tl2br w:val="nil"/>
                    <w:tr2bl w:val="nil"/>
                  </w:tcBorders>
                  <w:vAlign w:val="center"/>
                </w:tcPr>
                <w:p>
                  <w:pPr>
                    <w:adjustRightInd w:val="0"/>
                    <w:snapToGrid w:val="0"/>
                    <w:spacing w:line="360" w:lineRule="auto"/>
                    <w:jc w:val="center"/>
                    <w:rPr>
                      <w:rFonts w:hint="eastAsia" w:ascii="Times New Roman" w:hAnsi="Times New Roman" w:eastAsia="宋体" w:cs="Times New Roman"/>
                      <w:b w:val="0"/>
                      <w:bCs/>
                      <w:sz w:val="22"/>
                      <w:szCs w:val="22"/>
                      <w:u w:val="none" w:color="auto"/>
                      <w:lang w:val="en-US" w:eastAsia="zh-CN"/>
                    </w:rPr>
                  </w:pPr>
                  <w:r>
                    <w:rPr>
                      <w:rFonts w:hint="eastAsia" w:cs="Times New Roman"/>
                      <w:b w:val="0"/>
                      <w:bCs/>
                      <w:sz w:val="22"/>
                      <w:szCs w:val="22"/>
                      <w:u w:val="none" w:color="auto"/>
                      <w:lang w:val="en-US" w:eastAsia="zh-CN"/>
                    </w:rPr>
                    <w:t>7</w:t>
                  </w:r>
                </w:p>
              </w:tc>
              <w:tc>
                <w:tcPr>
                  <w:tcW w:w="889" w:type="pct"/>
                  <w:tcBorders>
                    <w:tl2br w:val="nil"/>
                    <w:tr2bl w:val="nil"/>
                  </w:tcBorders>
                  <w:vAlign w:val="center"/>
                </w:tcPr>
                <w:p>
                  <w:pPr>
                    <w:adjustRightInd w:val="0"/>
                    <w:snapToGrid w:val="0"/>
                    <w:spacing w:line="360" w:lineRule="auto"/>
                    <w:jc w:val="center"/>
                    <w:rPr>
                      <w:rFonts w:hint="eastAsia"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电</w:t>
                  </w:r>
                </w:p>
              </w:tc>
              <w:tc>
                <w:tcPr>
                  <w:tcW w:w="569" w:type="pct"/>
                  <w:tcBorders>
                    <w:tl2br w:val="nil"/>
                    <w:tr2bl w:val="nil"/>
                  </w:tcBorders>
                  <w:vAlign w:val="center"/>
                </w:tcPr>
                <w:p>
                  <w:pPr>
                    <w:adjustRightInd w:val="0"/>
                    <w:snapToGrid w:val="0"/>
                    <w:spacing w:line="360" w:lineRule="auto"/>
                    <w:jc w:val="center"/>
                    <w:rPr>
                      <w:rFonts w:hint="default" w:cs="Times New Roman"/>
                      <w:b w:val="0"/>
                      <w:bCs/>
                      <w:sz w:val="22"/>
                      <w:szCs w:val="22"/>
                      <w:u w:val="none" w:color="auto"/>
                      <w:lang w:val="en-US" w:eastAsia="zh-CN"/>
                    </w:rPr>
                  </w:pPr>
                  <w:r>
                    <w:rPr>
                      <w:rFonts w:hint="eastAsia" w:cs="Times New Roman"/>
                      <w:b w:val="0"/>
                      <w:bCs/>
                      <w:sz w:val="22"/>
                      <w:szCs w:val="22"/>
                      <w:u w:val="none" w:color="auto"/>
                      <w:lang w:val="en-US" w:eastAsia="zh-CN"/>
                    </w:rPr>
                    <w:t>20万度</w:t>
                  </w:r>
                </w:p>
              </w:tc>
              <w:tc>
                <w:tcPr>
                  <w:tcW w:w="537"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none" w:color="auto"/>
                      <w:lang w:val="en-US" w:eastAsia="zh-CN"/>
                    </w:rPr>
                  </w:pPr>
                  <w:r>
                    <w:rPr>
                      <w:rFonts w:hint="eastAsia" w:cs="Times New Roman"/>
                      <w:b w:val="0"/>
                      <w:bCs/>
                      <w:sz w:val="22"/>
                      <w:szCs w:val="22"/>
                      <w:u w:val="none" w:color="auto"/>
                      <w:lang w:val="en-US" w:eastAsia="zh-CN"/>
                    </w:rPr>
                    <w:t>/</w:t>
                  </w:r>
                </w:p>
              </w:tc>
              <w:tc>
                <w:tcPr>
                  <w:tcW w:w="1304"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none" w:color="auto"/>
                      <w:lang w:val="en-US" w:eastAsia="zh-CN"/>
                    </w:rPr>
                  </w:pPr>
                  <w:r>
                    <w:rPr>
                      <w:rFonts w:hint="eastAsia" w:cs="Times New Roman"/>
                      <w:b w:val="0"/>
                      <w:bCs/>
                      <w:sz w:val="22"/>
                      <w:szCs w:val="22"/>
                      <w:u w:val="none" w:color="auto"/>
                      <w:lang w:val="en-US" w:eastAsia="zh-CN"/>
                    </w:rPr>
                    <w:t>国家电网</w:t>
                  </w:r>
                </w:p>
              </w:tc>
              <w:tc>
                <w:tcPr>
                  <w:tcW w:w="685"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none" w:color="auto"/>
                      <w:lang w:val="en-US" w:eastAsia="zh-CN"/>
                    </w:rPr>
                  </w:pPr>
                  <w:r>
                    <w:rPr>
                      <w:rFonts w:hint="eastAsia" w:cs="Times New Roman"/>
                      <w:b w:val="0"/>
                      <w:bCs/>
                      <w:sz w:val="22"/>
                      <w:szCs w:val="22"/>
                      <w:u w:val="none" w:color="auto"/>
                      <w:lang w:val="en-US" w:eastAsia="zh-CN"/>
                    </w:rPr>
                    <w:t>/</w:t>
                  </w:r>
                </w:p>
              </w:tc>
              <w:tc>
                <w:tcPr>
                  <w:tcW w:w="647"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none" w:color="auto"/>
                      <w:lang w:val="en-US" w:eastAsia="zh-CN"/>
                    </w:rPr>
                  </w:pPr>
                  <w:r>
                    <w:rPr>
                      <w:rFonts w:hint="eastAsia" w:cs="Times New Roman"/>
                      <w:b w:val="0"/>
                      <w:bCs/>
                      <w:sz w:val="22"/>
                      <w:szCs w:val="22"/>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366" w:type="pct"/>
                  <w:tcBorders>
                    <w:tl2br w:val="nil"/>
                    <w:tr2bl w:val="nil"/>
                  </w:tcBorders>
                  <w:vAlign w:val="center"/>
                </w:tcPr>
                <w:p>
                  <w:pPr>
                    <w:adjustRightInd w:val="0"/>
                    <w:snapToGrid w:val="0"/>
                    <w:spacing w:line="360" w:lineRule="auto"/>
                    <w:jc w:val="center"/>
                    <w:rPr>
                      <w:rFonts w:hint="default" w:cs="Times New Roman"/>
                      <w:b w:val="0"/>
                      <w:bCs/>
                      <w:sz w:val="22"/>
                      <w:szCs w:val="22"/>
                      <w:u w:val="none" w:color="auto"/>
                      <w:lang w:val="en-US" w:eastAsia="zh-CN"/>
                    </w:rPr>
                  </w:pPr>
                  <w:r>
                    <w:rPr>
                      <w:rFonts w:hint="eastAsia" w:cs="Times New Roman"/>
                      <w:b w:val="0"/>
                      <w:bCs/>
                      <w:sz w:val="22"/>
                      <w:szCs w:val="22"/>
                      <w:u w:val="none" w:color="auto"/>
                      <w:lang w:val="en-US" w:eastAsia="zh-CN"/>
                    </w:rPr>
                    <w:t>8</w:t>
                  </w:r>
                </w:p>
              </w:tc>
              <w:tc>
                <w:tcPr>
                  <w:tcW w:w="889" w:type="pct"/>
                  <w:tcBorders>
                    <w:tl2br w:val="nil"/>
                    <w:tr2bl w:val="nil"/>
                  </w:tcBorders>
                  <w:vAlign w:val="center"/>
                </w:tcPr>
                <w:p>
                  <w:pPr>
                    <w:adjustRightInd w:val="0"/>
                    <w:snapToGrid w:val="0"/>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印刷版</w:t>
                  </w:r>
                </w:p>
              </w:tc>
              <w:tc>
                <w:tcPr>
                  <w:tcW w:w="569" w:type="pct"/>
                  <w:tcBorders>
                    <w:tl2br w:val="nil"/>
                    <w:tr2bl w:val="nil"/>
                  </w:tcBorders>
                  <w:vAlign w:val="center"/>
                </w:tcPr>
                <w:p>
                  <w:pPr>
                    <w:adjustRightInd w:val="0"/>
                    <w:snapToGrid w:val="0"/>
                    <w:spacing w:line="360" w:lineRule="auto"/>
                    <w:jc w:val="center"/>
                    <w:rPr>
                      <w:rFonts w:hint="default" w:cs="Times New Roman"/>
                      <w:b w:val="0"/>
                      <w:bCs/>
                      <w:sz w:val="22"/>
                      <w:szCs w:val="22"/>
                      <w:u w:val="none" w:color="auto"/>
                      <w:lang w:val="en-US" w:eastAsia="zh-CN"/>
                    </w:rPr>
                  </w:pPr>
                  <w:r>
                    <w:rPr>
                      <w:rFonts w:hint="eastAsia" w:cs="Times New Roman"/>
                      <w:b w:val="0"/>
                      <w:bCs/>
                      <w:sz w:val="22"/>
                      <w:szCs w:val="22"/>
                      <w:u w:val="none" w:color="auto"/>
                      <w:lang w:val="en-US" w:eastAsia="zh-CN"/>
                    </w:rPr>
                    <w:t>50张</w:t>
                  </w:r>
                </w:p>
              </w:tc>
              <w:tc>
                <w:tcPr>
                  <w:tcW w:w="537" w:type="pct"/>
                  <w:tcBorders>
                    <w:tl2br w:val="nil"/>
                    <w:tr2bl w:val="nil"/>
                  </w:tcBorders>
                  <w:vAlign w:val="center"/>
                </w:tcPr>
                <w:p>
                  <w:pPr>
                    <w:adjustRightInd w:val="0"/>
                    <w:snapToGrid w:val="0"/>
                    <w:spacing w:line="360" w:lineRule="auto"/>
                    <w:jc w:val="center"/>
                    <w:rPr>
                      <w:rFonts w:hint="default" w:cs="Times New Roman"/>
                      <w:b w:val="0"/>
                      <w:bCs/>
                      <w:sz w:val="22"/>
                      <w:szCs w:val="22"/>
                      <w:u w:val="none" w:color="auto"/>
                      <w:lang w:val="en-US" w:eastAsia="zh-CN"/>
                    </w:rPr>
                  </w:pPr>
                  <w:r>
                    <w:rPr>
                      <w:rFonts w:hint="eastAsia" w:cs="Times New Roman"/>
                      <w:b w:val="0"/>
                      <w:bCs/>
                      <w:sz w:val="22"/>
                      <w:szCs w:val="22"/>
                      <w:u w:val="none" w:color="auto"/>
                      <w:lang w:val="en-US" w:eastAsia="zh-CN"/>
                    </w:rPr>
                    <w:t>/</w:t>
                  </w:r>
                </w:p>
              </w:tc>
              <w:tc>
                <w:tcPr>
                  <w:tcW w:w="1304" w:type="pct"/>
                  <w:tcBorders>
                    <w:tl2br w:val="nil"/>
                    <w:tr2bl w:val="nil"/>
                  </w:tcBorders>
                  <w:vAlign w:val="center"/>
                </w:tcPr>
                <w:p>
                  <w:pPr>
                    <w:adjustRightInd w:val="0"/>
                    <w:snapToGrid w:val="0"/>
                    <w:spacing w:line="360" w:lineRule="auto"/>
                    <w:jc w:val="center"/>
                    <w:rPr>
                      <w:rFonts w:hint="default" w:cs="Times New Roman"/>
                      <w:b w:val="0"/>
                      <w:bCs/>
                      <w:sz w:val="22"/>
                      <w:szCs w:val="22"/>
                      <w:u w:val="none" w:color="auto"/>
                      <w:lang w:val="en-US" w:eastAsia="zh-CN"/>
                    </w:rPr>
                  </w:pPr>
                  <w:r>
                    <w:rPr>
                      <w:rFonts w:hint="eastAsia" w:cs="Times New Roman"/>
                      <w:b w:val="0"/>
                      <w:bCs/>
                      <w:sz w:val="22"/>
                      <w:szCs w:val="22"/>
                      <w:u w:val="none" w:color="auto"/>
                      <w:lang w:val="en-US" w:eastAsia="zh-CN"/>
                    </w:rPr>
                    <w:t>外购成品</w:t>
                  </w:r>
                </w:p>
              </w:tc>
              <w:tc>
                <w:tcPr>
                  <w:tcW w:w="685" w:type="pct"/>
                  <w:tcBorders>
                    <w:tl2br w:val="nil"/>
                    <w:tr2bl w:val="nil"/>
                  </w:tcBorders>
                  <w:vAlign w:val="center"/>
                </w:tcPr>
                <w:p>
                  <w:pPr>
                    <w:adjustRightInd w:val="0"/>
                    <w:snapToGrid w:val="0"/>
                    <w:spacing w:line="360" w:lineRule="auto"/>
                    <w:jc w:val="center"/>
                    <w:rPr>
                      <w:rFonts w:hint="default" w:cs="Times New Roman"/>
                      <w:b w:val="0"/>
                      <w:bCs/>
                      <w:sz w:val="22"/>
                      <w:szCs w:val="22"/>
                      <w:u w:val="none" w:color="auto"/>
                      <w:lang w:val="en-US" w:eastAsia="zh-CN"/>
                    </w:rPr>
                  </w:pPr>
                  <w:r>
                    <w:rPr>
                      <w:rFonts w:hint="eastAsia" w:cs="Times New Roman"/>
                      <w:b w:val="0"/>
                      <w:bCs/>
                      <w:sz w:val="22"/>
                      <w:szCs w:val="22"/>
                      <w:u w:val="none" w:color="auto"/>
                      <w:lang w:val="en-US" w:eastAsia="zh-CN"/>
                    </w:rPr>
                    <w:t>/</w:t>
                  </w:r>
                </w:p>
              </w:tc>
              <w:tc>
                <w:tcPr>
                  <w:tcW w:w="647" w:type="pct"/>
                  <w:tcBorders>
                    <w:tl2br w:val="nil"/>
                    <w:tr2bl w:val="nil"/>
                  </w:tcBorders>
                  <w:vAlign w:val="center"/>
                </w:tcPr>
                <w:p>
                  <w:pPr>
                    <w:adjustRightInd w:val="0"/>
                    <w:snapToGrid w:val="0"/>
                    <w:spacing w:line="360" w:lineRule="auto"/>
                    <w:jc w:val="center"/>
                    <w:rPr>
                      <w:rFonts w:hint="default" w:cs="Times New Roman"/>
                      <w:b w:val="0"/>
                      <w:bCs/>
                      <w:sz w:val="22"/>
                      <w:szCs w:val="22"/>
                      <w:u w:val="none" w:color="auto"/>
                      <w:lang w:val="en-US" w:eastAsia="zh-CN"/>
                    </w:rPr>
                  </w:pPr>
                  <w:r>
                    <w:rPr>
                      <w:rFonts w:hint="eastAsia" w:cs="Times New Roman"/>
                      <w:b w:val="0"/>
                      <w:bCs/>
                      <w:sz w:val="22"/>
                      <w:szCs w:val="22"/>
                      <w:u w:val="none" w:color="auto"/>
                      <w:lang w:val="en-US" w:eastAsia="zh-CN"/>
                    </w:rPr>
                    <w:t>四楼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366" w:type="pct"/>
                  <w:tcBorders>
                    <w:tl2br w:val="nil"/>
                    <w:tr2bl w:val="nil"/>
                  </w:tcBorders>
                  <w:vAlign w:val="center"/>
                </w:tcPr>
                <w:p>
                  <w:pPr>
                    <w:adjustRightInd w:val="0"/>
                    <w:snapToGrid w:val="0"/>
                    <w:spacing w:line="360" w:lineRule="auto"/>
                    <w:jc w:val="center"/>
                    <w:rPr>
                      <w:rFonts w:hint="default" w:cs="Times New Roman"/>
                      <w:b w:val="0"/>
                      <w:bCs/>
                      <w:sz w:val="22"/>
                      <w:szCs w:val="22"/>
                      <w:u w:val="none" w:color="auto"/>
                      <w:lang w:val="en-US" w:eastAsia="zh-CN"/>
                    </w:rPr>
                  </w:pPr>
                  <w:r>
                    <w:rPr>
                      <w:rFonts w:hint="eastAsia" w:cs="Times New Roman"/>
                      <w:b w:val="0"/>
                      <w:bCs/>
                      <w:sz w:val="22"/>
                      <w:szCs w:val="22"/>
                      <w:u w:val="none" w:color="auto"/>
                      <w:lang w:val="en-US" w:eastAsia="zh-CN"/>
                    </w:rPr>
                    <w:t>9</w:t>
                  </w:r>
                </w:p>
              </w:tc>
              <w:tc>
                <w:tcPr>
                  <w:tcW w:w="889" w:type="pct"/>
                  <w:tcBorders>
                    <w:tl2br w:val="nil"/>
                    <w:tr2bl w:val="nil"/>
                  </w:tcBorders>
                  <w:vAlign w:val="center"/>
                </w:tcPr>
                <w:p>
                  <w:pPr>
                    <w:adjustRightInd w:val="0"/>
                    <w:snapToGrid w:val="0"/>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包装袋</w:t>
                  </w:r>
                </w:p>
              </w:tc>
              <w:tc>
                <w:tcPr>
                  <w:tcW w:w="569" w:type="pct"/>
                  <w:tcBorders>
                    <w:tl2br w:val="nil"/>
                    <w:tr2bl w:val="nil"/>
                  </w:tcBorders>
                  <w:vAlign w:val="center"/>
                </w:tcPr>
                <w:p>
                  <w:pPr>
                    <w:adjustRightInd w:val="0"/>
                    <w:snapToGrid w:val="0"/>
                    <w:spacing w:line="360" w:lineRule="auto"/>
                    <w:jc w:val="center"/>
                    <w:rPr>
                      <w:rFonts w:hint="default" w:cs="Times New Roman"/>
                      <w:b w:val="0"/>
                      <w:bCs/>
                      <w:sz w:val="22"/>
                      <w:szCs w:val="22"/>
                      <w:u w:val="none" w:color="auto"/>
                      <w:lang w:val="en-US" w:eastAsia="zh-CN"/>
                    </w:rPr>
                  </w:pPr>
                  <w:r>
                    <w:rPr>
                      <w:rFonts w:hint="eastAsia" w:cs="Times New Roman"/>
                      <w:b w:val="0"/>
                      <w:bCs/>
                      <w:sz w:val="22"/>
                      <w:szCs w:val="22"/>
                      <w:u w:val="none" w:color="auto"/>
                      <w:lang w:val="en-US" w:eastAsia="zh-CN"/>
                    </w:rPr>
                    <w:t>2.0t</w:t>
                  </w:r>
                </w:p>
              </w:tc>
              <w:tc>
                <w:tcPr>
                  <w:tcW w:w="537" w:type="pct"/>
                  <w:tcBorders>
                    <w:tl2br w:val="nil"/>
                    <w:tr2bl w:val="nil"/>
                  </w:tcBorders>
                  <w:vAlign w:val="center"/>
                </w:tcPr>
                <w:p>
                  <w:pPr>
                    <w:adjustRightInd w:val="0"/>
                    <w:snapToGrid w:val="0"/>
                    <w:spacing w:line="360" w:lineRule="auto"/>
                    <w:jc w:val="center"/>
                    <w:rPr>
                      <w:rFonts w:hint="default" w:cs="Times New Roman"/>
                      <w:b w:val="0"/>
                      <w:bCs/>
                      <w:sz w:val="22"/>
                      <w:szCs w:val="22"/>
                      <w:u w:val="none" w:color="auto"/>
                      <w:lang w:val="en-US" w:eastAsia="zh-CN"/>
                    </w:rPr>
                  </w:pPr>
                  <w:r>
                    <w:rPr>
                      <w:rFonts w:hint="eastAsia" w:cs="Times New Roman"/>
                      <w:b w:val="0"/>
                      <w:bCs/>
                      <w:sz w:val="22"/>
                      <w:szCs w:val="22"/>
                      <w:u w:val="none" w:color="auto"/>
                      <w:lang w:val="en-US" w:eastAsia="zh-CN"/>
                    </w:rPr>
                    <w:t>/</w:t>
                  </w:r>
                </w:p>
              </w:tc>
              <w:tc>
                <w:tcPr>
                  <w:tcW w:w="1304" w:type="pct"/>
                  <w:tcBorders>
                    <w:tl2br w:val="nil"/>
                    <w:tr2bl w:val="nil"/>
                  </w:tcBorders>
                  <w:vAlign w:val="center"/>
                </w:tcPr>
                <w:p>
                  <w:pPr>
                    <w:adjustRightInd w:val="0"/>
                    <w:snapToGrid w:val="0"/>
                    <w:spacing w:line="360" w:lineRule="auto"/>
                    <w:jc w:val="center"/>
                    <w:rPr>
                      <w:rFonts w:hint="default" w:cs="Times New Roman"/>
                      <w:b w:val="0"/>
                      <w:bCs/>
                      <w:sz w:val="22"/>
                      <w:szCs w:val="22"/>
                      <w:u w:val="none" w:color="auto"/>
                      <w:lang w:val="en-US" w:eastAsia="zh-CN"/>
                    </w:rPr>
                  </w:pPr>
                  <w:r>
                    <w:rPr>
                      <w:rFonts w:hint="eastAsia" w:cs="Times New Roman"/>
                      <w:b w:val="0"/>
                      <w:bCs/>
                      <w:sz w:val="22"/>
                      <w:szCs w:val="22"/>
                      <w:u w:val="none" w:color="auto"/>
                      <w:lang w:val="en-US" w:eastAsia="zh-CN"/>
                    </w:rPr>
                    <w:t>外购成品</w:t>
                  </w:r>
                </w:p>
              </w:tc>
              <w:tc>
                <w:tcPr>
                  <w:tcW w:w="685" w:type="pct"/>
                  <w:tcBorders>
                    <w:tl2br w:val="nil"/>
                    <w:tr2bl w:val="nil"/>
                  </w:tcBorders>
                  <w:vAlign w:val="center"/>
                </w:tcPr>
                <w:p>
                  <w:pPr>
                    <w:adjustRightInd w:val="0"/>
                    <w:snapToGrid w:val="0"/>
                    <w:spacing w:line="360" w:lineRule="auto"/>
                    <w:jc w:val="center"/>
                    <w:rPr>
                      <w:rFonts w:hint="default" w:cs="Times New Roman"/>
                      <w:b w:val="0"/>
                      <w:bCs/>
                      <w:sz w:val="22"/>
                      <w:szCs w:val="22"/>
                      <w:u w:val="none" w:color="auto"/>
                      <w:lang w:val="en-US" w:eastAsia="zh-CN"/>
                    </w:rPr>
                  </w:pPr>
                  <w:r>
                    <w:rPr>
                      <w:rFonts w:hint="eastAsia" w:cs="Times New Roman"/>
                      <w:b w:val="0"/>
                      <w:bCs/>
                      <w:sz w:val="22"/>
                      <w:szCs w:val="22"/>
                      <w:u w:val="none" w:color="auto"/>
                      <w:lang w:val="en-US" w:eastAsia="zh-CN"/>
                    </w:rPr>
                    <w:t>/</w:t>
                  </w:r>
                </w:p>
              </w:tc>
              <w:tc>
                <w:tcPr>
                  <w:tcW w:w="647" w:type="pct"/>
                  <w:tcBorders>
                    <w:tl2br w:val="nil"/>
                    <w:tr2bl w:val="nil"/>
                  </w:tcBorders>
                  <w:vAlign w:val="center"/>
                </w:tcPr>
                <w:p>
                  <w:pPr>
                    <w:adjustRightInd w:val="0"/>
                    <w:snapToGrid w:val="0"/>
                    <w:spacing w:line="360" w:lineRule="auto"/>
                    <w:jc w:val="center"/>
                    <w:rPr>
                      <w:rFonts w:hint="default" w:cs="Times New Roman"/>
                      <w:b w:val="0"/>
                      <w:bCs/>
                      <w:sz w:val="22"/>
                      <w:szCs w:val="22"/>
                      <w:u w:val="none" w:color="auto"/>
                      <w:lang w:val="en-US" w:eastAsia="zh-CN"/>
                    </w:rPr>
                  </w:pPr>
                  <w:r>
                    <w:rPr>
                      <w:rFonts w:hint="eastAsia" w:cs="Times New Roman"/>
                      <w:b w:val="0"/>
                      <w:bCs/>
                      <w:sz w:val="22"/>
                      <w:szCs w:val="22"/>
                      <w:u w:val="none" w:color="auto"/>
                      <w:lang w:val="en-US" w:eastAsia="zh-CN"/>
                    </w:rPr>
                    <w:t>四楼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366" w:type="pct"/>
                  <w:tcBorders>
                    <w:tl2br w:val="nil"/>
                    <w:tr2bl w:val="nil"/>
                  </w:tcBorders>
                  <w:vAlign w:val="center"/>
                </w:tcPr>
                <w:p>
                  <w:pPr>
                    <w:adjustRightInd w:val="0"/>
                    <w:snapToGrid w:val="0"/>
                    <w:spacing w:line="360" w:lineRule="auto"/>
                    <w:jc w:val="center"/>
                    <w:rPr>
                      <w:rFonts w:hint="default" w:cs="Times New Roman"/>
                      <w:b w:val="0"/>
                      <w:bCs/>
                      <w:sz w:val="22"/>
                      <w:szCs w:val="22"/>
                      <w:u w:val="none" w:color="auto"/>
                      <w:lang w:val="en-US" w:eastAsia="zh-CN"/>
                    </w:rPr>
                  </w:pPr>
                  <w:r>
                    <w:rPr>
                      <w:rFonts w:hint="eastAsia" w:cs="Times New Roman"/>
                      <w:b w:val="0"/>
                      <w:bCs/>
                      <w:sz w:val="22"/>
                      <w:szCs w:val="22"/>
                      <w:u w:val="none" w:color="auto"/>
                      <w:lang w:val="en-US" w:eastAsia="zh-CN"/>
                    </w:rPr>
                    <w:t>10</w:t>
                  </w:r>
                </w:p>
              </w:tc>
              <w:tc>
                <w:tcPr>
                  <w:tcW w:w="889" w:type="pct"/>
                  <w:tcBorders>
                    <w:tl2br w:val="nil"/>
                    <w:tr2bl w:val="nil"/>
                  </w:tcBorders>
                  <w:vAlign w:val="center"/>
                </w:tcPr>
                <w:p>
                  <w:pPr>
                    <w:adjustRightInd w:val="0"/>
                    <w:snapToGrid w:val="0"/>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管芯</w:t>
                  </w:r>
                </w:p>
              </w:tc>
              <w:tc>
                <w:tcPr>
                  <w:tcW w:w="569" w:type="pct"/>
                  <w:tcBorders>
                    <w:tl2br w:val="nil"/>
                    <w:tr2bl w:val="nil"/>
                  </w:tcBorders>
                  <w:vAlign w:val="center"/>
                </w:tcPr>
                <w:p>
                  <w:pPr>
                    <w:adjustRightInd w:val="0"/>
                    <w:snapToGrid w:val="0"/>
                    <w:spacing w:line="360" w:lineRule="auto"/>
                    <w:jc w:val="center"/>
                    <w:rPr>
                      <w:rFonts w:hint="default" w:cs="Times New Roman"/>
                      <w:b w:val="0"/>
                      <w:bCs/>
                      <w:sz w:val="22"/>
                      <w:szCs w:val="22"/>
                      <w:u w:val="none" w:color="auto"/>
                      <w:lang w:val="en-US" w:eastAsia="zh-CN"/>
                    </w:rPr>
                  </w:pPr>
                  <w:r>
                    <w:rPr>
                      <w:rFonts w:hint="eastAsia" w:cs="Times New Roman"/>
                      <w:b w:val="0"/>
                      <w:bCs/>
                      <w:sz w:val="22"/>
                      <w:szCs w:val="22"/>
                      <w:u w:val="none" w:color="auto"/>
                      <w:lang w:val="en-US" w:eastAsia="zh-CN"/>
                    </w:rPr>
                    <w:t>150t</w:t>
                  </w:r>
                </w:p>
              </w:tc>
              <w:tc>
                <w:tcPr>
                  <w:tcW w:w="537" w:type="pct"/>
                  <w:tcBorders>
                    <w:tl2br w:val="nil"/>
                    <w:tr2bl w:val="nil"/>
                  </w:tcBorders>
                  <w:vAlign w:val="center"/>
                </w:tcPr>
                <w:p>
                  <w:pPr>
                    <w:adjustRightInd w:val="0"/>
                    <w:snapToGrid w:val="0"/>
                    <w:spacing w:line="360" w:lineRule="auto"/>
                    <w:jc w:val="center"/>
                    <w:rPr>
                      <w:rFonts w:hint="default" w:cs="Times New Roman"/>
                      <w:b w:val="0"/>
                      <w:bCs/>
                      <w:sz w:val="22"/>
                      <w:szCs w:val="22"/>
                      <w:u w:val="none" w:color="auto"/>
                      <w:lang w:val="en-US" w:eastAsia="zh-CN"/>
                    </w:rPr>
                  </w:pPr>
                  <w:r>
                    <w:rPr>
                      <w:rFonts w:hint="eastAsia" w:cs="Times New Roman"/>
                      <w:b w:val="0"/>
                      <w:bCs/>
                      <w:sz w:val="22"/>
                      <w:szCs w:val="22"/>
                      <w:u w:val="none" w:color="auto"/>
                      <w:lang w:val="en-US" w:eastAsia="zh-CN"/>
                    </w:rPr>
                    <w:t>/</w:t>
                  </w:r>
                </w:p>
              </w:tc>
              <w:tc>
                <w:tcPr>
                  <w:tcW w:w="1304" w:type="pct"/>
                  <w:tcBorders>
                    <w:tl2br w:val="nil"/>
                    <w:tr2bl w:val="nil"/>
                  </w:tcBorders>
                  <w:vAlign w:val="center"/>
                </w:tcPr>
                <w:p>
                  <w:pPr>
                    <w:adjustRightInd w:val="0"/>
                    <w:snapToGrid w:val="0"/>
                    <w:spacing w:line="360" w:lineRule="auto"/>
                    <w:jc w:val="center"/>
                    <w:rPr>
                      <w:rFonts w:hint="default" w:cs="Times New Roman"/>
                      <w:b w:val="0"/>
                      <w:bCs/>
                      <w:sz w:val="22"/>
                      <w:szCs w:val="22"/>
                      <w:u w:val="none" w:color="auto"/>
                      <w:lang w:val="en-US" w:eastAsia="zh-CN"/>
                    </w:rPr>
                  </w:pPr>
                  <w:r>
                    <w:rPr>
                      <w:rFonts w:hint="eastAsia" w:cs="Times New Roman"/>
                      <w:b w:val="0"/>
                      <w:bCs/>
                      <w:sz w:val="22"/>
                      <w:szCs w:val="22"/>
                      <w:u w:val="none" w:color="auto"/>
                      <w:lang w:val="en-US" w:eastAsia="zh-CN"/>
                    </w:rPr>
                    <w:t>外购成品</w:t>
                  </w:r>
                </w:p>
              </w:tc>
              <w:tc>
                <w:tcPr>
                  <w:tcW w:w="685" w:type="pct"/>
                  <w:tcBorders>
                    <w:tl2br w:val="nil"/>
                    <w:tr2bl w:val="nil"/>
                  </w:tcBorders>
                  <w:vAlign w:val="center"/>
                </w:tcPr>
                <w:p>
                  <w:pPr>
                    <w:adjustRightInd w:val="0"/>
                    <w:snapToGrid w:val="0"/>
                    <w:spacing w:line="360" w:lineRule="auto"/>
                    <w:jc w:val="center"/>
                    <w:rPr>
                      <w:rFonts w:hint="default" w:cs="Times New Roman"/>
                      <w:b w:val="0"/>
                      <w:bCs/>
                      <w:sz w:val="22"/>
                      <w:szCs w:val="22"/>
                      <w:u w:val="none" w:color="auto"/>
                      <w:lang w:val="en-US" w:eastAsia="zh-CN"/>
                    </w:rPr>
                  </w:pPr>
                  <w:r>
                    <w:rPr>
                      <w:rFonts w:hint="eastAsia" w:cs="Times New Roman"/>
                      <w:b w:val="0"/>
                      <w:bCs/>
                      <w:sz w:val="22"/>
                      <w:szCs w:val="22"/>
                      <w:u w:val="none" w:color="auto"/>
                      <w:lang w:val="en-US" w:eastAsia="zh-CN"/>
                    </w:rPr>
                    <w:t>/</w:t>
                  </w:r>
                </w:p>
              </w:tc>
              <w:tc>
                <w:tcPr>
                  <w:tcW w:w="647" w:type="pct"/>
                  <w:tcBorders>
                    <w:tl2br w:val="nil"/>
                    <w:tr2bl w:val="nil"/>
                  </w:tcBorders>
                  <w:vAlign w:val="center"/>
                </w:tcPr>
                <w:p>
                  <w:pPr>
                    <w:adjustRightInd w:val="0"/>
                    <w:snapToGrid w:val="0"/>
                    <w:spacing w:line="360" w:lineRule="auto"/>
                    <w:jc w:val="center"/>
                    <w:rPr>
                      <w:rFonts w:hint="default" w:cs="Times New Roman"/>
                      <w:b w:val="0"/>
                      <w:bCs/>
                      <w:sz w:val="22"/>
                      <w:szCs w:val="22"/>
                      <w:u w:val="none" w:color="auto"/>
                      <w:lang w:val="en-US" w:eastAsia="zh-CN"/>
                    </w:rPr>
                  </w:pPr>
                  <w:r>
                    <w:rPr>
                      <w:rFonts w:hint="eastAsia" w:cs="Times New Roman"/>
                      <w:b w:val="0"/>
                      <w:bCs/>
                      <w:sz w:val="22"/>
                      <w:szCs w:val="22"/>
                      <w:u w:val="none" w:color="auto"/>
                      <w:lang w:val="en-US" w:eastAsia="zh-CN"/>
                    </w:rPr>
                    <w:t>四楼</w:t>
                  </w:r>
                </w:p>
              </w:tc>
            </w:tr>
          </w:tbl>
          <w:p>
            <w:pPr>
              <w:jc w:val="both"/>
              <w:rPr>
                <w:rFonts w:hint="default" w:ascii="Times New Roman" w:hAnsi="Times New Roman" w:eastAsia="宋体" w:cs="Times New Roman"/>
                <w:b w:val="0"/>
                <w:bCs/>
                <w:sz w:val="24"/>
                <w:szCs w:val="24"/>
                <w:u w:val="none" w:color="auto"/>
                <w:lang w:val="en-US" w:eastAsia="zh-CN"/>
              </w:rPr>
            </w:pPr>
            <w:r>
              <w:rPr>
                <w:rFonts w:hint="eastAsia" w:cs="Times New Roman"/>
                <w:b w:val="0"/>
                <w:bCs/>
                <w:sz w:val="24"/>
                <w:szCs w:val="24"/>
                <w:u w:val="none" w:color="auto"/>
                <w:lang w:val="en-US" w:eastAsia="zh-CN"/>
              </w:rPr>
              <w:t>注：项目不在厂内生产纸张，均购买已经生产好的原纸进行加工生产。</w:t>
            </w:r>
          </w:p>
          <w:p>
            <w:pPr>
              <w:jc w:val="center"/>
              <w:rPr>
                <w:rFonts w:hint="default" w:ascii="Times New Roman" w:hAnsi="Times New Roman" w:cs="Times New Roman"/>
                <w:b/>
                <w:sz w:val="24"/>
                <w:szCs w:val="24"/>
                <w:u w:val="none" w:color="auto"/>
              </w:rPr>
            </w:pPr>
          </w:p>
          <w:p>
            <w:pPr>
              <w:jc w:val="center"/>
              <w:rPr>
                <w:rFonts w:hint="default" w:ascii="Times New Roman" w:hAnsi="Times New Roman" w:cs="Times New Roman"/>
                <w:b/>
                <w:sz w:val="24"/>
                <w:szCs w:val="24"/>
                <w:u w:val="none" w:color="auto"/>
              </w:rPr>
            </w:pPr>
          </w:p>
          <w:p>
            <w:pPr>
              <w:jc w:val="center"/>
              <w:rPr>
                <w:rFonts w:hint="default" w:ascii="Times New Roman" w:hAnsi="Times New Roman" w:cs="Times New Roman"/>
                <w:b/>
                <w:sz w:val="24"/>
                <w:szCs w:val="24"/>
                <w:u w:val="none" w:color="auto"/>
              </w:rPr>
            </w:pPr>
          </w:p>
          <w:p>
            <w:pPr>
              <w:jc w:val="center"/>
              <w:rPr>
                <w:rFonts w:hint="default" w:ascii="Times New Roman" w:hAnsi="Times New Roman" w:cs="Times New Roman"/>
                <w:b/>
                <w:sz w:val="24"/>
                <w:szCs w:val="24"/>
                <w:u w:val="none" w:color="auto"/>
              </w:rPr>
            </w:pPr>
          </w:p>
          <w:p>
            <w:pPr>
              <w:jc w:val="center"/>
              <w:rPr>
                <w:rFonts w:hint="default" w:ascii="Times New Roman" w:hAnsi="Times New Roman" w:cs="Times New Roman"/>
                <w:b/>
                <w:sz w:val="24"/>
                <w:szCs w:val="24"/>
                <w:u w:val="none" w:color="auto"/>
              </w:rPr>
            </w:pPr>
          </w:p>
          <w:p>
            <w:pPr>
              <w:jc w:val="center"/>
              <w:rPr>
                <w:rFonts w:hint="default" w:ascii="Times New Roman" w:hAnsi="Times New Roman" w:cs="Times New Roman"/>
                <w:b/>
                <w:sz w:val="24"/>
                <w:szCs w:val="24"/>
                <w:u w:val="none" w:color="auto"/>
              </w:rPr>
            </w:pPr>
            <w:r>
              <w:rPr>
                <w:rFonts w:hint="default" w:ascii="Times New Roman" w:hAnsi="Times New Roman" w:cs="Times New Roman"/>
                <w:b/>
                <w:sz w:val="24"/>
                <w:szCs w:val="24"/>
                <w:u w:val="none" w:color="auto"/>
              </w:rPr>
              <w:t>表1-5</w:t>
            </w:r>
            <w:r>
              <w:rPr>
                <w:rFonts w:hint="default" w:ascii="Times New Roman" w:hAnsi="Times New Roman" w:cs="Times New Roman"/>
                <w:u w:val="none" w:color="auto"/>
              </w:rPr>
              <w:t xml:space="preserve">  </w:t>
            </w:r>
            <w:r>
              <w:rPr>
                <w:rFonts w:hint="default" w:ascii="Times New Roman" w:hAnsi="Times New Roman" w:cs="Times New Roman"/>
                <w:b/>
                <w:sz w:val="24"/>
                <w:szCs w:val="24"/>
                <w:u w:val="none" w:color="auto"/>
              </w:rPr>
              <w:t>主要原辅材料的理化性质</w:t>
            </w:r>
          </w:p>
          <w:tbl>
            <w:tblPr>
              <w:tblStyle w:val="41"/>
              <w:tblW w:w="90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45"/>
              <w:gridCol w:w="1169"/>
              <w:gridCol w:w="69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3" w:hRule="atLeast"/>
              </w:trPr>
              <w:tc>
                <w:tcPr>
                  <w:tcW w:w="945" w:type="dxa"/>
                  <w:vAlign w:val="center"/>
                </w:tcPr>
                <w:p>
                  <w:pPr>
                    <w:pStyle w:val="34"/>
                    <w:spacing w:line="360" w:lineRule="auto"/>
                    <w:ind w:left="0" w:leftChars="0"/>
                    <w:jc w:val="center"/>
                    <w:rPr>
                      <w:rFonts w:hint="default" w:ascii="Times New Roman" w:hAnsi="Times New Roman" w:cs="Times New Roman"/>
                      <w:color w:val="auto"/>
                      <w:sz w:val="22"/>
                      <w:szCs w:val="22"/>
                      <w:u w:val="none" w:color="auto"/>
                    </w:rPr>
                  </w:pPr>
                  <w:r>
                    <w:rPr>
                      <w:rFonts w:hint="default" w:ascii="Times New Roman" w:hAnsi="Times New Roman" w:cs="Times New Roman"/>
                      <w:b/>
                      <w:color w:val="auto"/>
                      <w:sz w:val="22"/>
                      <w:szCs w:val="22"/>
                      <w:u w:val="none" w:color="auto"/>
                    </w:rPr>
                    <w:t>序号</w:t>
                  </w:r>
                </w:p>
              </w:tc>
              <w:tc>
                <w:tcPr>
                  <w:tcW w:w="1169" w:type="dxa"/>
                  <w:vAlign w:val="center"/>
                </w:tcPr>
                <w:p>
                  <w:pPr>
                    <w:pStyle w:val="34"/>
                    <w:spacing w:line="360" w:lineRule="auto"/>
                    <w:ind w:left="0" w:leftChars="0"/>
                    <w:jc w:val="center"/>
                    <w:rPr>
                      <w:rFonts w:hint="default" w:ascii="Times New Roman" w:hAnsi="Times New Roman" w:cs="Times New Roman"/>
                      <w:color w:val="auto"/>
                      <w:sz w:val="22"/>
                      <w:szCs w:val="22"/>
                      <w:u w:val="none" w:color="auto"/>
                    </w:rPr>
                  </w:pPr>
                  <w:r>
                    <w:rPr>
                      <w:rFonts w:hint="default" w:ascii="Times New Roman" w:hAnsi="Times New Roman" w:cs="Times New Roman"/>
                      <w:b/>
                      <w:color w:val="auto"/>
                      <w:sz w:val="22"/>
                      <w:szCs w:val="22"/>
                      <w:u w:val="none" w:color="auto"/>
                    </w:rPr>
                    <w:t>类别</w:t>
                  </w:r>
                </w:p>
              </w:tc>
              <w:tc>
                <w:tcPr>
                  <w:tcW w:w="6954" w:type="dxa"/>
                  <w:vAlign w:val="center"/>
                </w:tcPr>
                <w:p>
                  <w:pPr>
                    <w:pStyle w:val="34"/>
                    <w:spacing w:line="360" w:lineRule="auto"/>
                    <w:ind w:left="0" w:leftChars="0"/>
                    <w:jc w:val="center"/>
                    <w:rPr>
                      <w:rFonts w:hint="default" w:ascii="Times New Roman" w:hAnsi="Times New Roman" w:cs="Times New Roman"/>
                      <w:color w:val="auto"/>
                      <w:sz w:val="22"/>
                      <w:szCs w:val="22"/>
                      <w:u w:val="none" w:color="auto"/>
                    </w:rPr>
                  </w:pPr>
                  <w:r>
                    <w:rPr>
                      <w:rFonts w:hint="default" w:ascii="Times New Roman" w:hAnsi="Times New Roman" w:cs="Times New Roman"/>
                      <w:b/>
                      <w:color w:val="auto"/>
                      <w:sz w:val="22"/>
                      <w:szCs w:val="22"/>
                      <w:u w:val="none" w:color="auto"/>
                    </w:rPr>
                    <w:t>理化性质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1" w:hRule="atLeast"/>
              </w:trPr>
              <w:tc>
                <w:tcPr>
                  <w:tcW w:w="945" w:type="dxa"/>
                  <w:vAlign w:val="center"/>
                </w:tcPr>
                <w:p>
                  <w:pPr>
                    <w:pStyle w:val="34"/>
                    <w:spacing w:line="360" w:lineRule="auto"/>
                    <w:ind w:left="0" w:left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w:t>
                  </w:r>
                </w:p>
              </w:tc>
              <w:tc>
                <w:tcPr>
                  <w:tcW w:w="1169" w:type="dxa"/>
                  <w:vAlign w:val="center"/>
                </w:tcPr>
                <w:p>
                  <w:pPr>
                    <w:pStyle w:val="34"/>
                    <w:spacing w:line="360" w:lineRule="auto"/>
                    <w:ind w:left="0" w:left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水性油墨</w:t>
                  </w:r>
                </w:p>
              </w:tc>
              <w:tc>
                <w:tcPr>
                  <w:tcW w:w="6954" w:type="dxa"/>
                  <w:vAlign w:val="center"/>
                </w:tcPr>
                <w:p>
                  <w:pPr>
                    <w:pStyle w:val="34"/>
                    <w:spacing w:line="360" w:lineRule="auto"/>
                    <w:ind w:left="0" w:leftChars="0"/>
                    <w:jc w:val="both"/>
                    <w:rPr>
                      <w:rFonts w:hint="default" w:ascii="Times New Roman" w:hAnsi="Times New Roman" w:eastAsia="宋体" w:cs="Times New Roman"/>
                      <w:color w:val="auto"/>
                      <w:sz w:val="22"/>
                      <w:szCs w:val="22"/>
                      <w:u w:val="none" w:color="auto"/>
                      <w:lang w:eastAsia="zh-CN"/>
                    </w:rPr>
                  </w:pPr>
                  <w:r>
                    <w:rPr>
                      <w:rFonts w:hint="default" w:ascii="Times New Roman" w:hAnsi="Times New Roman" w:eastAsia="宋体" w:cs="Times New Roman"/>
                      <w:i w:val="0"/>
                      <w:caps w:val="0"/>
                      <w:color w:val="auto"/>
                      <w:spacing w:val="0"/>
                      <w:sz w:val="21"/>
                      <w:szCs w:val="21"/>
                      <w:shd w:val="clear" w:fill="FFFFFF"/>
                    </w:rPr>
                    <w:t>水性油墨 Water-based ink 水性油墨简称为水墨，柔性版水性墨也称</w:t>
                  </w:r>
                  <w:r>
                    <w:rPr>
                      <w:rFonts w:hint="default" w:ascii="Times New Roman" w:hAnsi="Times New Roman" w:eastAsia="宋体" w:cs="Times New Roman"/>
                      <w:i w:val="0"/>
                      <w:caps w:val="0"/>
                      <w:color w:val="auto"/>
                      <w:spacing w:val="0"/>
                      <w:sz w:val="21"/>
                      <w:szCs w:val="21"/>
                      <w:u w:val="none"/>
                      <w:shd w:val="clear" w:fill="FFFFFF"/>
                    </w:rPr>
                    <w:fldChar w:fldCharType="begin"/>
                  </w:r>
                  <w:r>
                    <w:rPr>
                      <w:rFonts w:hint="default" w:ascii="Times New Roman" w:hAnsi="Times New Roman" w:eastAsia="宋体" w:cs="Times New Roman"/>
                      <w:i w:val="0"/>
                      <w:caps w:val="0"/>
                      <w:color w:val="auto"/>
                      <w:spacing w:val="0"/>
                      <w:sz w:val="21"/>
                      <w:szCs w:val="21"/>
                      <w:u w:val="none"/>
                      <w:shd w:val="clear" w:fill="FFFFFF"/>
                    </w:rPr>
                    <w:instrText xml:space="preserve"> HYPERLINK "https://baike.baidu.com/item/%E6%B6%B2%E4%BD%93%E6%B2%B9%E5%A2%A8/6907196" \t "https://baike.baidu.com/item/%E6%B0%B4%E6%80%A7%E6%B2%B9%E5%A2%A8/_blank" </w:instrText>
                  </w:r>
                  <w:r>
                    <w:rPr>
                      <w:rFonts w:hint="default" w:ascii="Times New Roman" w:hAnsi="Times New Roman" w:eastAsia="宋体" w:cs="Times New Roman"/>
                      <w:i w:val="0"/>
                      <w:caps w:val="0"/>
                      <w:color w:val="auto"/>
                      <w:spacing w:val="0"/>
                      <w:sz w:val="21"/>
                      <w:szCs w:val="21"/>
                      <w:u w:val="none"/>
                      <w:shd w:val="clear" w:fill="FFFFFF"/>
                    </w:rPr>
                    <w:fldChar w:fldCharType="separate"/>
                  </w:r>
                  <w:r>
                    <w:rPr>
                      <w:rStyle w:val="51"/>
                      <w:rFonts w:hint="default" w:ascii="Times New Roman" w:hAnsi="Times New Roman" w:eastAsia="宋体" w:cs="Times New Roman"/>
                      <w:i w:val="0"/>
                      <w:caps w:val="0"/>
                      <w:color w:val="auto"/>
                      <w:spacing w:val="0"/>
                      <w:sz w:val="21"/>
                      <w:szCs w:val="21"/>
                      <w:u w:val="none"/>
                      <w:shd w:val="clear" w:fill="FFFFFF"/>
                    </w:rPr>
                    <w:t>液体油墨</w:t>
                  </w:r>
                  <w:r>
                    <w:rPr>
                      <w:rFonts w:hint="default" w:ascii="Times New Roman" w:hAnsi="Times New Roman" w:eastAsia="宋体" w:cs="Times New Roman"/>
                      <w:i w:val="0"/>
                      <w:caps w:val="0"/>
                      <w:color w:val="auto"/>
                      <w:spacing w:val="0"/>
                      <w:sz w:val="21"/>
                      <w:szCs w:val="21"/>
                      <w:u w:val="none"/>
                      <w:shd w:val="clear" w:fill="FFFFFF"/>
                    </w:rPr>
                    <w:fldChar w:fldCharType="end"/>
                  </w:r>
                  <w:r>
                    <w:rPr>
                      <w:rFonts w:hint="default" w:ascii="Times New Roman" w:hAnsi="Times New Roman" w:eastAsia="宋体" w:cs="Times New Roman"/>
                      <w:i w:val="0"/>
                      <w:caps w:val="0"/>
                      <w:color w:val="auto"/>
                      <w:spacing w:val="0"/>
                      <w:sz w:val="21"/>
                      <w:szCs w:val="21"/>
                      <w:shd w:val="clear" w:fill="FFFFFF"/>
                    </w:rPr>
                    <w:t>，它主要由水溶性树脂、</w:t>
                  </w:r>
                  <w:r>
                    <w:rPr>
                      <w:rFonts w:hint="default" w:ascii="Times New Roman" w:hAnsi="Times New Roman" w:eastAsia="宋体" w:cs="Times New Roman"/>
                      <w:i w:val="0"/>
                      <w:caps w:val="0"/>
                      <w:color w:val="auto"/>
                      <w:spacing w:val="0"/>
                      <w:sz w:val="21"/>
                      <w:szCs w:val="21"/>
                      <w:u w:val="none"/>
                      <w:shd w:val="clear" w:fill="FFFFFF"/>
                    </w:rPr>
                    <w:fldChar w:fldCharType="begin"/>
                  </w:r>
                  <w:r>
                    <w:rPr>
                      <w:rFonts w:hint="default" w:ascii="Times New Roman" w:hAnsi="Times New Roman" w:eastAsia="宋体" w:cs="Times New Roman"/>
                      <w:i w:val="0"/>
                      <w:caps w:val="0"/>
                      <w:color w:val="auto"/>
                      <w:spacing w:val="0"/>
                      <w:sz w:val="21"/>
                      <w:szCs w:val="21"/>
                      <w:u w:val="none"/>
                      <w:shd w:val="clear" w:fill="FFFFFF"/>
                    </w:rPr>
                    <w:instrText xml:space="preserve"> HYPERLINK "https://baike.baidu.com/item/%E6%9C%89%E6%9C%BA%E9%A2%9C%E6%96%99/10677771" \t "https://baike.baidu.com/item/%E6%B0%B4%E6%80%A7%E6%B2%B9%E5%A2%A8/_blank" </w:instrText>
                  </w:r>
                  <w:r>
                    <w:rPr>
                      <w:rFonts w:hint="default" w:ascii="Times New Roman" w:hAnsi="Times New Roman" w:eastAsia="宋体" w:cs="Times New Roman"/>
                      <w:i w:val="0"/>
                      <w:caps w:val="0"/>
                      <w:color w:val="auto"/>
                      <w:spacing w:val="0"/>
                      <w:sz w:val="21"/>
                      <w:szCs w:val="21"/>
                      <w:u w:val="none"/>
                      <w:shd w:val="clear" w:fill="FFFFFF"/>
                    </w:rPr>
                    <w:fldChar w:fldCharType="separate"/>
                  </w:r>
                  <w:r>
                    <w:rPr>
                      <w:rStyle w:val="51"/>
                      <w:rFonts w:hint="default" w:ascii="Times New Roman" w:hAnsi="Times New Roman" w:eastAsia="宋体" w:cs="Times New Roman"/>
                      <w:i w:val="0"/>
                      <w:caps w:val="0"/>
                      <w:color w:val="auto"/>
                      <w:spacing w:val="0"/>
                      <w:sz w:val="21"/>
                      <w:szCs w:val="21"/>
                      <w:u w:val="none"/>
                      <w:shd w:val="clear" w:fill="FFFFFF"/>
                    </w:rPr>
                    <w:t>有机颜料</w:t>
                  </w:r>
                  <w:r>
                    <w:rPr>
                      <w:rFonts w:hint="default" w:ascii="Times New Roman" w:hAnsi="Times New Roman" w:eastAsia="宋体" w:cs="Times New Roman"/>
                      <w:i w:val="0"/>
                      <w:caps w:val="0"/>
                      <w:color w:val="auto"/>
                      <w:spacing w:val="0"/>
                      <w:sz w:val="21"/>
                      <w:szCs w:val="21"/>
                      <w:u w:val="none"/>
                      <w:shd w:val="clear" w:fill="FFFFFF"/>
                    </w:rPr>
                    <w:fldChar w:fldCharType="end"/>
                  </w:r>
                  <w:r>
                    <w:rPr>
                      <w:rFonts w:hint="default" w:ascii="Times New Roman" w:hAnsi="Times New Roman" w:eastAsia="宋体" w:cs="Times New Roman"/>
                      <w:i w:val="0"/>
                      <w:caps w:val="0"/>
                      <w:color w:val="auto"/>
                      <w:spacing w:val="0"/>
                      <w:sz w:val="21"/>
                      <w:szCs w:val="21"/>
                      <w:shd w:val="clear" w:fill="FFFFFF"/>
                    </w:rPr>
                    <w:t>、溶剂及相关助剂经复合研磨加工而成</w:t>
                  </w:r>
                  <w:r>
                    <w:rPr>
                      <w:rFonts w:hint="default" w:ascii="Times New Roman" w:hAnsi="Times New Roman" w:eastAsia="宋体" w:cs="Times New Roman"/>
                      <w:i w:val="0"/>
                      <w:caps w:val="0"/>
                      <w:color w:val="auto"/>
                      <w:spacing w:val="0"/>
                      <w:sz w:val="21"/>
                      <w:szCs w:val="21"/>
                      <w:shd w:val="clear" w:fill="FFFFFF"/>
                      <w:lang w:eastAsia="zh-CN"/>
                    </w:rPr>
                    <w:t>，</w:t>
                  </w:r>
                  <w:r>
                    <w:rPr>
                      <w:rFonts w:hint="default" w:ascii="Times New Roman" w:hAnsi="Times New Roman" w:eastAsia="宋体" w:cs="Times New Roman"/>
                      <w:i w:val="0"/>
                      <w:caps w:val="0"/>
                      <w:color w:val="auto"/>
                      <w:spacing w:val="0"/>
                      <w:sz w:val="21"/>
                      <w:szCs w:val="21"/>
                      <w:shd w:val="clear" w:fill="FFFFFF"/>
                    </w:rPr>
                    <w:t>水性油墨是由连结料、颜料、助剂等物</w:t>
                  </w:r>
                  <w:r>
                    <w:rPr>
                      <w:rFonts w:hint="default" w:ascii="Times New Roman" w:hAnsi="Times New Roman" w:eastAsia="宋体" w:cs="Times New Roman"/>
                      <w:i w:val="0"/>
                      <w:caps w:val="0"/>
                      <w:color w:val="333333"/>
                      <w:spacing w:val="0"/>
                      <w:sz w:val="21"/>
                      <w:szCs w:val="21"/>
                      <w:shd w:val="clear" w:fill="FFFFFF"/>
                    </w:rPr>
                    <w:t>质组成的均匀浆状物质。连结料提供油墨必要的转移性能，颜料赋予油墨以色彩。水性油墨的连结料主要分为两种类型：水稀释型和水分散型。前者可以使用的树脂类型有很多种。水分散型的连结料是在水中通过乳化的单体聚合所得，它是两相体系，其中油相以颗粒状在水相中分散，虽不能够被水溶解，但能够被水稀释，所以也可以认为是水包油乳液型</w:t>
                  </w:r>
                  <w:r>
                    <w:rPr>
                      <w:rFonts w:hint="default" w:ascii="Times New Roman" w:hAnsi="Times New Roman" w:eastAsia="宋体" w:cs="Times New Roman"/>
                      <w:i w:val="0"/>
                      <w:caps w:val="0"/>
                      <w:color w:val="333333"/>
                      <w:spacing w:val="0"/>
                      <w:sz w:val="21"/>
                      <w:szCs w:val="21"/>
                      <w:u w:val="none" w:color="auto"/>
                      <w:shd w:val="clear" w:fill="FFFFFF"/>
                    </w:rPr>
                    <w:t>。</w:t>
                  </w:r>
                </w:p>
              </w:tc>
            </w:tr>
          </w:tbl>
          <w:p>
            <w:pPr>
              <w:pStyle w:val="34"/>
              <w:spacing w:line="360" w:lineRule="auto"/>
              <w:ind w:left="0" w:leftChars="0" w:firstLine="482" w:firstLineChars="200"/>
              <w:rPr>
                <w:rFonts w:hint="default" w:ascii="Times New Roman" w:hAnsi="Times New Roman" w:cs="Times New Roman"/>
                <w:sz w:val="24"/>
                <w:u w:val="none" w:color="auto"/>
              </w:rPr>
            </w:pPr>
            <w:r>
              <w:rPr>
                <w:rFonts w:hint="eastAsia" w:cs="Times New Roman"/>
                <w:b/>
                <w:sz w:val="24"/>
                <w:u w:val="none" w:color="auto"/>
                <w:lang w:val="en-US" w:eastAsia="zh-CN"/>
              </w:rPr>
              <w:t>7</w:t>
            </w:r>
            <w:r>
              <w:rPr>
                <w:rFonts w:hint="default" w:ascii="Times New Roman" w:hAnsi="Times New Roman" w:cs="Times New Roman"/>
                <w:b/>
                <w:sz w:val="24"/>
                <w:u w:val="none" w:color="auto"/>
              </w:rPr>
              <w:t>、公用工程：</w:t>
            </w:r>
          </w:p>
          <w:p>
            <w:pPr>
              <w:snapToGrid w:val="0"/>
              <w:spacing w:line="360" w:lineRule="auto"/>
              <w:ind w:firstLine="480" w:firstLineChars="200"/>
              <w:rPr>
                <w:rFonts w:hint="default" w:ascii="Times New Roman" w:hAnsi="Times New Roman" w:cs="Times New Roman"/>
                <w:bCs/>
                <w:sz w:val="24"/>
                <w:u w:val="none" w:color="auto"/>
              </w:rPr>
            </w:pPr>
            <w:r>
              <w:rPr>
                <w:rFonts w:hint="default" w:ascii="Times New Roman" w:hAnsi="Times New Roman" w:cs="Times New Roman"/>
                <w:bCs/>
                <w:sz w:val="24"/>
                <w:u w:val="none" w:color="auto"/>
              </w:rPr>
              <w:t>（1）用水</w:t>
            </w:r>
          </w:p>
          <w:p>
            <w:pPr>
              <w:snapToGrid w:val="0"/>
              <w:spacing w:line="360" w:lineRule="auto"/>
              <w:ind w:firstLine="480" w:firstLineChars="200"/>
              <w:rPr>
                <w:rFonts w:hint="default" w:ascii="Times New Roman" w:hAnsi="Times New Roman" w:cs="Times New Roman"/>
                <w:b/>
                <w:u w:val="none" w:color="auto"/>
              </w:rPr>
            </w:pPr>
            <w:r>
              <w:rPr>
                <w:rFonts w:hint="default" w:ascii="Times New Roman" w:hAnsi="Times New Roman" w:cs="Times New Roman"/>
                <w:sz w:val="24"/>
                <w:szCs w:val="24"/>
                <w:u w:val="none" w:color="auto"/>
              </w:rPr>
              <w:t>本项目给水水源来自市政给水管网，本项目</w:t>
            </w:r>
            <w:r>
              <w:rPr>
                <w:rFonts w:hint="eastAsia" w:cs="Times New Roman"/>
                <w:sz w:val="24"/>
                <w:szCs w:val="24"/>
                <w:u w:val="none" w:color="auto"/>
                <w:lang w:eastAsia="zh-CN"/>
              </w:rPr>
              <w:t>生产过程中废水主要为</w:t>
            </w:r>
            <w:r>
              <w:rPr>
                <w:rFonts w:hint="eastAsia" w:cs="Times New Roman"/>
                <w:sz w:val="24"/>
                <w:szCs w:val="24"/>
                <w:u w:val="none" w:color="auto"/>
                <w:lang w:val="en-US" w:eastAsia="zh-CN"/>
              </w:rPr>
              <w:t>印刷工序的擦洗废水</w:t>
            </w:r>
            <w:r>
              <w:rPr>
                <w:rFonts w:hint="eastAsia" w:cs="Times New Roman"/>
                <w:sz w:val="24"/>
                <w:szCs w:val="24"/>
                <w:u w:val="none" w:color="auto"/>
                <w:lang w:eastAsia="zh-CN"/>
              </w:rPr>
              <w:t>，生活</w:t>
            </w:r>
            <w:r>
              <w:rPr>
                <w:rFonts w:hint="default" w:ascii="Times New Roman" w:hAnsi="Times New Roman" w:cs="Times New Roman"/>
                <w:sz w:val="24"/>
                <w:szCs w:val="24"/>
                <w:u w:val="none" w:color="auto"/>
              </w:rPr>
              <w:t>用水</w:t>
            </w:r>
            <w:r>
              <w:rPr>
                <w:rFonts w:hint="eastAsia" w:cs="Times New Roman"/>
                <w:sz w:val="24"/>
                <w:szCs w:val="24"/>
                <w:u w:val="none" w:color="auto"/>
                <w:lang w:eastAsia="zh-CN"/>
              </w:rPr>
              <w:t>为</w:t>
            </w:r>
            <w:r>
              <w:rPr>
                <w:rFonts w:hint="default" w:ascii="Times New Roman" w:hAnsi="Times New Roman" w:cs="Times New Roman"/>
                <w:sz w:val="24"/>
                <w:szCs w:val="24"/>
                <w:u w:val="none" w:color="auto"/>
              </w:rPr>
              <w:t>职工</w:t>
            </w:r>
            <w:r>
              <w:rPr>
                <w:rFonts w:hint="eastAsia" w:cs="Times New Roman"/>
                <w:sz w:val="24"/>
                <w:szCs w:val="24"/>
                <w:u w:val="none" w:color="auto"/>
                <w:lang w:val="en-US" w:eastAsia="zh-CN"/>
              </w:rPr>
              <w:t>办公</w:t>
            </w:r>
            <w:r>
              <w:rPr>
                <w:rFonts w:hint="default" w:ascii="Times New Roman" w:hAnsi="Times New Roman" w:cs="Times New Roman"/>
                <w:sz w:val="24"/>
                <w:szCs w:val="24"/>
                <w:u w:val="none" w:color="auto"/>
              </w:rPr>
              <w:t>用水，</w:t>
            </w:r>
            <w:r>
              <w:rPr>
                <w:rFonts w:hint="default" w:ascii="Times New Roman" w:hAnsi="Times New Roman" w:cs="Times New Roman"/>
                <w:bCs/>
                <w:sz w:val="24"/>
                <w:u w:val="none" w:color="auto"/>
              </w:rPr>
              <w:t>本项目营运期劳动定员</w:t>
            </w:r>
            <w:r>
              <w:rPr>
                <w:rFonts w:hint="eastAsia" w:cs="Times New Roman"/>
                <w:bCs/>
                <w:sz w:val="24"/>
                <w:u w:val="none" w:color="auto"/>
                <w:lang w:val="en-US" w:eastAsia="zh-CN"/>
              </w:rPr>
              <w:t>50</w:t>
            </w:r>
            <w:r>
              <w:rPr>
                <w:rFonts w:hint="default" w:ascii="Times New Roman" w:hAnsi="Times New Roman" w:cs="Times New Roman"/>
                <w:bCs/>
                <w:sz w:val="24"/>
                <w:u w:val="none" w:color="auto"/>
              </w:rPr>
              <w:t>人，</w:t>
            </w:r>
            <w:r>
              <w:rPr>
                <w:rFonts w:hint="eastAsia" w:cs="Times New Roman"/>
                <w:bCs/>
                <w:sz w:val="24"/>
                <w:u w:val="none" w:color="auto"/>
                <w:lang w:eastAsia="zh-CN"/>
              </w:rPr>
              <w:t>均</w:t>
            </w:r>
            <w:r>
              <w:rPr>
                <w:rFonts w:hint="default" w:ascii="Times New Roman" w:hAnsi="Times New Roman" w:cs="Times New Roman"/>
                <w:bCs/>
                <w:sz w:val="24"/>
                <w:u w:val="none" w:color="auto"/>
              </w:rPr>
              <w:t>不在厂区食宿，根据《湖南省用水定额》（DB43T388-2014）的规定，生活用水量按50L/人•d计，则生活用水量为</w:t>
            </w:r>
            <w:r>
              <w:rPr>
                <w:rFonts w:hint="eastAsia" w:cs="Times New Roman"/>
                <w:bCs/>
                <w:sz w:val="24"/>
                <w:u w:val="none" w:color="auto"/>
                <w:lang w:val="en-US" w:eastAsia="zh-CN"/>
              </w:rPr>
              <w:t>2.5</w:t>
            </w:r>
            <w:r>
              <w:rPr>
                <w:rFonts w:hint="default" w:ascii="Times New Roman" w:hAnsi="Times New Roman" w:cs="Times New Roman"/>
                <w:bCs/>
                <w:sz w:val="24"/>
                <w:u w:val="none" w:color="auto"/>
              </w:rPr>
              <w:t>m</w:t>
            </w:r>
            <w:r>
              <w:rPr>
                <w:rFonts w:hint="default" w:ascii="Times New Roman" w:hAnsi="Times New Roman" w:cs="Times New Roman"/>
                <w:bCs/>
                <w:sz w:val="24"/>
                <w:u w:val="none" w:color="auto"/>
                <w:vertAlign w:val="superscript"/>
              </w:rPr>
              <w:t>3</w:t>
            </w:r>
            <w:r>
              <w:rPr>
                <w:rFonts w:hint="default" w:ascii="Times New Roman" w:hAnsi="Times New Roman" w:cs="Times New Roman"/>
                <w:bCs/>
                <w:sz w:val="24"/>
                <w:u w:val="none" w:color="auto"/>
              </w:rPr>
              <w:t>/d，</w:t>
            </w:r>
            <w:r>
              <w:rPr>
                <w:rFonts w:hint="eastAsia" w:cs="Times New Roman"/>
                <w:bCs/>
                <w:sz w:val="24"/>
                <w:u w:val="none" w:color="auto"/>
                <w:lang w:val="en-US" w:eastAsia="zh-CN"/>
              </w:rPr>
              <w:t>750</w:t>
            </w:r>
            <w:r>
              <w:rPr>
                <w:rFonts w:hint="default" w:ascii="Times New Roman" w:hAnsi="Times New Roman" w:cs="Times New Roman"/>
                <w:bCs/>
                <w:sz w:val="24"/>
                <w:u w:val="none" w:color="auto"/>
              </w:rPr>
              <w:t xml:space="preserve"> m</w:t>
            </w:r>
            <w:r>
              <w:rPr>
                <w:rFonts w:hint="default" w:ascii="Times New Roman" w:hAnsi="Times New Roman" w:cs="Times New Roman"/>
                <w:bCs/>
                <w:sz w:val="24"/>
                <w:u w:val="none" w:color="auto"/>
                <w:vertAlign w:val="superscript"/>
              </w:rPr>
              <w:t>3</w:t>
            </w:r>
            <w:r>
              <w:rPr>
                <w:rFonts w:hint="default" w:ascii="Times New Roman" w:hAnsi="Times New Roman" w:cs="Times New Roman"/>
                <w:bCs/>
                <w:sz w:val="24"/>
                <w:u w:val="none" w:color="auto"/>
              </w:rPr>
              <w:t>/a</w:t>
            </w:r>
            <w:r>
              <w:rPr>
                <w:rFonts w:hint="eastAsia" w:cs="Times New Roman"/>
                <w:bCs/>
                <w:sz w:val="24"/>
                <w:u w:val="none" w:color="auto"/>
                <w:lang w:eastAsia="zh-CN"/>
              </w:rPr>
              <w:t>；</w:t>
            </w:r>
            <w:r>
              <w:rPr>
                <w:rFonts w:hint="eastAsia" w:cs="Times New Roman"/>
                <w:bCs/>
                <w:sz w:val="24"/>
                <w:u w:val="single" w:color="auto"/>
                <w:lang w:val="en-US" w:eastAsia="zh-CN"/>
              </w:rPr>
              <w:t>项目在印刷工序完成后，需要对墨辊进行擦洗，根据业主提供的资料可知，项目每天进行擦洗，擦洗废水量为0.07m</w:t>
            </w:r>
            <w:r>
              <w:rPr>
                <w:rFonts w:hint="eastAsia" w:cs="Times New Roman"/>
                <w:bCs/>
                <w:sz w:val="24"/>
                <w:u w:val="single" w:color="auto"/>
                <w:vertAlign w:val="superscript"/>
                <w:lang w:val="en-US" w:eastAsia="zh-CN"/>
              </w:rPr>
              <w:t>3</w:t>
            </w:r>
            <w:r>
              <w:rPr>
                <w:rFonts w:hint="eastAsia" w:cs="Times New Roman"/>
                <w:bCs/>
                <w:sz w:val="24"/>
                <w:u w:val="single" w:color="auto"/>
                <w:lang w:val="en-US" w:eastAsia="zh-CN"/>
              </w:rPr>
              <w:t>/d，故擦洗废水量为21t/a</w:t>
            </w:r>
            <w:r>
              <w:rPr>
                <w:rFonts w:hint="default" w:ascii="Times New Roman" w:hAnsi="Times New Roman" w:cs="Times New Roman"/>
                <w:sz w:val="24"/>
                <w:szCs w:val="24"/>
                <w:u w:val="single" w:color="auto"/>
              </w:rPr>
              <w:t>。</w:t>
            </w:r>
            <w:r>
              <w:rPr>
                <w:rFonts w:hint="default" w:ascii="Times New Roman" w:hAnsi="Times New Roman" w:cs="Times New Roman"/>
                <w:bCs/>
                <w:sz w:val="24"/>
                <w:u w:val="none" w:color="auto"/>
              </w:rPr>
              <w:t>本项目用水情况如表1-</w:t>
            </w:r>
            <w:r>
              <w:rPr>
                <w:rFonts w:hint="eastAsia" w:cs="Times New Roman"/>
                <w:bCs/>
                <w:sz w:val="24"/>
                <w:u w:val="none" w:color="auto"/>
                <w:lang w:val="en-US" w:eastAsia="zh-CN"/>
              </w:rPr>
              <w:t>6</w:t>
            </w:r>
            <w:r>
              <w:rPr>
                <w:rFonts w:hint="default" w:ascii="Times New Roman" w:hAnsi="Times New Roman" w:cs="Times New Roman"/>
                <w:bCs/>
                <w:sz w:val="24"/>
                <w:u w:val="none" w:color="auto"/>
              </w:rPr>
              <w:t>所示：</w:t>
            </w:r>
          </w:p>
          <w:p>
            <w:pPr>
              <w:pStyle w:val="173"/>
              <w:spacing w:line="240" w:lineRule="auto"/>
              <w:ind w:firstLine="482"/>
              <w:jc w:val="center"/>
              <w:rPr>
                <w:rFonts w:hint="default" w:ascii="Times New Roman" w:hAnsi="Times New Roman" w:cs="Times New Roman"/>
                <w:b/>
                <w:u w:val="none" w:color="auto"/>
              </w:rPr>
            </w:pPr>
            <w:r>
              <w:rPr>
                <w:rFonts w:hint="default" w:ascii="Times New Roman" w:hAnsi="Times New Roman" w:cs="Times New Roman"/>
                <w:b/>
                <w:u w:val="none" w:color="auto"/>
              </w:rPr>
              <w:t>表1-</w:t>
            </w:r>
            <w:r>
              <w:rPr>
                <w:rFonts w:hint="default" w:ascii="Times New Roman" w:hAnsi="Times New Roman" w:cs="Times New Roman"/>
                <w:b/>
                <w:u w:val="none" w:color="auto"/>
                <w:lang w:val="en-US" w:eastAsia="zh-CN"/>
              </w:rPr>
              <w:t>6</w:t>
            </w:r>
            <w:r>
              <w:rPr>
                <w:rFonts w:hint="default" w:ascii="Times New Roman" w:hAnsi="Times New Roman" w:cs="Times New Roman"/>
                <w:b/>
                <w:u w:val="none" w:color="auto"/>
              </w:rPr>
              <w:t xml:space="preserve">  项目用水情况估算一览表</w:t>
            </w:r>
          </w:p>
          <w:tbl>
            <w:tblPr>
              <w:tblStyle w:val="40"/>
              <w:tblW w:w="90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37"/>
              <w:gridCol w:w="1128"/>
              <w:gridCol w:w="713"/>
              <w:gridCol w:w="1273"/>
              <w:gridCol w:w="1416"/>
              <w:gridCol w:w="1844"/>
              <w:gridCol w:w="19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blHeader/>
              </w:trPr>
              <w:tc>
                <w:tcPr>
                  <w:tcW w:w="737" w:type="dxa"/>
                  <w:vAlign w:val="center"/>
                </w:tcPr>
                <w:p>
                  <w:pPr>
                    <w:pStyle w:val="172"/>
                    <w:spacing w:before="48" w:after="48" w:line="240" w:lineRule="atLeast"/>
                    <w:rPr>
                      <w:rFonts w:hint="default" w:ascii="Times New Roman" w:hAnsi="Times New Roman" w:eastAsia="宋体" w:cs="Times New Roman"/>
                      <w:b/>
                      <w:sz w:val="21"/>
                      <w:szCs w:val="21"/>
                      <w:u w:val="none" w:color="auto"/>
                    </w:rPr>
                  </w:pPr>
                  <w:r>
                    <w:rPr>
                      <w:rFonts w:hint="default" w:ascii="Times New Roman" w:hAnsi="Times New Roman" w:eastAsia="宋体" w:cs="Times New Roman"/>
                      <w:b/>
                      <w:sz w:val="21"/>
                      <w:szCs w:val="21"/>
                      <w:u w:val="none" w:color="auto"/>
                    </w:rPr>
                    <w:t>序号</w:t>
                  </w:r>
                </w:p>
              </w:tc>
              <w:tc>
                <w:tcPr>
                  <w:tcW w:w="1128" w:type="dxa"/>
                  <w:vAlign w:val="center"/>
                </w:tcPr>
                <w:p>
                  <w:pPr>
                    <w:pStyle w:val="172"/>
                    <w:spacing w:before="48" w:after="48" w:line="240" w:lineRule="atLeast"/>
                    <w:rPr>
                      <w:rFonts w:hint="default" w:ascii="Times New Roman" w:hAnsi="Times New Roman" w:eastAsia="宋体" w:cs="Times New Roman"/>
                      <w:b/>
                      <w:sz w:val="21"/>
                      <w:szCs w:val="21"/>
                      <w:u w:val="none" w:color="auto"/>
                    </w:rPr>
                  </w:pPr>
                  <w:r>
                    <w:rPr>
                      <w:rFonts w:hint="default" w:ascii="Times New Roman" w:hAnsi="Times New Roman" w:eastAsia="宋体" w:cs="Times New Roman"/>
                      <w:b/>
                      <w:sz w:val="21"/>
                      <w:szCs w:val="21"/>
                      <w:u w:val="none" w:color="auto"/>
                    </w:rPr>
                    <w:t>项目</w:t>
                  </w:r>
                </w:p>
              </w:tc>
              <w:tc>
                <w:tcPr>
                  <w:tcW w:w="713" w:type="dxa"/>
                  <w:vAlign w:val="center"/>
                </w:tcPr>
                <w:p>
                  <w:pPr>
                    <w:pStyle w:val="172"/>
                    <w:spacing w:before="48" w:after="48" w:line="240" w:lineRule="atLeast"/>
                    <w:rPr>
                      <w:rFonts w:hint="default" w:ascii="Times New Roman" w:hAnsi="Times New Roman" w:eastAsia="宋体" w:cs="Times New Roman"/>
                      <w:b/>
                      <w:sz w:val="21"/>
                      <w:szCs w:val="21"/>
                      <w:u w:val="none" w:color="auto"/>
                    </w:rPr>
                  </w:pPr>
                  <w:r>
                    <w:rPr>
                      <w:rFonts w:hint="default" w:ascii="Times New Roman" w:hAnsi="Times New Roman" w:eastAsia="宋体" w:cs="Times New Roman"/>
                      <w:b/>
                      <w:sz w:val="21"/>
                      <w:szCs w:val="21"/>
                      <w:u w:val="none" w:color="auto"/>
                    </w:rPr>
                    <w:t>人数</w:t>
                  </w:r>
                </w:p>
              </w:tc>
              <w:tc>
                <w:tcPr>
                  <w:tcW w:w="1273" w:type="dxa"/>
                  <w:vAlign w:val="center"/>
                </w:tcPr>
                <w:p>
                  <w:pPr>
                    <w:pStyle w:val="172"/>
                    <w:spacing w:before="48" w:after="48" w:line="240" w:lineRule="atLeast"/>
                    <w:rPr>
                      <w:rFonts w:hint="default" w:ascii="Times New Roman" w:hAnsi="Times New Roman" w:eastAsia="宋体" w:cs="Times New Roman"/>
                      <w:b/>
                      <w:sz w:val="21"/>
                      <w:szCs w:val="21"/>
                      <w:u w:val="none" w:color="auto"/>
                    </w:rPr>
                  </w:pPr>
                  <w:r>
                    <w:rPr>
                      <w:rFonts w:hint="default" w:ascii="Times New Roman" w:hAnsi="Times New Roman" w:eastAsia="宋体" w:cs="Times New Roman"/>
                      <w:b/>
                      <w:sz w:val="21"/>
                      <w:szCs w:val="21"/>
                      <w:u w:val="none" w:color="auto"/>
                    </w:rPr>
                    <w:t>用水定额</w:t>
                  </w:r>
                </w:p>
              </w:tc>
              <w:tc>
                <w:tcPr>
                  <w:tcW w:w="1416" w:type="dxa"/>
                  <w:vAlign w:val="center"/>
                </w:tcPr>
                <w:p>
                  <w:pPr>
                    <w:pStyle w:val="172"/>
                    <w:spacing w:before="48" w:after="48" w:line="240" w:lineRule="atLeast"/>
                    <w:rPr>
                      <w:rFonts w:hint="default" w:ascii="Times New Roman" w:hAnsi="Times New Roman" w:eastAsia="宋体" w:cs="Times New Roman"/>
                      <w:b/>
                      <w:sz w:val="21"/>
                      <w:szCs w:val="21"/>
                      <w:u w:val="none" w:color="auto"/>
                    </w:rPr>
                  </w:pPr>
                  <w:r>
                    <w:rPr>
                      <w:rFonts w:hint="default" w:ascii="Times New Roman" w:hAnsi="Times New Roman" w:eastAsia="宋体" w:cs="Times New Roman"/>
                      <w:b/>
                      <w:sz w:val="21"/>
                      <w:szCs w:val="21"/>
                      <w:u w:val="none" w:color="auto"/>
                    </w:rPr>
                    <w:t>年工作天数</w:t>
                  </w:r>
                </w:p>
              </w:tc>
              <w:tc>
                <w:tcPr>
                  <w:tcW w:w="1844" w:type="dxa"/>
                </w:tcPr>
                <w:p>
                  <w:pPr>
                    <w:pStyle w:val="172"/>
                    <w:spacing w:before="48" w:after="48" w:line="240" w:lineRule="atLeast"/>
                    <w:rPr>
                      <w:rFonts w:hint="default" w:ascii="Times New Roman" w:hAnsi="Times New Roman" w:eastAsia="宋体" w:cs="Times New Roman"/>
                      <w:b/>
                      <w:sz w:val="21"/>
                      <w:szCs w:val="21"/>
                      <w:u w:val="none" w:color="auto"/>
                    </w:rPr>
                  </w:pPr>
                  <w:r>
                    <w:rPr>
                      <w:rFonts w:hint="default" w:ascii="Times New Roman" w:hAnsi="Times New Roman" w:eastAsia="宋体" w:cs="Times New Roman"/>
                      <w:b/>
                      <w:sz w:val="21"/>
                      <w:szCs w:val="21"/>
                      <w:u w:val="none" w:color="auto"/>
                    </w:rPr>
                    <w:t>日用水量（t/a）</w:t>
                  </w:r>
                </w:p>
              </w:tc>
              <w:tc>
                <w:tcPr>
                  <w:tcW w:w="1957" w:type="dxa"/>
                </w:tcPr>
                <w:p>
                  <w:pPr>
                    <w:pStyle w:val="172"/>
                    <w:spacing w:before="48" w:after="48" w:line="240" w:lineRule="atLeast"/>
                    <w:rPr>
                      <w:rFonts w:hint="default" w:ascii="Times New Roman" w:hAnsi="Times New Roman" w:eastAsia="宋体" w:cs="Times New Roman"/>
                      <w:b/>
                      <w:sz w:val="21"/>
                      <w:szCs w:val="21"/>
                      <w:u w:val="none" w:color="auto"/>
                    </w:rPr>
                  </w:pPr>
                  <w:r>
                    <w:rPr>
                      <w:rFonts w:hint="default" w:ascii="Times New Roman" w:hAnsi="Times New Roman" w:eastAsia="宋体" w:cs="Times New Roman"/>
                      <w:b/>
                      <w:sz w:val="21"/>
                      <w:szCs w:val="21"/>
                      <w:u w:val="none" w:color="auto"/>
                    </w:rPr>
                    <w:t>年用水量（t/a）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737" w:type="dxa"/>
                  <w:tcBorders>
                    <w:bottom w:val="single" w:color="auto" w:sz="4" w:space="0"/>
                  </w:tcBorders>
                  <w:vAlign w:val="center"/>
                </w:tcPr>
                <w:p>
                  <w:pPr>
                    <w:pStyle w:val="172"/>
                    <w:spacing w:before="48" w:after="48" w:line="240" w:lineRule="atLeast"/>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1</w:t>
                  </w:r>
                </w:p>
              </w:tc>
              <w:tc>
                <w:tcPr>
                  <w:tcW w:w="1128" w:type="dxa"/>
                  <w:tcBorders>
                    <w:bottom w:val="single" w:color="auto" w:sz="4" w:space="0"/>
                  </w:tcBorders>
                  <w:vAlign w:val="center"/>
                </w:tcPr>
                <w:p>
                  <w:pPr>
                    <w:pStyle w:val="172"/>
                    <w:spacing w:before="48" w:after="48" w:line="240" w:lineRule="atLeast"/>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生活用水</w:t>
                  </w:r>
                </w:p>
              </w:tc>
              <w:tc>
                <w:tcPr>
                  <w:tcW w:w="713" w:type="dxa"/>
                  <w:tcBorders>
                    <w:bottom w:val="single" w:color="auto" w:sz="4" w:space="0"/>
                  </w:tcBorders>
                  <w:vAlign w:val="center"/>
                </w:tcPr>
                <w:p>
                  <w:pPr>
                    <w:pStyle w:val="172"/>
                    <w:spacing w:before="48" w:after="48" w:line="240" w:lineRule="atLeast"/>
                    <w:jc w:val="center"/>
                    <w:rPr>
                      <w:rFonts w:hint="default" w:ascii="Times New Roman" w:hAnsi="Times New Roman" w:eastAsia="宋体" w:cs="Times New Roman"/>
                      <w:sz w:val="21"/>
                      <w:szCs w:val="21"/>
                      <w:u w:val="none" w:color="auto"/>
                      <w:lang w:val="en-US" w:eastAsia="zh-CN"/>
                    </w:rPr>
                  </w:pPr>
                  <w:r>
                    <w:rPr>
                      <w:rFonts w:hint="eastAsia" w:eastAsia="宋体" w:cs="Times New Roman"/>
                      <w:sz w:val="21"/>
                      <w:szCs w:val="21"/>
                      <w:u w:val="none" w:color="auto"/>
                      <w:lang w:val="en-US" w:eastAsia="zh-CN"/>
                    </w:rPr>
                    <w:t>50</w:t>
                  </w:r>
                </w:p>
              </w:tc>
              <w:tc>
                <w:tcPr>
                  <w:tcW w:w="1273" w:type="dxa"/>
                  <w:tcBorders>
                    <w:bottom w:val="single" w:color="auto" w:sz="4" w:space="0"/>
                  </w:tcBorders>
                  <w:vAlign w:val="center"/>
                </w:tcPr>
                <w:p>
                  <w:pPr>
                    <w:pStyle w:val="172"/>
                    <w:spacing w:before="48" w:after="48" w:line="240" w:lineRule="atLeast"/>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50 L</w:t>
                  </w:r>
                  <w:r>
                    <w:rPr>
                      <w:rFonts w:hint="default" w:ascii="Times New Roman" w:hAnsi="Times New Roman" w:eastAsia="宋体" w:cs="Times New Roman"/>
                      <w:sz w:val="21"/>
                      <w:szCs w:val="21"/>
                      <w:u w:val="none" w:color="auto"/>
                      <w:lang w:val="en-US" w:eastAsia="zh-CN"/>
                    </w:rPr>
                    <w:t xml:space="preserve"> </w:t>
                  </w:r>
                  <w:r>
                    <w:rPr>
                      <w:rFonts w:hint="default" w:ascii="Times New Roman" w:hAnsi="Times New Roman" w:eastAsia="宋体" w:cs="Times New Roman"/>
                      <w:sz w:val="21"/>
                      <w:szCs w:val="21"/>
                      <w:u w:val="none" w:color="auto"/>
                    </w:rPr>
                    <w:t>/人·d</w:t>
                  </w:r>
                </w:p>
              </w:tc>
              <w:tc>
                <w:tcPr>
                  <w:tcW w:w="1416" w:type="dxa"/>
                  <w:tcBorders>
                    <w:bottom w:val="single" w:color="auto" w:sz="4" w:space="0"/>
                  </w:tcBorders>
                  <w:vAlign w:val="center"/>
                </w:tcPr>
                <w:p>
                  <w:pPr>
                    <w:pStyle w:val="172"/>
                    <w:spacing w:before="48" w:after="48" w:line="240" w:lineRule="atLeast"/>
                    <w:jc w:val="center"/>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300</w:t>
                  </w:r>
                </w:p>
              </w:tc>
              <w:tc>
                <w:tcPr>
                  <w:tcW w:w="1844" w:type="dxa"/>
                  <w:tcBorders>
                    <w:bottom w:val="single" w:color="auto" w:sz="4" w:space="0"/>
                  </w:tcBorders>
                  <w:vAlign w:val="center"/>
                </w:tcPr>
                <w:p>
                  <w:pPr>
                    <w:pStyle w:val="172"/>
                    <w:spacing w:before="48" w:after="48" w:line="240" w:lineRule="atLeast"/>
                    <w:jc w:val="center"/>
                    <w:rPr>
                      <w:rFonts w:hint="default" w:ascii="Times New Roman" w:hAnsi="Times New Roman" w:eastAsia="宋体" w:cs="Times New Roman"/>
                      <w:sz w:val="21"/>
                      <w:szCs w:val="21"/>
                      <w:u w:val="none" w:color="auto"/>
                      <w:lang w:val="en-US" w:eastAsia="zh-CN"/>
                    </w:rPr>
                  </w:pPr>
                  <w:r>
                    <w:rPr>
                      <w:rFonts w:hint="eastAsia" w:eastAsia="宋体" w:cs="Times New Roman"/>
                      <w:sz w:val="21"/>
                      <w:szCs w:val="21"/>
                      <w:u w:val="none" w:color="auto"/>
                      <w:lang w:val="en-US" w:eastAsia="zh-CN"/>
                    </w:rPr>
                    <w:t>2.5</w:t>
                  </w:r>
                </w:p>
              </w:tc>
              <w:tc>
                <w:tcPr>
                  <w:tcW w:w="1957" w:type="dxa"/>
                  <w:tcBorders>
                    <w:bottom w:val="single" w:color="auto" w:sz="4" w:space="0"/>
                  </w:tcBorders>
                  <w:vAlign w:val="center"/>
                </w:tcPr>
                <w:p>
                  <w:pPr>
                    <w:pStyle w:val="172"/>
                    <w:spacing w:before="48" w:after="48" w:line="240" w:lineRule="atLeast"/>
                    <w:jc w:val="center"/>
                    <w:rPr>
                      <w:rFonts w:hint="default" w:ascii="Times New Roman" w:hAnsi="Times New Roman" w:eastAsia="宋体" w:cs="Times New Roman"/>
                      <w:sz w:val="21"/>
                      <w:szCs w:val="21"/>
                      <w:u w:val="none" w:color="auto"/>
                      <w:lang w:val="en-US" w:eastAsia="zh-CN"/>
                    </w:rPr>
                  </w:pPr>
                  <w:r>
                    <w:rPr>
                      <w:rFonts w:hint="eastAsia" w:eastAsia="宋体" w:cs="Times New Roman"/>
                      <w:sz w:val="21"/>
                      <w:szCs w:val="21"/>
                      <w:u w:val="none" w:color="auto"/>
                      <w:lang w:val="en-US" w:eastAsia="zh-CN"/>
                    </w:rPr>
                    <w:t>750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737" w:type="dxa"/>
                  <w:tcBorders>
                    <w:top w:val="single" w:color="auto" w:sz="4" w:space="0"/>
                    <w:bottom w:val="single" w:color="auto" w:sz="4" w:space="0"/>
                  </w:tcBorders>
                  <w:vAlign w:val="center"/>
                </w:tcPr>
                <w:p>
                  <w:pPr>
                    <w:pStyle w:val="172"/>
                    <w:spacing w:before="48" w:after="48" w:line="240" w:lineRule="atLeast"/>
                    <w:rPr>
                      <w:rFonts w:hint="eastAsia"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2</w:t>
                  </w:r>
                </w:p>
              </w:tc>
              <w:tc>
                <w:tcPr>
                  <w:tcW w:w="1128" w:type="dxa"/>
                  <w:tcBorders>
                    <w:top w:val="single" w:color="auto" w:sz="4" w:space="0"/>
                    <w:bottom w:val="single" w:color="auto" w:sz="4" w:space="0"/>
                  </w:tcBorders>
                  <w:vAlign w:val="center"/>
                </w:tcPr>
                <w:p>
                  <w:pPr>
                    <w:pStyle w:val="172"/>
                    <w:spacing w:before="48" w:after="48" w:line="240" w:lineRule="atLeast"/>
                    <w:rPr>
                      <w:rFonts w:hint="eastAsia" w:ascii="Times New Roman" w:hAnsi="Times New Roman" w:eastAsia="宋体" w:cs="Times New Roman"/>
                      <w:sz w:val="21"/>
                      <w:szCs w:val="21"/>
                      <w:u w:val="none" w:color="auto"/>
                      <w:lang w:eastAsia="zh-CN"/>
                    </w:rPr>
                  </w:pPr>
                  <w:r>
                    <w:rPr>
                      <w:rFonts w:hint="eastAsia" w:eastAsia="宋体" w:cs="Times New Roman"/>
                      <w:sz w:val="21"/>
                      <w:szCs w:val="21"/>
                      <w:u w:val="none" w:color="auto"/>
                      <w:lang w:val="en-US" w:eastAsia="zh-CN"/>
                    </w:rPr>
                    <w:t>擦洗</w:t>
                  </w:r>
                  <w:r>
                    <w:rPr>
                      <w:rFonts w:hint="eastAsia" w:ascii="Times New Roman" w:hAnsi="Times New Roman" w:eastAsia="宋体" w:cs="Times New Roman"/>
                      <w:sz w:val="21"/>
                      <w:szCs w:val="21"/>
                      <w:u w:val="none" w:color="auto"/>
                      <w:lang w:eastAsia="zh-CN"/>
                    </w:rPr>
                    <w:t>用水</w:t>
                  </w:r>
                </w:p>
              </w:tc>
              <w:tc>
                <w:tcPr>
                  <w:tcW w:w="713" w:type="dxa"/>
                  <w:tcBorders>
                    <w:top w:val="single" w:color="auto" w:sz="4" w:space="0"/>
                    <w:bottom w:val="single" w:color="auto" w:sz="4" w:space="0"/>
                  </w:tcBorders>
                </w:tcPr>
                <w:p>
                  <w:pPr>
                    <w:pStyle w:val="172"/>
                    <w:spacing w:before="48" w:after="48" w:line="240" w:lineRule="atLeast"/>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w:t>
                  </w:r>
                </w:p>
              </w:tc>
              <w:tc>
                <w:tcPr>
                  <w:tcW w:w="1273" w:type="dxa"/>
                  <w:tcBorders>
                    <w:top w:val="single" w:color="auto" w:sz="4" w:space="0"/>
                    <w:bottom w:val="single" w:color="auto" w:sz="4" w:space="0"/>
                  </w:tcBorders>
                  <w:vAlign w:val="center"/>
                </w:tcPr>
                <w:p>
                  <w:pPr>
                    <w:pStyle w:val="172"/>
                    <w:spacing w:before="48" w:after="48" w:line="240" w:lineRule="atLeast"/>
                    <w:rPr>
                      <w:rFonts w:hint="eastAsia"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w:t>
                  </w:r>
                </w:p>
              </w:tc>
              <w:tc>
                <w:tcPr>
                  <w:tcW w:w="1416" w:type="dxa"/>
                  <w:tcBorders>
                    <w:top w:val="single" w:color="auto" w:sz="4" w:space="0"/>
                    <w:bottom w:val="single" w:color="auto" w:sz="4" w:space="0"/>
                  </w:tcBorders>
                  <w:vAlign w:val="bottom"/>
                </w:tcPr>
                <w:p>
                  <w:pPr>
                    <w:pStyle w:val="172"/>
                    <w:spacing w:before="48" w:after="48" w:line="240" w:lineRule="atLeast"/>
                    <w:rPr>
                      <w:rFonts w:hint="eastAsia"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w:t>
                  </w:r>
                </w:p>
              </w:tc>
              <w:tc>
                <w:tcPr>
                  <w:tcW w:w="1844" w:type="dxa"/>
                  <w:tcBorders>
                    <w:top w:val="single" w:color="auto" w:sz="4" w:space="0"/>
                    <w:bottom w:val="single" w:color="auto" w:sz="4" w:space="0"/>
                  </w:tcBorders>
                  <w:vAlign w:val="center"/>
                </w:tcPr>
                <w:p>
                  <w:pPr>
                    <w:pStyle w:val="172"/>
                    <w:spacing w:before="48" w:after="48" w:line="240" w:lineRule="atLeast"/>
                    <w:jc w:val="center"/>
                    <w:rPr>
                      <w:rFonts w:hint="default" w:ascii="Times New Roman" w:hAnsi="Times New Roman" w:eastAsia="宋体" w:cs="Times New Roman"/>
                      <w:sz w:val="21"/>
                      <w:szCs w:val="21"/>
                      <w:u w:val="none" w:color="auto"/>
                      <w:lang w:val="en-US" w:eastAsia="zh-CN"/>
                    </w:rPr>
                  </w:pPr>
                  <w:r>
                    <w:rPr>
                      <w:rFonts w:hint="eastAsia" w:eastAsia="宋体" w:cs="Times New Roman"/>
                      <w:sz w:val="21"/>
                      <w:szCs w:val="21"/>
                      <w:u w:val="none" w:color="auto"/>
                      <w:lang w:val="en-US" w:eastAsia="zh-CN"/>
                    </w:rPr>
                    <w:t>0.07</w:t>
                  </w:r>
                </w:p>
              </w:tc>
              <w:tc>
                <w:tcPr>
                  <w:tcW w:w="1957" w:type="dxa"/>
                  <w:tcBorders>
                    <w:top w:val="single" w:color="auto" w:sz="4" w:space="0"/>
                    <w:bottom w:val="single" w:color="auto" w:sz="4" w:space="0"/>
                  </w:tcBorders>
                  <w:vAlign w:val="center"/>
                </w:tcPr>
                <w:p>
                  <w:pPr>
                    <w:pStyle w:val="172"/>
                    <w:spacing w:before="48" w:after="48" w:line="240" w:lineRule="atLeast"/>
                    <w:jc w:val="center"/>
                    <w:rPr>
                      <w:rFonts w:hint="default" w:ascii="Times New Roman" w:hAnsi="Times New Roman" w:eastAsia="宋体" w:cs="Times New Roman"/>
                      <w:sz w:val="21"/>
                      <w:szCs w:val="21"/>
                      <w:u w:val="none" w:color="auto"/>
                      <w:lang w:val="en-US" w:eastAsia="zh-CN"/>
                    </w:rPr>
                  </w:pPr>
                  <w:r>
                    <w:rPr>
                      <w:rFonts w:hint="eastAsia" w:eastAsia="宋体" w:cs="Times New Roman"/>
                      <w:sz w:val="21"/>
                      <w:szCs w:val="21"/>
                      <w:u w:val="none" w:color="auto"/>
                      <w:lang w:val="en-US" w:eastAsia="zh-CN"/>
                    </w:rPr>
                    <w:t>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 w:hRule="atLeast"/>
              </w:trPr>
              <w:tc>
                <w:tcPr>
                  <w:tcW w:w="737" w:type="dxa"/>
                  <w:vAlign w:val="center"/>
                </w:tcPr>
                <w:p>
                  <w:pPr>
                    <w:pStyle w:val="172"/>
                    <w:spacing w:before="48" w:after="48" w:line="240" w:lineRule="atLeast"/>
                    <w:rPr>
                      <w:rFonts w:hint="default" w:ascii="Times New Roman" w:hAnsi="Times New Roman" w:eastAsia="宋体" w:cs="Times New Roman"/>
                      <w:sz w:val="21"/>
                      <w:szCs w:val="21"/>
                      <w:u w:val="none" w:color="auto"/>
                      <w:lang w:val="en-US" w:eastAsia="zh-CN"/>
                    </w:rPr>
                  </w:pPr>
                  <w:r>
                    <w:rPr>
                      <w:rFonts w:hint="eastAsia" w:eastAsia="宋体" w:cs="Times New Roman"/>
                      <w:sz w:val="21"/>
                      <w:szCs w:val="21"/>
                      <w:u w:val="none" w:color="auto"/>
                      <w:lang w:val="en-US" w:eastAsia="zh-CN"/>
                    </w:rPr>
                    <w:t>3</w:t>
                  </w:r>
                </w:p>
              </w:tc>
              <w:tc>
                <w:tcPr>
                  <w:tcW w:w="6374" w:type="dxa"/>
                  <w:gridSpan w:val="5"/>
                  <w:vAlign w:val="center"/>
                </w:tcPr>
                <w:p>
                  <w:pPr>
                    <w:pStyle w:val="172"/>
                    <w:spacing w:before="48" w:after="48" w:line="240" w:lineRule="atLeast"/>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rPr>
                    <w:t>合计</w:t>
                  </w:r>
                </w:p>
              </w:tc>
              <w:tc>
                <w:tcPr>
                  <w:tcW w:w="1957" w:type="dxa"/>
                </w:tcPr>
                <w:p>
                  <w:pPr>
                    <w:pStyle w:val="172"/>
                    <w:spacing w:before="48" w:after="48" w:line="240" w:lineRule="atLeast"/>
                    <w:rPr>
                      <w:rFonts w:hint="default" w:ascii="Times New Roman" w:hAnsi="Times New Roman" w:eastAsia="宋体" w:cs="Times New Roman"/>
                      <w:sz w:val="21"/>
                      <w:szCs w:val="21"/>
                      <w:u w:val="none" w:color="auto"/>
                      <w:lang w:val="en-US" w:eastAsia="zh-CN"/>
                    </w:rPr>
                  </w:pPr>
                  <w:r>
                    <w:rPr>
                      <w:rFonts w:hint="eastAsia" w:eastAsia="宋体" w:cs="Times New Roman"/>
                      <w:sz w:val="21"/>
                      <w:szCs w:val="21"/>
                      <w:u w:val="none" w:color="auto"/>
                      <w:lang w:val="en-US" w:eastAsia="zh-CN"/>
                    </w:rPr>
                    <w:t>771</w:t>
                  </w:r>
                </w:p>
              </w:tc>
            </w:tr>
          </w:tbl>
          <w:p>
            <w:pPr>
              <w:snapToGrid w:val="0"/>
              <w:spacing w:line="360" w:lineRule="auto"/>
              <w:ind w:firstLine="480" w:firstLineChars="200"/>
              <w:rPr>
                <w:rFonts w:hint="default" w:ascii="Times New Roman" w:hAnsi="Times New Roman" w:cs="Times New Roman"/>
                <w:bCs/>
                <w:sz w:val="24"/>
                <w:u w:val="single" w:color="auto"/>
              </w:rPr>
            </w:pPr>
            <w:r>
              <w:rPr>
                <w:rFonts w:hint="default" w:ascii="Times New Roman" w:hAnsi="Times New Roman" w:cs="Times New Roman"/>
                <w:bCs/>
                <w:sz w:val="24"/>
                <w:u w:val="single" w:color="auto"/>
              </w:rPr>
              <w:t>（2）排水</w:t>
            </w:r>
          </w:p>
          <w:p>
            <w:pPr>
              <w:snapToGrid w:val="0"/>
              <w:spacing w:line="360" w:lineRule="auto"/>
              <w:ind w:firstLine="480" w:firstLineChars="200"/>
              <w:rPr>
                <w:rFonts w:hint="default" w:ascii="Times New Roman" w:hAnsi="Times New Roman" w:cs="Times New Roman"/>
                <w:bCs/>
                <w:color w:val="auto"/>
                <w:sz w:val="24"/>
                <w:szCs w:val="24"/>
                <w:u w:val="single" w:color="auto"/>
              </w:rPr>
            </w:pPr>
            <w:r>
              <w:rPr>
                <w:rFonts w:hint="default" w:ascii="Times New Roman" w:hAnsi="Times New Roman" w:cs="Times New Roman"/>
                <w:sz w:val="24"/>
                <w:szCs w:val="24"/>
                <w:u w:val="single" w:color="auto"/>
              </w:rPr>
              <w:t>本项目</w:t>
            </w:r>
            <w:r>
              <w:rPr>
                <w:rFonts w:hint="default" w:ascii="Times New Roman" w:hAnsi="Times New Roman" w:cs="Times New Roman"/>
                <w:bCs/>
                <w:sz w:val="24"/>
                <w:szCs w:val="24"/>
                <w:u w:val="single" w:color="auto"/>
              </w:rPr>
              <w:t>生活污水按</w:t>
            </w:r>
            <w:r>
              <w:rPr>
                <w:rFonts w:hint="eastAsia" w:cs="Times New Roman"/>
                <w:bCs/>
                <w:sz w:val="24"/>
                <w:szCs w:val="24"/>
                <w:u w:val="single" w:color="auto"/>
                <w:lang w:val="en-US" w:eastAsia="zh-CN"/>
              </w:rPr>
              <w:t>用水量</w:t>
            </w:r>
            <w:r>
              <w:rPr>
                <w:rFonts w:hint="default" w:ascii="Times New Roman" w:hAnsi="Times New Roman" w:eastAsia="Times New Roman" w:cs="Times New Roman"/>
                <w:sz w:val="24"/>
                <w:szCs w:val="24"/>
                <w:u w:val="single" w:color="auto"/>
              </w:rPr>
              <w:t>80%</w:t>
            </w:r>
            <w:r>
              <w:rPr>
                <w:rFonts w:hint="default" w:ascii="Times New Roman" w:hAnsi="Times New Roman" w:cs="Times New Roman"/>
                <w:sz w:val="24"/>
                <w:szCs w:val="24"/>
                <w:u w:val="single" w:color="auto"/>
              </w:rPr>
              <w:t>计，项目营运期生活污水产生量为</w:t>
            </w:r>
            <w:r>
              <w:rPr>
                <w:rFonts w:hint="eastAsia" w:cs="Times New Roman"/>
                <w:sz w:val="24"/>
                <w:szCs w:val="24"/>
                <w:u w:val="single" w:color="auto"/>
                <w:lang w:val="en-US" w:eastAsia="zh-CN"/>
              </w:rPr>
              <w:t>2</w:t>
            </w:r>
            <w:r>
              <w:rPr>
                <w:rFonts w:hint="default" w:ascii="Times New Roman" w:hAnsi="Times New Roman" w:cs="Times New Roman"/>
                <w:bCs/>
                <w:sz w:val="24"/>
                <w:szCs w:val="24"/>
                <w:u w:val="single" w:color="auto"/>
              </w:rPr>
              <w:t>m</w:t>
            </w:r>
            <w:r>
              <w:rPr>
                <w:rFonts w:hint="default" w:ascii="Times New Roman" w:hAnsi="Times New Roman" w:cs="Times New Roman"/>
                <w:bCs/>
                <w:sz w:val="24"/>
                <w:szCs w:val="24"/>
                <w:u w:val="single" w:color="auto"/>
                <w:vertAlign w:val="superscript"/>
              </w:rPr>
              <w:t>3</w:t>
            </w:r>
            <w:r>
              <w:rPr>
                <w:rFonts w:hint="default" w:ascii="Times New Roman" w:hAnsi="Times New Roman" w:cs="Times New Roman"/>
                <w:bCs/>
                <w:sz w:val="24"/>
                <w:szCs w:val="24"/>
                <w:u w:val="single" w:color="auto"/>
              </w:rPr>
              <w:t>/d、</w:t>
            </w:r>
            <w:r>
              <w:rPr>
                <w:rFonts w:hint="eastAsia" w:cs="Times New Roman"/>
                <w:bCs/>
                <w:sz w:val="24"/>
                <w:szCs w:val="24"/>
                <w:u w:val="single" w:color="auto"/>
                <w:lang w:val="en-US" w:eastAsia="zh-CN"/>
              </w:rPr>
              <w:t>600</w:t>
            </w:r>
            <w:r>
              <w:rPr>
                <w:rFonts w:hint="default" w:ascii="Times New Roman" w:hAnsi="Times New Roman" w:cs="Times New Roman"/>
                <w:bCs/>
                <w:sz w:val="24"/>
                <w:szCs w:val="24"/>
                <w:u w:val="single" w:color="auto"/>
              </w:rPr>
              <w:t>m</w:t>
            </w:r>
            <w:r>
              <w:rPr>
                <w:rFonts w:hint="default" w:ascii="Times New Roman" w:hAnsi="Times New Roman" w:cs="Times New Roman"/>
                <w:bCs/>
                <w:sz w:val="24"/>
                <w:szCs w:val="24"/>
                <w:u w:val="single" w:color="auto"/>
                <w:vertAlign w:val="superscript"/>
              </w:rPr>
              <w:t>3</w:t>
            </w:r>
            <w:r>
              <w:rPr>
                <w:rFonts w:hint="default" w:ascii="Times New Roman" w:hAnsi="Times New Roman" w:cs="Times New Roman"/>
                <w:bCs/>
                <w:sz w:val="24"/>
                <w:szCs w:val="24"/>
                <w:u w:val="single" w:color="auto"/>
              </w:rPr>
              <w:t>/a。</w:t>
            </w:r>
            <w:r>
              <w:rPr>
                <w:rFonts w:hint="eastAsia"/>
                <w:sz w:val="24"/>
                <w:szCs w:val="24"/>
                <w:u w:val="single" w:color="auto"/>
                <w:lang w:val="en-US" w:eastAsia="zh-CN"/>
              </w:rPr>
              <w:t>湘阴县第三污水处理厂建成且接通前：</w:t>
            </w:r>
            <w:r>
              <w:rPr>
                <w:sz w:val="24"/>
                <w:szCs w:val="24"/>
                <w:u w:val="single" w:color="auto"/>
              </w:rPr>
              <w:t>项目</w:t>
            </w:r>
            <w:r>
              <w:rPr>
                <w:rFonts w:hint="eastAsia"/>
                <w:sz w:val="24"/>
                <w:szCs w:val="24"/>
                <w:u w:val="single" w:color="auto"/>
                <w:lang w:val="en-US" w:eastAsia="zh-CN"/>
              </w:rPr>
              <w:t>生活</w:t>
            </w:r>
            <w:r>
              <w:rPr>
                <w:sz w:val="24"/>
                <w:szCs w:val="24"/>
                <w:u w:val="single" w:color="auto"/>
              </w:rPr>
              <w:t>污水通过化粪池处理后排入园区污水管网再进入</w:t>
            </w:r>
            <w:r>
              <w:rPr>
                <w:rFonts w:hint="eastAsia"/>
                <w:sz w:val="24"/>
                <w:szCs w:val="24"/>
                <w:u w:val="single" w:color="auto"/>
                <w:lang w:eastAsia="zh-CN"/>
              </w:rPr>
              <w:t>卓达金谷创业园自建的污水处理站</w:t>
            </w:r>
            <w:r>
              <w:rPr>
                <w:sz w:val="24"/>
                <w:szCs w:val="24"/>
                <w:u w:val="single" w:color="auto"/>
              </w:rPr>
              <w:t>处理</w:t>
            </w:r>
            <w:r>
              <w:rPr>
                <w:rFonts w:hAnsi="宋体"/>
                <w:sz w:val="24"/>
                <w:szCs w:val="24"/>
                <w:u w:val="single" w:color="auto"/>
              </w:rPr>
              <w:t>达</w:t>
            </w:r>
            <w:r>
              <w:rPr>
                <w:rFonts w:hint="eastAsia" w:hAnsi="宋体"/>
                <w:sz w:val="24"/>
                <w:szCs w:val="24"/>
                <w:u w:val="single" w:color="auto"/>
                <w:lang w:eastAsia="zh-CN"/>
              </w:rPr>
              <w:t>到</w:t>
            </w:r>
            <w:r>
              <w:rPr>
                <w:sz w:val="24"/>
                <w:szCs w:val="24"/>
                <w:u w:val="single" w:color="auto"/>
              </w:rPr>
              <w:t>《城镇污水处理厂污染物排放标准（GB18918—2002）》中一级标准的A类标准后</w:t>
            </w:r>
            <w:r>
              <w:rPr>
                <w:rFonts w:hint="eastAsia"/>
                <w:sz w:val="24"/>
                <w:szCs w:val="24"/>
                <w:u w:val="single" w:color="auto"/>
                <w:lang w:eastAsia="zh-CN"/>
              </w:rPr>
              <w:t>进入洋沙河</w:t>
            </w:r>
            <w:r>
              <w:rPr>
                <w:rFonts w:hint="eastAsia"/>
                <w:sz w:val="24"/>
                <w:szCs w:val="24"/>
                <w:u w:val="single" w:color="auto"/>
                <w:lang w:val="en-US" w:eastAsia="zh-CN"/>
              </w:rPr>
              <w:t>流入</w:t>
            </w:r>
            <w:r>
              <w:rPr>
                <w:rFonts w:hint="eastAsia"/>
                <w:color w:val="auto"/>
                <w:sz w:val="24"/>
                <w:szCs w:val="24"/>
                <w:u w:val="single" w:color="auto"/>
                <w:lang w:val="en-US" w:eastAsia="zh-CN"/>
              </w:rPr>
              <w:t>洋沙湖</w:t>
            </w:r>
            <w:r>
              <w:rPr>
                <w:color w:val="auto"/>
                <w:sz w:val="24"/>
                <w:szCs w:val="24"/>
                <w:u w:val="single" w:color="auto"/>
              </w:rPr>
              <w:t>，最终汇入湘江</w:t>
            </w:r>
            <w:r>
              <w:rPr>
                <w:rFonts w:hint="eastAsia"/>
                <w:color w:val="auto"/>
                <w:sz w:val="24"/>
                <w:szCs w:val="24"/>
                <w:u w:val="single" w:color="auto"/>
                <w:lang w:eastAsia="zh-CN"/>
              </w:rPr>
              <w:t>。</w:t>
            </w:r>
            <w:r>
              <w:rPr>
                <w:rFonts w:hint="eastAsia"/>
                <w:color w:val="auto"/>
                <w:sz w:val="24"/>
                <w:szCs w:val="24"/>
                <w:u w:val="single" w:color="auto"/>
                <w:lang w:val="en-US" w:eastAsia="zh-CN"/>
              </w:rPr>
              <w:t>湘阴县第三污水处理厂建成且接通后：</w:t>
            </w:r>
            <w:r>
              <w:rPr>
                <w:color w:val="auto"/>
                <w:sz w:val="24"/>
                <w:szCs w:val="24"/>
                <w:u w:val="single" w:color="auto"/>
              </w:rPr>
              <w:t>项目</w:t>
            </w:r>
            <w:r>
              <w:rPr>
                <w:rFonts w:hint="eastAsia"/>
                <w:color w:val="auto"/>
                <w:sz w:val="24"/>
                <w:szCs w:val="24"/>
                <w:u w:val="single" w:color="auto"/>
                <w:lang w:val="en-US" w:eastAsia="zh-CN"/>
              </w:rPr>
              <w:t>生活</w:t>
            </w:r>
            <w:r>
              <w:rPr>
                <w:color w:val="auto"/>
                <w:sz w:val="24"/>
                <w:szCs w:val="24"/>
                <w:u w:val="single" w:color="auto"/>
              </w:rPr>
              <w:t>污水通过化粪池处理后排入园区污水管网</w:t>
            </w:r>
            <w:r>
              <w:rPr>
                <w:rFonts w:hint="eastAsia"/>
                <w:color w:val="auto"/>
                <w:sz w:val="24"/>
                <w:szCs w:val="24"/>
                <w:u w:val="single" w:color="auto"/>
                <w:lang w:val="en-US" w:eastAsia="zh-CN"/>
              </w:rPr>
              <w:t>进入湘阴县第三污水处理厂处理后排入洋沙河流入洋沙湖，最终进入湘江</w:t>
            </w:r>
            <w:r>
              <w:rPr>
                <w:rFonts w:hint="eastAsia"/>
                <w:color w:val="auto"/>
                <w:sz w:val="24"/>
                <w:szCs w:val="24"/>
                <w:u w:val="single" w:color="auto"/>
                <w:lang w:eastAsia="zh-CN"/>
              </w:rPr>
              <w:t>；</w:t>
            </w:r>
            <w:r>
              <w:rPr>
                <w:rFonts w:hint="eastAsia"/>
                <w:color w:val="auto"/>
                <w:sz w:val="24"/>
                <w:szCs w:val="24"/>
                <w:u w:val="single" w:color="auto"/>
                <w:lang w:val="en-US" w:eastAsia="zh-CN"/>
              </w:rPr>
              <w:t>印刷工序擦洗废水经收集于清洗废水储存罐后，再</w:t>
            </w:r>
            <w:r>
              <w:rPr>
                <w:rFonts w:hint="eastAsia"/>
                <w:color w:val="auto"/>
                <w:sz w:val="24"/>
                <w:szCs w:val="24"/>
                <w:u w:val="single" w:color="auto"/>
                <w:lang w:val="en-US" w:eastAsia="zh-CN"/>
              </w:rPr>
              <w:t>交由湖南洋沙湖危险废物治理有限公司进行托运和处置（处理协议详见附件8）</w:t>
            </w:r>
            <w:r>
              <w:rPr>
                <w:rFonts w:hint="default" w:ascii="Times New Roman" w:hAnsi="Times New Roman" w:cs="Times New Roman"/>
                <w:color w:val="auto"/>
                <w:sz w:val="24"/>
                <w:szCs w:val="24"/>
                <w:u w:val="single" w:color="auto"/>
              </w:rPr>
              <w:t>。</w:t>
            </w:r>
          </w:p>
          <w:p>
            <w:pPr>
              <w:snapToGrid w:val="0"/>
              <w:spacing w:line="360" w:lineRule="auto"/>
              <w:ind w:firstLine="470" w:firstLineChars="196"/>
              <w:rPr>
                <w:rFonts w:hint="default" w:ascii="Times New Roman" w:hAnsi="Times New Roman" w:cs="Times New Roman"/>
                <w:b/>
                <w:bCs/>
                <w:u w:val="none" w:color="auto"/>
              </w:rPr>
            </w:pPr>
            <w:r>
              <w:rPr>
                <w:rFonts w:hint="default" w:ascii="Times New Roman" w:hAnsi="Times New Roman" w:cs="Times New Roman"/>
                <w:sz w:val="24"/>
                <w:u w:val="none" w:color="auto"/>
                <w:lang w:eastAsia="zh-CN"/>
              </w:rPr>
              <w:pict>
                <v:shape id="_x0000_s1026" o:spid="_x0000_s1026" o:spt="75" alt="" type="#_x0000_t75" style="position:absolute;left:0pt;margin-left:5.65pt;margin-top:13.75pt;height:157.95pt;width:451.25pt;z-index:251663360;mso-width-relative:page;mso-height-relative:page;" o:ole="t" filled="f" o:preferrelative="t" stroked="f" coordsize="21600,21600">
                  <v:path/>
                  <v:fill on="f" focussize="0,0"/>
                  <v:stroke on="f"/>
                  <v:imagedata r:id="rId11" o:title=""/>
                  <o:lock v:ext="edit" aspectratio="f"/>
                </v:shape>
                <o:OLEObject Type="Embed" ProgID="Visio.Drawing.11" ShapeID="_x0000_s1026" DrawAspect="Content" ObjectID="_1468075725" r:id="rId10">
                  <o:LockedField>false</o:LockedField>
                </o:OLEObject>
              </w:pict>
            </w:r>
            <w:r>
              <w:rPr>
                <w:rFonts w:hint="default" w:ascii="Times New Roman" w:hAnsi="Times New Roman" w:cs="Times New Roman"/>
                <w:bCs/>
                <w:sz w:val="24"/>
                <w:u w:val="none" w:color="auto"/>
              </w:rPr>
              <w:t>本项目水平衡情况如图1-1所示。</w:t>
            </w:r>
          </w:p>
          <w:p>
            <w:pPr>
              <w:pStyle w:val="173"/>
              <w:spacing w:line="360" w:lineRule="auto"/>
              <w:ind w:firstLineChars="83"/>
              <w:jc w:val="center"/>
              <w:rPr>
                <w:rFonts w:hint="default" w:ascii="Times New Roman" w:hAnsi="Times New Roman" w:cs="Times New Roman"/>
                <w:b/>
                <w:bCs/>
                <w:u w:val="none" w:color="auto"/>
              </w:rPr>
            </w:pPr>
          </w:p>
          <w:p>
            <w:pPr>
              <w:pStyle w:val="173"/>
              <w:spacing w:line="360" w:lineRule="auto"/>
              <w:ind w:firstLineChars="83"/>
              <w:jc w:val="center"/>
              <w:rPr>
                <w:rFonts w:hint="default" w:ascii="Times New Roman" w:hAnsi="Times New Roman" w:cs="Times New Roman"/>
                <w:b/>
                <w:bCs/>
                <w:u w:val="none" w:color="auto"/>
              </w:rPr>
            </w:pPr>
          </w:p>
          <w:p>
            <w:pPr>
              <w:pStyle w:val="173"/>
              <w:spacing w:line="360" w:lineRule="auto"/>
              <w:ind w:firstLineChars="83"/>
              <w:jc w:val="center"/>
              <w:rPr>
                <w:rFonts w:hint="default" w:ascii="Times New Roman" w:hAnsi="Times New Roman" w:cs="Times New Roman"/>
                <w:b/>
                <w:bCs/>
                <w:u w:val="none" w:color="auto"/>
              </w:rPr>
            </w:pPr>
          </w:p>
          <w:p>
            <w:pPr>
              <w:pStyle w:val="173"/>
              <w:spacing w:line="360" w:lineRule="auto"/>
              <w:ind w:firstLineChars="83"/>
              <w:jc w:val="center"/>
              <w:rPr>
                <w:rFonts w:hint="default" w:ascii="Times New Roman" w:hAnsi="Times New Roman" w:cs="Times New Roman"/>
                <w:b/>
                <w:bCs/>
                <w:u w:val="none" w:color="auto"/>
              </w:rPr>
            </w:pPr>
          </w:p>
          <w:p>
            <w:pPr>
              <w:pStyle w:val="173"/>
              <w:spacing w:line="360" w:lineRule="auto"/>
              <w:ind w:firstLineChars="83"/>
              <w:jc w:val="center"/>
              <w:rPr>
                <w:rFonts w:hint="default" w:ascii="Times New Roman" w:hAnsi="Times New Roman" w:cs="Times New Roman"/>
                <w:b/>
                <w:bCs/>
                <w:u w:val="none" w:color="auto"/>
              </w:rPr>
            </w:pPr>
          </w:p>
          <w:p>
            <w:pPr>
              <w:pStyle w:val="173"/>
              <w:spacing w:line="360" w:lineRule="auto"/>
              <w:ind w:firstLineChars="83"/>
              <w:jc w:val="center"/>
              <w:rPr>
                <w:rFonts w:hint="default" w:ascii="Times New Roman" w:hAnsi="Times New Roman" w:cs="Times New Roman"/>
                <w:b/>
                <w:bCs/>
                <w:u w:val="none" w:color="auto"/>
              </w:rPr>
            </w:pPr>
          </w:p>
          <w:p>
            <w:pPr>
              <w:pStyle w:val="173"/>
              <w:spacing w:line="360" w:lineRule="auto"/>
              <w:ind w:firstLineChars="83"/>
              <w:jc w:val="center"/>
              <w:rPr>
                <w:rFonts w:hint="default" w:ascii="Times New Roman" w:hAnsi="Times New Roman" w:cs="Times New Roman"/>
                <w:b/>
                <w:bCs/>
                <w:u w:val="none" w:color="auto"/>
              </w:rPr>
            </w:pPr>
          </w:p>
          <w:p>
            <w:pPr>
              <w:pStyle w:val="173"/>
              <w:spacing w:line="360" w:lineRule="auto"/>
              <w:ind w:left="0" w:leftChars="0" w:firstLine="0" w:firstLineChars="0"/>
              <w:jc w:val="both"/>
              <w:rPr>
                <w:rFonts w:hint="default" w:ascii="Times New Roman" w:hAnsi="Times New Roman" w:cs="Times New Roman"/>
                <w:b/>
                <w:bCs/>
                <w:u w:val="none" w:color="auto"/>
              </w:rPr>
            </w:pPr>
          </w:p>
          <w:p>
            <w:pPr>
              <w:pStyle w:val="173"/>
              <w:spacing w:line="360" w:lineRule="auto"/>
              <w:ind w:firstLineChars="83"/>
              <w:jc w:val="center"/>
              <w:rPr>
                <w:rFonts w:hint="default" w:ascii="Times New Roman" w:hAnsi="Times New Roman" w:cs="Times New Roman"/>
                <w:b/>
                <w:sz w:val="24"/>
                <w:szCs w:val="24"/>
                <w:u w:val="none" w:color="auto"/>
              </w:rPr>
            </w:pPr>
            <w:r>
              <w:rPr>
                <w:rFonts w:hint="default" w:ascii="Times New Roman" w:hAnsi="Times New Roman" w:cs="Times New Roman"/>
                <w:b/>
                <w:bCs/>
                <w:u w:val="none" w:color="auto"/>
              </w:rPr>
              <w:t>图1-1  项目水平衡图</w:t>
            </w:r>
          </w:p>
          <w:p>
            <w:pPr>
              <w:spacing w:line="360" w:lineRule="auto"/>
              <w:ind w:firstLine="482" w:firstLineChars="200"/>
              <w:jc w:val="left"/>
              <w:rPr>
                <w:rFonts w:hint="default" w:ascii="Times New Roman" w:hAnsi="Times New Roman" w:cs="Times New Roman"/>
                <w:b/>
                <w:sz w:val="24"/>
                <w:szCs w:val="24"/>
                <w:u w:val="none" w:color="auto"/>
              </w:rPr>
            </w:pPr>
            <w:r>
              <w:rPr>
                <w:rFonts w:hint="eastAsia" w:cs="Times New Roman"/>
                <w:b/>
                <w:sz w:val="24"/>
                <w:szCs w:val="24"/>
                <w:u w:val="none" w:color="auto"/>
                <w:lang w:val="en-US" w:eastAsia="zh-CN"/>
              </w:rPr>
              <w:t>8</w:t>
            </w:r>
            <w:r>
              <w:rPr>
                <w:rFonts w:hint="default" w:ascii="Times New Roman" w:hAnsi="Times New Roman" w:cs="Times New Roman"/>
                <w:b/>
                <w:sz w:val="24"/>
                <w:szCs w:val="24"/>
                <w:u w:val="none" w:color="auto"/>
              </w:rPr>
              <w:t>、劳动定员及生产制度</w:t>
            </w:r>
          </w:p>
          <w:p>
            <w:pPr>
              <w:tabs>
                <w:tab w:val="left" w:pos="630"/>
              </w:tabs>
              <w:spacing w:line="360" w:lineRule="auto"/>
              <w:ind w:firstLine="480" w:firstLineChars="200"/>
              <w:jc w:val="left"/>
              <w:rPr>
                <w:rFonts w:hint="default" w:ascii="Times New Roman" w:hAnsi="Times New Roman" w:cs="Times New Roman"/>
                <w:sz w:val="24"/>
                <w:u w:val="none" w:color="auto"/>
              </w:rPr>
            </w:pPr>
            <w:r>
              <w:rPr>
                <w:rFonts w:hint="default" w:ascii="Times New Roman" w:hAnsi="Times New Roman" w:cs="Times New Roman"/>
                <w:sz w:val="24"/>
                <w:u w:val="none" w:color="auto"/>
              </w:rPr>
              <w:t>劳动定员：项目劳动定员总数为</w:t>
            </w:r>
            <w:r>
              <w:rPr>
                <w:rFonts w:hint="eastAsia" w:cs="Times New Roman"/>
                <w:sz w:val="24"/>
                <w:u w:val="none" w:color="auto"/>
                <w:lang w:val="en-US" w:eastAsia="zh-CN"/>
              </w:rPr>
              <w:t>50</w:t>
            </w:r>
            <w:r>
              <w:rPr>
                <w:rFonts w:hint="default" w:ascii="Times New Roman" w:hAnsi="Times New Roman" w:cs="Times New Roman"/>
                <w:sz w:val="24"/>
                <w:u w:val="none" w:color="auto"/>
              </w:rPr>
              <w:t>人。年工作300天，每班运行8小时。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1549" w:hRule="atLeast"/>
          <w:jc w:val="center"/>
        </w:trPr>
        <w:tc>
          <w:tcPr>
            <w:tcW w:w="9282" w:type="dxa"/>
            <w:gridSpan w:val="8"/>
          </w:tcPr>
          <w:p>
            <w:pPr>
              <w:adjustRightInd w:val="0"/>
              <w:snapToGrid w:val="0"/>
              <w:spacing w:line="360" w:lineRule="auto"/>
              <w:rPr>
                <w:rFonts w:hint="default" w:ascii="Times New Roman" w:hAnsi="Times New Roman" w:cs="Times New Roman"/>
                <w:b/>
                <w:bCs/>
                <w:sz w:val="30"/>
                <w:szCs w:val="30"/>
                <w:u w:val="none" w:color="auto"/>
              </w:rPr>
            </w:pPr>
            <w:r>
              <w:rPr>
                <w:rFonts w:hint="default" w:ascii="Times New Roman" w:hAnsi="Times New Roman" w:cs="Times New Roman"/>
                <w:b/>
                <w:bCs/>
                <w:sz w:val="30"/>
                <w:szCs w:val="30"/>
                <w:u w:val="none" w:color="auto"/>
              </w:rPr>
              <w:t>与本项目有关的原有污染情况及主要环境问题：</w:t>
            </w:r>
          </w:p>
          <w:p>
            <w:pPr>
              <w:spacing w:line="360" w:lineRule="auto"/>
              <w:ind w:firstLine="600" w:firstLineChars="250"/>
              <w:rPr>
                <w:rFonts w:hint="eastAsia" w:ascii="Times New Roman" w:hAnsi="Times New Roman" w:eastAsia="宋体" w:cs="Times New Roman"/>
                <w:bCs/>
                <w:sz w:val="24"/>
                <w:u w:val="none" w:color="auto"/>
                <w:lang w:val="en-US" w:eastAsia="zh-CN"/>
              </w:rPr>
            </w:pPr>
            <w:r>
              <w:rPr>
                <w:rFonts w:hint="default" w:ascii="Times New Roman" w:hAnsi="Times New Roman" w:cs="Times New Roman"/>
                <w:bCs/>
                <w:sz w:val="24"/>
                <w:u w:val="none" w:color="auto"/>
              </w:rPr>
              <w:t>本项目</w:t>
            </w:r>
            <w:r>
              <w:rPr>
                <w:rFonts w:hint="eastAsia" w:cs="Times New Roman"/>
                <w:bCs/>
                <w:sz w:val="24"/>
                <w:u w:val="none" w:color="auto"/>
                <w:lang w:eastAsia="zh-CN"/>
              </w:rPr>
              <w:t>购买位于</w:t>
            </w:r>
            <w:r>
              <w:rPr>
                <w:rFonts w:hint="eastAsia" w:cs="Times New Roman"/>
                <w:sz w:val="24"/>
                <w:szCs w:val="24"/>
                <w:u w:val="none" w:color="auto"/>
                <w:lang w:eastAsia="zh-CN"/>
              </w:rPr>
              <w:t>岳阳市湘阴县金龙新区工业园湖南卓达置业有限公司一期22栋</w:t>
            </w:r>
            <w:r>
              <w:rPr>
                <w:rFonts w:hint="default" w:ascii="Times New Roman" w:hAnsi="Times New Roman" w:cs="Times New Roman"/>
                <w:sz w:val="24"/>
                <w:szCs w:val="24"/>
                <w:u w:val="none" w:color="auto"/>
              </w:rPr>
              <w:t>现有厂房</w:t>
            </w:r>
            <w:r>
              <w:rPr>
                <w:rFonts w:hint="default" w:ascii="Times New Roman" w:hAnsi="Times New Roman" w:cs="Times New Roman"/>
                <w:bCs/>
                <w:sz w:val="24"/>
                <w:u w:val="none" w:color="auto"/>
              </w:rPr>
              <w:t>进行生产</w:t>
            </w:r>
            <w:r>
              <w:rPr>
                <w:rFonts w:hint="eastAsia" w:cs="Times New Roman"/>
                <w:bCs/>
                <w:sz w:val="24"/>
                <w:u w:val="none" w:color="auto"/>
                <w:lang w:val="en-US" w:eastAsia="zh-CN"/>
              </w:rPr>
              <w:t>。</w:t>
            </w:r>
          </w:p>
          <w:p>
            <w:pPr>
              <w:spacing w:line="360" w:lineRule="auto"/>
              <w:ind w:firstLine="600" w:firstLineChars="250"/>
              <w:rPr>
                <w:rFonts w:hint="default" w:ascii="Times New Roman" w:hAnsi="Times New Roman" w:cs="Times New Roman"/>
                <w:sz w:val="24"/>
                <w:u w:val="none" w:color="auto"/>
              </w:rPr>
            </w:pPr>
            <w:r>
              <w:rPr>
                <w:rFonts w:hint="eastAsia" w:cs="Times New Roman"/>
                <w:sz w:val="24"/>
                <w:u w:val="none" w:color="auto"/>
                <w:lang w:val="en-US" w:eastAsia="zh-CN"/>
              </w:rPr>
              <w:t>1、</w:t>
            </w:r>
            <w:r>
              <w:rPr>
                <w:rFonts w:hint="default" w:ascii="Times New Roman" w:hAnsi="Times New Roman" w:cs="Times New Roman"/>
                <w:sz w:val="24"/>
                <w:u w:val="none" w:color="auto"/>
              </w:rPr>
              <w:t>与项目有关的原有污染情况</w:t>
            </w:r>
          </w:p>
          <w:p>
            <w:pPr>
              <w:spacing w:line="360" w:lineRule="auto"/>
              <w:ind w:firstLine="600" w:firstLineChars="250"/>
              <w:rPr>
                <w:rFonts w:hint="default" w:ascii="Times New Roman" w:hAnsi="Times New Roman" w:cs="Times New Roman"/>
                <w:sz w:val="24"/>
                <w:u w:val="none" w:color="auto"/>
              </w:rPr>
            </w:pPr>
            <w:r>
              <w:rPr>
                <w:rFonts w:hint="eastAsia" w:cs="Times New Roman"/>
                <w:sz w:val="24"/>
                <w:u w:val="none" w:color="auto"/>
                <w:lang w:eastAsia="zh-CN"/>
              </w:rPr>
              <w:t>本项目属于新建项目，无与本项目有关的原有污染情况</w:t>
            </w:r>
            <w:r>
              <w:rPr>
                <w:rFonts w:hint="default" w:ascii="Times New Roman" w:hAnsi="Times New Roman" w:cs="Times New Roman"/>
                <w:sz w:val="24"/>
                <w:u w:val="none" w:color="auto"/>
              </w:rPr>
              <w:t>。</w:t>
            </w:r>
          </w:p>
          <w:p>
            <w:pPr>
              <w:spacing w:line="360" w:lineRule="auto"/>
              <w:ind w:firstLine="600" w:firstLineChars="250"/>
              <w:rPr>
                <w:rFonts w:hint="eastAsia" w:ascii="Times New Roman" w:hAnsi="Times New Roman" w:eastAsia="宋体" w:cs="Times New Roman"/>
                <w:sz w:val="24"/>
                <w:u w:val="none" w:color="auto"/>
                <w:lang w:eastAsia="zh-CN"/>
              </w:rPr>
            </w:pPr>
            <w:r>
              <w:rPr>
                <w:rFonts w:hint="eastAsia" w:cs="Times New Roman"/>
                <w:sz w:val="24"/>
                <w:u w:val="none" w:color="auto"/>
                <w:lang w:val="en-US" w:eastAsia="zh-CN"/>
              </w:rPr>
              <w:t>2、</w:t>
            </w:r>
            <w:r>
              <w:rPr>
                <w:rFonts w:hint="eastAsia" w:cs="Times New Roman"/>
                <w:sz w:val="24"/>
                <w:u w:val="none" w:color="auto"/>
                <w:lang w:eastAsia="zh-CN"/>
              </w:rPr>
              <w:t>项目周边污染源</w:t>
            </w:r>
          </w:p>
          <w:p>
            <w:pPr>
              <w:spacing w:line="360" w:lineRule="auto"/>
              <w:ind w:firstLine="600" w:firstLineChars="250"/>
              <w:rPr>
                <w:rFonts w:hint="eastAsia" w:cs="Times New Roman"/>
                <w:sz w:val="24"/>
                <w:u w:val="none" w:color="auto"/>
                <w:lang w:eastAsia="zh-CN"/>
              </w:rPr>
            </w:pPr>
            <w:r>
              <w:rPr>
                <w:rFonts w:hint="eastAsia" w:cs="Times New Roman"/>
                <w:sz w:val="24"/>
                <w:u w:val="none" w:color="auto"/>
                <w:lang w:eastAsia="zh-CN"/>
              </w:rPr>
              <w:t>项目周边主要环境问题为周边企业产生的废水、废气、噪声。根据走访了解，周边企业废水、废气、噪声均经处理后达标排放，生活垃圾交由环卫部门进行处理。故可知，项目周边无明显污染。</w:t>
            </w:r>
          </w:p>
          <w:p>
            <w:pPr>
              <w:spacing w:line="360" w:lineRule="auto"/>
              <w:ind w:firstLine="600" w:firstLineChars="250"/>
              <w:rPr>
                <w:rFonts w:hint="eastAsia" w:cs="Times New Roman"/>
                <w:sz w:val="24"/>
                <w:u w:val="none" w:color="auto"/>
                <w:lang w:eastAsia="zh-CN"/>
              </w:rPr>
            </w:pPr>
          </w:p>
          <w:p>
            <w:pPr>
              <w:spacing w:line="360" w:lineRule="auto"/>
              <w:ind w:firstLine="600" w:firstLineChars="250"/>
              <w:rPr>
                <w:rFonts w:hint="eastAsia" w:cs="Times New Roman"/>
                <w:sz w:val="24"/>
                <w:u w:val="none" w:color="auto"/>
                <w:lang w:eastAsia="zh-CN"/>
              </w:rPr>
            </w:pPr>
          </w:p>
          <w:p>
            <w:pPr>
              <w:spacing w:line="360" w:lineRule="auto"/>
              <w:ind w:firstLine="600" w:firstLineChars="250"/>
              <w:rPr>
                <w:rFonts w:hint="eastAsia" w:cs="Times New Roman"/>
                <w:sz w:val="24"/>
                <w:u w:val="none" w:color="auto"/>
                <w:lang w:eastAsia="zh-CN"/>
              </w:rPr>
            </w:pPr>
          </w:p>
          <w:p>
            <w:pPr>
              <w:spacing w:line="360" w:lineRule="auto"/>
              <w:ind w:firstLine="600" w:firstLineChars="250"/>
              <w:rPr>
                <w:rFonts w:hint="eastAsia" w:cs="Times New Roman"/>
                <w:sz w:val="24"/>
                <w:u w:val="none" w:color="auto"/>
                <w:lang w:eastAsia="zh-CN"/>
              </w:rPr>
            </w:pPr>
          </w:p>
          <w:p>
            <w:pPr>
              <w:spacing w:line="360" w:lineRule="auto"/>
              <w:ind w:firstLine="600" w:firstLineChars="250"/>
              <w:rPr>
                <w:rFonts w:hint="eastAsia" w:cs="Times New Roman"/>
                <w:sz w:val="24"/>
                <w:u w:val="none" w:color="auto"/>
                <w:lang w:eastAsia="zh-CN"/>
              </w:rPr>
            </w:pPr>
          </w:p>
          <w:p>
            <w:pPr>
              <w:snapToGrid w:val="0"/>
              <w:spacing w:line="360" w:lineRule="auto"/>
              <w:rPr>
                <w:rFonts w:hint="eastAsia" w:cs="Times New Roman"/>
                <w:bCs/>
                <w:sz w:val="24"/>
                <w:u w:val="none" w:color="auto"/>
                <w:lang w:eastAsia="zh-CN"/>
              </w:rPr>
            </w:pPr>
          </w:p>
          <w:p>
            <w:pPr>
              <w:snapToGrid w:val="0"/>
              <w:spacing w:line="360" w:lineRule="auto"/>
              <w:rPr>
                <w:rFonts w:hint="eastAsia" w:cs="Times New Roman"/>
                <w:bCs/>
                <w:sz w:val="24"/>
                <w:u w:val="none" w:color="auto"/>
                <w:lang w:eastAsia="zh-CN"/>
              </w:rPr>
            </w:pPr>
          </w:p>
          <w:p>
            <w:pPr>
              <w:pStyle w:val="34"/>
              <w:ind w:left="0" w:leftChars="0" w:firstLine="0" w:firstLineChars="0"/>
              <w:rPr>
                <w:rFonts w:hint="default" w:ascii="Times New Roman" w:hAnsi="Times New Roman" w:cs="Times New Roman"/>
                <w:u w:val="none" w:color="auto"/>
              </w:rPr>
            </w:pPr>
          </w:p>
          <w:p>
            <w:pPr>
              <w:rPr>
                <w:rFonts w:hint="default" w:ascii="Times New Roman" w:hAnsi="Times New Roman" w:cs="Times New Roman"/>
                <w:u w:val="none" w:color="auto"/>
              </w:rPr>
            </w:pPr>
          </w:p>
        </w:tc>
      </w:tr>
    </w:tbl>
    <w:p>
      <w:pPr>
        <w:snapToGrid w:val="0"/>
        <w:spacing w:before="120"/>
        <w:outlineLvl w:val="0"/>
        <w:rPr>
          <w:rFonts w:eastAsia="黑体"/>
          <w:sz w:val="32"/>
          <w:u w:val="none" w:color="auto"/>
        </w:rPr>
        <w:sectPr>
          <w:headerReference r:id="rId6" w:type="default"/>
          <w:footerReference r:id="rId7" w:type="default"/>
          <w:pgSz w:w="11906" w:h="16838"/>
          <w:pgMar w:top="1418" w:right="1134" w:bottom="1418" w:left="1474" w:header="851" w:footer="992" w:gutter="0"/>
          <w:pgBorders>
            <w:top w:val="none" w:sz="0" w:space="0"/>
            <w:left w:val="none" w:sz="0" w:space="0"/>
            <w:bottom w:val="none" w:sz="0" w:space="0"/>
            <w:right w:val="none" w:sz="0" w:space="0"/>
          </w:pgBorders>
          <w:pgNumType w:start="1"/>
          <w:cols w:space="720" w:num="1"/>
          <w:docGrid w:linePitch="312" w:charSpace="55034"/>
        </w:sectPr>
      </w:pPr>
    </w:p>
    <w:p>
      <w:pPr>
        <w:snapToGrid w:val="0"/>
        <w:outlineLvl w:val="0"/>
        <w:rPr>
          <w:rFonts w:eastAsia="黑体"/>
          <w:kern w:val="24"/>
          <w:sz w:val="32"/>
          <w:u w:val="none" w:color="auto"/>
        </w:rPr>
      </w:pPr>
      <w:bookmarkStart w:id="1" w:name="_Toc24476"/>
      <w:r>
        <w:rPr>
          <w:rFonts w:hint="eastAsia" w:eastAsia="黑体"/>
          <w:sz w:val="32"/>
          <w:u w:val="none" w:color="auto"/>
        </w:rPr>
        <w:t>二、</w:t>
      </w:r>
      <w:r>
        <w:rPr>
          <w:rFonts w:eastAsia="黑体"/>
          <w:sz w:val="32"/>
          <w:u w:val="none" w:color="auto"/>
        </w:rPr>
        <w:t>建设项目所在地自然环境简况</w:t>
      </w:r>
      <w:bookmarkEnd w:id="1"/>
    </w:p>
    <w:tbl>
      <w:tblPr>
        <w:tblStyle w:val="40"/>
        <w:tblW w:w="926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85" w:type="dxa"/>
          <w:bottom w:w="0" w:type="dxa"/>
          <w:right w:w="85" w:type="dxa"/>
        </w:tblCellMar>
      </w:tblPr>
      <w:tblGrid>
        <w:gridCol w:w="926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85" w:type="dxa"/>
            <w:bottom w:w="0" w:type="dxa"/>
            <w:right w:w="85" w:type="dxa"/>
          </w:tblCellMar>
        </w:tblPrEx>
        <w:trPr>
          <w:trHeight w:val="13005" w:hRule="atLeast"/>
          <w:jc w:val="center"/>
        </w:trPr>
        <w:tc>
          <w:tcPr>
            <w:tcW w:w="9268" w:type="dxa"/>
          </w:tcPr>
          <w:p>
            <w:pPr>
              <w:adjustRightInd w:val="0"/>
              <w:snapToGrid w:val="0"/>
              <w:spacing w:line="360" w:lineRule="auto"/>
              <w:rPr>
                <w:b/>
                <w:bCs/>
                <w:sz w:val="24"/>
                <w:szCs w:val="24"/>
                <w:u w:val="none" w:color="auto"/>
              </w:rPr>
            </w:pPr>
            <w:r>
              <w:rPr>
                <w:rFonts w:hint="eastAsia"/>
                <w:b/>
                <w:bCs/>
                <w:sz w:val="24"/>
                <w:szCs w:val="24"/>
                <w:u w:val="none" w:color="auto"/>
              </w:rPr>
              <w:t>一、</w:t>
            </w:r>
            <w:r>
              <w:rPr>
                <w:b/>
                <w:bCs/>
                <w:sz w:val="24"/>
                <w:szCs w:val="24"/>
                <w:u w:val="none" w:color="auto"/>
              </w:rPr>
              <w:t>自然环境简况（地形、地貌、地质、气候、气象、水文、植被、生物多样性等）：</w:t>
            </w:r>
          </w:p>
          <w:p>
            <w:pPr>
              <w:adjustRightInd w:val="0"/>
              <w:snapToGrid w:val="0"/>
              <w:spacing w:line="360" w:lineRule="auto"/>
              <w:ind w:firstLine="466" w:firstLineChars="200"/>
              <w:rPr>
                <w:b/>
                <w:bCs/>
                <w:sz w:val="24"/>
                <w:szCs w:val="24"/>
                <w:u w:val="none" w:color="auto"/>
              </w:rPr>
            </w:pPr>
            <w:r>
              <w:rPr>
                <w:b/>
                <w:bCs/>
                <w:sz w:val="24"/>
                <w:szCs w:val="24"/>
                <w:u w:val="none" w:color="auto"/>
              </w:rPr>
              <w:t>1、地理位置与交通</w:t>
            </w:r>
          </w:p>
          <w:p>
            <w:pPr>
              <w:spacing w:line="360" w:lineRule="auto"/>
              <w:ind w:firstLine="480"/>
              <w:rPr>
                <w:bCs/>
                <w:sz w:val="24"/>
                <w:u w:val="none" w:color="auto"/>
              </w:rPr>
            </w:pPr>
            <w:r>
              <w:rPr>
                <w:bCs/>
                <w:sz w:val="24"/>
                <w:u w:val="none" w:color="auto"/>
              </w:rPr>
              <w:t>湘阴县位于湖南省东北部、居湘、资两水尾间，濒南洞庭湖。东邻汨罗市、西接湘阴县，南界望城县，北抵沅江市、屈原行政区，介于东经112°30′~113°02′，北纬28°30′~29°03′之间。南北长61公里，东西宽51.3公里，面积1581.5平方公里，距湘阴县区仅50公里，岳阳市区110公里，经长湘公路至长沙仅45公里，交通十分便利。</w:t>
            </w:r>
          </w:p>
          <w:p>
            <w:pPr>
              <w:snapToGrid w:val="0"/>
              <w:spacing w:line="360" w:lineRule="auto"/>
              <w:ind w:firstLine="457" w:firstLineChars="196"/>
              <w:rPr>
                <w:bCs/>
                <w:sz w:val="24"/>
                <w:u w:val="none" w:color="auto"/>
              </w:rPr>
            </w:pPr>
            <w:r>
              <w:rPr>
                <w:bCs/>
                <w:sz w:val="24"/>
                <w:u w:val="none" w:color="auto"/>
              </w:rPr>
              <w:t>本项目位于</w:t>
            </w:r>
            <w:r>
              <w:rPr>
                <w:rFonts w:hint="eastAsia"/>
                <w:bCs/>
                <w:sz w:val="24"/>
                <w:u w:val="none" w:color="auto"/>
                <w:lang w:eastAsia="zh-CN"/>
              </w:rPr>
              <w:t>岳阳市湘阴县金龙新区工业园湖南卓达置业有限公司一期22栋</w:t>
            </w:r>
            <w:r>
              <w:rPr>
                <w:bCs/>
                <w:sz w:val="24"/>
                <w:u w:val="none" w:color="auto"/>
              </w:rPr>
              <w:t>，其具体位置见附图1所示。</w:t>
            </w:r>
          </w:p>
          <w:p>
            <w:pPr>
              <w:adjustRightInd w:val="0"/>
              <w:snapToGrid w:val="0"/>
              <w:spacing w:line="360" w:lineRule="auto"/>
              <w:ind w:firstLine="466" w:firstLineChars="200"/>
              <w:rPr>
                <w:b/>
                <w:bCs/>
                <w:sz w:val="24"/>
                <w:szCs w:val="24"/>
                <w:u w:val="none" w:color="auto"/>
              </w:rPr>
            </w:pPr>
            <w:r>
              <w:rPr>
                <w:b/>
                <w:bCs/>
                <w:sz w:val="24"/>
                <w:szCs w:val="24"/>
                <w:u w:val="none" w:color="auto"/>
              </w:rPr>
              <w:t>2、地形、地貌、地质</w:t>
            </w:r>
          </w:p>
          <w:p>
            <w:pPr>
              <w:spacing w:line="360" w:lineRule="auto"/>
              <w:ind w:firstLine="480"/>
              <w:rPr>
                <w:bCs/>
                <w:sz w:val="24"/>
                <w:u w:val="none" w:color="auto"/>
              </w:rPr>
            </w:pPr>
            <w:r>
              <w:rPr>
                <w:rFonts w:hint="eastAsia"/>
                <w:bCs/>
                <w:sz w:val="24"/>
                <w:u w:val="none" w:color="auto"/>
              </w:rPr>
              <w:t>湘阴地块属新华夏构造体系的第二隆起带，所处地质状况，使其地貌呈低山、岗地、平原三种形态，具有如下三个特征：其一、地势东南高、西北低。位居幕阜山余脉走向洞庭湖凹陷处的过渡地带，地势至东南向西北递降，形成一个微向洞庭湖碰盆中心的倾斜面。其二、以滨湖平原为主体，成块状分布。地处湘江大断裂带，其东盘上升，基岩裸露，构成低山、岗地；西盘下降，阶台下切，形成滨湖</w:t>
            </w:r>
            <w:r>
              <w:rPr>
                <w:rFonts w:hint="eastAsia"/>
                <w:bCs/>
                <w:sz w:val="24"/>
                <w:u w:val="none" w:color="auto"/>
                <w:lang w:val="en-US" w:eastAsia="zh-CN"/>
              </w:rPr>
              <w:t>平原</w:t>
            </w:r>
            <w:r>
              <w:rPr>
                <w:rFonts w:hint="eastAsia"/>
                <w:bCs/>
                <w:sz w:val="24"/>
                <w:u w:val="none" w:color="auto"/>
              </w:rPr>
              <w:t>。全县除去江河湖泊及其他水面，滨湖、江河、溪谷三种平原共</w:t>
            </w:r>
            <w:r>
              <w:rPr>
                <w:bCs/>
                <w:sz w:val="24"/>
                <w:u w:val="none" w:color="auto"/>
              </w:rPr>
              <w:t>702.11</w:t>
            </w:r>
            <w:r>
              <w:rPr>
                <w:rFonts w:hint="eastAsia"/>
                <w:bCs/>
                <w:sz w:val="24"/>
                <w:u w:val="none" w:color="auto"/>
              </w:rPr>
              <w:t>平方公里，占全县总面积的</w:t>
            </w:r>
            <w:r>
              <w:rPr>
                <w:bCs/>
                <w:sz w:val="24"/>
                <w:u w:val="none" w:color="auto"/>
              </w:rPr>
              <w:t>44.4%</w:t>
            </w:r>
            <w:r>
              <w:rPr>
                <w:rFonts w:hint="eastAsia"/>
                <w:bCs/>
                <w:sz w:val="24"/>
                <w:u w:val="none" w:color="auto"/>
              </w:rPr>
              <w:t>；岗地占</w:t>
            </w:r>
            <w:r>
              <w:rPr>
                <w:bCs/>
                <w:sz w:val="24"/>
                <w:u w:val="none" w:color="auto"/>
              </w:rPr>
              <w:t>13.59%</w:t>
            </w:r>
            <w:r>
              <w:rPr>
                <w:rFonts w:hint="eastAsia"/>
                <w:bCs/>
                <w:sz w:val="24"/>
                <w:u w:val="none" w:color="auto"/>
              </w:rPr>
              <w:t>；低山占</w:t>
            </w:r>
            <w:r>
              <w:rPr>
                <w:bCs/>
                <w:sz w:val="24"/>
                <w:u w:val="none" w:color="auto"/>
              </w:rPr>
              <w:t>1.51%</w:t>
            </w:r>
            <w:r>
              <w:rPr>
                <w:rFonts w:hint="eastAsia"/>
                <w:bCs/>
                <w:sz w:val="24"/>
                <w:u w:val="none" w:color="auto"/>
              </w:rPr>
              <w:t>。其三、河湖交会，水域广阔。湘江自南而北贯穿全景，自然分成东西两部，江东为东乡，为低山岗丘地，岗丘</w:t>
            </w:r>
            <w:r>
              <w:rPr>
                <w:rFonts w:hint="eastAsia"/>
                <w:bCs/>
                <w:sz w:val="24"/>
                <w:u w:val="none" w:color="auto"/>
                <w:lang w:val="en-US" w:eastAsia="zh-CN"/>
              </w:rPr>
              <w:t>蜿蜒</w:t>
            </w:r>
            <w:r>
              <w:rPr>
                <w:rFonts w:hint="eastAsia"/>
                <w:bCs/>
                <w:sz w:val="24"/>
                <w:u w:val="none" w:color="auto"/>
              </w:rPr>
              <w:t>，地形起伏；江西为西乡，属滨湖平原地，河渠纵横，湖沼塘堰星罗棋布。全县国土总面积</w:t>
            </w:r>
            <w:r>
              <w:rPr>
                <w:bCs/>
                <w:sz w:val="24"/>
                <w:u w:val="none" w:color="auto"/>
              </w:rPr>
              <w:t>1581.5</w:t>
            </w:r>
            <w:r>
              <w:rPr>
                <w:rFonts w:hint="eastAsia"/>
                <w:bCs/>
                <w:sz w:val="24"/>
                <w:u w:val="none" w:color="auto"/>
              </w:rPr>
              <w:t>平方公里，湖区、山丘区、湖洲分别为</w:t>
            </w:r>
            <w:r>
              <w:rPr>
                <w:bCs/>
                <w:sz w:val="24"/>
                <w:u w:val="none" w:color="auto"/>
              </w:rPr>
              <w:t>675.0</w:t>
            </w:r>
            <w:r>
              <w:rPr>
                <w:rFonts w:hint="eastAsia"/>
                <w:bCs/>
                <w:sz w:val="24"/>
                <w:u w:val="none" w:color="auto"/>
              </w:rPr>
              <w:t>平方公里、</w:t>
            </w:r>
            <w:r>
              <w:rPr>
                <w:bCs/>
                <w:sz w:val="24"/>
                <w:u w:val="none" w:color="auto"/>
              </w:rPr>
              <w:t>484.6</w:t>
            </w:r>
            <w:r>
              <w:rPr>
                <w:rFonts w:hint="eastAsia"/>
                <w:bCs/>
                <w:sz w:val="24"/>
                <w:u w:val="none" w:color="auto"/>
              </w:rPr>
              <w:t>平方公里、</w:t>
            </w:r>
            <w:r>
              <w:rPr>
                <w:bCs/>
                <w:sz w:val="24"/>
                <w:u w:val="none" w:color="auto"/>
              </w:rPr>
              <w:t>421.9</w:t>
            </w:r>
            <w:r>
              <w:rPr>
                <w:rFonts w:hint="eastAsia"/>
                <w:bCs/>
                <w:sz w:val="24"/>
                <w:u w:val="none" w:color="auto"/>
              </w:rPr>
              <w:t>平方公里。水域面积</w:t>
            </w:r>
            <w:r>
              <w:rPr>
                <w:bCs/>
                <w:sz w:val="24"/>
                <w:u w:val="none" w:color="auto"/>
              </w:rPr>
              <w:t>98.56</w:t>
            </w:r>
            <w:r>
              <w:rPr>
                <w:rFonts w:hint="eastAsia"/>
                <w:bCs/>
                <w:sz w:val="24"/>
                <w:u w:val="none" w:color="auto"/>
              </w:rPr>
              <w:t>万亩，占全县总面积的</w:t>
            </w:r>
            <w:r>
              <w:rPr>
                <w:bCs/>
                <w:sz w:val="24"/>
                <w:u w:val="none" w:color="auto"/>
              </w:rPr>
              <w:t>41.56%</w:t>
            </w:r>
            <w:r>
              <w:rPr>
                <w:rFonts w:hint="eastAsia"/>
                <w:bCs/>
                <w:sz w:val="24"/>
                <w:u w:val="none" w:color="auto"/>
              </w:rPr>
              <w:t>。各类地貌中的水面面积占总面积的百分比分别为：滨湖平原为</w:t>
            </w:r>
            <w:r>
              <w:rPr>
                <w:bCs/>
                <w:sz w:val="24"/>
                <w:u w:val="none" w:color="auto"/>
              </w:rPr>
              <w:t>89.06</w:t>
            </w:r>
            <w:r>
              <w:rPr>
                <w:rFonts w:hint="eastAsia"/>
                <w:bCs/>
                <w:sz w:val="24"/>
                <w:u w:val="none" w:color="auto"/>
              </w:rPr>
              <w:t>万亩，占</w:t>
            </w:r>
            <w:r>
              <w:rPr>
                <w:bCs/>
                <w:sz w:val="24"/>
                <w:u w:val="none" w:color="auto"/>
              </w:rPr>
              <w:t>53.99%</w:t>
            </w:r>
            <w:r>
              <w:rPr>
                <w:rFonts w:hint="eastAsia"/>
                <w:bCs/>
                <w:sz w:val="24"/>
                <w:u w:val="none" w:color="auto"/>
              </w:rPr>
              <w:t>；江河平原为</w:t>
            </w:r>
            <w:r>
              <w:rPr>
                <w:bCs/>
                <w:sz w:val="24"/>
                <w:u w:val="none" w:color="auto"/>
              </w:rPr>
              <w:t>2.37</w:t>
            </w:r>
            <w:r>
              <w:rPr>
                <w:rFonts w:hint="eastAsia"/>
                <w:bCs/>
                <w:sz w:val="24"/>
                <w:u w:val="none" w:color="auto"/>
              </w:rPr>
              <w:t>万亩，占</w:t>
            </w:r>
            <w:r>
              <w:rPr>
                <w:bCs/>
                <w:sz w:val="24"/>
                <w:u w:val="none" w:color="auto"/>
              </w:rPr>
              <w:t>21.68%</w:t>
            </w:r>
            <w:r>
              <w:rPr>
                <w:rFonts w:hint="eastAsia"/>
                <w:bCs/>
                <w:sz w:val="24"/>
                <w:u w:val="none" w:color="auto"/>
              </w:rPr>
              <w:t>；溪谷平原为</w:t>
            </w:r>
            <w:r>
              <w:rPr>
                <w:bCs/>
                <w:sz w:val="24"/>
                <w:u w:val="none" w:color="auto"/>
              </w:rPr>
              <w:t>3.82</w:t>
            </w:r>
            <w:r>
              <w:rPr>
                <w:rFonts w:hint="eastAsia"/>
                <w:bCs/>
                <w:sz w:val="24"/>
                <w:u w:val="none" w:color="auto"/>
              </w:rPr>
              <w:t>万亩，占</w:t>
            </w:r>
            <w:r>
              <w:rPr>
                <w:bCs/>
                <w:sz w:val="24"/>
                <w:u w:val="none" w:color="auto"/>
              </w:rPr>
              <w:t>15.54%</w:t>
            </w:r>
            <w:r>
              <w:rPr>
                <w:rFonts w:hint="eastAsia"/>
                <w:bCs/>
                <w:sz w:val="24"/>
                <w:u w:val="none" w:color="auto"/>
              </w:rPr>
              <w:t>；岗地为</w:t>
            </w:r>
            <w:r>
              <w:rPr>
                <w:bCs/>
                <w:sz w:val="24"/>
                <w:u w:val="none" w:color="auto"/>
              </w:rPr>
              <w:t>2.95</w:t>
            </w:r>
            <w:r>
              <w:rPr>
                <w:rFonts w:hint="eastAsia"/>
                <w:bCs/>
                <w:sz w:val="24"/>
                <w:u w:val="none" w:color="auto"/>
              </w:rPr>
              <w:t>万亩，占</w:t>
            </w:r>
            <w:r>
              <w:rPr>
                <w:bCs/>
                <w:sz w:val="24"/>
                <w:u w:val="none" w:color="auto"/>
              </w:rPr>
              <w:t>8.92%</w:t>
            </w:r>
            <w:r>
              <w:rPr>
                <w:rFonts w:hint="eastAsia"/>
                <w:bCs/>
                <w:sz w:val="24"/>
                <w:u w:val="none" w:color="auto"/>
              </w:rPr>
              <w:t>，低山为</w:t>
            </w:r>
            <w:r>
              <w:rPr>
                <w:bCs/>
                <w:sz w:val="24"/>
                <w:u w:val="none" w:color="auto"/>
              </w:rPr>
              <w:t>3600</w:t>
            </w:r>
            <w:r>
              <w:rPr>
                <w:rFonts w:hint="eastAsia"/>
                <w:bCs/>
                <w:sz w:val="24"/>
                <w:u w:val="none" w:color="auto"/>
              </w:rPr>
              <w:t>亩，占</w:t>
            </w:r>
            <w:r>
              <w:rPr>
                <w:bCs/>
                <w:sz w:val="24"/>
                <w:u w:val="none" w:color="auto"/>
              </w:rPr>
              <w:t>10.08%</w:t>
            </w:r>
            <w:r>
              <w:rPr>
                <w:rFonts w:hint="eastAsia"/>
                <w:bCs/>
                <w:sz w:val="24"/>
                <w:u w:val="none" w:color="auto"/>
              </w:rPr>
              <w:t>。</w:t>
            </w:r>
          </w:p>
          <w:p>
            <w:pPr>
              <w:spacing w:line="360" w:lineRule="auto"/>
              <w:ind w:firstLine="480"/>
              <w:rPr>
                <w:bCs/>
                <w:sz w:val="24"/>
                <w:u w:val="none" w:color="auto"/>
              </w:rPr>
            </w:pPr>
            <w:r>
              <w:rPr>
                <w:rFonts w:hint="eastAsia"/>
                <w:bCs/>
                <w:sz w:val="24"/>
                <w:u w:val="none" w:color="auto"/>
              </w:rPr>
              <w:t>根据《建筑抗震设计规范》</w:t>
            </w:r>
            <w:r>
              <w:rPr>
                <w:bCs/>
                <w:sz w:val="24"/>
                <w:u w:val="none" w:color="auto"/>
              </w:rPr>
              <w:t>GB50011—2001</w:t>
            </w:r>
            <w:r>
              <w:rPr>
                <w:rFonts w:hint="eastAsia"/>
                <w:bCs/>
                <w:sz w:val="24"/>
                <w:u w:val="none" w:color="auto"/>
              </w:rPr>
              <w:t>附录</w:t>
            </w:r>
            <w:r>
              <w:rPr>
                <w:bCs/>
                <w:sz w:val="24"/>
                <w:u w:val="none" w:color="auto"/>
              </w:rPr>
              <w:t>A</w:t>
            </w:r>
            <w:r>
              <w:rPr>
                <w:rFonts w:hint="eastAsia"/>
                <w:bCs/>
                <w:sz w:val="24"/>
                <w:u w:val="none" w:color="auto"/>
              </w:rPr>
              <w:t>及相关规定，湘阴为</w:t>
            </w:r>
            <w:r>
              <w:rPr>
                <w:bCs/>
                <w:sz w:val="24"/>
                <w:u w:val="none" w:color="auto"/>
              </w:rPr>
              <w:t>Ⅶ</w:t>
            </w:r>
            <w:r>
              <w:rPr>
                <w:rFonts w:hint="eastAsia"/>
                <w:bCs/>
                <w:sz w:val="24"/>
                <w:u w:val="none" w:color="auto"/>
              </w:rPr>
              <w:t>度烈度区。</w:t>
            </w:r>
          </w:p>
          <w:p>
            <w:pPr>
              <w:adjustRightInd w:val="0"/>
              <w:snapToGrid w:val="0"/>
              <w:spacing w:line="360" w:lineRule="auto"/>
              <w:ind w:firstLine="466" w:firstLineChars="200"/>
              <w:rPr>
                <w:b/>
                <w:bCs/>
                <w:sz w:val="24"/>
                <w:szCs w:val="24"/>
                <w:u w:val="none" w:color="auto"/>
              </w:rPr>
            </w:pPr>
            <w:r>
              <w:rPr>
                <w:b/>
                <w:bCs/>
                <w:sz w:val="24"/>
                <w:szCs w:val="24"/>
                <w:u w:val="none" w:color="auto"/>
              </w:rPr>
              <w:t>3、气候气象</w:t>
            </w:r>
          </w:p>
          <w:p>
            <w:pPr>
              <w:snapToGrid w:val="0"/>
              <w:spacing w:line="360" w:lineRule="auto"/>
              <w:ind w:firstLine="457" w:firstLineChars="196"/>
              <w:rPr>
                <w:rFonts w:hAnsi="宋体"/>
                <w:bCs/>
                <w:sz w:val="24"/>
                <w:u w:val="none" w:color="auto"/>
              </w:rPr>
            </w:pPr>
            <w:r>
              <w:rPr>
                <w:rFonts w:hint="eastAsia" w:hAnsi="宋体"/>
                <w:bCs/>
                <w:sz w:val="24"/>
                <w:u w:val="none" w:color="auto"/>
              </w:rPr>
              <w:t>湘阴县地处中亚热带向北亚热带过渡的季风气候区，县域内地貌类型简单，东西两部分气候差异不显著，气候温和，雨量充沛，光照充足，四季分明。主要灾害性天气有暴雨、干旱、大风、雷雹、低温、冰冻。县气象站记载，1959～1985年的27年间，共发生此类天气141次，年均5.2次。各种灾害性天气发生次数及占此类天气总数的百分比为：暴雨25次，占17.85%；干旱23次，占16.42%，低温31次，占22.17%；大风26次，占18.57%；雷雹13次，占9.28%，冰冻23次，占15.71%。</w:t>
            </w:r>
          </w:p>
          <w:p>
            <w:pPr>
              <w:spacing w:line="360" w:lineRule="auto"/>
              <w:ind w:firstLine="480"/>
              <w:rPr>
                <w:sz w:val="24"/>
                <w:u w:val="none" w:color="auto"/>
              </w:rPr>
            </w:pPr>
            <w:r>
              <w:rPr>
                <w:bCs/>
                <w:sz w:val="24"/>
                <w:u w:val="none" w:color="auto"/>
              </w:rPr>
              <w:t>湘阴县区域</w:t>
            </w:r>
            <w:r>
              <w:rPr>
                <w:sz w:val="24"/>
                <w:u w:val="none" w:color="auto"/>
              </w:rPr>
              <w:t>主要气象数据；</w:t>
            </w:r>
          </w:p>
          <w:p>
            <w:pPr>
              <w:autoSpaceDE w:val="0"/>
              <w:spacing w:line="360" w:lineRule="auto"/>
              <w:ind w:firstLine="480"/>
              <w:rPr>
                <w:sz w:val="24"/>
                <w:u w:val="none" w:color="auto"/>
              </w:rPr>
            </w:pPr>
            <w:r>
              <w:rPr>
                <w:sz w:val="24"/>
                <w:u w:val="none" w:color="auto"/>
              </w:rPr>
              <w:t>年平均气温                     16.9℃</w:t>
            </w:r>
          </w:p>
          <w:p>
            <w:pPr>
              <w:tabs>
                <w:tab w:val="center" w:pos="4849"/>
              </w:tabs>
              <w:autoSpaceDE w:val="0"/>
              <w:spacing w:line="360" w:lineRule="auto"/>
              <w:ind w:firstLine="480"/>
              <w:rPr>
                <w:sz w:val="24"/>
                <w:u w:val="none" w:color="auto"/>
              </w:rPr>
            </w:pPr>
            <w:r>
              <w:rPr>
                <w:sz w:val="24"/>
                <w:u w:val="none" w:color="auto"/>
              </w:rPr>
              <w:t>最热月平均气温                 29.0℃</w:t>
            </w:r>
          </w:p>
          <w:p>
            <w:pPr>
              <w:tabs>
                <w:tab w:val="center" w:pos="4849"/>
              </w:tabs>
              <w:autoSpaceDE w:val="0"/>
              <w:spacing w:line="360" w:lineRule="auto"/>
              <w:ind w:firstLine="480"/>
              <w:rPr>
                <w:sz w:val="24"/>
                <w:u w:val="none" w:color="auto"/>
              </w:rPr>
            </w:pPr>
            <w:r>
              <w:rPr>
                <w:sz w:val="24"/>
                <w:u w:val="none" w:color="auto"/>
              </w:rPr>
              <w:t>最冷月平均气温                 4.4℃</w:t>
            </w:r>
          </w:p>
          <w:p>
            <w:pPr>
              <w:tabs>
                <w:tab w:val="center" w:pos="4849"/>
              </w:tabs>
              <w:autoSpaceDE w:val="0"/>
              <w:spacing w:line="360" w:lineRule="auto"/>
              <w:ind w:firstLine="480"/>
              <w:rPr>
                <w:sz w:val="24"/>
                <w:u w:val="none" w:color="auto"/>
              </w:rPr>
            </w:pPr>
            <w:r>
              <w:rPr>
                <w:sz w:val="24"/>
                <w:u w:val="none" w:color="auto"/>
              </w:rPr>
              <w:t>极端最高气温                   38.4℃</w:t>
            </w:r>
          </w:p>
          <w:p>
            <w:pPr>
              <w:tabs>
                <w:tab w:val="center" w:pos="4849"/>
              </w:tabs>
              <w:autoSpaceDE w:val="0"/>
              <w:spacing w:line="360" w:lineRule="auto"/>
              <w:ind w:firstLine="480"/>
              <w:rPr>
                <w:sz w:val="24"/>
                <w:u w:val="none" w:color="auto"/>
              </w:rPr>
            </w:pPr>
            <w:r>
              <w:rPr>
                <w:sz w:val="24"/>
                <w:u w:val="none" w:color="auto"/>
              </w:rPr>
              <w:t>极端最低气温                   -12.0℃</w:t>
            </w:r>
          </w:p>
          <w:p>
            <w:pPr>
              <w:tabs>
                <w:tab w:val="center" w:pos="4849"/>
              </w:tabs>
              <w:autoSpaceDE w:val="0"/>
              <w:spacing w:line="360" w:lineRule="auto"/>
              <w:ind w:firstLine="480"/>
              <w:rPr>
                <w:sz w:val="24"/>
                <w:u w:val="none" w:color="auto"/>
              </w:rPr>
            </w:pPr>
            <w:r>
              <w:rPr>
                <w:sz w:val="24"/>
                <w:u w:val="none" w:color="auto"/>
              </w:rPr>
              <w:t>年总降水量                     1410.8mm</w:t>
            </w:r>
          </w:p>
          <w:p>
            <w:pPr>
              <w:tabs>
                <w:tab w:val="center" w:pos="4849"/>
              </w:tabs>
              <w:autoSpaceDE w:val="0"/>
              <w:spacing w:line="360" w:lineRule="auto"/>
              <w:ind w:firstLine="480"/>
              <w:rPr>
                <w:sz w:val="24"/>
                <w:u w:val="none" w:color="auto"/>
              </w:rPr>
            </w:pPr>
            <w:r>
              <w:rPr>
                <w:sz w:val="24"/>
                <w:u w:val="none" w:color="auto"/>
              </w:rPr>
              <w:t>年总日照                       1610.5h</w:t>
            </w:r>
          </w:p>
          <w:p>
            <w:pPr>
              <w:spacing w:line="360" w:lineRule="auto"/>
              <w:ind w:firstLine="480"/>
              <w:rPr>
                <w:bCs/>
                <w:sz w:val="24"/>
                <w:u w:val="none" w:color="auto"/>
              </w:rPr>
            </w:pPr>
            <w:r>
              <w:rPr>
                <w:bCs/>
                <w:sz w:val="24"/>
                <w:u w:val="none" w:color="auto"/>
              </w:rPr>
              <w:t>年主导风向                     西北风</w:t>
            </w:r>
          </w:p>
          <w:p>
            <w:pPr>
              <w:spacing w:line="360" w:lineRule="auto"/>
              <w:ind w:firstLine="480"/>
              <w:rPr>
                <w:bCs/>
                <w:sz w:val="24"/>
                <w:u w:val="none" w:color="auto"/>
              </w:rPr>
            </w:pPr>
            <w:r>
              <w:rPr>
                <w:sz w:val="24"/>
                <w:u w:val="none" w:color="auto"/>
              </w:rPr>
              <w:t>年平均风速                     2.5m/s</w:t>
            </w:r>
          </w:p>
          <w:p>
            <w:pPr>
              <w:tabs>
                <w:tab w:val="center" w:pos="4849"/>
              </w:tabs>
              <w:autoSpaceDE w:val="0"/>
              <w:spacing w:line="360" w:lineRule="auto"/>
              <w:ind w:firstLine="480"/>
              <w:rPr>
                <w:sz w:val="24"/>
                <w:u w:val="none" w:color="auto"/>
              </w:rPr>
            </w:pPr>
            <w:r>
              <w:rPr>
                <w:sz w:val="24"/>
                <w:u w:val="none" w:color="auto"/>
              </w:rPr>
              <w:t>年相对湿度                     81%</w:t>
            </w:r>
          </w:p>
          <w:p>
            <w:pPr>
              <w:spacing w:line="360" w:lineRule="auto"/>
              <w:ind w:firstLine="480"/>
              <w:rPr>
                <w:bCs/>
                <w:sz w:val="24"/>
                <w:u w:val="none" w:color="auto"/>
              </w:rPr>
            </w:pPr>
            <w:r>
              <w:rPr>
                <w:bCs/>
                <w:sz w:val="24"/>
                <w:u w:val="none" w:color="auto"/>
              </w:rPr>
              <w:t>年平均降雨量                   1383毫米</w:t>
            </w:r>
          </w:p>
          <w:p>
            <w:pPr>
              <w:spacing w:line="360" w:lineRule="auto"/>
              <w:ind w:firstLine="480"/>
              <w:rPr>
                <w:bCs/>
                <w:sz w:val="24"/>
                <w:u w:val="none" w:color="auto"/>
              </w:rPr>
            </w:pPr>
            <w:r>
              <w:rPr>
                <w:sz w:val="24"/>
                <w:u w:val="none" w:color="auto"/>
              </w:rPr>
              <w:t>年总蒸发量                     1329.4mm</w:t>
            </w:r>
          </w:p>
          <w:p>
            <w:pPr>
              <w:spacing w:line="360" w:lineRule="auto"/>
              <w:ind w:firstLine="480"/>
              <w:rPr>
                <w:sz w:val="24"/>
                <w:u w:val="none" w:color="auto"/>
              </w:rPr>
            </w:pPr>
            <w:r>
              <w:rPr>
                <w:sz w:val="24"/>
                <w:u w:val="none" w:color="auto"/>
              </w:rPr>
              <w:t>全年无霜期                     274天</w:t>
            </w:r>
          </w:p>
          <w:p>
            <w:pPr>
              <w:adjustRightInd w:val="0"/>
              <w:snapToGrid w:val="0"/>
              <w:spacing w:line="360" w:lineRule="auto"/>
              <w:ind w:firstLine="466" w:firstLineChars="200"/>
              <w:rPr>
                <w:b/>
                <w:bCs/>
                <w:sz w:val="24"/>
                <w:szCs w:val="24"/>
                <w:u w:val="none" w:color="auto"/>
              </w:rPr>
            </w:pPr>
            <w:r>
              <w:rPr>
                <w:b/>
                <w:bCs/>
                <w:sz w:val="24"/>
                <w:szCs w:val="24"/>
                <w:u w:val="none" w:color="auto"/>
              </w:rPr>
              <w:t>4、水文</w:t>
            </w:r>
          </w:p>
          <w:p>
            <w:pPr>
              <w:snapToGrid w:val="0"/>
              <w:spacing w:line="360" w:lineRule="auto"/>
              <w:ind w:firstLine="457" w:firstLineChars="196"/>
              <w:rPr>
                <w:rFonts w:hAnsi="宋体"/>
                <w:bCs/>
                <w:sz w:val="24"/>
                <w:u w:val="none" w:color="auto"/>
              </w:rPr>
            </w:pPr>
            <w:r>
              <w:rPr>
                <w:rFonts w:hint="eastAsia" w:hAnsi="宋体"/>
                <w:bCs/>
                <w:sz w:val="24"/>
                <w:u w:val="none" w:color="auto"/>
              </w:rPr>
              <w:t>湘阴县位于湘江尾闾，洞庭湖滨。湘阴地区江湖甚多，水域面积占总面积的42%左右，河流主要有湘江、资江和白水江等，其直流纵横，河网密布，湖泊星罗棋布。湘资两水在湘阴县内流经长度达250余公里，内江流经长度70余公里，计有外湖81个，内湖78个，塘堰3372个，水坝2249座，主要外湖有横岭湖、团林湖、淳湖和荷叶湖等，主要内湖有鹤龙湖、洋沙湖、范家坝、白洋湖和南湖垸哑河等。水域面积98.56万多亩，占全县总面积的41.56%以上，为养殖、捕捞、灌溉、航运、工业用水提供了十分充裕的水源。</w:t>
            </w:r>
          </w:p>
          <w:p>
            <w:pPr>
              <w:snapToGrid w:val="0"/>
              <w:spacing w:line="360" w:lineRule="auto"/>
              <w:ind w:firstLine="457" w:firstLineChars="196"/>
              <w:rPr>
                <w:rFonts w:hAnsi="宋体"/>
                <w:bCs/>
                <w:sz w:val="24"/>
                <w:u w:val="none" w:color="auto"/>
              </w:rPr>
            </w:pPr>
            <w:r>
              <w:rPr>
                <w:rFonts w:hint="eastAsia" w:hAnsi="宋体"/>
                <w:bCs/>
                <w:sz w:val="24"/>
                <w:u w:val="none" w:color="auto"/>
              </w:rPr>
              <w:t>湘阴县区域地表水发达，主要水系有洋沙湖、白水江、资江、湘江。湘江是我省的最大河流，其发源于湖南省永州市蓝山县紫良瑶族乡蓝山国家森林公园的野狗岭，流经湖南省永州市、衡阳市、株洲市、湘潭市、长沙市，至岳阳市的湘阴县注入长江水系的洞庭湖，于城陵矶入长江，全长856km。湘江江面宽500～1500m，一般水深6～15m，河床多砂砾石且坡度平缓，河水流速慢。其流量分平、洪、丰、枯四个水期，有明显的季节变化，洪水期多出现在5～7月，枯水期多出现在12～翌年2月。湘江是湘阴县的一条景观河流和主要供水水源，保护好湘江水环境质量，是保证湘阴县可持续发展战略的重要因素之一。</w:t>
            </w:r>
          </w:p>
          <w:p>
            <w:pPr>
              <w:snapToGrid w:val="0"/>
              <w:spacing w:line="360" w:lineRule="auto"/>
              <w:ind w:firstLine="457" w:firstLineChars="196"/>
              <w:rPr>
                <w:rFonts w:hAnsi="宋体"/>
                <w:bCs/>
                <w:sz w:val="24"/>
                <w:u w:val="none" w:color="auto"/>
              </w:rPr>
            </w:pPr>
            <w:r>
              <w:rPr>
                <w:rFonts w:hint="eastAsia" w:hAnsi="宋体"/>
                <w:bCs/>
                <w:sz w:val="24"/>
                <w:u w:val="none" w:color="auto"/>
              </w:rPr>
              <w:t>项目所在区域湘江主要水文参数如下：</w:t>
            </w:r>
          </w:p>
          <w:p>
            <w:pPr>
              <w:snapToGrid w:val="0"/>
              <w:spacing w:line="360" w:lineRule="auto"/>
              <w:ind w:firstLine="457" w:firstLineChars="196"/>
              <w:rPr>
                <w:rFonts w:hAnsi="宋体"/>
                <w:bCs/>
                <w:sz w:val="24"/>
                <w:u w:val="none" w:color="auto"/>
              </w:rPr>
            </w:pPr>
            <w:r>
              <w:rPr>
                <w:rFonts w:hint="eastAsia" w:hAnsi="宋体"/>
                <w:bCs/>
                <w:sz w:val="24"/>
                <w:u w:val="none" w:color="auto"/>
              </w:rPr>
              <w:t>年平均水位                    27.31m</w:t>
            </w:r>
          </w:p>
          <w:p>
            <w:pPr>
              <w:snapToGrid w:val="0"/>
              <w:spacing w:line="360" w:lineRule="auto"/>
              <w:ind w:firstLine="457" w:firstLineChars="196"/>
              <w:rPr>
                <w:rFonts w:hAnsi="宋体"/>
                <w:bCs/>
                <w:sz w:val="24"/>
                <w:u w:val="none" w:color="auto"/>
              </w:rPr>
            </w:pPr>
            <w:r>
              <w:rPr>
                <w:rFonts w:hint="eastAsia" w:hAnsi="宋体"/>
                <w:bCs/>
                <w:sz w:val="24"/>
                <w:u w:val="none" w:color="auto"/>
              </w:rPr>
              <w:t>平均最高水位                  36.65m</w:t>
            </w:r>
          </w:p>
          <w:p>
            <w:pPr>
              <w:snapToGrid w:val="0"/>
              <w:spacing w:line="360" w:lineRule="auto"/>
              <w:ind w:firstLine="457" w:firstLineChars="196"/>
              <w:rPr>
                <w:rFonts w:hAnsi="宋体"/>
                <w:bCs/>
                <w:sz w:val="24"/>
                <w:u w:val="none" w:color="auto"/>
              </w:rPr>
            </w:pPr>
            <w:r>
              <w:rPr>
                <w:rFonts w:hint="eastAsia" w:hAnsi="宋体"/>
                <w:bCs/>
                <w:sz w:val="24"/>
                <w:u w:val="none" w:color="auto"/>
              </w:rPr>
              <w:t>平均最低水位                  23.25m</w:t>
            </w:r>
          </w:p>
          <w:p>
            <w:pPr>
              <w:snapToGrid w:val="0"/>
              <w:spacing w:line="360" w:lineRule="auto"/>
              <w:ind w:firstLine="457" w:firstLineChars="196"/>
              <w:rPr>
                <w:rFonts w:hAnsi="宋体"/>
                <w:bCs/>
                <w:sz w:val="24"/>
                <w:u w:val="none" w:color="auto"/>
              </w:rPr>
            </w:pPr>
            <w:r>
              <w:rPr>
                <w:rFonts w:hint="eastAsia" w:hAnsi="宋体"/>
                <w:bCs/>
                <w:sz w:val="24"/>
                <w:u w:val="none" w:color="auto"/>
              </w:rPr>
              <w:t>历史最高洪峰水位              37.37m</w:t>
            </w:r>
          </w:p>
          <w:p>
            <w:pPr>
              <w:snapToGrid w:val="0"/>
              <w:spacing w:line="360" w:lineRule="auto"/>
              <w:ind w:firstLine="457" w:firstLineChars="196"/>
              <w:rPr>
                <w:rFonts w:hAnsi="宋体"/>
                <w:bCs/>
                <w:sz w:val="24"/>
                <w:u w:val="none" w:color="auto"/>
              </w:rPr>
            </w:pPr>
            <w:r>
              <w:rPr>
                <w:rFonts w:hint="eastAsia" w:hAnsi="宋体"/>
                <w:bCs/>
                <w:sz w:val="24"/>
                <w:u w:val="none" w:color="auto"/>
              </w:rPr>
              <w:t>平均径流深                    7.76m</w:t>
            </w:r>
          </w:p>
          <w:p>
            <w:pPr>
              <w:snapToGrid w:val="0"/>
              <w:spacing w:line="360" w:lineRule="auto"/>
              <w:ind w:firstLine="457" w:firstLineChars="196"/>
              <w:rPr>
                <w:rFonts w:hAnsi="宋体"/>
                <w:bCs/>
                <w:sz w:val="24"/>
                <w:u w:val="none" w:color="auto"/>
              </w:rPr>
            </w:pPr>
            <w:r>
              <w:rPr>
                <w:rFonts w:hint="eastAsia" w:hAnsi="宋体"/>
                <w:bCs/>
                <w:sz w:val="24"/>
                <w:u w:val="none" w:color="auto"/>
              </w:rPr>
              <w:t>年平均流量                    2131m</w:t>
            </w:r>
            <w:r>
              <w:rPr>
                <w:rFonts w:hint="eastAsia" w:hAnsi="宋体"/>
                <w:bCs/>
                <w:sz w:val="24"/>
                <w:u w:val="none" w:color="auto"/>
                <w:vertAlign w:val="superscript"/>
              </w:rPr>
              <w:t>3</w:t>
            </w:r>
            <w:r>
              <w:rPr>
                <w:rFonts w:hint="eastAsia" w:hAnsi="宋体"/>
                <w:bCs/>
                <w:sz w:val="24"/>
                <w:u w:val="none" w:color="auto"/>
              </w:rPr>
              <w:t>/s</w:t>
            </w:r>
          </w:p>
          <w:p>
            <w:pPr>
              <w:snapToGrid w:val="0"/>
              <w:spacing w:line="360" w:lineRule="auto"/>
              <w:ind w:firstLine="457" w:firstLineChars="196"/>
              <w:rPr>
                <w:rFonts w:hAnsi="宋体"/>
                <w:bCs/>
                <w:sz w:val="24"/>
                <w:u w:val="none" w:color="auto"/>
              </w:rPr>
            </w:pPr>
            <w:r>
              <w:rPr>
                <w:rFonts w:hint="eastAsia" w:hAnsi="宋体"/>
                <w:bCs/>
                <w:sz w:val="24"/>
                <w:u w:val="none" w:color="auto"/>
              </w:rPr>
              <w:t>平均最大流量                  12900m</w:t>
            </w:r>
            <w:r>
              <w:rPr>
                <w:rFonts w:hint="eastAsia" w:hAnsi="宋体"/>
                <w:bCs/>
                <w:sz w:val="24"/>
                <w:u w:val="none" w:color="auto"/>
                <w:vertAlign w:val="superscript"/>
              </w:rPr>
              <w:t>3</w:t>
            </w:r>
            <w:r>
              <w:rPr>
                <w:rFonts w:hint="eastAsia" w:hAnsi="宋体"/>
                <w:bCs/>
                <w:sz w:val="24"/>
                <w:u w:val="none" w:color="auto"/>
              </w:rPr>
              <w:t>/s</w:t>
            </w:r>
          </w:p>
          <w:p>
            <w:pPr>
              <w:snapToGrid w:val="0"/>
              <w:spacing w:line="360" w:lineRule="auto"/>
              <w:ind w:firstLine="457" w:firstLineChars="196"/>
              <w:rPr>
                <w:rFonts w:hAnsi="宋体"/>
                <w:bCs/>
                <w:sz w:val="24"/>
                <w:u w:val="none" w:color="auto"/>
              </w:rPr>
            </w:pPr>
            <w:r>
              <w:rPr>
                <w:rFonts w:hint="eastAsia" w:hAnsi="宋体"/>
                <w:bCs/>
                <w:sz w:val="24"/>
                <w:u w:val="none" w:color="auto"/>
              </w:rPr>
              <w:t>平均最小流量                  248m</w:t>
            </w:r>
            <w:r>
              <w:rPr>
                <w:rFonts w:hint="eastAsia" w:hAnsi="宋体"/>
                <w:bCs/>
                <w:sz w:val="24"/>
                <w:u w:val="none" w:color="auto"/>
                <w:vertAlign w:val="superscript"/>
              </w:rPr>
              <w:t>3</w:t>
            </w:r>
            <w:r>
              <w:rPr>
                <w:rFonts w:hint="eastAsia" w:hAnsi="宋体"/>
                <w:bCs/>
                <w:sz w:val="24"/>
                <w:u w:val="none" w:color="auto"/>
              </w:rPr>
              <w:t>/s</w:t>
            </w:r>
          </w:p>
          <w:p>
            <w:pPr>
              <w:snapToGrid w:val="0"/>
              <w:spacing w:line="360" w:lineRule="auto"/>
              <w:ind w:firstLine="457" w:firstLineChars="196"/>
              <w:rPr>
                <w:rFonts w:hAnsi="宋体"/>
                <w:bCs/>
                <w:sz w:val="24"/>
                <w:u w:val="none" w:color="auto"/>
              </w:rPr>
            </w:pPr>
            <w:r>
              <w:rPr>
                <w:rFonts w:hint="eastAsia" w:hAnsi="宋体"/>
                <w:bCs/>
                <w:sz w:val="24"/>
                <w:u w:val="none" w:color="auto"/>
              </w:rPr>
              <w:t>最大流速                      2.6m/s</w:t>
            </w:r>
          </w:p>
          <w:p>
            <w:pPr>
              <w:snapToGrid w:val="0"/>
              <w:spacing w:line="360" w:lineRule="auto"/>
              <w:ind w:firstLine="457" w:firstLineChars="196"/>
              <w:rPr>
                <w:rFonts w:hAnsi="宋体"/>
                <w:bCs/>
                <w:sz w:val="24"/>
                <w:u w:val="none" w:color="auto"/>
              </w:rPr>
            </w:pPr>
            <w:r>
              <w:rPr>
                <w:rFonts w:hint="eastAsia" w:hAnsi="宋体"/>
                <w:bCs/>
                <w:sz w:val="24"/>
                <w:u w:val="none" w:color="auto"/>
              </w:rPr>
              <w:t>年平均流速                    0.45m/s</w:t>
            </w:r>
          </w:p>
          <w:p>
            <w:pPr>
              <w:snapToGrid w:val="0"/>
              <w:spacing w:line="360" w:lineRule="auto"/>
              <w:ind w:firstLine="457" w:firstLineChars="196"/>
              <w:rPr>
                <w:rFonts w:hAnsi="宋体"/>
                <w:bCs/>
                <w:sz w:val="24"/>
                <w:u w:val="none" w:color="auto"/>
              </w:rPr>
            </w:pPr>
            <w:r>
              <w:rPr>
                <w:rFonts w:hint="eastAsia" w:hAnsi="宋体"/>
                <w:bCs/>
                <w:sz w:val="24"/>
                <w:u w:val="none" w:color="auto"/>
              </w:rPr>
              <w:t xml:space="preserve">枯水期平均流速              </w:t>
            </w:r>
            <w:r>
              <w:rPr>
                <w:rFonts w:hAnsi="宋体"/>
                <w:bCs/>
                <w:sz w:val="24"/>
                <w:u w:val="none" w:color="auto"/>
              </w:rPr>
              <w:t xml:space="preserve"> </w:t>
            </w:r>
            <w:r>
              <w:rPr>
                <w:rFonts w:hint="eastAsia" w:hAnsi="宋体"/>
                <w:bCs/>
                <w:sz w:val="24"/>
                <w:u w:val="none" w:color="auto"/>
              </w:rPr>
              <w:t xml:space="preserve"> 0.18m/s</w:t>
            </w:r>
          </w:p>
          <w:p>
            <w:pPr>
              <w:snapToGrid w:val="0"/>
              <w:spacing w:line="360" w:lineRule="auto"/>
              <w:ind w:firstLine="457" w:firstLineChars="196"/>
              <w:rPr>
                <w:rFonts w:hAnsi="宋体"/>
                <w:bCs/>
                <w:sz w:val="24"/>
                <w:u w:val="none" w:color="auto"/>
              </w:rPr>
            </w:pPr>
            <w:r>
              <w:rPr>
                <w:rFonts w:hint="eastAsia" w:hAnsi="宋体"/>
                <w:bCs/>
                <w:sz w:val="24"/>
                <w:u w:val="none" w:color="auto"/>
              </w:rPr>
              <w:t>按《湖南省主要水系地表水环境功能区划》（DB43/023—2005），从湘江长沙段下游至湘阴的水环境功能区划为：①沩水河北口端至湘阴樟树港的22.5km为渔业用水区，执行Ⅲ类水质标准。②樟树港至浩河口的7.4km为渔业用水区，执行Ⅲ类水质标准。③浩河口至洋沙湖上游1000m（东支）5.2km为二级水源保护区，执行Ⅲ类水质标准。④洋沙湖上游1000m至下游200m（东支）1.2km为湘阴县一级水源保护区，执行Ⅱ类水质标准。⑤洋沙湖下游200m至磊石（东支）62.7km为渔业用水区，执行Ⅲ类水质标准。</w:t>
            </w:r>
          </w:p>
          <w:p>
            <w:pPr>
              <w:adjustRightInd w:val="0"/>
              <w:snapToGrid w:val="0"/>
              <w:spacing w:line="360" w:lineRule="auto"/>
              <w:ind w:firstLine="466" w:firstLineChars="200"/>
              <w:rPr>
                <w:b/>
                <w:bCs/>
                <w:sz w:val="24"/>
                <w:szCs w:val="24"/>
                <w:u w:val="none" w:color="auto"/>
              </w:rPr>
            </w:pPr>
            <w:r>
              <w:rPr>
                <w:b/>
                <w:bCs/>
                <w:sz w:val="24"/>
                <w:szCs w:val="24"/>
                <w:u w:val="none" w:color="auto"/>
              </w:rPr>
              <w:t xml:space="preserve">5、植被与生物 </w:t>
            </w:r>
          </w:p>
          <w:p>
            <w:pPr>
              <w:snapToGrid w:val="0"/>
              <w:spacing w:line="360" w:lineRule="auto"/>
              <w:ind w:firstLine="457" w:firstLineChars="196"/>
              <w:rPr>
                <w:rFonts w:hAnsi="宋体"/>
                <w:bCs/>
                <w:sz w:val="24"/>
                <w:u w:val="none" w:color="auto"/>
              </w:rPr>
            </w:pPr>
            <w:r>
              <w:rPr>
                <w:rFonts w:hint="eastAsia" w:hAnsi="宋体"/>
                <w:bCs/>
                <w:sz w:val="24"/>
                <w:u w:val="none" w:color="auto"/>
              </w:rPr>
              <w:t>湘阴县农业生物资源极为丰富，全县有以水稻、红薯为主的11种粮食作物，有以茶叶、棉花、藠头为主的15种经济作物，有以芦苇、湘莲为主的10余种水生经济作物，有以松、杉、樟、柳为主的228个树种，有以青、草、鲢、鳙、鲤和湘去鲫(鲤)为主的114个鱼类品种，有以猪、牛、山羊、鸡、鸭、鹅为主的9个畜禽种类。</w:t>
            </w:r>
          </w:p>
          <w:p>
            <w:pPr>
              <w:snapToGrid w:val="0"/>
              <w:spacing w:line="360" w:lineRule="auto"/>
              <w:ind w:firstLine="457" w:firstLineChars="196"/>
              <w:rPr>
                <w:rFonts w:hAnsi="宋体"/>
                <w:bCs/>
                <w:sz w:val="24"/>
                <w:u w:val="none" w:color="auto"/>
              </w:rPr>
            </w:pPr>
            <w:r>
              <w:rPr>
                <w:rFonts w:hint="eastAsia" w:hAnsi="宋体"/>
                <w:bCs/>
                <w:sz w:val="24"/>
                <w:u w:val="none" w:color="auto"/>
              </w:rPr>
              <w:t>全县山林24万亩，林业用地占陆地面积的16%，森林覆盖率为12.5%，主要分布在东部低山岗地。其中杉木基地分布在界头铺、玉华、长康等乡镇的低山地带及六塘、石塘乡部分岗地。长康等乡镇部分岗地。防护林主要分布在西部平原。从外地引进的意大利杨和美国松分别植于北部湖洲上和东部山岗区，引进的树种生长茂盛，大有发展前途。境内多珍奇生物，珍稀树种有银杏、枫香、杜仲等30余种，珍禽异兽有鹿、獐、獾、锦鸡、鸳鸯等。珍贵的鱼有中华鲟、白鲟、银鱼、胭脂鱼、非洲鲫等，还有特种水产甲鱼、乌龟、泥蛙、龙虾、河蟹、贝类以及世界珍稀的白鳍豚。</w:t>
            </w:r>
          </w:p>
          <w:p>
            <w:pPr>
              <w:snapToGrid w:val="0"/>
              <w:spacing w:line="360" w:lineRule="auto"/>
              <w:ind w:firstLine="480"/>
              <w:rPr>
                <w:rFonts w:hAnsi="宋体"/>
                <w:sz w:val="24"/>
                <w:szCs w:val="24"/>
                <w:u w:val="none" w:color="auto"/>
              </w:rPr>
            </w:pPr>
            <w:r>
              <w:rPr>
                <w:rFonts w:hint="eastAsia" w:hAnsi="宋体"/>
                <w:sz w:val="24"/>
                <w:szCs w:val="24"/>
                <w:u w:val="none" w:color="auto"/>
              </w:rPr>
              <w:t>项目区受人类活动的影响较大，人为开发程度高，工程区土壤主要为板、页岩发育的红壤、黄壤；因人类活动，原始植被已遭破坏，残存仅有少数壳丰科及樟科的常绿阔叶林和次生马尾松林，被覆地表的主要是人造的用材林、经济林、及栽培农作物，如油茶林、果木林、杉木林等，林下植被有灌木及茅草等；陆生动物主要为一些小型的啮齿类动物、两栖类动物、昆虫及一些常见鸟类。</w:t>
            </w:r>
          </w:p>
          <w:p>
            <w:pPr>
              <w:snapToGrid w:val="0"/>
              <w:spacing w:line="360" w:lineRule="auto"/>
              <w:ind w:firstLine="466" w:firstLineChars="200"/>
              <w:jc w:val="left"/>
              <w:rPr>
                <w:rFonts w:hAnsi="宋体"/>
                <w:sz w:val="24"/>
                <w:szCs w:val="24"/>
                <w:u w:val="none" w:color="auto"/>
              </w:rPr>
            </w:pPr>
            <w:r>
              <w:rPr>
                <w:rFonts w:hint="eastAsia" w:hAnsi="宋体"/>
                <w:sz w:val="24"/>
                <w:szCs w:val="24"/>
                <w:u w:val="none" w:color="auto"/>
              </w:rPr>
              <w:t>根据实地调查，评价区域内无名胜古迹、风景名胜区、文物保护区等需要特殊保护的目标，无需特殊保护的珍稀动植物。</w:t>
            </w:r>
          </w:p>
          <w:p>
            <w:pPr>
              <w:adjustRightInd w:val="0"/>
              <w:snapToGrid w:val="0"/>
              <w:spacing w:line="360" w:lineRule="auto"/>
              <w:ind w:firstLine="466" w:firstLineChars="200"/>
              <w:rPr>
                <w:b/>
                <w:sz w:val="24"/>
                <w:u w:val="none" w:color="auto"/>
              </w:rPr>
            </w:pPr>
            <w:r>
              <w:rPr>
                <w:sz w:val="24"/>
                <w:u w:val="none" w:color="auto"/>
              </w:rPr>
              <w:t>本项目所在地环境功能属性见表</w:t>
            </w:r>
            <w:r>
              <w:rPr>
                <w:rFonts w:hint="eastAsia"/>
                <w:sz w:val="24"/>
                <w:u w:val="none" w:color="auto"/>
                <w:lang w:val="en-US" w:eastAsia="zh-CN"/>
              </w:rPr>
              <w:t>2-1</w:t>
            </w:r>
            <w:r>
              <w:rPr>
                <w:sz w:val="24"/>
                <w:u w:val="none" w:color="auto"/>
              </w:rPr>
              <w:t>：</w:t>
            </w:r>
          </w:p>
          <w:p>
            <w:pPr>
              <w:snapToGrid w:val="0"/>
              <w:spacing w:line="360" w:lineRule="auto"/>
              <w:ind w:firstLine="466" w:firstLineChars="200"/>
              <w:jc w:val="center"/>
              <w:rPr>
                <w:b/>
                <w:sz w:val="24"/>
                <w:u w:val="none" w:color="auto"/>
              </w:rPr>
            </w:pPr>
            <w:r>
              <w:rPr>
                <w:b/>
                <w:sz w:val="24"/>
                <w:u w:val="none" w:color="auto"/>
              </w:rPr>
              <w:t>表</w:t>
            </w:r>
            <w:r>
              <w:rPr>
                <w:rFonts w:hint="eastAsia"/>
                <w:b/>
                <w:sz w:val="24"/>
                <w:u w:val="none" w:color="auto"/>
                <w:lang w:val="en-US" w:eastAsia="zh-CN"/>
              </w:rPr>
              <w:t>2-1</w:t>
            </w:r>
            <w:r>
              <w:rPr>
                <w:b/>
                <w:sz w:val="24"/>
                <w:u w:val="none" w:color="auto"/>
              </w:rPr>
              <w:t xml:space="preserve"> 本区域环境功能区划</w:t>
            </w:r>
          </w:p>
          <w:tbl>
            <w:tblPr>
              <w:tblStyle w:val="40"/>
              <w:tblW w:w="907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637"/>
              <w:gridCol w:w="547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62" w:type="dxa"/>
                  <w:tcBorders>
                    <w:tl2br w:val="nil"/>
                    <w:tr2bl w:val="nil"/>
                  </w:tcBorders>
                  <w:noWrap w:val="0"/>
                  <w:vAlign w:val="center"/>
                </w:tcPr>
                <w:p>
                  <w:pPr>
                    <w:adjustRightInd w:val="0"/>
                    <w:snapToGrid w:val="0"/>
                    <w:spacing w:line="360" w:lineRule="auto"/>
                    <w:jc w:val="center"/>
                    <w:rPr>
                      <w:szCs w:val="21"/>
                      <w:u w:val="none" w:color="auto"/>
                    </w:rPr>
                  </w:pPr>
                  <w:r>
                    <w:rPr>
                      <w:szCs w:val="21"/>
                      <w:u w:val="none" w:color="auto"/>
                    </w:rPr>
                    <w:t>编号</w:t>
                  </w:r>
                </w:p>
              </w:tc>
              <w:tc>
                <w:tcPr>
                  <w:tcW w:w="2637" w:type="dxa"/>
                  <w:tcBorders>
                    <w:tl2br w:val="nil"/>
                    <w:tr2bl w:val="nil"/>
                  </w:tcBorders>
                  <w:noWrap w:val="0"/>
                  <w:vAlign w:val="center"/>
                </w:tcPr>
                <w:p>
                  <w:pPr>
                    <w:adjustRightInd w:val="0"/>
                    <w:snapToGrid w:val="0"/>
                    <w:spacing w:line="360" w:lineRule="auto"/>
                    <w:jc w:val="center"/>
                    <w:rPr>
                      <w:szCs w:val="21"/>
                      <w:u w:val="none" w:color="auto"/>
                    </w:rPr>
                  </w:pPr>
                  <w:r>
                    <w:rPr>
                      <w:szCs w:val="21"/>
                      <w:u w:val="none" w:color="auto"/>
                    </w:rPr>
                    <w:t>项目</w:t>
                  </w:r>
                </w:p>
              </w:tc>
              <w:tc>
                <w:tcPr>
                  <w:tcW w:w="5479" w:type="dxa"/>
                  <w:tcBorders>
                    <w:tl2br w:val="nil"/>
                    <w:tr2bl w:val="nil"/>
                  </w:tcBorders>
                  <w:noWrap w:val="0"/>
                  <w:vAlign w:val="center"/>
                </w:tcPr>
                <w:p>
                  <w:pPr>
                    <w:adjustRightInd w:val="0"/>
                    <w:snapToGrid w:val="0"/>
                    <w:spacing w:line="360" w:lineRule="auto"/>
                    <w:jc w:val="center"/>
                    <w:rPr>
                      <w:szCs w:val="21"/>
                      <w:u w:val="none" w:color="auto"/>
                    </w:rPr>
                  </w:pPr>
                  <w:r>
                    <w:rPr>
                      <w:szCs w:val="21"/>
                      <w:u w:val="none" w:color="auto"/>
                    </w:rPr>
                    <w:t>功能属性及执行标准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 w:type="dxa"/>
                  <w:tcBorders>
                    <w:tl2br w:val="nil"/>
                    <w:tr2bl w:val="nil"/>
                  </w:tcBorders>
                  <w:noWrap w:val="0"/>
                  <w:vAlign w:val="center"/>
                </w:tcPr>
                <w:p>
                  <w:pPr>
                    <w:adjustRightInd w:val="0"/>
                    <w:snapToGrid w:val="0"/>
                    <w:spacing w:line="360" w:lineRule="auto"/>
                    <w:jc w:val="center"/>
                    <w:rPr>
                      <w:szCs w:val="21"/>
                      <w:u w:val="none" w:color="auto"/>
                    </w:rPr>
                  </w:pPr>
                  <w:r>
                    <w:rPr>
                      <w:szCs w:val="21"/>
                      <w:u w:val="none" w:color="auto"/>
                    </w:rPr>
                    <w:t>1</w:t>
                  </w:r>
                </w:p>
              </w:tc>
              <w:tc>
                <w:tcPr>
                  <w:tcW w:w="2637" w:type="dxa"/>
                  <w:tcBorders>
                    <w:tl2br w:val="nil"/>
                    <w:tr2bl w:val="nil"/>
                  </w:tcBorders>
                  <w:noWrap w:val="0"/>
                  <w:vAlign w:val="center"/>
                </w:tcPr>
                <w:p>
                  <w:pPr>
                    <w:adjustRightInd w:val="0"/>
                    <w:snapToGrid w:val="0"/>
                    <w:spacing w:line="360" w:lineRule="auto"/>
                    <w:jc w:val="center"/>
                    <w:rPr>
                      <w:szCs w:val="21"/>
                      <w:u w:val="none" w:color="auto"/>
                    </w:rPr>
                  </w:pPr>
                  <w:r>
                    <w:rPr>
                      <w:szCs w:val="21"/>
                      <w:u w:val="none" w:color="auto"/>
                    </w:rPr>
                    <w:t>水环境功能区</w:t>
                  </w:r>
                </w:p>
              </w:tc>
              <w:tc>
                <w:tcPr>
                  <w:tcW w:w="5479" w:type="dxa"/>
                  <w:tcBorders>
                    <w:tl2br w:val="nil"/>
                    <w:tr2bl w:val="nil"/>
                  </w:tcBorders>
                  <w:noWrap w:val="0"/>
                  <w:vAlign w:val="center"/>
                </w:tcPr>
                <w:p>
                  <w:pPr>
                    <w:adjustRightInd w:val="0"/>
                    <w:snapToGrid w:val="0"/>
                    <w:spacing w:line="360" w:lineRule="auto"/>
                    <w:jc w:val="both"/>
                    <w:rPr>
                      <w:szCs w:val="21"/>
                      <w:u w:val="none" w:color="auto"/>
                    </w:rPr>
                  </w:pPr>
                  <w:r>
                    <w:rPr>
                      <w:szCs w:val="21"/>
                      <w:u w:val="none" w:color="auto"/>
                    </w:rPr>
                    <w:t>执行《地表水环境质量标准》（Gb3838-2002）Ⅲ类标准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62" w:type="dxa"/>
                  <w:tcBorders>
                    <w:tl2br w:val="nil"/>
                    <w:tr2bl w:val="nil"/>
                  </w:tcBorders>
                  <w:noWrap w:val="0"/>
                  <w:vAlign w:val="center"/>
                </w:tcPr>
                <w:p>
                  <w:pPr>
                    <w:adjustRightInd w:val="0"/>
                    <w:snapToGrid w:val="0"/>
                    <w:spacing w:line="360" w:lineRule="auto"/>
                    <w:jc w:val="center"/>
                    <w:rPr>
                      <w:szCs w:val="21"/>
                      <w:u w:val="none" w:color="auto"/>
                    </w:rPr>
                  </w:pPr>
                  <w:r>
                    <w:rPr>
                      <w:szCs w:val="21"/>
                      <w:u w:val="none" w:color="auto"/>
                    </w:rPr>
                    <w:t>2</w:t>
                  </w:r>
                </w:p>
              </w:tc>
              <w:tc>
                <w:tcPr>
                  <w:tcW w:w="2637" w:type="dxa"/>
                  <w:tcBorders>
                    <w:tl2br w:val="nil"/>
                    <w:tr2bl w:val="nil"/>
                  </w:tcBorders>
                  <w:noWrap w:val="0"/>
                  <w:vAlign w:val="center"/>
                </w:tcPr>
                <w:p>
                  <w:pPr>
                    <w:adjustRightInd w:val="0"/>
                    <w:snapToGrid w:val="0"/>
                    <w:spacing w:line="360" w:lineRule="auto"/>
                    <w:jc w:val="center"/>
                    <w:rPr>
                      <w:szCs w:val="21"/>
                      <w:u w:val="none" w:color="auto"/>
                    </w:rPr>
                  </w:pPr>
                  <w:r>
                    <w:rPr>
                      <w:szCs w:val="21"/>
                      <w:u w:val="none" w:color="auto"/>
                    </w:rPr>
                    <w:t>环境空气质量功能区</w:t>
                  </w:r>
                </w:p>
              </w:tc>
              <w:tc>
                <w:tcPr>
                  <w:tcW w:w="5479" w:type="dxa"/>
                  <w:tcBorders>
                    <w:tl2br w:val="nil"/>
                    <w:tr2bl w:val="nil"/>
                  </w:tcBorders>
                  <w:noWrap w:val="0"/>
                  <w:vAlign w:val="center"/>
                </w:tcPr>
                <w:p>
                  <w:pPr>
                    <w:adjustRightInd w:val="0"/>
                    <w:snapToGrid w:val="0"/>
                    <w:spacing w:line="360" w:lineRule="auto"/>
                    <w:jc w:val="center"/>
                    <w:rPr>
                      <w:szCs w:val="21"/>
                      <w:u w:val="none" w:color="auto"/>
                    </w:rPr>
                  </w:pPr>
                  <w:r>
                    <w:rPr>
                      <w:szCs w:val="21"/>
                      <w:u w:val="none" w:color="auto"/>
                    </w:rPr>
                    <w:t>执行《环境空气质量标准》（GB3095-2012）中的二级标准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 w:type="dxa"/>
                  <w:tcBorders>
                    <w:tl2br w:val="nil"/>
                    <w:tr2bl w:val="nil"/>
                  </w:tcBorders>
                  <w:noWrap w:val="0"/>
                  <w:vAlign w:val="center"/>
                </w:tcPr>
                <w:p>
                  <w:pPr>
                    <w:adjustRightInd w:val="0"/>
                    <w:snapToGrid w:val="0"/>
                    <w:spacing w:line="360" w:lineRule="auto"/>
                    <w:jc w:val="center"/>
                    <w:rPr>
                      <w:szCs w:val="21"/>
                      <w:u w:val="none" w:color="auto"/>
                    </w:rPr>
                  </w:pPr>
                  <w:r>
                    <w:rPr>
                      <w:szCs w:val="21"/>
                      <w:u w:val="none" w:color="auto"/>
                    </w:rPr>
                    <w:t>3</w:t>
                  </w:r>
                </w:p>
              </w:tc>
              <w:tc>
                <w:tcPr>
                  <w:tcW w:w="2637" w:type="dxa"/>
                  <w:tcBorders>
                    <w:tl2br w:val="nil"/>
                    <w:tr2bl w:val="nil"/>
                  </w:tcBorders>
                  <w:noWrap w:val="0"/>
                  <w:vAlign w:val="center"/>
                </w:tcPr>
                <w:p>
                  <w:pPr>
                    <w:adjustRightInd w:val="0"/>
                    <w:snapToGrid w:val="0"/>
                    <w:spacing w:line="360" w:lineRule="auto"/>
                    <w:jc w:val="center"/>
                    <w:rPr>
                      <w:szCs w:val="21"/>
                      <w:u w:val="none" w:color="auto"/>
                    </w:rPr>
                  </w:pPr>
                  <w:r>
                    <w:rPr>
                      <w:szCs w:val="21"/>
                      <w:u w:val="none" w:color="auto"/>
                    </w:rPr>
                    <w:t>声环境功能区</w:t>
                  </w:r>
                </w:p>
              </w:tc>
              <w:tc>
                <w:tcPr>
                  <w:tcW w:w="5479" w:type="dxa"/>
                  <w:tcBorders>
                    <w:tl2br w:val="nil"/>
                    <w:tr2bl w:val="nil"/>
                  </w:tcBorders>
                  <w:noWrap w:val="0"/>
                  <w:vAlign w:val="center"/>
                </w:tcPr>
                <w:p>
                  <w:pPr>
                    <w:adjustRightInd w:val="0"/>
                    <w:snapToGrid w:val="0"/>
                    <w:spacing w:line="360" w:lineRule="auto"/>
                    <w:jc w:val="center"/>
                    <w:rPr>
                      <w:szCs w:val="21"/>
                      <w:u w:val="none" w:color="auto"/>
                    </w:rPr>
                  </w:pPr>
                  <w:r>
                    <w:rPr>
                      <w:szCs w:val="21"/>
                      <w:u w:val="none" w:color="auto"/>
                    </w:rPr>
                    <w:t>执行《声环境质量标准》</w:t>
                  </w:r>
                </w:p>
                <w:p>
                  <w:pPr>
                    <w:adjustRightInd w:val="0"/>
                    <w:snapToGrid w:val="0"/>
                    <w:spacing w:line="360" w:lineRule="auto"/>
                    <w:jc w:val="center"/>
                    <w:rPr>
                      <w:szCs w:val="21"/>
                      <w:u w:val="none" w:color="auto"/>
                    </w:rPr>
                  </w:pPr>
                  <w:r>
                    <w:rPr>
                      <w:szCs w:val="21"/>
                      <w:u w:val="none" w:color="auto"/>
                    </w:rPr>
                    <w:t>（GB3096-2008）</w:t>
                  </w:r>
                  <w:r>
                    <w:rPr>
                      <w:rFonts w:hint="eastAsia"/>
                      <w:szCs w:val="21"/>
                      <w:u w:val="none" w:color="auto"/>
                      <w:lang w:val="en-US" w:eastAsia="zh-CN"/>
                    </w:rPr>
                    <w:t>3</w:t>
                  </w:r>
                  <w:r>
                    <w:rPr>
                      <w:szCs w:val="21"/>
                      <w:u w:val="none" w:color="auto"/>
                    </w:rPr>
                    <w:t>类环境噪声限值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 w:type="dxa"/>
                  <w:tcBorders>
                    <w:tl2br w:val="nil"/>
                    <w:tr2bl w:val="nil"/>
                  </w:tcBorders>
                  <w:noWrap w:val="0"/>
                  <w:vAlign w:val="center"/>
                </w:tcPr>
                <w:p>
                  <w:pPr>
                    <w:adjustRightInd w:val="0"/>
                    <w:snapToGrid w:val="0"/>
                    <w:spacing w:line="360" w:lineRule="auto"/>
                    <w:jc w:val="center"/>
                    <w:rPr>
                      <w:szCs w:val="21"/>
                      <w:u w:val="none" w:color="auto"/>
                    </w:rPr>
                  </w:pPr>
                  <w:r>
                    <w:rPr>
                      <w:szCs w:val="21"/>
                      <w:u w:val="none" w:color="auto"/>
                    </w:rPr>
                    <w:t>4</w:t>
                  </w:r>
                </w:p>
              </w:tc>
              <w:tc>
                <w:tcPr>
                  <w:tcW w:w="2637" w:type="dxa"/>
                  <w:tcBorders>
                    <w:tl2br w:val="nil"/>
                    <w:tr2bl w:val="nil"/>
                  </w:tcBorders>
                  <w:noWrap w:val="0"/>
                  <w:vAlign w:val="center"/>
                </w:tcPr>
                <w:p>
                  <w:pPr>
                    <w:adjustRightInd w:val="0"/>
                    <w:snapToGrid w:val="0"/>
                    <w:spacing w:line="360" w:lineRule="auto"/>
                    <w:jc w:val="center"/>
                    <w:rPr>
                      <w:szCs w:val="21"/>
                      <w:u w:val="none" w:color="auto"/>
                    </w:rPr>
                  </w:pPr>
                  <w:r>
                    <w:rPr>
                      <w:szCs w:val="21"/>
                      <w:u w:val="none" w:color="auto"/>
                    </w:rPr>
                    <w:t>是否基本农田保护区</w:t>
                  </w:r>
                </w:p>
              </w:tc>
              <w:tc>
                <w:tcPr>
                  <w:tcW w:w="5479" w:type="dxa"/>
                  <w:tcBorders>
                    <w:tl2br w:val="nil"/>
                    <w:tr2bl w:val="nil"/>
                  </w:tcBorders>
                  <w:noWrap w:val="0"/>
                  <w:vAlign w:val="center"/>
                </w:tcPr>
                <w:p>
                  <w:pPr>
                    <w:adjustRightInd w:val="0"/>
                    <w:snapToGrid w:val="0"/>
                    <w:spacing w:line="360" w:lineRule="auto"/>
                    <w:jc w:val="center"/>
                    <w:rPr>
                      <w:szCs w:val="21"/>
                      <w:u w:val="none" w:color="auto"/>
                    </w:rPr>
                  </w:pPr>
                  <w:r>
                    <w:rPr>
                      <w:szCs w:val="21"/>
                      <w:u w:val="none" w:color="auto"/>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 w:type="dxa"/>
                  <w:tcBorders>
                    <w:tl2br w:val="nil"/>
                    <w:tr2bl w:val="nil"/>
                  </w:tcBorders>
                  <w:noWrap w:val="0"/>
                  <w:vAlign w:val="center"/>
                </w:tcPr>
                <w:p>
                  <w:pPr>
                    <w:adjustRightInd w:val="0"/>
                    <w:snapToGrid w:val="0"/>
                    <w:spacing w:line="360" w:lineRule="auto"/>
                    <w:jc w:val="center"/>
                    <w:rPr>
                      <w:szCs w:val="21"/>
                      <w:u w:val="none" w:color="auto"/>
                    </w:rPr>
                  </w:pPr>
                  <w:r>
                    <w:rPr>
                      <w:szCs w:val="21"/>
                      <w:u w:val="none" w:color="auto"/>
                    </w:rPr>
                    <w:t>5</w:t>
                  </w:r>
                </w:p>
              </w:tc>
              <w:tc>
                <w:tcPr>
                  <w:tcW w:w="2637" w:type="dxa"/>
                  <w:tcBorders>
                    <w:tl2br w:val="nil"/>
                    <w:tr2bl w:val="nil"/>
                  </w:tcBorders>
                  <w:noWrap w:val="0"/>
                  <w:vAlign w:val="center"/>
                </w:tcPr>
                <w:p>
                  <w:pPr>
                    <w:adjustRightInd w:val="0"/>
                    <w:snapToGrid w:val="0"/>
                    <w:spacing w:line="360" w:lineRule="auto"/>
                    <w:jc w:val="center"/>
                    <w:rPr>
                      <w:szCs w:val="21"/>
                      <w:u w:val="none" w:color="auto"/>
                    </w:rPr>
                  </w:pPr>
                  <w:r>
                    <w:rPr>
                      <w:szCs w:val="21"/>
                      <w:u w:val="none" w:color="auto"/>
                    </w:rPr>
                    <w:t>是否森林公园</w:t>
                  </w:r>
                </w:p>
              </w:tc>
              <w:tc>
                <w:tcPr>
                  <w:tcW w:w="5479" w:type="dxa"/>
                  <w:tcBorders>
                    <w:tl2br w:val="nil"/>
                    <w:tr2bl w:val="nil"/>
                  </w:tcBorders>
                  <w:noWrap w:val="0"/>
                  <w:vAlign w:val="center"/>
                </w:tcPr>
                <w:p>
                  <w:pPr>
                    <w:adjustRightInd w:val="0"/>
                    <w:snapToGrid w:val="0"/>
                    <w:spacing w:line="360" w:lineRule="auto"/>
                    <w:jc w:val="center"/>
                    <w:rPr>
                      <w:szCs w:val="21"/>
                      <w:u w:val="none" w:color="auto"/>
                    </w:rPr>
                  </w:pPr>
                  <w:r>
                    <w:rPr>
                      <w:szCs w:val="21"/>
                      <w:u w:val="none" w:color="auto"/>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962" w:type="dxa"/>
                  <w:tcBorders>
                    <w:tl2br w:val="nil"/>
                    <w:tr2bl w:val="nil"/>
                  </w:tcBorders>
                  <w:noWrap w:val="0"/>
                  <w:vAlign w:val="center"/>
                </w:tcPr>
                <w:p>
                  <w:pPr>
                    <w:adjustRightInd w:val="0"/>
                    <w:snapToGrid w:val="0"/>
                    <w:spacing w:line="360" w:lineRule="auto"/>
                    <w:jc w:val="center"/>
                    <w:rPr>
                      <w:szCs w:val="21"/>
                      <w:u w:val="none" w:color="auto"/>
                    </w:rPr>
                  </w:pPr>
                  <w:r>
                    <w:rPr>
                      <w:szCs w:val="21"/>
                      <w:u w:val="none" w:color="auto"/>
                    </w:rPr>
                    <w:t>6</w:t>
                  </w:r>
                </w:p>
              </w:tc>
              <w:tc>
                <w:tcPr>
                  <w:tcW w:w="2637" w:type="dxa"/>
                  <w:tcBorders>
                    <w:tl2br w:val="nil"/>
                    <w:tr2bl w:val="nil"/>
                  </w:tcBorders>
                  <w:noWrap w:val="0"/>
                  <w:vAlign w:val="center"/>
                </w:tcPr>
                <w:p>
                  <w:pPr>
                    <w:adjustRightInd w:val="0"/>
                    <w:snapToGrid w:val="0"/>
                    <w:spacing w:line="360" w:lineRule="auto"/>
                    <w:jc w:val="center"/>
                    <w:rPr>
                      <w:szCs w:val="21"/>
                      <w:u w:val="none" w:color="auto"/>
                    </w:rPr>
                  </w:pPr>
                  <w:r>
                    <w:rPr>
                      <w:szCs w:val="21"/>
                      <w:u w:val="none" w:color="auto"/>
                    </w:rPr>
                    <w:t>是否生态功能保护区</w:t>
                  </w:r>
                </w:p>
              </w:tc>
              <w:tc>
                <w:tcPr>
                  <w:tcW w:w="5479" w:type="dxa"/>
                  <w:tcBorders>
                    <w:tl2br w:val="nil"/>
                    <w:tr2bl w:val="nil"/>
                  </w:tcBorders>
                  <w:noWrap w:val="0"/>
                  <w:vAlign w:val="center"/>
                </w:tcPr>
                <w:p>
                  <w:pPr>
                    <w:adjustRightInd w:val="0"/>
                    <w:snapToGrid w:val="0"/>
                    <w:spacing w:line="360" w:lineRule="auto"/>
                    <w:jc w:val="center"/>
                    <w:rPr>
                      <w:szCs w:val="21"/>
                      <w:u w:val="none" w:color="auto"/>
                    </w:rPr>
                  </w:pPr>
                  <w:r>
                    <w:rPr>
                      <w:szCs w:val="21"/>
                      <w:u w:val="none" w:color="auto"/>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 w:type="dxa"/>
                  <w:tcBorders>
                    <w:tl2br w:val="nil"/>
                    <w:tr2bl w:val="nil"/>
                  </w:tcBorders>
                  <w:noWrap w:val="0"/>
                  <w:vAlign w:val="center"/>
                </w:tcPr>
                <w:p>
                  <w:pPr>
                    <w:adjustRightInd w:val="0"/>
                    <w:snapToGrid w:val="0"/>
                    <w:spacing w:line="360" w:lineRule="auto"/>
                    <w:jc w:val="center"/>
                    <w:rPr>
                      <w:szCs w:val="21"/>
                      <w:u w:val="none" w:color="auto"/>
                    </w:rPr>
                  </w:pPr>
                  <w:r>
                    <w:rPr>
                      <w:szCs w:val="21"/>
                      <w:u w:val="none" w:color="auto"/>
                    </w:rPr>
                    <w:t>7</w:t>
                  </w:r>
                </w:p>
              </w:tc>
              <w:tc>
                <w:tcPr>
                  <w:tcW w:w="2637" w:type="dxa"/>
                  <w:tcBorders>
                    <w:tl2br w:val="nil"/>
                    <w:tr2bl w:val="nil"/>
                  </w:tcBorders>
                  <w:noWrap w:val="0"/>
                  <w:vAlign w:val="center"/>
                </w:tcPr>
                <w:p>
                  <w:pPr>
                    <w:adjustRightInd w:val="0"/>
                    <w:snapToGrid w:val="0"/>
                    <w:spacing w:line="360" w:lineRule="auto"/>
                    <w:jc w:val="center"/>
                    <w:rPr>
                      <w:szCs w:val="21"/>
                      <w:u w:val="none" w:color="auto"/>
                    </w:rPr>
                  </w:pPr>
                  <w:r>
                    <w:rPr>
                      <w:szCs w:val="21"/>
                      <w:u w:val="none" w:color="auto"/>
                    </w:rPr>
                    <w:t>是否水土流失重点防治区</w:t>
                  </w:r>
                </w:p>
              </w:tc>
              <w:tc>
                <w:tcPr>
                  <w:tcW w:w="5479" w:type="dxa"/>
                  <w:tcBorders>
                    <w:tl2br w:val="nil"/>
                    <w:tr2bl w:val="nil"/>
                  </w:tcBorders>
                  <w:noWrap w:val="0"/>
                  <w:vAlign w:val="center"/>
                </w:tcPr>
                <w:p>
                  <w:pPr>
                    <w:adjustRightInd w:val="0"/>
                    <w:snapToGrid w:val="0"/>
                    <w:spacing w:line="360" w:lineRule="auto"/>
                    <w:jc w:val="center"/>
                    <w:rPr>
                      <w:szCs w:val="21"/>
                      <w:u w:val="none" w:color="auto"/>
                    </w:rPr>
                  </w:pPr>
                  <w:r>
                    <w:rPr>
                      <w:szCs w:val="21"/>
                      <w:u w:val="none" w:color="auto"/>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962" w:type="dxa"/>
                  <w:tcBorders>
                    <w:tl2br w:val="nil"/>
                    <w:tr2bl w:val="nil"/>
                  </w:tcBorders>
                  <w:noWrap w:val="0"/>
                  <w:vAlign w:val="center"/>
                </w:tcPr>
                <w:p>
                  <w:pPr>
                    <w:adjustRightInd w:val="0"/>
                    <w:snapToGrid w:val="0"/>
                    <w:spacing w:line="360" w:lineRule="auto"/>
                    <w:jc w:val="center"/>
                    <w:rPr>
                      <w:szCs w:val="21"/>
                      <w:u w:val="none" w:color="auto"/>
                    </w:rPr>
                  </w:pPr>
                  <w:r>
                    <w:rPr>
                      <w:szCs w:val="21"/>
                      <w:u w:val="none" w:color="auto"/>
                    </w:rPr>
                    <w:t>8</w:t>
                  </w:r>
                </w:p>
              </w:tc>
              <w:tc>
                <w:tcPr>
                  <w:tcW w:w="2637" w:type="dxa"/>
                  <w:tcBorders>
                    <w:tl2br w:val="nil"/>
                    <w:tr2bl w:val="nil"/>
                  </w:tcBorders>
                  <w:noWrap w:val="0"/>
                  <w:vAlign w:val="center"/>
                </w:tcPr>
                <w:p>
                  <w:pPr>
                    <w:adjustRightInd w:val="0"/>
                    <w:snapToGrid w:val="0"/>
                    <w:spacing w:line="360" w:lineRule="auto"/>
                    <w:jc w:val="center"/>
                    <w:rPr>
                      <w:szCs w:val="21"/>
                      <w:u w:val="none" w:color="auto"/>
                    </w:rPr>
                  </w:pPr>
                  <w:r>
                    <w:rPr>
                      <w:szCs w:val="21"/>
                      <w:u w:val="none" w:color="auto"/>
                    </w:rPr>
                    <w:t>是否人口密集区</w:t>
                  </w:r>
                </w:p>
              </w:tc>
              <w:tc>
                <w:tcPr>
                  <w:tcW w:w="5479" w:type="dxa"/>
                  <w:tcBorders>
                    <w:tl2br w:val="nil"/>
                    <w:tr2bl w:val="nil"/>
                  </w:tcBorders>
                  <w:noWrap w:val="0"/>
                  <w:vAlign w:val="center"/>
                </w:tcPr>
                <w:p>
                  <w:pPr>
                    <w:adjustRightInd w:val="0"/>
                    <w:snapToGrid w:val="0"/>
                    <w:spacing w:line="360" w:lineRule="auto"/>
                    <w:jc w:val="center"/>
                    <w:rPr>
                      <w:szCs w:val="21"/>
                      <w:u w:val="none" w:color="auto"/>
                    </w:rPr>
                  </w:pPr>
                  <w:r>
                    <w:rPr>
                      <w:szCs w:val="21"/>
                      <w:u w:val="none" w:color="auto"/>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 w:type="dxa"/>
                  <w:tcBorders>
                    <w:tl2br w:val="nil"/>
                    <w:tr2bl w:val="nil"/>
                  </w:tcBorders>
                  <w:noWrap w:val="0"/>
                  <w:vAlign w:val="center"/>
                </w:tcPr>
                <w:p>
                  <w:pPr>
                    <w:adjustRightInd w:val="0"/>
                    <w:snapToGrid w:val="0"/>
                    <w:spacing w:line="360" w:lineRule="auto"/>
                    <w:jc w:val="center"/>
                    <w:rPr>
                      <w:szCs w:val="21"/>
                      <w:u w:val="none" w:color="auto"/>
                    </w:rPr>
                  </w:pPr>
                  <w:r>
                    <w:rPr>
                      <w:szCs w:val="21"/>
                      <w:u w:val="none" w:color="auto"/>
                    </w:rPr>
                    <w:t>9</w:t>
                  </w:r>
                </w:p>
              </w:tc>
              <w:tc>
                <w:tcPr>
                  <w:tcW w:w="2637" w:type="dxa"/>
                  <w:tcBorders>
                    <w:tl2br w:val="nil"/>
                    <w:tr2bl w:val="nil"/>
                  </w:tcBorders>
                  <w:noWrap w:val="0"/>
                  <w:vAlign w:val="center"/>
                </w:tcPr>
                <w:p>
                  <w:pPr>
                    <w:adjustRightInd w:val="0"/>
                    <w:snapToGrid w:val="0"/>
                    <w:spacing w:line="360" w:lineRule="auto"/>
                    <w:jc w:val="center"/>
                    <w:rPr>
                      <w:szCs w:val="21"/>
                      <w:u w:val="none" w:color="auto"/>
                    </w:rPr>
                  </w:pPr>
                  <w:r>
                    <w:rPr>
                      <w:szCs w:val="21"/>
                      <w:u w:val="none" w:color="auto"/>
                    </w:rPr>
                    <w:t>是否重点文物保护单位</w:t>
                  </w:r>
                </w:p>
              </w:tc>
              <w:tc>
                <w:tcPr>
                  <w:tcW w:w="5479" w:type="dxa"/>
                  <w:tcBorders>
                    <w:tl2br w:val="nil"/>
                    <w:tr2bl w:val="nil"/>
                  </w:tcBorders>
                  <w:noWrap w:val="0"/>
                  <w:vAlign w:val="center"/>
                </w:tcPr>
                <w:p>
                  <w:pPr>
                    <w:adjustRightInd w:val="0"/>
                    <w:snapToGrid w:val="0"/>
                    <w:spacing w:line="360" w:lineRule="auto"/>
                    <w:jc w:val="center"/>
                    <w:rPr>
                      <w:szCs w:val="21"/>
                      <w:u w:val="none" w:color="auto"/>
                    </w:rPr>
                  </w:pPr>
                  <w:r>
                    <w:rPr>
                      <w:szCs w:val="21"/>
                      <w:u w:val="none" w:color="auto"/>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 w:type="dxa"/>
                  <w:tcBorders>
                    <w:tl2br w:val="nil"/>
                    <w:tr2bl w:val="nil"/>
                  </w:tcBorders>
                  <w:noWrap w:val="0"/>
                  <w:vAlign w:val="center"/>
                </w:tcPr>
                <w:p>
                  <w:pPr>
                    <w:adjustRightInd w:val="0"/>
                    <w:snapToGrid w:val="0"/>
                    <w:spacing w:line="360" w:lineRule="auto"/>
                    <w:jc w:val="center"/>
                    <w:rPr>
                      <w:szCs w:val="21"/>
                      <w:u w:val="none" w:color="auto"/>
                    </w:rPr>
                  </w:pPr>
                  <w:r>
                    <w:rPr>
                      <w:szCs w:val="21"/>
                      <w:u w:val="none" w:color="auto"/>
                    </w:rPr>
                    <w:t>10</w:t>
                  </w:r>
                </w:p>
              </w:tc>
              <w:tc>
                <w:tcPr>
                  <w:tcW w:w="2637" w:type="dxa"/>
                  <w:tcBorders>
                    <w:tl2br w:val="nil"/>
                    <w:tr2bl w:val="nil"/>
                  </w:tcBorders>
                  <w:noWrap w:val="0"/>
                  <w:vAlign w:val="center"/>
                </w:tcPr>
                <w:p>
                  <w:pPr>
                    <w:adjustRightInd w:val="0"/>
                    <w:snapToGrid w:val="0"/>
                    <w:spacing w:line="360" w:lineRule="auto"/>
                    <w:jc w:val="center"/>
                    <w:rPr>
                      <w:szCs w:val="21"/>
                      <w:u w:val="none" w:color="auto"/>
                    </w:rPr>
                  </w:pPr>
                  <w:r>
                    <w:rPr>
                      <w:szCs w:val="21"/>
                      <w:u w:val="none" w:color="auto"/>
                    </w:rPr>
                    <w:t>是否三河、三湖、两控区</w:t>
                  </w:r>
                </w:p>
              </w:tc>
              <w:tc>
                <w:tcPr>
                  <w:tcW w:w="5479" w:type="dxa"/>
                  <w:tcBorders>
                    <w:tl2br w:val="nil"/>
                    <w:tr2bl w:val="nil"/>
                  </w:tcBorders>
                  <w:noWrap w:val="0"/>
                  <w:vAlign w:val="center"/>
                </w:tcPr>
                <w:p>
                  <w:pPr>
                    <w:adjustRightInd w:val="0"/>
                    <w:snapToGrid w:val="0"/>
                    <w:spacing w:line="360" w:lineRule="auto"/>
                    <w:jc w:val="center"/>
                    <w:rPr>
                      <w:rFonts w:hint="eastAsia" w:eastAsia="宋体"/>
                      <w:szCs w:val="21"/>
                      <w:u w:val="none" w:color="auto"/>
                      <w:lang w:eastAsia="zh-CN"/>
                    </w:rPr>
                  </w:pPr>
                  <w:r>
                    <w:rPr>
                      <w:rFonts w:hint="eastAsia"/>
                      <w:szCs w:val="21"/>
                      <w:u w:val="none" w:color="auto"/>
                      <w:lang w:eastAsia="zh-CN"/>
                    </w:rPr>
                    <w:t>两控区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2" w:type="dxa"/>
                  <w:tcBorders>
                    <w:tl2br w:val="nil"/>
                    <w:tr2bl w:val="nil"/>
                  </w:tcBorders>
                  <w:noWrap w:val="0"/>
                  <w:vAlign w:val="center"/>
                </w:tcPr>
                <w:p>
                  <w:pPr>
                    <w:adjustRightInd w:val="0"/>
                    <w:snapToGrid w:val="0"/>
                    <w:spacing w:line="360" w:lineRule="auto"/>
                    <w:jc w:val="center"/>
                    <w:rPr>
                      <w:szCs w:val="21"/>
                      <w:u w:val="none" w:color="auto"/>
                    </w:rPr>
                  </w:pPr>
                  <w:r>
                    <w:rPr>
                      <w:szCs w:val="21"/>
                      <w:u w:val="none" w:color="auto"/>
                    </w:rPr>
                    <w:t>11</w:t>
                  </w:r>
                </w:p>
              </w:tc>
              <w:tc>
                <w:tcPr>
                  <w:tcW w:w="2637" w:type="dxa"/>
                  <w:tcBorders>
                    <w:tl2br w:val="nil"/>
                    <w:tr2bl w:val="nil"/>
                  </w:tcBorders>
                  <w:noWrap w:val="0"/>
                  <w:vAlign w:val="center"/>
                </w:tcPr>
                <w:p>
                  <w:pPr>
                    <w:adjustRightInd w:val="0"/>
                    <w:snapToGrid w:val="0"/>
                    <w:spacing w:line="360" w:lineRule="auto"/>
                    <w:jc w:val="center"/>
                    <w:rPr>
                      <w:szCs w:val="21"/>
                      <w:u w:val="none" w:color="auto"/>
                    </w:rPr>
                  </w:pPr>
                  <w:r>
                    <w:rPr>
                      <w:szCs w:val="21"/>
                      <w:u w:val="none" w:color="auto"/>
                    </w:rPr>
                    <w:t>是否水库库区</w:t>
                  </w:r>
                </w:p>
              </w:tc>
              <w:tc>
                <w:tcPr>
                  <w:tcW w:w="5479" w:type="dxa"/>
                  <w:tcBorders>
                    <w:tl2br w:val="nil"/>
                    <w:tr2bl w:val="nil"/>
                  </w:tcBorders>
                  <w:noWrap w:val="0"/>
                  <w:vAlign w:val="center"/>
                </w:tcPr>
                <w:p>
                  <w:pPr>
                    <w:adjustRightInd w:val="0"/>
                    <w:snapToGrid w:val="0"/>
                    <w:spacing w:line="360" w:lineRule="auto"/>
                    <w:jc w:val="center"/>
                    <w:rPr>
                      <w:szCs w:val="21"/>
                      <w:u w:val="none" w:color="auto"/>
                    </w:rPr>
                  </w:pPr>
                  <w:r>
                    <w:rPr>
                      <w:szCs w:val="21"/>
                      <w:u w:val="none" w:color="auto"/>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 w:type="dxa"/>
                  <w:tcBorders>
                    <w:tl2br w:val="nil"/>
                    <w:tr2bl w:val="nil"/>
                  </w:tcBorders>
                  <w:noWrap w:val="0"/>
                  <w:vAlign w:val="center"/>
                </w:tcPr>
                <w:p>
                  <w:pPr>
                    <w:adjustRightInd w:val="0"/>
                    <w:snapToGrid w:val="0"/>
                    <w:spacing w:line="360" w:lineRule="auto"/>
                    <w:jc w:val="center"/>
                    <w:rPr>
                      <w:szCs w:val="21"/>
                      <w:u w:val="none" w:color="auto"/>
                    </w:rPr>
                  </w:pPr>
                  <w:r>
                    <w:rPr>
                      <w:szCs w:val="21"/>
                      <w:u w:val="none" w:color="auto"/>
                    </w:rPr>
                    <w:t>12</w:t>
                  </w:r>
                </w:p>
              </w:tc>
              <w:tc>
                <w:tcPr>
                  <w:tcW w:w="2637" w:type="dxa"/>
                  <w:tcBorders>
                    <w:tl2br w:val="nil"/>
                    <w:tr2bl w:val="nil"/>
                  </w:tcBorders>
                  <w:noWrap w:val="0"/>
                  <w:vAlign w:val="center"/>
                </w:tcPr>
                <w:p>
                  <w:pPr>
                    <w:adjustRightInd w:val="0"/>
                    <w:snapToGrid w:val="0"/>
                    <w:spacing w:line="360" w:lineRule="auto"/>
                    <w:jc w:val="center"/>
                    <w:rPr>
                      <w:szCs w:val="21"/>
                      <w:u w:val="none" w:color="auto"/>
                    </w:rPr>
                  </w:pPr>
                  <w:r>
                    <w:rPr>
                      <w:szCs w:val="21"/>
                      <w:u w:val="none" w:color="auto"/>
                    </w:rPr>
                    <w:t>是否污水处理厂集水范围</w:t>
                  </w:r>
                </w:p>
              </w:tc>
              <w:tc>
                <w:tcPr>
                  <w:tcW w:w="5479" w:type="dxa"/>
                  <w:tcBorders>
                    <w:tl2br w:val="nil"/>
                    <w:tr2bl w:val="nil"/>
                  </w:tcBorders>
                  <w:noWrap w:val="0"/>
                  <w:vAlign w:val="center"/>
                </w:tcPr>
                <w:p>
                  <w:pPr>
                    <w:adjustRightInd w:val="0"/>
                    <w:snapToGrid w:val="0"/>
                    <w:spacing w:line="360" w:lineRule="auto"/>
                    <w:jc w:val="center"/>
                    <w:rPr>
                      <w:rFonts w:hint="eastAsia" w:eastAsia="宋体"/>
                      <w:szCs w:val="21"/>
                      <w:u w:val="none" w:color="auto"/>
                      <w:lang w:eastAsia="zh-CN"/>
                    </w:rPr>
                  </w:pPr>
                  <w:r>
                    <w:rPr>
                      <w:rFonts w:hint="eastAsia"/>
                      <w:szCs w:val="21"/>
                      <w:u w:val="none" w:color="auto"/>
                      <w:lang w:eastAsia="zh-CN"/>
                    </w:rPr>
                    <w:t>是（</w:t>
                  </w:r>
                  <w:r>
                    <w:rPr>
                      <w:rFonts w:hint="eastAsia"/>
                      <w:szCs w:val="21"/>
                      <w:u w:val="none" w:color="auto"/>
                      <w:lang w:val="en-US" w:eastAsia="zh-CN"/>
                    </w:rPr>
                    <w:t>湘阴县第三污水处理厂</w:t>
                  </w:r>
                  <w:r>
                    <w:rPr>
                      <w:rFonts w:hint="eastAsia"/>
                      <w:szCs w:val="21"/>
                      <w:u w:val="none" w:color="auto"/>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962" w:type="dxa"/>
                  <w:tcBorders>
                    <w:tl2br w:val="nil"/>
                    <w:tr2bl w:val="nil"/>
                  </w:tcBorders>
                  <w:noWrap w:val="0"/>
                  <w:vAlign w:val="center"/>
                </w:tcPr>
                <w:p>
                  <w:pPr>
                    <w:adjustRightInd w:val="0"/>
                    <w:snapToGrid w:val="0"/>
                    <w:spacing w:line="360" w:lineRule="auto"/>
                    <w:jc w:val="center"/>
                    <w:rPr>
                      <w:szCs w:val="21"/>
                      <w:u w:val="none" w:color="auto"/>
                    </w:rPr>
                  </w:pPr>
                  <w:r>
                    <w:rPr>
                      <w:szCs w:val="21"/>
                      <w:u w:val="none" w:color="auto"/>
                    </w:rPr>
                    <w:t>13</w:t>
                  </w:r>
                </w:p>
              </w:tc>
              <w:tc>
                <w:tcPr>
                  <w:tcW w:w="2637" w:type="dxa"/>
                  <w:tcBorders>
                    <w:tl2br w:val="nil"/>
                    <w:tr2bl w:val="nil"/>
                  </w:tcBorders>
                  <w:noWrap w:val="0"/>
                  <w:vAlign w:val="center"/>
                </w:tcPr>
                <w:p>
                  <w:pPr>
                    <w:adjustRightInd w:val="0"/>
                    <w:snapToGrid w:val="0"/>
                    <w:spacing w:line="360" w:lineRule="auto"/>
                    <w:jc w:val="center"/>
                    <w:rPr>
                      <w:szCs w:val="21"/>
                      <w:u w:val="none" w:color="auto"/>
                    </w:rPr>
                  </w:pPr>
                  <w:r>
                    <w:rPr>
                      <w:szCs w:val="21"/>
                      <w:u w:val="none" w:color="auto"/>
                    </w:rPr>
                    <w:t>是否属于生态敏感与脆弱区</w:t>
                  </w:r>
                </w:p>
              </w:tc>
              <w:tc>
                <w:tcPr>
                  <w:tcW w:w="5479" w:type="dxa"/>
                  <w:tcBorders>
                    <w:tl2br w:val="nil"/>
                    <w:tr2bl w:val="nil"/>
                  </w:tcBorders>
                  <w:noWrap w:val="0"/>
                  <w:vAlign w:val="center"/>
                </w:tcPr>
                <w:p>
                  <w:pPr>
                    <w:adjustRightInd w:val="0"/>
                    <w:snapToGrid w:val="0"/>
                    <w:spacing w:line="360" w:lineRule="auto"/>
                    <w:jc w:val="center"/>
                    <w:rPr>
                      <w:szCs w:val="21"/>
                      <w:u w:val="none" w:color="auto"/>
                    </w:rPr>
                  </w:pPr>
                  <w:r>
                    <w:rPr>
                      <w:szCs w:val="21"/>
                      <w:u w:val="none" w:color="auto"/>
                    </w:rPr>
                    <w:t>否</w:t>
                  </w:r>
                </w:p>
              </w:tc>
            </w:tr>
          </w:tbl>
          <w:p>
            <w:pPr>
              <w:rPr>
                <w:u w:val="none" w:color="auto"/>
              </w:rPr>
            </w:pPr>
          </w:p>
        </w:tc>
      </w:tr>
    </w:tbl>
    <w:p>
      <w:pPr>
        <w:snapToGrid w:val="0"/>
        <w:textAlignment w:val="baseline"/>
        <w:outlineLvl w:val="0"/>
        <w:rPr>
          <w:rFonts w:eastAsia="黑体"/>
          <w:sz w:val="32"/>
          <w:u w:val="none" w:color="auto"/>
        </w:rPr>
      </w:pPr>
      <w:r>
        <w:rPr>
          <w:rFonts w:eastAsia="黑体"/>
          <w:sz w:val="32"/>
          <w:u w:val="none" w:color="auto"/>
        </w:rPr>
        <w:br w:type="page"/>
      </w:r>
      <w:bookmarkStart w:id="2" w:name="_Toc3926"/>
      <w:r>
        <w:rPr>
          <w:rFonts w:hint="eastAsia" w:eastAsia="黑体"/>
          <w:sz w:val="32"/>
          <w:u w:val="none" w:color="auto"/>
        </w:rPr>
        <w:t>三、</w:t>
      </w:r>
      <w:r>
        <w:rPr>
          <w:rFonts w:eastAsia="黑体"/>
          <w:sz w:val="32"/>
          <w:u w:val="none" w:color="auto"/>
        </w:rPr>
        <w:t>环境质量状况</w:t>
      </w:r>
      <w:bookmarkEnd w:id="2"/>
    </w:p>
    <w:tbl>
      <w:tblPr>
        <w:tblStyle w:val="40"/>
        <w:tblW w:w="92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1" w:hRule="atLeast"/>
          <w:jc w:val="center"/>
        </w:trPr>
        <w:tc>
          <w:tcPr>
            <w:tcW w:w="9268" w:type="dxa"/>
            <w:vAlign w:val="center"/>
          </w:tcPr>
          <w:p>
            <w:pPr>
              <w:snapToGrid w:val="0"/>
              <w:spacing w:before="162" w:beforeLines="50" w:line="360" w:lineRule="auto"/>
              <w:ind w:firstLine="466" w:firstLineChars="200"/>
              <w:rPr>
                <w:rFonts w:ascii="宋体" w:hAnsi="宋体"/>
                <w:b/>
                <w:bCs/>
                <w:sz w:val="24"/>
                <w:szCs w:val="24"/>
                <w:u w:val="none" w:color="auto"/>
              </w:rPr>
            </w:pPr>
            <w:r>
              <w:rPr>
                <w:rFonts w:hint="eastAsia" w:ascii="宋体" w:hAnsi="宋体"/>
                <w:b/>
                <w:bCs/>
                <w:sz w:val="24"/>
                <w:szCs w:val="24"/>
                <w:u w:val="none" w:color="auto"/>
              </w:rPr>
              <w:t>建设项目所在地区域环境质量现状及主要环境问题(环境空气、地</w:t>
            </w:r>
            <w:r>
              <w:rPr>
                <w:rFonts w:hint="eastAsia" w:ascii="宋体" w:hAnsi="宋体"/>
                <w:b/>
                <w:bCs/>
                <w:sz w:val="24"/>
                <w:szCs w:val="24"/>
                <w:u w:val="none" w:color="auto"/>
                <w:lang w:val="en-US" w:eastAsia="zh-CN"/>
              </w:rPr>
              <w:t>表</w:t>
            </w:r>
            <w:r>
              <w:rPr>
                <w:rFonts w:hint="eastAsia" w:ascii="宋体" w:hAnsi="宋体"/>
                <w:b/>
                <w:bCs/>
                <w:sz w:val="24"/>
                <w:szCs w:val="24"/>
                <w:u w:val="none" w:color="auto"/>
              </w:rPr>
              <w:t>水、声环境</w:t>
            </w:r>
            <w:r>
              <w:rPr>
                <w:rFonts w:hint="eastAsia" w:ascii="宋体" w:hAnsi="宋体"/>
                <w:b/>
                <w:bCs/>
                <w:sz w:val="24"/>
                <w:szCs w:val="24"/>
                <w:u w:val="none" w:color="auto"/>
                <w:lang w:eastAsia="zh-CN"/>
              </w:rPr>
              <w:t>、</w:t>
            </w:r>
            <w:r>
              <w:rPr>
                <w:rFonts w:hint="eastAsia" w:ascii="宋体" w:hAnsi="宋体"/>
                <w:b/>
                <w:bCs/>
                <w:sz w:val="24"/>
                <w:szCs w:val="24"/>
                <w:u w:val="none" w:color="auto"/>
                <w:lang w:val="en-US" w:eastAsia="zh-CN"/>
              </w:rPr>
              <w:t>地下水、土壤环境</w:t>
            </w:r>
            <w:r>
              <w:rPr>
                <w:rFonts w:hint="eastAsia" w:ascii="宋体" w:hAnsi="宋体"/>
                <w:b/>
                <w:bCs/>
                <w:sz w:val="24"/>
                <w:szCs w:val="24"/>
                <w:u w:val="none" w:color="auto"/>
              </w:rPr>
              <w:t>、生态环境等)：</w:t>
            </w:r>
          </w:p>
          <w:p>
            <w:pPr>
              <w:spacing w:line="360" w:lineRule="auto"/>
              <w:rPr>
                <w:rFonts w:hint="default"/>
                <w:u w:val="none" w:color="auto"/>
              </w:rPr>
            </w:pPr>
            <w:r>
              <w:rPr>
                <w:rFonts w:hint="default" w:ascii="Times New Roman" w:hAnsi="Times New Roman" w:cs="Times New Roman"/>
                <w:b/>
                <w:bCs/>
                <w:color w:val="auto"/>
                <w:sz w:val="24"/>
                <w:szCs w:val="24"/>
                <w:u w:val="none" w:color="auto"/>
              </w:rPr>
              <w:t>3.1</w:t>
            </w:r>
            <w:r>
              <w:rPr>
                <w:rFonts w:hint="eastAsia" w:cs="Times New Roman"/>
                <w:b/>
                <w:bCs/>
                <w:color w:val="auto"/>
                <w:sz w:val="24"/>
                <w:szCs w:val="24"/>
                <w:u w:val="none" w:color="auto"/>
                <w:lang w:eastAsia="zh-CN"/>
              </w:rPr>
              <w:t>、</w:t>
            </w:r>
            <w:r>
              <w:rPr>
                <w:rFonts w:hint="default" w:ascii="Times New Roman" w:hAnsi="Times New Roman" w:cs="Times New Roman"/>
                <w:b/>
                <w:bCs/>
                <w:color w:val="auto"/>
                <w:sz w:val="24"/>
                <w:szCs w:val="24"/>
                <w:u w:val="none" w:color="auto"/>
              </w:rPr>
              <w:t>环境空气质量现状</w:t>
            </w:r>
          </w:p>
          <w:p>
            <w:pPr>
              <w:pStyle w:val="181"/>
              <w:spacing w:before="124" w:line="360" w:lineRule="auto"/>
              <w:ind w:right="77" w:firstLine="466" w:firstLineChars="200"/>
              <w:jc w:val="left"/>
              <w:rPr>
                <w:rFonts w:hint="eastAsia" w:cs="Times New Roman"/>
                <w:color w:val="auto"/>
                <w:kern w:val="0"/>
                <w:sz w:val="24"/>
                <w:szCs w:val="24"/>
                <w:u w:val="none" w:color="auto"/>
                <w:lang w:val="en-US" w:eastAsia="zh-CN" w:bidi="ar-SA"/>
              </w:rPr>
            </w:pPr>
            <w:r>
              <w:rPr>
                <w:rFonts w:hint="default" w:ascii="Times New Roman" w:hAnsi="Times New Roman" w:cs="Times New Roman"/>
                <w:color w:val="auto"/>
                <w:sz w:val="24"/>
                <w:szCs w:val="24"/>
                <w:u w:val="none" w:color="auto"/>
              </w:rPr>
              <w:t>项目所在区域执行《环境空气质量标准》（GB3095-2012）的二级标准。</w:t>
            </w:r>
            <w:r>
              <w:rPr>
                <w:rFonts w:hint="default" w:ascii="Times New Roman" w:hAnsi="Times New Roman" w:eastAsia="宋体" w:cs="Times New Roman"/>
                <w:color w:val="auto"/>
                <w:kern w:val="0"/>
                <w:sz w:val="24"/>
                <w:szCs w:val="24"/>
                <w:u w:val="none" w:color="auto"/>
                <w:lang w:val="en-US" w:eastAsia="en-US" w:bidi="ar-SA"/>
              </w:rPr>
              <w:t>根据《环境影响评价技术导则-大气环境》（HJ2.2-2018）中“6.2.1.1 项目所在区域达标判定，优先采用国家或生态环境主管部门发布的平均基准年环境质量公告或环境质量报告中的数据或结论”，基本因子采用</w:t>
            </w:r>
            <w:r>
              <w:rPr>
                <w:rFonts w:hint="eastAsia" w:ascii="Times New Roman" w:hAnsi="Times New Roman" w:eastAsia="宋体" w:cs="Times New Roman"/>
                <w:color w:val="auto"/>
                <w:kern w:val="0"/>
                <w:sz w:val="24"/>
                <w:szCs w:val="24"/>
                <w:u w:val="none" w:color="auto"/>
                <w:lang w:val="en-US" w:eastAsia="zh-CN" w:bidi="ar-SA"/>
              </w:rPr>
              <w:t>湘阴县</w:t>
            </w:r>
            <w:r>
              <w:rPr>
                <w:rFonts w:hint="eastAsia" w:ascii="Times New Roman" w:hAnsi="Times New Roman" w:cs="Times New Roman"/>
                <w:color w:val="auto"/>
                <w:kern w:val="0"/>
                <w:sz w:val="24"/>
                <w:szCs w:val="24"/>
                <w:u w:val="none" w:color="auto"/>
                <w:lang w:val="en-US" w:eastAsia="zh-CN" w:bidi="ar-SA"/>
              </w:rPr>
              <w:t>生态环保部门</w:t>
            </w:r>
            <w:r>
              <w:rPr>
                <w:rFonts w:hint="default" w:ascii="Times New Roman" w:hAnsi="Times New Roman" w:eastAsia="宋体" w:cs="Times New Roman"/>
                <w:color w:val="auto"/>
                <w:kern w:val="0"/>
                <w:sz w:val="24"/>
                <w:szCs w:val="24"/>
                <w:u w:val="none" w:color="auto"/>
                <w:lang w:val="en-US" w:eastAsia="en-US" w:bidi="ar-SA"/>
              </w:rPr>
              <w:t>发布的</w:t>
            </w:r>
            <w:r>
              <w:rPr>
                <w:rFonts w:hint="eastAsia" w:ascii="Times New Roman" w:hAnsi="Times New Roman" w:eastAsia="宋体" w:cs="Times New Roman"/>
                <w:color w:val="auto"/>
                <w:kern w:val="0"/>
                <w:sz w:val="24"/>
                <w:szCs w:val="24"/>
                <w:u w:val="none" w:color="auto"/>
                <w:lang w:val="en-US" w:eastAsia="zh-CN" w:bidi="ar-SA"/>
              </w:rPr>
              <w:t>湘阴县</w:t>
            </w:r>
            <w:r>
              <w:rPr>
                <w:rFonts w:hint="default" w:ascii="Times New Roman" w:hAnsi="Times New Roman" w:eastAsia="宋体" w:cs="Times New Roman"/>
                <w:color w:val="auto"/>
                <w:kern w:val="0"/>
                <w:sz w:val="24"/>
                <w:szCs w:val="24"/>
                <w:u w:val="none" w:color="auto"/>
                <w:lang w:val="en-US" w:eastAsia="en-US" w:bidi="ar-SA"/>
              </w:rPr>
              <w:t>环境空气质量情况进行评价，</w:t>
            </w:r>
            <w:r>
              <w:rPr>
                <w:rFonts w:hint="eastAsia" w:cs="Times New Roman"/>
                <w:color w:val="auto"/>
                <w:kern w:val="0"/>
                <w:sz w:val="24"/>
                <w:szCs w:val="24"/>
                <w:u w:val="none" w:color="auto"/>
                <w:lang w:val="en-US" w:eastAsia="zh-CN" w:bidi="ar-SA"/>
              </w:rPr>
              <w:t xml:space="preserve">      </w:t>
            </w:r>
          </w:p>
          <w:p>
            <w:pPr>
              <w:pStyle w:val="174"/>
              <w:spacing w:line="360" w:lineRule="auto"/>
              <w:ind w:firstLine="466" w:firstLineChars="200"/>
              <w:rPr>
                <w:rFonts w:hint="eastAsia"/>
                <w:color w:val="auto"/>
                <w:sz w:val="24"/>
                <w:szCs w:val="24"/>
                <w:u w:val="none" w:color="auto"/>
              </w:rPr>
            </w:pPr>
            <w:r>
              <w:rPr>
                <w:rFonts w:hint="eastAsia"/>
                <w:color w:val="auto"/>
                <w:sz w:val="24"/>
                <w:szCs w:val="24"/>
                <w:u w:val="none" w:color="auto"/>
                <w:lang w:eastAsia="zh-CN"/>
              </w:rPr>
              <w:t>根据</w:t>
            </w:r>
            <w:r>
              <w:rPr>
                <w:rFonts w:hint="eastAsia"/>
                <w:color w:val="auto"/>
                <w:sz w:val="24"/>
                <w:szCs w:val="24"/>
                <w:u w:val="none" w:color="auto"/>
                <w:lang w:val="en-US" w:eastAsia="zh-CN"/>
              </w:rPr>
              <w:t>2018年湘阴县环境空气质量公告中湘阴县环境空气质量数据（如下表所示），湘阴县</w:t>
            </w:r>
            <w:r>
              <w:rPr>
                <w:rFonts w:hint="default"/>
                <w:color w:val="auto"/>
                <w:sz w:val="24"/>
                <w:szCs w:val="24"/>
                <w:u w:val="none" w:color="auto"/>
              </w:rPr>
              <w:t>PM</w:t>
            </w:r>
            <w:r>
              <w:rPr>
                <w:rFonts w:hint="default"/>
                <w:color w:val="auto"/>
                <w:sz w:val="24"/>
                <w:szCs w:val="24"/>
                <w:u w:val="none" w:color="auto"/>
                <w:vertAlign w:val="subscript"/>
              </w:rPr>
              <w:t>10</w:t>
            </w:r>
            <w:r>
              <w:rPr>
                <w:rFonts w:hint="eastAsia"/>
                <w:color w:val="auto"/>
                <w:sz w:val="24"/>
                <w:szCs w:val="24"/>
                <w:u w:val="none" w:color="auto"/>
                <w:lang w:eastAsia="zh-CN"/>
              </w:rPr>
              <w:t>、</w:t>
            </w:r>
            <w:r>
              <w:rPr>
                <w:rFonts w:hint="default"/>
                <w:color w:val="auto"/>
                <w:sz w:val="24"/>
                <w:szCs w:val="24"/>
                <w:u w:val="none" w:color="auto"/>
              </w:rPr>
              <w:t>SO</w:t>
            </w:r>
            <w:r>
              <w:rPr>
                <w:rFonts w:hint="default"/>
                <w:color w:val="auto"/>
                <w:sz w:val="24"/>
                <w:szCs w:val="24"/>
                <w:u w:val="none" w:color="auto"/>
                <w:vertAlign w:val="subscript"/>
              </w:rPr>
              <w:t>2</w:t>
            </w:r>
            <w:r>
              <w:rPr>
                <w:rFonts w:hint="eastAsia"/>
                <w:color w:val="auto"/>
                <w:sz w:val="24"/>
                <w:szCs w:val="24"/>
                <w:u w:val="none" w:color="auto"/>
                <w:lang w:eastAsia="zh-CN"/>
              </w:rPr>
              <w:t>、</w:t>
            </w:r>
            <w:r>
              <w:rPr>
                <w:rFonts w:hint="default"/>
                <w:color w:val="auto"/>
                <w:sz w:val="24"/>
                <w:szCs w:val="24"/>
                <w:u w:val="none" w:color="auto"/>
              </w:rPr>
              <w:t>NO</w:t>
            </w:r>
            <w:r>
              <w:rPr>
                <w:rFonts w:hint="default"/>
                <w:color w:val="auto"/>
                <w:sz w:val="24"/>
                <w:szCs w:val="24"/>
                <w:u w:val="none" w:color="auto"/>
                <w:vertAlign w:val="subscript"/>
              </w:rPr>
              <w:t>2</w:t>
            </w:r>
            <w:r>
              <w:rPr>
                <w:rFonts w:hint="eastAsia"/>
                <w:color w:val="auto"/>
                <w:sz w:val="24"/>
                <w:szCs w:val="24"/>
                <w:u w:val="none" w:color="auto"/>
                <w:lang w:eastAsia="zh-CN"/>
              </w:rPr>
              <w:t>年平均质量浓度和</w:t>
            </w:r>
            <w:r>
              <w:rPr>
                <w:rFonts w:hint="eastAsia"/>
                <w:color w:val="auto"/>
                <w:sz w:val="24"/>
                <w:szCs w:val="24"/>
                <w:u w:val="none" w:color="auto"/>
                <w:lang w:val="en-US" w:eastAsia="zh-CN"/>
              </w:rPr>
              <w:t>C</w:t>
            </w:r>
            <w:r>
              <w:rPr>
                <w:rFonts w:hint="default"/>
                <w:color w:val="auto"/>
                <w:sz w:val="24"/>
                <w:szCs w:val="24"/>
                <w:u w:val="none" w:color="auto"/>
              </w:rPr>
              <w:t>O</w:t>
            </w:r>
            <w:r>
              <w:rPr>
                <w:rFonts w:hint="eastAsia"/>
                <w:color w:val="auto"/>
                <w:sz w:val="24"/>
                <w:szCs w:val="24"/>
                <w:u w:val="none" w:color="auto"/>
                <w:lang w:val="en-US" w:eastAsia="zh-CN"/>
              </w:rPr>
              <w:t>95百分位数</w:t>
            </w:r>
            <w:r>
              <w:rPr>
                <w:rFonts w:hint="eastAsia"/>
                <w:color w:val="auto"/>
                <w:sz w:val="24"/>
                <w:szCs w:val="24"/>
                <w:u w:val="none" w:color="auto"/>
                <w:lang w:eastAsia="zh-CN"/>
              </w:rPr>
              <w:t>日平均质量浓度、</w:t>
            </w:r>
            <w:r>
              <w:rPr>
                <w:rFonts w:hint="default"/>
                <w:color w:val="auto"/>
                <w:sz w:val="24"/>
                <w:szCs w:val="24"/>
                <w:u w:val="none" w:color="auto"/>
              </w:rPr>
              <w:t>O</w:t>
            </w:r>
            <w:r>
              <w:rPr>
                <w:rFonts w:hint="eastAsia"/>
                <w:color w:val="auto"/>
                <w:sz w:val="24"/>
                <w:szCs w:val="24"/>
                <w:u w:val="none" w:color="auto"/>
                <w:vertAlign w:val="subscript"/>
                <w:lang w:val="en-US" w:eastAsia="zh-CN"/>
              </w:rPr>
              <w:t>3</w:t>
            </w:r>
            <w:r>
              <w:rPr>
                <w:rFonts w:hint="eastAsia"/>
                <w:color w:val="auto"/>
                <w:sz w:val="24"/>
                <w:szCs w:val="24"/>
                <w:u w:val="none" w:color="auto"/>
                <w:lang w:val="en-US" w:eastAsia="zh-CN"/>
              </w:rPr>
              <w:t>90百分位数</w:t>
            </w:r>
            <w:r>
              <w:rPr>
                <w:rFonts w:hint="eastAsia"/>
                <w:color w:val="auto"/>
                <w:sz w:val="24"/>
                <w:szCs w:val="24"/>
                <w:u w:val="none" w:color="auto"/>
                <w:lang w:eastAsia="zh-CN"/>
              </w:rPr>
              <w:t>最大</w:t>
            </w:r>
            <w:r>
              <w:rPr>
                <w:rFonts w:hint="eastAsia"/>
                <w:color w:val="auto"/>
                <w:sz w:val="24"/>
                <w:szCs w:val="24"/>
                <w:u w:val="none" w:color="auto"/>
                <w:lang w:val="en-US" w:eastAsia="zh-CN"/>
              </w:rPr>
              <w:t>8小时平均质量浓度</w:t>
            </w:r>
            <w:r>
              <w:rPr>
                <w:rFonts w:hint="eastAsia"/>
                <w:color w:val="auto"/>
                <w:sz w:val="24"/>
                <w:szCs w:val="24"/>
                <w:u w:val="none" w:color="auto"/>
                <w:lang w:eastAsia="zh-CN"/>
              </w:rPr>
              <w:t>可达到</w:t>
            </w:r>
            <w:r>
              <w:rPr>
                <w:color w:val="auto"/>
                <w:sz w:val="24"/>
                <w:szCs w:val="24"/>
                <w:u w:val="none" w:color="auto"/>
              </w:rPr>
              <w:t>《环境空气质量标准》（GB3095-2012）中二级标准。</w:t>
            </w:r>
            <w:r>
              <w:rPr>
                <w:rFonts w:hint="default"/>
                <w:color w:val="auto"/>
                <w:sz w:val="24"/>
                <w:szCs w:val="24"/>
                <w:u w:val="none" w:color="auto"/>
              </w:rPr>
              <w:t>PM</w:t>
            </w:r>
            <w:r>
              <w:rPr>
                <w:rFonts w:hint="eastAsia"/>
                <w:color w:val="auto"/>
                <w:sz w:val="24"/>
                <w:szCs w:val="24"/>
                <w:u w:val="none" w:color="auto"/>
                <w:vertAlign w:val="subscript"/>
                <w:lang w:val="en-US" w:eastAsia="zh-CN"/>
              </w:rPr>
              <w:t>2.5</w:t>
            </w:r>
            <w:r>
              <w:rPr>
                <w:rFonts w:hint="eastAsia"/>
                <w:color w:val="auto"/>
                <w:sz w:val="24"/>
                <w:szCs w:val="24"/>
                <w:u w:val="none" w:color="auto"/>
                <w:lang w:eastAsia="zh-CN"/>
              </w:rPr>
              <w:t>年平均质量浓度尚未达到</w:t>
            </w:r>
            <w:r>
              <w:rPr>
                <w:color w:val="auto"/>
                <w:sz w:val="24"/>
                <w:szCs w:val="24"/>
                <w:u w:val="none" w:color="auto"/>
              </w:rPr>
              <w:t>《环境空气质量标准》（GB3095-2012）中二级标准。</w:t>
            </w:r>
          </w:p>
          <w:p>
            <w:pPr>
              <w:pStyle w:val="188"/>
              <w:rPr>
                <w:rFonts w:hint="eastAsia"/>
                <w:color w:val="auto"/>
                <w:u w:val="none" w:color="auto"/>
                <w:lang w:val="en-US" w:eastAsia="zh-CN"/>
              </w:rPr>
            </w:pPr>
            <w:r>
              <w:rPr>
                <w:rFonts w:hint="default"/>
                <w:color w:val="auto"/>
                <w:u w:val="none" w:color="auto"/>
              </w:rPr>
              <w:t>表</w:t>
            </w:r>
            <w:r>
              <w:rPr>
                <w:rFonts w:hint="eastAsia"/>
                <w:color w:val="auto"/>
                <w:u w:val="none" w:color="auto"/>
                <w:lang w:val="en-US" w:eastAsia="zh-CN"/>
              </w:rPr>
              <w:t>3-1</w:t>
            </w:r>
            <w:r>
              <w:rPr>
                <w:rFonts w:hint="default"/>
                <w:color w:val="auto"/>
                <w:u w:val="none" w:color="auto"/>
              </w:rPr>
              <w:t xml:space="preserve">  </w:t>
            </w:r>
            <w:r>
              <w:rPr>
                <w:rFonts w:hint="eastAsia"/>
                <w:color w:val="auto"/>
                <w:u w:val="none" w:color="auto"/>
                <w:lang w:val="en-US" w:eastAsia="zh-CN"/>
              </w:rPr>
              <w:t>2018年</w:t>
            </w:r>
            <w:r>
              <w:rPr>
                <w:rFonts w:hint="eastAsia"/>
                <w:color w:val="auto"/>
                <w:u w:val="none" w:color="auto"/>
                <w:lang w:eastAsia="zh-CN"/>
              </w:rPr>
              <w:t>区域空气质量现状评价</w:t>
            </w:r>
            <w:r>
              <w:rPr>
                <w:rFonts w:hint="default"/>
                <w:color w:val="auto"/>
                <w:u w:val="none" w:color="auto"/>
                <w:lang w:val="en-US" w:eastAsia="zh-CN"/>
              </w:rPr>
              <w:t>表</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128"/>
              <w:gridCol w:w="1933"/>
              <w:gridCol w:w="1408"/>
              <w:gridCol w:w="1294"/>
              <w:gridCol w:w="1216"/>
              <w:gridCol w:w="12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76" w:type="dxa"/>
                  <w:tcBorders>
                    <w:tl2br w:val="nil"/>
                    <w:tr2bl w:val="nil"/>
                  </w:tcBorders>
                  <w:noWrap w:val="0"/>
                  <w:vAlign w:val="center"/>
                </w:tcPr>
                <w:p>
                  <w:pPr>
                    <w:pStyle w:val="186"/>
                    <w:spacing w:line="360" w:lineRule="auto"/>
                    <w:rPr>
                      <w:rFonts w:hint="eastAsia"/>
                      <w:color w:val="auto"/>
                      <w:sz w:val="22"/>
                      <w:szCs w:val="22"/>
                      <w:u w:val="none" w:color="auto"/>
                      <w:lang w:eastAsia="zh-CN"/>
                    </w:rPr>
                  </w:pPr>
                  <w:r>
                    <w:rPr>
                      <w:rFonts w:hint="eastAsia"/>
                      <w:color w:val="auto"/>
                      <w:sz w:val="22"/>
                      <w:szCs w:val="22"/>
                      <w:u w:val="none" w:color="auto"/>
                      <w:lang w:eastAsia="zh-CN"/>
                    </w:rPr>
                    <w:t>所在</w:t>
                  </w:r>
                </w:p>
                <w:p>
                  <w:pPr>
                    <w:pStyle w:val="186"/>
                    <w:spacing w:line="360" w:lineRule="auto"/>
                    <w:rPr>
                      <w:rFonts w:hint="eastAsia"/>
                      <w:color w:val="auto"/>
                      <w:sz w:val="22"/>
                      <w:szCs w:val="22"/>
                      <w:u w:val="none" w:color="auto"/>
                      <w:lang w:eastAsia="zh-CN"/>
                    </w:rPr>
                  </w:pPr>
                  <w:r>
                    <w:rPr>
                      <w:rFonts w:hint="eastAsia"/>
                      <w:color w:val="auto"/>
                      <w:sz w:val="22"/>
                      <w:szCs w:val="22"/>
                      <w:u w:val="none" w:color="auto"/>
                      <w:lang w:eastAsia="zh-CN"/>
                    </w:rPr>
                    <w:t>区域</w:t>
                  </w:r>
                </w:p>
              </w:tc>
              <w:tc>
                <w:tcPr>
                  <w:tcW w:w="1128"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监测</w:t>
                  </w:r>
                </w:p>
                <w:p>
                  <w:pPr>
                    <w:pStyle w:val="186"/>
                    <w:spacing w:line="360" w:lineRule="auto"/>
                    <w:rPr>
                      <w:rFonts w:hint="default"/>
                      <w:color w:val="auto"/>
                      <w:sz w:val="22"/>
                      <w:szCs w:val="22"/>
                      <w:u w:val="none" w:color="auto"/>
                    </w:rPr>
                  </w:pPr>
                  <w:r>
                    <w:rPr>
                      <w:rFonts w:hint="default"/>
                      <w:color w:val="auto"/>
                      <w:sz w:val="22"/>
                      <w:szCs w:val="22"/>
                      <w:u w:val="none" w:color="auto"/>
                    </w:rPr>
                    <w:t>项目</w:t>
                  </w:r>
                </w:p>
              </w:tc>
              <w:tc>
                <w:tcPr>
                  <w:tcW w:w="1933" w:type="dxa"/>
                  <w:tcBorders>
                    <w:tl2br w:val="nil"/>
                    <w:tr2bl w:val="nil"/>
                  </w:tcBorders>
                  <w:noWrap w:val="0"/>
                  <w:vAlign w:val="center"/>
                </w:tcPr>
                <w:p>
                  <w:pPr>
                    <w:pStyle w:val="186"/>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年评价指标</w:t>
                  </w:r>
                </w:p>
              </w:tc>
              <w:tc>
                <w:tcPr>
                  <w:tcW w:w="1408" w:type="dxa"/>
                  <w:tcBorders>
                    <w:tl2br w:val="nil"/>
                    <w:tr2bl w:val="nil"/>
                  </w:tcBorders>
                  <w:noWrap w:val="0"/>
                  <w:vAlign w:val="center"/>
                </w:tcPr>
                <w:p>
                  <w:pPr>
                    <w:pStyle w:val="186"/>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现状浓度（u</w:t>
                  </w:r>
                  <w:r>
                    <w:rPr>
                      <w:rFonts w:hint="default"/>
                      <w:color w:val="auto"/>
                      <w:sz w:val="22"/>
                      <w:szCs w:val="22"/>
                      <w:u w:val="none" w:color="auto"/>
                    </w:rPr>
                    <w:t>g/m</w:t>
                  </w:r>
                  <w:r>
                    <w:rPr>
                      <w:rFonts w:hint="default"/>
                      <w:color w:val="auto"/>
                      <w:sz w:val="22"/>
                      <w:szCs w:val="22"/>
                      <w:u w:val="none" w:color="auto"/>
                      <w:vertAlign w:val="superscript"/>
                    </w:rPr>
                    <w:t>3</w:t>
                  </w:r>
                  <w:r>
                    <w:rPr>
                      <w:rFonts w:hint="eastAsia"/>
                      <w:color w:val="auto"/>
                      <w:sz w:val="22"/>
                      <w:szCs w:val="22"/>
                      <w:u w:val="none" w:color="auto"/>
                      <w:lang w:val="en-US" w:eastAsia="zh-CN"/>
                    </w:rPr>
                    <w:t>）</w:t>
                  </w:r>
                </w:p>
              </w:tc>
              <w:tc>
                <w:tcPr>
                  <w:tcW w:w="1294"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标准值</w:t>
                  </w:r>
                  <w:r>
                    <w:rPr>
                      <w:rFonts w:hint="eastAsia"/>
                      <w:color w:val="auto"/>
                      <w:sz w:val="22"/>
                      <w:szCs w:val="22"/>
                      <w:u w:val="none" w:color="auto"/>
                      <w:lang w:val="en-US" w:eastAsia="zh-CN"/>
                    </w:rPr>
                    <w:t>（u</w:t>
                  </w:r>
                  <w:r>
                    <w:rPr>
                      <w:rFonts w:hint="default"/>
                      <w:color w:val="auto"/>
                      <w:sz w:val="22"/>
                      <w:szCs w:val="22"/>
                      <w:u w:val="none" w:color="auto"/>
                    </w:rPr>
                    <w:t>g/m</w:t>
                  </w:r>
                  <w:r>
                    <w:rPr>
                      <w:rFonts w:hint="default"/>
                      <w:color w:val="auto"/>
                      <w:sz w:val="22"/>
                      <w:szCs w:val="22"/>
                      <w:u w:val="none" w:color="auto"/>
                      <w:vertAlign w:val="superscript"/>
                    </w:rPr>
                    <w:t>3</w:t>
                  </w:r>
                  <w:r>
                    <w:rPr>
                      <w:rFonts w:hint="eastAsia"/>
                      <w:color w:val="auto"/>
                      <w:sz w:val="22"/>
                      <w:szCs w:val="22"/>
                      <w:u w:val="none" w:color="auto"/>
                      <w:lang w:val="en-US" w:eastAsia="zh-CN"/>
                    </w:rPr>
                    <w:t>）</w:t>
                  </w:r>
                </w:p>
              </w:tc>
              <w:tc>
                <w:tcPr>
                  <w:tcW w:w="1216" w:type="dxa"/>
                  <w:tcBorders>
                    <w:tl2br w:val="nil"/>
                    <w:tr2bl w:val="nil"/>
                  </w:tcBorders>
                  <w:noWrap w:val="0"/>
                  <w:vAlign w:val="center"/>
                </w:tcPr>
                <w:p>
                  <w:pPr>
                    <w:pStyle w:val="186"/>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超标倍数</w:t>
                  </w:r>
                </w:p>
              </w:tc>
              <w:tc>
                <w:tcPr>
                  <w:tcW w:w="1216"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是否达标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restart"/>
                  <w:tcBorders>
                    <w:tl2br w:val="nil"/>
                    <w:tr2bl w:val="nil"/>
                  </w:tcBorders>
                  <w:noWrap w:val="0"/>
                  <w:vAlign w:val="center"/>
                </w:tcPr>
                <w:p>
                  <w:pPr>
                    <w:pStyle w:val="186"/>
                    <w:spacing w:line="360" w:lineRule="auto"/>
                    <w:rPr>
                      <w:rFonts w:hint="eastAsia"/>
                      <w:color w:val="auto"/>
                      <w:sz w:val="22"/>
                      <w:szCs w:val="22"/>
                      <w:u w:val="none" w:color="auto"/>
                      <w:lang w:eastAsia="zh-CN"/>
                    </w:rPr>
                  </w:pPr>
                  <w:r>
                    <w:rPr>
                      <w:rFonts w:hint="eastAsia"/>
                      <w:color w:val="auto"/>
                      <w:sz w:val="22"/>
                      <w:szCs w:val="22"/>
                      <w:u w:val="none" w:color="auto"/>
                      <w:lang w:eastAsia="zh-CN"/>
                    </w:rPr>
                    <w:t>湘阴县</w:t>
                  </w:r>
                </w:p>
              </w:tc>
              <w:tc>
                <w:tcPr>
                  <w:tcW w:w="1128"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SO</w:t>
                  </w:r>
                  <w:r>
                    <w:rPr>
                      <w:rFonts w:hint="default"/>
                      <w:color w:val="auto"/>
                      <w:sz w:val="22"/>
                      <w:szCs w:val="22"/>
                      <w:u w:val="none" w:color="auto"/>
                      <w:vertAlign w:val="subscript"/>
                    </w:rPr>
                    <w:t>2</w:t>
                  </w:r>
                </w:p>
              </w:tc>
              <w:tc>
                <w:tcPr>
                  <w:tcW w:w="1933" w:type="dxa"/>
                  <w:tcBorders>
                    <w:tl2br w:val="nil"/>
                    <w:tr2bl w:val="nil"/>
                  </w:tcBorders>
                  <w:noWrap w:val="0"/>
                  <w:vAlign w:val="center"/>
                </w:tcPr>
                <w:p>
                  <w:pPr>
                    <w:pStyle w:val="186"/>
                    <w:spacing w:line="360" w:lineRule="auto"/>
                    <w:rPr>
                      <w:rFonts w:hint="eastAsia"/>
                      <w:color w:val="auto"/>
                      <w:sz w:val="22"/>
                      <w:szCs w:val="22"/>
                      <w:u w:val="none" w:color="auto"/>
                      <w:lang w:eastAsia="zh-CN"/>
                    </w:rPr>
                  </w:pPr>
                  <w:r>
                    <w:rPr>
                      <w:rFonts w:hint="eastAsia"/>
                      <w:color w:val="auto"/>
                      <w:sz w:val="22"/>
                      <w:szCs w:val="22"/>
                      <w:u w:val="none" w:color="auto"/>
                      <w:lang w:eastAsia="zh-CN"/>
                    </w:rPr>
                    <w:t>年平均质量浓度</w:t>
                  </w:r>
                </w:p>
              </w:tc>
              <w:tc>
                <w:tcPr>
                  <w:tcW w:w="1408" w:type="dxa"/>
                  <w:tcBorders>
                    <w:tl2br w:val="nil"/>
                    <w:tr2bl w:val="nil"/>
                  </w:tcBorders>
                  <w:noWrap w:val="0"/>
                  <w:vAlign w:val="center"/>
                </w:tcPr>
                <w:p>
                  <w:pPr>
                    <w:pStyle w:val="186"/>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8.09</w:t>
                  </w:r>
                </w:p>
              </w:tc>
              <w:tc>
                <w:tcPr>
                  <w:tcW w:w="1294" w:type="dxa"/>
                  <w:tcBorders>
                    <w:tl2br w:val="nil"/>
                    <w:tr2bl w:val="nil"/>
                  </w:tcBorders>
                  <w:noWrap w:val="0"/>
                  <w:vAlign w:val="center"/>
                </w:tcPr>
                <w:p>
                  <w:pPr>
                    <w:pStyle w:val="186"/>
                    <w:spacing w:line="360" w:lineRule="auto"/>
                    <w:rPr>
                      <w:rFonts w:hint="default" w:eastAsia="宋体"/>
                      <w:color w:val="auto"/>
                      <w:sz w:val="22"/>
                      <w:szCs w:val="22"/>
                      <w:u w:val="none" w:color="auto"/>
                      <w:lang w:val="en-US" w:eastAsia="zh-CN"/>
                    </w:rPr>
                  </w:pPr>
                  <w:r>
                    <w:rPr>
                      <w:rFonts w:hint="eastAsia"/>
                      <w:color w:val="auto"/>
                      <w:sz w:val="22"/>
                      <w:szCs w:val="22"/>
                      <w:u w:val="none" w:color="auto"/>
                      <w:lang w:val="en-US" w:eastAsia="zh-CN"/>
                    </w:rPr>
                    <w:t>60</w:t>
                  </w:r>
                </w:p>
              </w:tc>
              <w:tc>
                <w:tcPr>
                  <w:tcW w:w="1216" w:type="dxa"/>
                  <w:tcBorders>
                    <w:tl2br w:val="nil"/>
                    <w:tr2bl w:val="nil"/>
                  </w:tcBorders>
                  <w:noWrap w:val="0"/>
                  <w:vAlign w:val="center"/>
                </w:tcPr>
                <w:p>
                  <w:pPr>
                    <w:pStyle w:val="186"/>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16"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6"/>
                    <w:spacing w:line="360" w:lineRule="auto"/>
                    <w:rPr>
                      <w:rFonts w:hint="default"/>
                      <w:color w:val="auto"/>
                      <w:sz w:val="22"/>
                      <w:szCs w:val="22"/>
                      <w:u w:val="none" w:color="auto"/>
                    </w:rPr>
                  </w:pPr>
                </w:p>
              </w:tc>
              <w:tc>
                <w:tcPr>
                  <w:tcW w:w="1128"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NO</w:t>
                  </w:r>
                  <w:r>
                    <w:rPr>
                      <w:rFonts w:hint="default"/>
                      <w:color w:val="auto"/>
                      <w:sz w:val="22"/>
                      <w:szCs w:val="22"/>
                      <w:u w:val="none" w:color="auto"/>
                      <w:vertAlign w:val="subscript"/>
                    </w:rPr>
                    <w:t>2</w:t>
                  </w:r>
                </w:p>
              </w:tc>
              <w:tc>
                <w:tcPr>
                  <w:tcW w:w="1933" w:type="dxa"/>
                  <w:tcBorders>
                    <w:tl2br w:val="nil"/>
                    <w:tr2bl w:val="nil"/>
                  </w:tcBorders>
                  <w:noWrap w:val="0"/>
                  <w:vAlign w:val="center"/>
                </w:tcPr>
                <w:p>
                  <w:pPr>
                    <w:pStyle w:val="186"/>
                    <w:spacing w:line="360" w:lineRule="auto"/>
                    <w:rPr>
                      <w:rFonts w:hint="default"/>
                      <w:color w:val="auto"/>
                      <w:sz w:val="22"/>
                      <w:szCs w:val="22"/>
                      <w:u w:val="none" w:color="auto"/>
                    </w:rPr>
                  </w:pPr>
                  <w:r>
                    <w:rPr>
                      <w:rFonts w:hint="eastAsia"/>
                      <w:color w:val="auto"/>
                      <w:sz w:val="22"/>
                      <w:szCs w:val="22"/>
                      <w:u w:val="none" w:color="auto"/>
                      <w:lang w:eastAsia="zh-CN"/>
                    </w:rPr>
                    <w:t>年平均质量浓度</w:t>
                  </w:r>
                </w:p>
              </w:tc>
              <w:tc>
                <w:tcPr>
                  <w:tcW w:w="1408" w:type="dxa"/>
                  <w:tcBorders>
                    <w:tl2br w:val="nil"/>
                    <w:tr2bl w:val="nil"/>
                  </w:tcBorders>
                  <w:noWrap w:val="0"/>
                  <w:vAlign w:val="center"/>
                </w:tcPr>
                <w:p>
                  <w:pPr>
                    <w:pStyle w:val="186"/>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19.09</w:t>
                  </w:r>
                </w:p>
              </w:tc>
              <w:tc>
                <w:tcPr>
                  <w:tcW w:w="1294" w:type="dxa"/>
                  <w:tcBorders>
                    <w:tl2br w:val="nil"/>
                    <w:tr2bl w:val="nil"/>
                  </w:tcBorders>
                  <w:noWrap w:val="0"/>
                  <w:vAlign w:val="center"/>
                </w:tcPr>
                <w:p>
                  <w:pPr>
                    <w:pStyle w:val="186"/>
                    <w:spacing w:line="360" w:lineRule="auto"/>
                    <w:rPr>
                      <w:rFonts w:hint="default" w:eastAsia="宋体"/>
                      <w:color w:val="auto"/>
                      <w:sz w:val="22"/>
                      <w:szCs w:val="22"/>
                      <w:u w:val="none" w:color="auto"/>
                      <w:lang w:val="en-US" w:eastAsia="zh-CN"/>
                    </w:rPr>
                  </w:pPr>
                  <w:r>
                    <w:rPr>
                      <w:rFonts w:hint="eastAsia"/>
                      <w:color w:val="auto"/>
                      <w:sz w:val="22"/>
                      <w:szCs w:val="22"/>
                      <w:u w:val="none" w:color="auto"/>
                      <w:lang w:val="en-US" w:eastAsia="zh-CN"/>
                    </w:rPr>
                    <w:t>40</w:t>
                  </w:r>
                </w:p>
              </w:tc>
              <w:tc>
                <w:tcPr>
                  <w:tcW w:w="1216" w:type="dxa"/>
                  <w:tcBorders>
                    <w:tl2br w:val="nil"/>
                    <w:tr2bl w:val="nil"/>
                  </w:tcBorders>
                  <w:noWrap w:val="0"/>
                  <w:vAlign w:val="center"/>
                </w:tcPr>
                <w:p>
                  <w:pPr>
                    <w:pStyle w:val="186"/>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16"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6"/>
                    <w:spacing w:line="360" w:lineRule="auto"/>
                    <w:rPr>
                      <w:rFonts w:hint="default"/>
                      <w:color w:val="auto"/>
                      <w:sz w:val="22"/>
                      <w:szCs w:val="22"/>
                      <w:u w:val="none" w:color="auto"/>
                    </w:rPr>
                  </w:pPr>
                </w:p>
              </w:tc>
              <w:tc>
                <w:tcPr>
                  <w:tcW w:w="1128"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PM</w:t>
                  </w:r>
                  <w:r>
                    <w:rPr>
                      <w:rFonts w:hint="default"/>
                      <w:color w:val="auto"/>
                      <w:sz w:val="22"/>
                      <w:szCs w:val="22"/>
                      <w:u w:val="none" w:color="auto"/>
                      <w:vertAlign w:val="subscript"/>
                    </w:rPr>
                    <w:t>10</w:t>
                  </w:r>
                </w:p>
              </w:tc>
              <w:tc>
                <w:tcPr>
                  <w:tcW w:w="1933" w:type="dxa"/>
                  <w:tcBorders>
                    <w:tl2br w:val="nil"/>
                    <w:tr2bl w:val="nil"/>
                  </w:tcBorders>
                  <w:noWrap w:val="0"/>
                  <w:vAlign w:val="center"/>
                </w:tcPr>
                <w:p>
                  <w:pPr>
                    <w:pStyle w:val="186"/>
                    <w:spacing w:line="360" w:lineRule="auto"/>
                    <w:rPr>
                      <w:rFonts w:hint="default"/>
                      <w:color w:val="auto"/>
                      <w:sz w:val="22"/>
                      <w:szCs w:val="22"/>
                      <w:u w:val="none" w:color="auto"/>
                    </w:rPr>
                  </w:pPr>
                  <w:r>
                    <w:rPr>
                      <w:rFonts w:hint="eastAsia"/>
                      <w:color w:val="auto"/>
                      <w:sz w:val="22"/>
                      <w:szCs w:val="22"/>
                      <w:u w:val="none" w:color="auto"/>
                      <w:lang w:eastAsia="zh-CN"/>
                    </w:rPr>
                    <w:t>年平均质量浓度</w:t>
                  </w:r>
                </w:p>
              </w:tc>
              <w:tc>
                <w:tcPr>
                  <w:tcW w:w="1408" w:type="dxa"/>
                  <w:tcBorders>
                    <w:tl2br w:val="nil"/>
                    <w:tr2bl w:val="nil"/>
                  </w:tcBorders>
                  <w:noWrap w:val="0"/>
                  <w:vAlign w:val="center"/>
                </w:tcPr>
                <w:p>
                  <w:pPr>
                    <w:pStyle w:val="186"/>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55.54</w:t>
                  </w:r>
                </w:p>
              </w:tc>
              <w:tc>
                <w:tcPr>
                  <w:tcW w:w="1294" w:type="dxa"/>
                  <w:tcBorders>
                    <w:tl2br w:val="nil"/>
                    <w:tr2bl w:val="nil"/>
                  </w:tcBorders>
                  <w:noWrap w:val="0"/>
                  <w:vAlign w:val="center"/>
                </w:tcPr>
                <w:p>
                  <w:pPr>
                    <w:pStyle w:val="186"/>
                    <w:spacing w:line="360" w:lineRule="auto"/>
                    <w:rPr>
                      <w:rFonts w:hint="default" w:eastAsia="宋体"/>
                      <w:color w:val="auto"/>
                      <w:sz w:val="22"/>
                      <w:szCs w:val="22"/>
                      <w:u w:val="none" w:color="auto"/>
                      <w:lang w:val="en-US" w:eastAsia="zh-CN"/>
                    </w:rPr>
                  </w:pPr>
                  <w:r>
                    <w:rPr>
                      <w:rFonts w:hint="eastAsia"/>
                      <w:color w:val="auto"/>
                      <w:sz w:val="22"/>
                      <w:szCs w:val="22"/>
                      <w:u w:val="none" w:color="auto"/>
                      <w:lang w:val="en-US" w:eastAsia="zh-CN"/>
                    </w:rPr>
                    <w:t>70</w:t>
                  </w:r>
                </w:p>
              </w:tc>
              <w:tc>
                <w:tcPr>
                  <w:tcW w:w="1216" w:type="dxa"/>
                  <w:tcBorders>
                    <w:tl2br w:val="nil"/>
                    <w:tr2bl w:val="nil"/>
                  </w:tcBorders>
                  <w:noWrap w:val="0"/>
                  <w:vAlign w:val="center"/>
                </w:tcPr>
                <w:p>
                  <w:pPr>
                    <w:pStyle w:val="186"/>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16"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6"/>
                    <w:spacing w:line="360" w:lineRule="auto"/>
                    <w:rPr>
                      <w:rFonts w:hint="default"/>
                      <w:color w:val="auto"/>
                      <w:sz w:val="22"/>
                      <w:szCs w:val="22"/>
                      <w:u w:val="none" w:color="auto"/>
                    </w:rPr>
                  </w:pPr>
                </w:p>
              </w:tc>
              <w:tc>
                <w:tcPr>
                  <w:tcW w:w="1128" w:type="dxa"/>
                  <w:tcBorders>
                    <w:tl2br w:val="nil"/>
                    <w:tr2bl w:val="nil"/>
                  </w:tcBorders>
                  <w:noWrap w:val="0"/>
                  <w:vAlign w:val="center"/>
                </w:tcPr>
                <w:p>
                  <w:pPr>
                    <w:pStyle w:val="186"/>
                    <w:spacing w:line="360" w:lineRule="auto"/>
                    <w:rPr>
                      <w:rFonts w:hint="eastAsia"/>
                      <w:color w:val="auto"/>
                      <w:sz w:val="22"/>
                      <w:szCs w:val="22"/>
                      <w:u w:val="none" w:color="auto"/>
                      <w:lang w:val="en-US" w:eastAsia="zh-CN"/>
                    </w:rPr>
                  </w:pPr>
                  <w:r>
                    <w:rPr>
                      <w:rFonts w:hint="default"/>
                      <w:color w:val="auto"/>
                      <w:sz w:val="22"/>
                      <w:szCs w:val="22"/>
                      <w:u w:val="none" w:color="auto"/>
                    </w:rPr>
                    <w:t>PM</w:t>
                  </w:r>
                  <w:r>
                    <w:rPr>
                      <w:rFonts w:hint="eastAsia"/>
                      <w:color w:val="auto"/>
                      <w:sz w:val="22"/>
                      <w:szCs w:val="22"/>
                      <w:u w:val="none" w:color="auto"/>
                      <w:vertAlign w:val="subscript"/>
                      <w:lang w:val="en-US" w:eastAsia="zh-CN"/>
                    </w:rPr>
                    <w:t>2.5</w:t>
                  </w:r>
                </w:p>
              </w:tc>
              <w:tc>
                <w:tcPr>
                  <w:tcW w:w="1933" w:type="dxa"/>
                  <w:tcBorders>
                    <w:tl2br w:val="nil"/>
                    <w:tr2bl w:val="nil"/>
                  </w:tcBorders>
                  <w:noWrap w:val="0"/>
                  <w:vAlign w:val="center"/>
                </w:tcPr>
                <w:p>
                  <w:pPr>
                    <w:pStyle w:val="186"/>
                    <w:spacing w:line="360" w:lineRule="auto"/>
                    <w:rPr>
                      <w:rFonts w:hint="default"/>
                      <w:color w:val="auto"/>
                      <w:sz w:val="22"/>
                      <w:szCs w:val="22"/>
                      <w:u w:val="none" w:color="auto"/>
                    </w:rPr>
                  </w:pPr>
                  <w:r>
                    <w:rPr>
                      <w:rFonts w:hint="eastAsia"/>
                      <w:color w:val="auto"/>
                      <w:sz w:val="22"/>
                      <w:szCs w:val="22"/>
                      <w:u w:val="none" w:color="auto"/>
                      <w:lang w:eastAsia="zh-CN"/>
                    </w:rPr>
                    <w:t>年平均质量浓度</w:t>
                  </w:r>
                </w:p>
              </w:tc>
              <w:tc>
                <w:tcPr>
                  <w:tcW w:w="1408" w:type="dxa"/>
                  <w:tcBorders>
                    <w:tl2br w:val="nil"/>
                    <w:tr2bl w:val="nil"/>
                  </w:tcBorders>
                  <w:noWrap w:val="0"/>
                  <w:vAlign w:val="center"/>
                </w:tcPr>
                <w:p>
                  <w:pPr>
                    <w:pStyle w:val="186"/>
                    <w:spacing w:line="360" w:lineRule="auto"/>
                    <w:rPr>
                      <w:rFonts w:hint="default"/>
                      <w:b/>
                      <w:bCs/>
                      <w:color w:val="auto"/>
                      <w:sz w:val="22"/>
                      <w:szCs w:val="22"/>
                      <w:u w:val="none" w:color="auto"/>
                      <w:lang w:val="en-US" w:eastAsia="zh-CN"/>
                    </w:rPr>
                  </w:pPr>
                  <w:r>
                    <w:rPr>
                      <w:rFonts w:hint="eastAsia"/>
                      <w:b/>
                      <w:bCs/>
                      <w:color w:val="auto"/>
                      <w:sz w:val="22"/>
                      <w:szCs w:val="22"/>
                      <w:u w:val="none" w:color="auto"/>
                      <w:lang w:val="en-US" w:eastAsia="zh-CN"/>
                    </w:rPr>
                    <w:t>40.27</w:t>
                  </w:r>
                </w:p>
              </w:tc>
              <w:tc>
                <w:tcPr>
                  <w:tcW w:w="1294" w:type="dxa"/>
                  <w:tcBorders>
                    <w:tl2br w:val="nil"/>
                    <w:tr2bl w:val="nil"/>
                  </w:tcBorders>
                  <w:noWrap w:val="0"/>
                  <w:vAlign w:val="center"/>
                </w:tcPr>
                <w:p>
                  <w:pPr>
                    <w:pStyle w:val="186"/>
                    <w:spacing w:line="360" w:lineRule="auto"/>
                    <w:rPr>
                      <w:rFonts w:hint="default"/>
                      <w:b/>
                      <w:bCs/>
                      <w:color w:val="auto"/>
                      <w:sz w:val="22"/>
                      <w:szCs w:val="22"/>
                      <w:u w:val="none" w:color="auto"/>
                      <w:lang w:val="en-US" w:eastAsia="zh-CN"/>
                    </w:rPr>
                  </w:pPr>
                  <w:r>
                    <w:rPr>
                      <w:rFonts w:hint="eastAsia"/>
                      <w:b/>
                      <w:bCs/>
                      <w:color w:val="auto"/>
                      <w:sz w:val="22"/>
                      <w:szCs w:val="22"/>
                      <w:u w:val="none" w:color="auto"/>
                      <w:lang w:val="en-US" w:eastAsia="zh-CN"/>
                    </w:rPr>
                    <w:t>35</w:t>
                  </w:r>
                </w:p>
              </w:tc>
              <w:tc>
                <w:tcPr>
                  <w:tcW w:w="1216" w:type="dxa"/>
                  <w:tcBorders>
                    <w:tl2br w:val="nil"/>
                    <w:tr2bl w:val="nil"/>
                  </w:tcBorders>
                  <w:noWrap w:val="0"/>
                  <w:vAlign w:val="center"/>
                </w:tcPr>
                <w:p>
                  <w:pPr>
                    <w:pStyle w:val="186"/>
                    <w:spacing w:line="360" w:lineRule="auto"/>
                    <w:rPr>
                      <w:rFonts w:hint="default"/>
                      <w:b/>
                      <w:bCs/>
                      <w:color w:val="auto"/>
                      <w:sz w:val="22"/>
                      <w:szCs w:val="22"/>
                      <w:u w:val="none" w:color="auto"/>
                      <w:lang w:val="en-US" w:eastAsia="zh-CN"/>
                    </w:rPr>
                  </w:pPr>
                  <w:r>
                    <w:rPr>
                      <w:rFonts w:hint="eastAsia"/>
                      <w:b/>
                      <w:bCs/>
                      <w:color w:val="auto"/>
                      <w:sz w:val="22"/>
                      <w:szCs w:val="22"/>
                      <w:u w:val="none" w:color="auto"/>
                      <w:lang w:val="en-US" w:eastAsia="zh-CN"/>
                    </w:rPr>
                    <w:t>0.14</w:t>
                  </w:r>
                </w:p>
              </w:tc>
              <w:tc>
                <w:tcPr>
                  <w:tcW w:w="1216" w:type="dxa"/>
                  <w:tcBorders>
                    <w:tl2br w:val="nil"/>
                    <w:tr2bl w:val="nil"/>
                  </w:tcBorders>
                  <w:noWrap w:val="0"/>
                  <w:vAlign w:val="center"/>
                </w:tcPr>
                <w:p>
                  <w:pPr>
                    <w:pStyle w:val="186"/>
                    <w:spacing w:line="360" w:lineRule="auto"/>
                    <w:rPr>
                      <w:rFonts w:hint="default"/>
                      <w:b/>
                      <w:bCs/>
                      <w:color w:val="auto"/>
                      <w:sz w:val="22"/>
                      <w:szCs w:val="22"/>
                      <w:u w:val="none" w:color="auto"/>
                    </w:rPr>
                  </w:pPr>
                  <w:r>
                    <w:rPr>
                      <w:rFonts w:hint="eastAsia"/>
                      <w:b/>
                      <w:bCs/>
                      <w:color w:val="auto"/>
                      <w:sz w:val="22"/>
                      <w:szCs w:val="22"/>
                      <w:u w:val="none" w:color="auto"/>
                      <w:lang w:eastAsia="zh-CN"/>
                    </w:rPr>
                    <w:t>不</w:t>
                  </w:r>
                  <w:r>
                    <w:rPr>
                      <w:rFonts w:hint="default"/>
                      <w:b/>
                      <w:bCs/>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6"/>
                    <w:spacing w:line="360" w:lineRule="auto"/>
                    <w:rPr>
                      <w:rFonts w:hint="default"/>
                      <w:color w:val="auto"/>
                      <w:sz w:val="22"/>
                      <w:szCs w:val="22"/>
                      <w:u w:val="none" w:color="auto"/>
                    </w:rPr>
                  </w:pPr>
                </w:p>
              </w:tc>
              <w:tc>
                <w:tcPr>
                  <w:tcW w:w="1128" w:type="dxa"/>
                  <w:tcBorders>
                    <w:tl2br w:val="nil"/>
                    <w:tr2bl w:val="nil"/>
                  </w:tcBorders>
                  <w:noWrap w:val="0"/>
                  <w:vAlign w:val="center"/>
                </w:tcPr>
                <w:p>
                  <w:pPr>
                    <w:pStyle w:val="186"/>
                    <w:spacing w:line="360" w:lineRule="auto"/>
                    <w:rPr>
                      <w:rFonts w:hint="default"/>
                      <w:color w:val="auto"/>
                      <w:sz w:val="22"/>
                      <w:szCs w:val="22"/>
                      <w:u w:val="none" w:color="auto"/>
                    </w:rPr>
                  </w:pPr>
                  <w:r>
                    <w:rPr>
                      <w:rFonts w:hint="eastAsia"/>
                      <w:color w:val="auto"/>
                      <w:sz w:val="22"/>
                      <w:szCs w:val="22"/>
                      <w:u w:val="none" w:color="auto"/>
                      <w:lang w:val="en-US" w:eastAsia="zh-CN"/>
                    </w:rPr>
                    <w:t>C</w:t>
                  </w:r>
                  <w:r>
                    <w:rPr>
                      <w:rFonts w:hint="default"/>
                      <w:color w:val="auto"/>
                      <w:sz w:val="22"/>
                      <w:szCs w:val="22"/>
                      <w:u w:val="none" w:color="auto"/>
                    </w:rPr>
                    <w:t>O</w:t>
                  </w:r>
                </w:p>
              </w:tc>
              <w:tc>
                <w:tcPr>
                  <w:tcW w:w="1933" w:type="dxa"/>
                  <w:tcBorders>
                    <w:tl2br w:val="nil"/>
                    <w:tr2bl w:val="nil"/>
                  </w:tcBorders>
                  <w:noWrap w:val="0"/>
                  <w:vAlign w:val="center"/>
                </w:tcPr>
                <w:p>
                  <w:pPr>
                    <w:pStyle w:val="186"/>
                    <w:spacing w:line="360" w:lineRule="auto"/>
                    <w:rPr>
                      <w:rFonts w:hint="eastAsia"/>
                      <w:color w:val="auto"/>
                      <w:sz w:val="22"/>
                      <w:szCs w:val="22"/>
                      <w:u w:val="none" w:color="auto"/>
                      <w:lang w:eastAsia="zh-CN"/>
                    </w:rPr>
                  </w:pPr>
                  <w:r>
                    <w:rPr>
                      <w:rFonts w:hint="eastAsia"/>
                      <w:color w:val="auto"/>
                      <w:sz w:val="22"/>
                      <w:szCs w:val="22"/>
                      <w:u w:val="none" w:color="auto"/>
                      <w:lang w:val="en-US" w:eastAsia="zh-CN"/>
                    </w:rPr>
                    <w:t>95百分位数</w:t>
                  </w:r>
                  <w:r>
                    <w:rPr>
                      <w:rFonts w:hint="eastAsia"/>
                      <w:color w:val="auto"/>
                      <w:sz w:val="22"/>
                      <w:szCs w:val="22"/>
                      <w:u w:val="none" w:color="auto"/>
                      <w:lang w:eastAsia="zh-CN"/>
                    </w:rPr>
                    <w:t>日平均质量浓度</w:t>
                  </w:r>
                </w:p>
              </w:tc>
              <w:tc>
                <w:tcPr>
                  <w:tcW w:w="1408" w:type="dxa"/>
                  <w:tcBorders>
                    <w:tl2br w:val="nil"/>
                    <w:tr2bl w:val="nil"/>
                  </w:tcBorders>
                  <w:noWrap w:val="0"/>
                  <w:vAlign w:val="center"/>
                </w:tcPr>
                <w:p>
                  <w:pPr>
                    <w:pStyle w:val="186"/>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0.93</w:t>
                  </w:r>
                </w:p>
              </w:tc>
              <w:tc>
                <w:tcPr>
                  <w:tcW w:w="1294" w:type="dxa"/>
                  <w:tcBorders>
                    <w:tl2br w:val="nil"/>
                    <w:tr2bl w:val="nil"/>
                  </w:tcBorders>
                  <w:noWrap w:val="0"/>
                  <w:vAlign w:val="center"/>
                </w:tcPr>
                <w:p>
                  <w:pPr>
                    <w:pStyle w:val="186"/>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4000</w:t>
                  </w:r>
                </w:p>
              </w:tc>
              <w:tc>
                <w:tcPr>
                  <w:tcW w:w="1216" w:type="dxa"/>
                  <w:tcBorders>
                    <w:tl2br w:val="nil"/>
                    <w:tr2bl w:val="nil"/>
                  </w:tcBorders>
                  <w:noWrap w:val="0"/>
                  <w:vAlign w:val="center"/>
                </w:tcPr>
                <w:p>
                  <w:pPr>
                    <w:pStyle w:val="186"/>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16"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6"/>
                    <w:spacing w:line="360" w:lineRule="auto"/>
                    <w:rPr>
                      <w:rFonts w:hint="default"/>
                      <w:color w:val="auto"/>
                      <w:sz w:val="22"/>
                      <w:szCs w:val="22"/>
                      <w:u w:val="none" w:color="auto"/>
                    </w:rPr>
                  </w:pPr>
                </w:p>
              </w:tc>
              <w:tc>
                <w:tcPr>
                  <w:tcW w:w="1128" w:type="dxa"/>
                  <w:tcBorders>
                    <w:tl2br w:val="nil"/>
                    <w:tr2bl w:val="nil"/>
                  </w:tcBorders>
                  <w:noWrap w:val="0"/>
                  <w:vAlign w:val="center"/>
                </w:tcPr>
                <w:p>
                  <w:pPr>
                    <w:pStyle w:val="186"/>
                    <w:spacing w:line="360" w:lineRule="auto"/>
                    <w:rPr>
                      <w:rFonts w:hint="eastAsia"/>
                      <w:color w:val="auto"/>
                      <w:sz w:val="22"/>
                      <w:szCs w:val="22"/>
                      <w:u w:val="none" w:color="auto"/>
                      <w:lang w:eastAsia="zh-CN"/>
                    </w:rPr>
                  </w:pPr>
                  <w:r>
                    <w:rPr>
                      <w:rFonts w:hint="default"/>
                      <w:color w:val="auto"/>
                      <w:sz w:val="22"/>
                      <w:szCs w:val="22"/>
                      <w:u w:val="none" w:color="auto"/>
                    </w:rPr>
                    <w:t>O</w:t>
                  </w:r>
                  <w:r>
                    <w:rPr>
                      <w:rFonts w:hint="eastAsia"/>
                      <w:color w:val="auto"/>
                      <w:sz w:val="22"/>
                      <w:szCs w:val="22"/>
                      <w:u w:val="none" w:color="auto"/>
                      <w:vertAlign w:val="subscript"/>
                      <w:lang w:val="en-US" w:eastAsia="zh-CN"/>
                    </w:rPr>
                    <w:t>3</w:t>
                  </w:r>
                </w:p>
              </w:tc>
              <w:tc>
                <w:tcPr>
                  <w:tcW w:w="1933" w:type="dxa"/>
                  <w:tcBorders>
                    <w:tl2br w:val="nil"/>
                    <w:tr2bl w:val="nil"/>
                  </w:tcBorders>
                  <w:noWrap w:val="0"/>
                  <w:vAlign w:val="center"/>
                </w:tcPr>
                <w:p>
                  <w:pPr>
                    <w:pStyle w:val="186"/>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90百分位数</w:t>
                  </w:r>
                  <w:r>
                    <w:rPr>
                      <w:rFonts w:hint="eastAsia"/>
                      <w:color w:val="auto"/>
                      <w:sz w:val="22"/>
                      <w:szCs w:val="22"/>
                      <w:u w:val="none" w:color="auto"/>
                      <w:lang w:eastAsia="zh-CN"/>
                    </w:rPr>
                    <w:t>最大</w:t>
                  </w:r>
                  <w:r>
                    <w:rPr>
                      <w:rFonts w:hint="eastAsia"/>
                      <w:color w:val="auto"/>
                      <w:sz w:val="22"/>
                      <w:szCs w:val="22"/>
                      <w:u w:val="none" w:color="auto"/>
                      <w:lang w:val="en-US" w:eastAsia="zh-CN"/>
                    </w:rPr>
                    <w:t>8小时平均质量浓度</w:t>
                  </w:r>
                </w:p>
              </w:tc>
              <w:tc>
                <w:tcPr>
                  <w:tcW w:w="1408" w:type="dxa"/>
                  <w:tcBorders>
                    <w:tl2br w:val="nil"/>
                    <w:tr2bl w:val="nil"/>
                  </w:tcBorders>
                  <w:noWrap w:val="0"/>
                  <w:vAlign w:val="center"/>
                </w:tcPr>
                <w:p>
                  <w:pPr>
                    <w:pStyle w:val="186"/>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89.18</w:t>
                  </w:r>
                </w:p>
              </w:tc>
              <w:tc>
                <w:tcPr>
                  <w:tcW w:w="1294" w:type="dxa"/>
                  <w:tcBorders>
                    <w:tl2br w:val="nil"/>
                    <w:tr2bl w:val="nil"/>
                  </w:tcBorders>
                  <w:noWrap w:val="0"/>
                  <w:vAlign w:val="center"/>
                </w:tcPr>
                <w:p>
                  <w:pPr>
                    <w:pStyle w:val="186"/>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160</w:t>
                  </w:r>
                </w:p>
              </w:tc>
              <w:tc>
                <w:tcPr>
                  <w:tcW w:w="1216" w:type="dxa"/>
                  <w:tcBorders>
                    <w:tl2br w:val="nil"/>
                    <w:tr2bl w:val="nil"/>
                  </w:tcBorders>
                  <w:noWrap w:val="0"/>
                  <w:vAlign w:val="center"/>
                </w:tcPr>
                <w:p>
                  <w:pPr>
                    <w:pStyle w:val="186"/>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16"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达标</w:t>
                  </w:r>
                </w:p>
              </w:tc>
            </w:tr>
          </w:tbl>
          <w:p>
            <w:pPr>
              <w:pStyle w:val="174"/>
              <w:spacing w:line="360" w:lineRule="auto"/>
              <w:ind w:firstLine="466" w:firstLineChars="200"/>
              <w:rPr>
                <w:rFonts w:hint="eastAsia"/>
                <w:color w:val="auto"/>
                <w:sz w:val="24"/>
                <w:szCs w:val="24"/>
                <w:u w:val="none" w:color="auto"/>
              </w:rPr>
            </w:pPr>
            <w:r>
              <w:rPr>
                <w:rFonts w:hint="eastAsia"/>
                <w:color w:val="auto"/>
                <w:sz w:val="24"/>
                <w:szCs w:val="24"/>
                <w:u w:val="none" w:color="auto"/>
                <w:lang w:eastAsia="zh-CN"/>
              </w:rPr>
              <w:t>根据</w:t>
            </w:r>
            <w:r>
              <w:rPr>
                <w:rFonts w:hint="eastAsia"/>
                <w:color w:val="auto"/>
                <w:sz w:val="24"/>
                <w:szCs w:val="24"/>
                <w:u w:val="none" w:color="auto"/>
                <w:lang w:val="en-US" w:eastAsia="zh-CN"/>
              </w:rPr>
              <w:t>2019年湘阴县环境空气质量公告中湘阴县环境空气质量数据（如下表所示），湘阴县</w:t>
            </w:r>
            <w:r>
              <w:rPr>
                <w:rFonts w:hint="default"/>
                <w:color w:val="auto"/>
                <w:sz w:val="24"/>
                <w:szCs w:val="24"/>
                <w:u w:val="none" w:color="auto"/>
              </w:rPr>
              <w:t>PM</w:t>
            </w:r>
            <w:r>
              <w:rPr>
                <w:rFonts w:hint="default"/>
                <w:color w:val="auto"/>
                <w:sz w:val="24"/>
                <w:szCs w:val="24"/>
                <w:u w:val="none" w:color="auto"/>
                <w:vertAlign w:val="subscript"/>
              </w:rPr>
              <w:t>10</w:t>
            </w:r>
            <w:r>
              <w:rPr>
                <w:rFonts w:hint="eastAsia"/>
                <w:color w:val="auto"/>
                <w:sz w:val="24"/>
                <w:szCs w:val="24"/>
                <w:u w:val="none" w:color="auto"/>
                <w:lang w:eastAsia="zh-CN"/>
              </w:rPr>
              <w:t>、</w:t>
            </w:r>
            <w:r>
              <w:rPr>
                <w:rFonts w:hint="default"/>
                <w:color w:val="auto"/>
                <w:sz w:val="24"/>
                <w:szCs w:val="24"/>
                <w:u w:val="none" w:color="auto"/>
              </w:rPr>
              <w:t>SO</w:t>
            </w:r>
            <w:r>
              <w:rPr>
                <w:rFonts w:hint="default"/>
                <w:color w:val="auto"/>
                <w:sz w:val="24"/>
                <w:szCs w:val="24"/>
                <w:u w:val="none" w:color="auto"/>
                <w:vertAlign w:val="subscript"/>
              </w:rPr>
              <w:t>2</w:t>
            </w:r>
            <w:r>
              <w:rPr>
                <w:rFonts w:hint="eastAsia"/>
                <w:color w:val="auto"/>
                <w:sz w:val="24"/>
                <w:szCs w:val="24"/>
                <w:u w:val="none" w:color="auto"/>
                <w:lang w:eastAsia="zh-CN"/>
              </w:rPr>
              <w:t>、</w:t>
            </w:r>
            <w:r>
              <w:rPr>
                <w:rFonts w:hint="default"/>
                <w:color w:val="auto"/>
                <w:sz w:val="24"/>
                <w:szCs w:val="24"/>
                <w:u w:val="none" w:color="auto"/>
              </w:rPr>
              <w:t>NO</w:t>
            </w:r>
            <w:r>
              <w:rPr>
                <w:rFonts w:hint="default"/>
                <w:color w:val="auto"/>
                <w:sz w:val="24"/>
                <w:szCs w:val="24"/>
                <w:u w:val="none" w:color="auto"/>
                <w:vertAlign w:val="subscript"/>
              </w:rPr>
              <w:t>2</w:t>
            </w:r>
            <w:r>
              <w:rPr>
                <w:rFonts w:hint="eastAsia"/>
                <w:color w:val="auto"/>
                <w:sz w:val="24"/>
                <w:szCs w:val="24"/>
                <w:u w:val="none" w:color="auto"/>
                <w:lang w:eastAsia="zh-CN"/>
              </w:rPr>
              <w:t>年平均质量浓度和</w:t>
            </w:r>
            <w:r>
              <w:rPr>
                <w:rFonts w:hint="eastAsia"/>
                <w:color w:val="auto"/>
                <w:sz w:val="24"/>
                <w:szCs w:val="24"/>
                <w:u w:val="none" w:color="auto"/>
                <w:lang w:val="en-US" w:eastAsia="zh-CN"/>
              </w:rPr>
              <w:t>C</w:t>
            </w:r>
            <w:r>
              <w:rPr>
                <w:rFonts w:hint="default"/>
                <w:color w:val="auto"/>
                <w:sz w:val="24"/>
                <w:szCs w:val="24"/>
                <w:u w:val="none" w:color="auto"/>
              </w:rPr>
              <w:t>O</w:t>
            </w:r>
            <w:r>
              <w:rPr>
                <w:rFonts w:hint="eastAsia"/>
                <w:color w:val="auto"/>
                <w:sz w:val="24"/>
                <w:szCs w:val="24"/>
                <w:u w:val="none" w:color="auto"/>
                <w:lang w:val="en-US" w:eastAsia="zh-CN"/>
              </w:rPr>
              <w:t>95百分位数</w:t>
            </w:r>
            <w:r>
              <w:rPr>
                <w:rFonts w:hint="eastAsia"/>
                <w:color w:val="auto"/>
                <w:sz w:val="24"/>
                <w:szCs w:val="24"/>
                <w:u w:val="none" w:color="auto"/>
                <w:lang w:eastAsia="zh-CN"/>
              </w:rPr>
              <w:t>日平均质量浓度、</w:t>
            </w:r>
            <w:r>
              <w:rPr>
                <w:rFonts w:hint="default"/>
                <w:color w:val="auto"/>
                <w:sz w:val="24"/>
                <w:szCs w:val="24"/>
                <w:u w:val="none" w:color="auto"/>
              </w:rPr>
              <w:t>O</w:t>
            </w:r>
            <w:r>
              <w:rPr>
                <w:rFonts w:hint="eastAsia"/>
                <w:color w:val="auto"/>
                <w:sz w:val="24"/>
                <w:szCs w:val="24"/>
                <w:u w:val="none" w:color="auto"/>
                <w:vertAlign w:val="subscript"/>
                <w:lang w:val="en-US" w:eastAsia="zh-CN"/>
              </w:rPr>
              <w:t>3</w:t>
            </w:r>
            <w:r>
              <w:rPr>
                <w:rFonts w:hint="eastAsia"/>
                <w:color w:val="auto"/>
                <w:sz w:val="24"/>
                <w:szCs w:val="24"/>
                <w:u w:val="none" w:color="auto"/>
                <w:lang w:val="en-US" w:eastAsia="zh-CN"/>
              </w:rPr>
              <w:t>90百分位数</w:t>
            </w:r>
            <w:r>
              <w:rPr>
                <w:rFonts w:hint="eastAsia"/>
                <w:color w:val="auto"/>
                <w:sz w:val="24"/>
                <w:szCs w:val="24"/>
                <w:u w:val="none" w:color="auto"/>
                <w:lang w:eastAsia="zh-CN"/>
              </w:rPr>
              <w:t>最大</w:t>
            </w:r>
            <w:r>
              <w:rPr>
                <w:rFonts w:hint="eastAsia"/>
                <w:color w:val="auto"/>
                <w:sz w:val="24"/>
                <w:szCs w:val="24"/>
                <w:u w:val="none" w:color="auto"/>
                <w:lang w:val="en-US" w:eastAsia="zh-CN"/>
              </w:rPr>
              <w:t>8小时平均质量浓度</w:t>
            </w:r>
            <w:r>
              <w:rPr>
                <w:rFonts w:hint="eastAsia"/>
                <w:color w:val="auto"/>
                <w:sz w:val="24"/>
                <w:szCs w:val="24"/>
                <w:u w:val="none" w:color="auto"/>
                <w:lang w:eastAsia="zh-CN"/>
              </w:rPr>
              <w:t>可达到</w:t>
            </w:r>
            <w:r>
              <w:rPr>
                <w:color w:val="auto"/>
                <w:sz w:val="24"/>
                <w:szCs w:val="24"/>
                <w:u w:val="none" w:color="auto"/>
              </w:rPr>
              <w:t>《环境空气质量标准》（GB3095-2012）中二级标准。</w:t>
            </w:r>
            <w:r>
              <w:rPr>
                <w:rFonts w:hint="default"/>
                <w:color w:val="auto"/>
                <w:sz w:val="24"/>
                <w:szCs w:val="24"/>
                <w:u w:val="none" w:color="auto"/>
              </w:rPr>
              <w:t>PM</w:t>
            </w:r>
            <w:r>
              <w:rPr>
                <w:rFonts w:hint="eastAsia"/>
                <w:color w:val="auto"/>
                <w:sz w:val="24"/>
                <w:szCs w:val="24"/>
                <w:u w:val="none" w:color="auto"/>
                <w:vertAlign w:val="subscript"/>
                <w:lang w:val="en-US" w:eastAsia="zh-CN"/>
              </w:rPr>
              <w:t>2.5</w:t>
            </w:r>
            <w:r>
              <w:rPr>
                <w:rFonts w:hint="eastAsia"/>
                <w:color w:val="auto"/>
                <w:sz w:val="24"/>
                <w:szCs w:val="24"/>
                <w:u w:val="none" w:color="auto"/>
                <w:lang w:eastAsia="zh-CN"/>
              </w:rPr>
              <w:t>年平均质量浓度尚未达到</w:t>
            </w:r>
            <w:r>
              <w:rPr>
                <w:color w:val="auto"/>
                <w:sz w:val="24"/>
                <w:szCs w:val="24"/>
                <w:u w:val="none" w:color="auto"/>
              </w:rPr>
              <w:t>《环境空气质量标准》（GB3095-2012）中二级标准。</w:t>
            </w:r>
          </w:p>
          <w:p>
            <w:pPr>
              <w:pStyle w:val="188"/>
              <w:rPr>
                <w:rFonts w:hint="eastAsia"/>
                <w:color w:val="auto"/>
                <w:u w:val="none" w:color="auto"/>
                <w:lang w:val="en-US" w:eastAsia="zh-CN"/>
              </w:rPr>
            </w:pPr>
            <w:r>
              <w:rPr>
                <w:rFonts w:hint="eastAsia"/>
                <w:color w:val="auto"/>
                <w:u w:val="none" w:color="auto"/>
                <w:lang w:val="en-US" w:eastAsia="zh-CN"/>
              </w:rPr>
              <w:t xml:space="preserve">        </w:t>
            </w:r>
          </w:p>
          <w:p>
            <w:pPr>
              <w:pStyle w:val="188"/>
              <w:rPr>
                <w:rFonts w:hint="eastAsia"/>
                <w:color w:val="auto"/>
                <w:u w:val="none" w:color="auto"/>
                <w:lang w:val="en-US" w:eastAsia="zh-CN"/>
              </w:rPr>
            </w:pPr>
            <w:r>
              <w:rPr>
                <w:rFonts w:hint="default"/>
                <w:color w:val="auto"/>
                <w:u w:val="none" w:color="auto"/>
              </w:rPr>
              <w:t>表</w:t>
            </w:r>
            <w:r>
              <w:rPr>
                <w:rFonts w:hint="eastAsia"/>
                <w:color w:val="auto"/>
                <w:u w:val="none" w:color="auto"/>
                <w:lang w:val="en-US" w:eastAsia="zh-CN"/>
              </w:rPr>
              <w:t>3-2</w:t>
            </w:r>
            <w:r>
              <w:rPr>
                <w:rFonts w:hint="default"/>
                <w:color w:val="auto"/>
                <w:u w:val="none" w:color="auto"/>
              </w:rPr>
              <w:t xml:space="preserve">  </w:t>
            </w:r>
            <w:r>
              <w:rPr>
                <w:rFonts w:hint="eastAsia"/>
                <w:color w:val="auto"/>
                <w:u w:val="none" w:color="auto"/>
                <w:lang w:val="en-US" w:eastAsia="zh-CN"/>
              </w:rPr>
              <w:t>2019年</w:t>
            </w:r>
            <w:r>
              <w:rPr>
                <w:rFonts w:hint="eastAsia"/>
                <w:color w:val="auto"/>
                <w:u w:val="none" w:color="auto"/>
                <w:lang w:eastAsia="zh-CN"/>
              </w:rPr>
              <w:t>区域空气质量现状评价</w:t>
            </w:r>
            <w:r>
              <w:rPr>
                <w:rFonts w:hint="default"/>
                <w:color w:val="auto"/>
                <w:u w:val="none" w:color="auto"/>
                <w:lang w:val="en-US" w:eastAsia="zh-CN"/>
              </w:rPr>
              <w:t>表</w:t>
            </w:r>
            <w:r>
              <w:rPr>
                <w:rFonts w:hint="eastAsia"/>
                <w:color w:val="auto"/>
                <w:u w:val="none" w:color="auto"/>
                <w:lang w:val="en-US" w:eastAsia="zh-CN"/>
              </w:rPr>
              <w:t xml:space="preserve">         </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128"/>
              <w:gridCol w:w="1933"/>
              <w:gridCol w:w="1408"/>
              <w:gridCol w:w="1294"/>
              <w:gridCol w:w="1216"/>
              <w:gridCol w:w="12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76" w:type="dxa"/>
                  <w:tcBorders>
                    <w:tl2br w:val="nil"/>
                    <w:tr2bl w:val="nil"/>
                  </w:tcBorders>
                  <w:noWrap w:val="0"/>
                  <w:vAlign w:val="center"/>
                </w:tcPr>
                <w:p>
                  <w:pPr>
                    <w:pStyle w:val="186"/>
                    <w:spacing w:line="360" w:lineRule="auto"/>
                    <w:rPr>
                      <w:rFonts w:hint="eastAsia"/>
                      <w:color w:val="auto"/>
                      <w:sz w:val="22"/>
                      <w:szCs w:val="22"/>
                      <w:u w:val="none" w:color="auto"/>
                      <w:lang w:eastAsia="zh-CN"/>
                    </w:rPr>
                  </w:pPr>
                  <w:r>
                    <w:rPr>
                      <w:rFonts w:hint="eastAsia"/>
                      <w:color w:val="auto"/>
                      <w:sz w:val="22"/>
                      <w:szCs w:val="22"/>
                      <w:u w:val="none" w:color="auto"/>
                      <w:lang w:eastAsia="zh-CN"/>
                    </w:rPr>
                    <w:t>所在</w:t>
                  </w:r>
                </w:p>
                <w:p>
                  <w:pPr>
                    <w:pStyle w:val="186"/>
                    <w:spacing w:line="360" w:lineRule="auto"/>
                    <w:rPr>
                      <w:rFonts w:hint="eastAsia"/>
                      <w:color w:val="auto"/>
                      <w:sz w:val="22"/>
                      <w:szCs w:val="22"/>
                      <w:u w:val="none" w:color="auto"/>
                      <w:lang w:eastAsia="zh-CN"/>
                    </w:rPr>
                  </w:pPr>
                  <w:r>
                    <w:rPr>
                      <w:rFonts w:hint="eastAsia"/>
                      <w:color w:val="auto"/>
                      <w:sz w:val="22"/>
                      <w:szCs w:val="22"/>
                      <w:u w:val="none" w:color="auto"/>
                      <w:lang w:eastAsia="zh-CN"/>
                    </w:rPr>
                    <w:t>区域</w:t>
                  </w:r>
                </w:p>
              </w:tc>
              <w:tc>
                <w:tcPr>
                  <w:tcW w:w="1128"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监测</w:t>
                  </w:r>
                </w:p>
                <w:p>
                  <w:pPr>
                    <w:pStyle w:val="186"/>
                    <w:spacing w:line="360" w:lineRule="auto"/>
                    <w:rPr>
                      <w:rFonts w:hint="default"/>
                      <w:color w:val="auto"/>
                      <w:sz w:val="22"/>
                      <w:szCs w:val="22"/>
                      <w:u w:val="none" w:color="auto"/>
                    </w:rPr>
                  </w:pPr>
                  <w:r>
                    <w:rPr>
                      <w:rFonts w:hint="default"/>
                      <w:color w:val="auto"/>
                      <w:sz w:val="22"/>
                      <w:szCs w:val="22"/>
                      <w:u w:val="none" w:color="auto"/>
                    </w:rPr>
                    <w:t>项目</w:t>
                  </w:r>
                </w:p>
              </w:tc>
              <w:tc>
                <w:tcPr>
                  <w:tcW w:w="1933" w:type="dxa"/>
                  <w:tcBorders>
                    <w:tl2br w:val="nil"/>
                    <w:tr2bl w:val="nil"/>
                  </w:tcBorders>
                  <w:noWrap w:val="0"/>
                  <w:vAlign w:val="center"/>
                </w:tcPr>
                <w:p>
                  <w:pPr>
                    <w:pStyle w:val="186"/>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年评价指标</w:t>
                  </w:r>
                </w:p>
              </w:tc>
              <w:tc>
                <w:tcPr>
                  <w:tcW w:w="1408" w:type="dxa"/>
                  <w:tcBorders>
                    <w:tl2br w:val="nil"/>
                    <w:tr2bl w:val="nil"/>
                  </w:tcBorders>
                  <w:noWrap w:val="0"/>
                  <w:vAlign w:val="center"/>
                </w:tcPr>
                <w:p>
                  <w:pPr>
                    <w:pStyle w:val="186"/>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现状浓度（u</w:t>
                  </w:r>
                  <w:r>
                    <w:rPr>
                      <w:rFonts w:hint="default"/>
                      <w:color w:val="auto"/>
                      <w:sz w:val="22"/>
                      <w:szCs w:val="22"/>
                      <w:u w:val="none" w:color="auto"/>
                    </w:rPr>
                    <w:t>g/m</w:t>
                  </w:r>
                  <w:r>
                    <w:rPr>
                      <w:rFonts w:hint="default"/>
                      <w:color w:val="auto"/>
                      <w:sz w:val="22"/>
                      <w:szCs w:val="22"/>
                      <w:u w:val="none" w:color="auto"/>
                      <w:vertAlign w:val="superscript"/>
                    </w:rPr>
                    <w:t>3</w:t>
                  </w:r>
                  <w:r>
                    <w:rPr>
                      <w:rFonts w:hint="eastAsia"/>
                      <w:color w:val="auto"/>
                      <w:sz w:val="22"/>
                      <w:szCs w:val="22"/>
                      <w:u w:val="none" w:color="auto"/>
                      <w:lang w:val="en-US" w:eastAsia="zh-CN"/>
                    </w:rPr>
                    <w:t>）</w:t>
                  </w:r>
                </w:p>
              </w:tc>
              <w:tc>
                <w:tcPr>
                  <w:tcW w:w="1294"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标准值</w:t>
                  </w:r>
                  <w:r>
                    <w:rPr>
                      <w:rFonts w:hint="eastAsia"/>
                      <w:color w:val="auto"/>
                      <w:sz w:val="22"/>
                      <w:szCs w:val="22"/>
                      <w:u w:val="none" w:color="auto"/>
                      <w:lang w:val="en-US" w:eastAsia="zh-CN"/>
                    </w:rPr>
                    <w:t>（u</w:t>
                  </w:r>
                  <w:r>
                    <w:rPr>
                      <w:rFonts w:hint="default"/>
                      <w:color w:val="auto"/>
                      <w:sz w:val="22"/>
                      <w:szCs w:val="22"/>
                      <w:u w:val="none" w:color="auto"/>
                    </w:rPr>
                    <w:t>g/m</w:t>
                  </w:r>
                  <w:r>
                    <w:rPr>
                      <w:rFonts w:hint="default"/>
                      <w:color w:val="auto"/>
                      <w:sz w:val="22"/>
                      <w:szCs w:val="22"/>
                      <w:u w:val="none" w:color="auto"/>
                      <w:vertAlign w:val="superscript"/>
                    </w:rPr>
                    <w:t>3</w:t>
                  </w:r>
                  <w:r>
                    <w:rPr>
                      <w:rFonts w:hint="eastAsia"/>
                      <w:color w:val="auto"/>
                      <w:sz w:val="22"/>
                      <w:szCs w:val="22"/>
                      <w:u w:val="none" w:color="auto"/>
                      <w:lang w:val="en-US" w:eastAsia="zh-CN"/>
                    </w:rPr>
                    <w:t>）</w:t>
                  </w:r>
                </w:p>
              </w:tc>
              <w:tc>
                <w:tcPr>
                  <w:tcW w:w="1216" w:type="dxa"/>
                  <w:tcBorders>
                    <w:tl2br w:val="nil"/>
                    <w:tr2bl w:val="nil"/>
                  </w:tcBorders>
                  <w:noWrap w:val="0"/>
                  <w:vAlign w:val="center"/>
                </w:tcPr>
                <w:p>
                  <w:pPr>
                    <w:pStyle w:val="186"/>
                    <w:spacing w:line="360" w:lineRule="auto"/>
                    <w:rPr>
                      <w:rFonts w:hint="default"/>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超标倍数%</w:t>
                  </w:r>
                </w:p>
              </w:tc>
              <w:tc>
                <w:tcPr>
                  <w:tcW w:w="1216"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是否达标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restart"/>
                  <w:tcBorders>
                    <w:tl2br w:val="nil"/>
                    <w:tr2bl w:val="nil"/>
                  </w:tcBorders>
                  <w:noWrap w:val="0"/>
                  <w:vAlign w:val="center"/>
                </w:tcPr>
                <w:p>
                  <w:pPr>
                    <w:pStyle w:val="186"/>
                    <w:spacing w:line="360" w:lineRule="auto"/>
                    <w:rPr>
                      <w:rFonts w:hint="eastAsia"/>
                      <w:color w:val="auto"/>
                      <w:sz w:val="22"/>
                      <w:szCs w:val="22"/>
                      <w:u w:val="none" w:color="auto"/>
                      <w:lang w:eastAsia="zh-CN"/>
                    </w:rPr>
                  </w:pPr>
                  <w:r>
                    <w:rPr>
                      <w:rFonts w:hint="eastAsia"/>
                      <w:color w:val="auto"/>
                      <w:sz w:val="22"/>
                      <w:szCs w:val="22"/>
                      <w:u w:val="none" w:color="auto"/>
                      <w:lang w:eastAsia="zh-CN"/>
                    </w:rPr>
                    <w:t>湘阴县</w:t>
                  </w:r>
                </w:p>
              </w:tc>
              <w:tc>
                <w:tcPr>
                  <w:tcW w:w="1128"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SO</w:t>
                  </w:r>
                  <w:r>
                    <w:rPr>
                      <w:rFonts w:hint="default"/>
                      <w:color w:val="auto"/>
                      <w:sz w:val="22"/>
                      <w:szCs w:val="22"/>
                      <w:u w:val="none" w:color="auto"/>
                      <w:vertAlign w:val="subscript"/>
                    </w:rPr>
                    <w:t>2</w:t>
                  </w:r>
                </w:p>
              </w:tc>
              <w:tc>
                <w:tcPr>
                  <w:tcW w:w="1933" w:type="dxa"/>
                  <w:tcBorders>
                    <w:tl2br w:val="nil"/>
                    <w:tr2bl w:val="nil"/>
                  </w:tcBorders>
                  <w:noWrap w:val="0"/>
                  <w:vAlign w:val="center"/>
                </w:tcPr>
                <w:p>
                  <w:pPr>
                    <w:pStyle w:val="186"/>
                    <w:spacing w:line="360" w:lineRule="auto"/>
                    <w:rPr>
                      <w:rFonts w:hint="eastAsia"/>
                      <w:color w:val="auto"/>
                      <w:sz w:val="22"/>
                      <w:szCs w:val="22"/>
                      <w:u w:val="none" w:color="auto"/>
                      <w:lang w:eastAsia="zh-CN"/>
                    </w:rPr>
                  </w:pPr>
                  <w:r>
                    <w:rPr>
                      <w:rFonts w:hint="eastAsia"/>
                      <w:color w:val="auto"/>
                      <w:sz w:val="22"/>
                      <w:szCs w:val="22"/>
                      <w:u w:val="none" w:color="auto"/>
                      <w:lang w:eastAsia="zh-CN"/>
                    </w:rPr>
                    <w:t>年平均质量浓度</w:t>
                  </w:r>
                </w:p>
              </w:tc>
              <w:tc>
                <w:tcPr>
                  <w:tcW w:w="1408" w:type="dxa"/>
                  <w:tcBorders>
                    <w:tl2br w:val="nil"/>
                    <w:tr2bl w:val="nil"/>
                  </w:tcBorders>
                  <w:noWrap w:val="0"/>
                  <w:vAlign w:val="center"/>
                </w:tcPr>
                <w:p>
                  <w:pPr>
                    <w:pStyle w:val="186"/>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5.67</w:t>
                  </w:r>
                </w:p>
              </w:tc>
              <w:tc>
                <w:tcPr>
                  <w:tcW w:w="1294" w:type="dxa"/>
                  <w:tcBorders>
                    <w:tl2br w:val="nil"/>
                    <w:tr2bl w:val="nil"/>
                  </w:tcBorders>
                  <w:noWrap w:val="0"/>
                  <w:vAlign w:val="center"/>
                </w:tcPr>
                <w:p>
                  <w:pPr>
                    <w:pStyle w:val="186"/>
                    <w:spacing w:line="360" w:lineRule="auto"/>
                    <w:rPr>
                      <w:rFonts w:hint="default" w:eastAsia="宋体"/>
                      <w:color w:val="auto"/>
                      <w:sz w:val="22"/>
                      <w:szCs w:val="22"/>
                      <w:u w:val="none" w:color="auto"/>
                      <w:lang w:val="en-US" w:eastAsia="zh-CN"/>
                    </w:rPr>
                  </w:pPr>
                  <w:r>
                    <w:rPr>
                      <w:rFonts w:hint="eastAsia"/>
                      <w:color w:val="auto"/>
                      <w:sz w:val="22"/>
                      <w:szCs w:val="22"/>
                      <w:u w:val="none" w:color="auto"/>
                      <w:lang w:val="en-US" w:eastAsia="zh-CN"/>
                    </w:rPr>
                    <w:t>60</w:t>
                  </w:r>
                </w:p>
              </w:tc>
              <w:tc>
                <w:tcPr>
                  <w:tcW w:w="1216" w:type="dxa"/>
                  <w:tcBorders>
                    <w:tl2br w:val="nil"/>
                    <w:tr2bl w:val="nil"/>
                  </w:tcBorders>
                  <w:noWrap w:val="0"/>
                  <w:vAlign w:val="center"/>
                </w:tcPr>
                <w:p>
                  <w:pPr>
                    <w:pStyle w:val="186"/>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16"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6"/>
                    <w:spacing w:line="360" w:lineRule="auto"/>
                    <w:rPr>
                      <w:rFonts w:hint="default"/>
                      <w:color w:val="auto"/>
                      <w:sz w:val="22"/>
                      <w:szCs w:val="22"/>
                      <w:u w:val="none" w:color="auto"/>
                    </w:rPr>
                  </w:pPr>
                </w:p>
              </w:tc>
              <w:tc>
                <w:tcPr>
                  <w:tcW w:w="1128"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NO</w:t>
                  </w:r>
                  <w:r>
                    <w:rPr>
                      <w:rFonts w:hint="default"/>
                      <w:color w:val="auto"/>
                      <w:sz w:val="22"/>
                      <w:szCs w:val="22"/>
                      <w:u w:val="none" w:color="auto"/>
                      <w:vertAlign w:val="subscript"/>
                    </w:rPr>
                    <w:t>2</w:t>
                  </w:r>
                </w:p>
              </w:tc>
              <w:tc>
                <w:tcPr>
                  <w:tcW w:w="1933" w:type="dxa"/>
                  <w:tcBorders>
                    <w:tl2br w:val="nil"/>
                    <w:tr2bl w:val="nil"/>
                  </w:tcBorders>
                  <w:noWrap w:val="0"/>
                  <w:vAlign w:val="center"/>
                </w:tcPr>
                <w:p>
                  <w:pPr>
                    <w:pStyle w:val="186"/>
                    <w:spacing w:line="360" w:lineRule="auto"/>
                    <w:rPr>
                      <w:rFonts w:hint="default"/>
                      <w:color w:val="auto"/>
                      <w:sz w:val="22"/>
                      <w:szCs w:val="22"/>
                      <w:u w:val="none" w:color="auto"/>
                    </w:rPr>
                  </w:pPr>
                  <w:r>
                    <w:rPr>
                      <w:rFonts w:hint="eastAsia"/>
                      <w:color w:val="auto"/>
                      <w:sz w:val="22"/>
                      <w:szCs w:val="22"/>
                      <w:u w:val="none" w:color="auto"/>
                      <w:lang w:eastAsia="zh-CN"/>
                    </w:rPr>
                    <w:t>年平均质量浓度</w:t>
                  </w:r>
                </w:p>
              </w:tc>
              <w:tc>
                <w:tcPr>
                  <w:tcW w:w="1408" w:type="dxa"/>
                  <w:tcBorders>
                    <w:tl2br w:val="nil"/>
                    <w:tr2bl w:val="nil"/>
                  </w:tcBorders>
                  <w:noWrap w:val="0"/>
                  <w:vAlign w:val="center"/>
                </w:tcPr>
                <w:p>
                  <w:pPr>
                    <w:pStyle w:val="186"/>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23.00</w:t>
                  </w:r>
                </w:p>
              </w:tc>
              <w:tc>
                <w:tcPr>
                  <w:tcW w:w="1294" w:type="dxa"/>
                  <w:tcBorders>
                    <w:tl2br w:val="nil"/>
                    <w:tr2bl w:val="nil"/>
                  </w:tcBorders>
                  <w:noWrap w:val="0"/>
                  <w:vAlign w:val="center"/>
                </w:tcPr>
                <w:p>
                  <w:pPr>
                    <w:pStyle w:val="186"/>
                    <w:spacing w:line="360" w:lineRule="auto"/>
                    <w:rPr>
                      <w:rFonts w:hint="default" w:eastAsia="宋体"/>
                      <w:color w:val="auto"/>
                      <w:sz w:val="22"/>
                      <w:szCs w:val="22"/>
                      <w:u w:val="none" w:color="auto"/>
                      <w:lang w:val="en-US" w:eastAsia="zh-CN"/>
                    </w:rPr>
                  </w:pPr>
                  <w:r>
                    <w:rPr>
                      <w:rFonts w:hint="eastAsia"/>
                      <w:color w:val="auto"/>
                      <w:sz w:val="22"/>
                      <w:szCs w:val="22"/>
                      <w:u w:val="none" w:color="auto"/>
                      <w:lang w:val="en-US" w:eastAsia="zh-CN"/>
                    </w:rPr>
                    <w:t>40</w:t>
                  </w:r>
                </w:p>
              </w:tc>
              <w:tc>
                <w:tcPr>
                  <w:tcW w:w="1216" w:type="dxa"/>
                  <w:tcBorders>
                    <w:tl2br w:val="nil"/>
                    <w:tr2bl w:val="nil"/>
                  </w:tcBorders>
                  <w:noWrap w:val="0"/>
                  <w:vAlign w:val="center"/>
                </w:tcPr>
                <w:p>
                  <w:pPr>
                    <w:pStyle w:val="186"/>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16"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876" w:type="dxa"/>
                  <w:vMerge w:val="continue"/>
                  <w:tcBorders>
                    <w:tl2br w:val="nil"/>
                    <w:tr2bl w:val="nil"/>
                  </w:tcBorders>
                  <w:noWrap w:val="0"/>
                  <w:vAlign w:val="center"/>
                </w:tcPr>
                <w:p>
                  <w:pPr>
                    <w:pStyle w:val="186"/>
                    <w:spacing w:line="360" w:lineRule="auto"/>
                    <w:rPr>
                      <w:rFonts w:hint="default"/>
                      <w:color w:val="auto"/>
                      <w:sz w:val="22"/>
                      <w:szCs w:val="22"/>
                      <w:u w:val="none" w:color="auto"/>
                    </w:rPr>
                  </w:pPr>
                </w:p>
              </w:tc>
              <w:tc>
                <w:tcPr>
                  <w:tcW w:w="1128"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PM</w:t>
                  </w:r>
                  <w:r>
                    <w:rPr>
                      <w:rFonts w:hint="default"/>
                      <w:color w:val="auto"/>
                      <w:sz w:val="22"/>
                      <w:szCs w:val="22"/>
                      <w:u w:val="none" w:color="auto"/>
                      <w:vertAlign w:val="subscript"/>
                    </w:rPr>
                    <w:t>10</w:t>
                  </w:r>
                </w:p>
              </w:tc>
              <w:tc>
                <w:tcPr>
                  <w:tcW w:w="1933" w:type="dxa"/>
                  <w:tcBorders>
                    <w:tl2br w:val="nil"/>
                    <w:tr2bl w:val="nil"/>
                  </w:tcBorders>
                  <w:noWrap w:val="0"/>
                  <w:vAlign w:val="center"/>
                </w:tcPr>
                <w:p>
                  <w:pPr>
                    <w:pStyle w:val="186"/>
                    <w:spacing w:line="360" w:lineRule="auto"/>
                    <w:rPr>
                      <w:rFonts w:hint="default"/>
                      <w:color w:val="auto"/>
                      <w:sz w:val="22"/>
                      <w:szCs w:val="22"/>
                      <w:u w:val="none" w:color="auto"/>
                    </w:rPr>
                  </w:pPr>
                  <w:r>
                    <w:rPr>
                      <w:rFonts w:hint="eastAsia"/>
                      <w:color w:val="auto"/>
                      <w:sz w:val="22"/>
                      <w:szCs w:val="22"/>
                      <w:u w:val="none" w:color="auto"/>
                      <w:lang w:eastAsia="zh-CN"/>
                    </w:rPr>
                    <w:t>年平均质量浓度</w:t>
                  </w:r>
                </w:p>
              </w:tc>
              <w:tc>
                <w:tcPr>
                  <w:tcW w:w="1408" w:type="dxa"/>
                  <w:tcBorders>
                    <w:tl2br w:val="nil"/>
                    <w:tr2bl w:val="nil"/>
                  </w:tcBorders>
                  <w:noWrap w:val="0"/>
                  <w:vAlign w:val="center"/>
                </w:tcPr>
                <w:p>
                  <w:pPr>
                    <w:pStyle w:val="186"/>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51.42</w:t>
                  </w:r>
                </w:p>
              </w:tc>
              <w:tc>
                <w:tcPr>
                  <w:tcW w:w="1294" w:type="dxa"/>
                  <w:tcBorders>
                    <w:tl2br w:val="nil"/>
                    <w:tr2bl w:val="nil"/>
                  </w:tcBorders>
                  <w:noWrap w:val="0"/>
                  <w:vAlign w:val="center"/>
                </w:tcPr>
                <w:p>
                  <w:pPr>
                    <w:pStyle w:val="186"/>
                    <w:spacing w:line="360" w:lineRule="auto"/>
                    <w:rPr>
                      <w:rFonts w:hint="default" w:eastAsia="宋体"/>
                      <w:color w:val="auto"/>
                      <w:sz w:val="22"/>
                      <w:szCs w:val="22"/>
                      <w:u w:val="none" w:color="auto"/>
                      <w:lang w:val="en-US" w:eastAsia="zh-CN"/>
                    </w:rPr>
                  </w:pPr>
                  <w:r>
                    <w:rPr>
                      <w:rFonts w:hint="eastAsia"/>
                      <w:color w:val="auto"/>
                      <w:sz w:val="22"/>
                      <w:szCs w:val="22"/>
                      <w:u w:val="none" w:color="auto"/>
                      <w:lang w:val="en-US" w:eastAsia="zh-CN"/>
                    </w:rPr>
                    <w:t>70</w:t>
                  </w:r>
                </w:p>
              </w:tc>
              <w:tc>
                <w:tcPr>
                  <w:tcW w:w="1216" w:type="dxa"/>
                  <w:tcBorders>
                    <w:tl2br w:val="nil"/>
                    <w:tr2bl w:val="nil"/>
                  </w:tcBorders>
                  <w:noWrap w:val="0"/>
                  <w:vAlign w:val="center"/>
                </w:tcPr>
                <w:p>
                  <w:pPr>
                    <w:pStyle w:val="186"/>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16"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6"/>
                    <w:spacing w:line="360" w:lineRule="auto"/>
                    <w:rPr>
                      <w:rFonts w:hint="default"/>
                      <w:color w:val="auto"/>
                      <w:sz w:val="22"/>
                      <w:szCs w:val="22"/>
                      <w:u w:val="none" w:color="auto"/>
                    </w:rPr>
                  </w:pPr>
                </w:p>
              </w:tc>
              <w:tc>
                <w:tcPr>
                  <w:tcW w:w="1128" w:type="dxa"/>
                  <w:tcBorders>
                    <w:tl2br w:val="nil"/>
                    <w:tr2bl w:val="nil"/>
                  </w:tcBorders>
                  <w:noWrap w:val="0"/>
                  <w:vAlign w:val="center"/>
                </w:tcPr>
                <w:p>
                  <w:pPr>
                    <w:pStyle w:val="186"/>
                    <w:spacing w:line="360" w:lineRule="auto"/>
                    <w:rPr>
                      <w:rFonts w:hint="eastAsia"/>
                      <w:color w:val="auto"/>
                      <w:sz w:val="22"/>
                      <w:szCs w:val="22"/>
                      <w:u w:val="none" w:color="auto"/>
                      <w:lang w:val="en-US" w:eastAsia="zh-CN"/>
                    </w:rPr>
                  </w:pPr>
                  <w:r>
                    <w:rPr>
                      <w:rFonts w:hint="default"/>
                      <w:color w:val="auto"/>
                      <w:sz w:val="22"/>
                      <w:szCs w:val="22"/>
                      <w:u w:val="none" w:color="auto"/>
                    </w:rPr>
                    <w:t>PM</w:t>
                  </w:r>
                  <w:r>
                    <w:rPr>
                      <w:rFonts w:hint="eastAsia"/>
                      <w:color w:val="auto"/>
                      <w:sz w:val="22"/>
                      <w:szCs w:val="22"/>
                      <w:u w:val="none" w:color="auto"/>
                      <w:vertAlign w:val="subscript"/>
                      <w:lang w:val="en-US" w:eastAsia="zh-CN"/>
                    </w:rPr>
                    <w:t>2.5</w:t>
                  </w:r>
                </w:p>
              </w:tc>
              <w:tc>
                <w:tcPr>
                  <w:tcW w:w="1933" w:type="dxa"/>
                  <w:tcBorders>
                    <w:tl2br w:val="nil"/>
                    <w:tr2bl w:val="nil"/>
                  </w:tcBorders>
                  <w:noWrap w:val="0"/>
                  <w:vAlign w:val="center"/>
                </w:tcPr>
                <w:p>
                  <w:pPr>
                    <w:pStyle w:val="186"/>
                    <w:spacing w:line="360" w:lineRule="auto"/>
                    <w:rPr>
                      <w:rFonts w:hint="default"/>
                      <w:color w:val="auto"/>
                      <w:sz w:val="22"/>
                      <w:szCs w:val="22"/>
                      <w:u w:val="none" w:color="auto"/>
                    </w:rPr>
                  </w:pPr>
                  <w:r>
                    <w:rPr>
                      <w:rFonts w:hint="eastAsia"/>
                      <w:color w:val="auto"/>
                      <w:sz w:val="22"/>
                      <w:szCs w:val="22"/>
                      <w:u w:val="none" w:color="auto"/>
                      <w:lang w:eastAsia="zh-CN"/>
                    </w:rPr>
                    <w:t>年平均质量浓度</w:t>
                  </w:r>
                </w:p>
              </w:tc>
              <w:tc>
                <w:tcPr>
                  <w:tcW w:w="1408" w:type="dxa"/>
                  <w:tcBorders>
                    <w:tl2br w:val="nil"/>
                    <w:tr2bl w:val="nil"/>
                  </w:tcBorders>
                  <w:noWrap w:val="0"/>
                  <w:vAlign w:val="center"/>
                </w:tcPr>
                <w:p>
                  <w:pPr>
                    <w:pStyle w:val="186"/>
                    <w:spacing w:line="360" w:lineRule="auto"/>
                    <w:rPr>
                      <w:rFonts w:hint="default"/>
                      <w:b/>
                      <w:bCs/>
                      <w:color w:val="auto"/>
                      <w:sz w:val="22"/>
                      <w:szCs w:val="22"/>
                      <w:u w:val="none" w:color="auto"/>
                      <w:lang w:val="en-US" w:eastAsia="zh-CN"/>
                    </w:rPr>
                  </w:pPr>
                  <w:r>
                    <w:rPr>
                      <w:rFonts w:hint="eastAsia"/>
                      <w:b/>
                      <w:bCs/>
                      <w:color w:val="auto"/>
                      <w:sz w:val="22"/>
                      <w:szCs w:val="22"/>
                      <w:u w:val="none" w:color="auto"/>
                      <w:lang w:val="en-US" w:eastAsia="zh-CN"/>
                    </w:rPr>
                    <w:t>39.33</w:t>
                  </w:r>
                </w:p>
              </w:tc>
              <w:tc>
                <w:tcPr>
                  <w:tcW w:w="1294" w:type="dxa"/>
                  <w:tcBorders>
                    <w:tl2br w:val="nil"/>
                    <w:tr2bl w:val="nil"/>
                  </w:tcBorders>
                  <w:noWrap w:val="0"/>
                  <w:vAlign w:val="center"/>
                </w:tcPr>
                <w:p>
                  <w:pPr>
                    <w:pStyle w:val="186"/>
                    <w:spacing w:line="360" w:lineRule="auto"/>
                    <w:rPr>
                      <w:rFonts w:hint="default"/>
                      <w:b/>
                      <w:bCs/>
                      <w:color w:val="auto"/>
                      <w:sz w:val="22"/>
                      <w:szCs w:val="22"/>
                      <w:u w:val="none" w:color="auto"/>
                      <w:lang w:val="en-US" w:eastAsia="zh-CN"/>
                    </w:rPr>
                  </w:pPr>
                  <w:r>
                    <w:rPr>
                      <w:rFonts w:hint="eastAsia"/>
                      <w:b/>
                      <w:bCs/>
                      <w:color w:val="auto"/>
                      <w:sz w:val="22"/>
                      <w:szCs w:val="22"/>
                      <w:u w:val="none" w:color="auto"/>
                      <w:lang w:val="en-US" w:eastAsia="zh-CN"/>
                    </w:rPr>
                    <w:t>35</w:t>
                  </w:r>
                </w:p>
              </w:tc>
              <w:tc>
                <w:tcPr>
                  <w:tcW w:w="1216" w:type="dxa"/>
                  <w:tcBorders>
                    <w:tl2br w:val="nil"/>
                    <w:tr2bl w:val="nil"/>
                  </w:tcBorders>
                  <w:noWrap w:val="0"/>
                  <w:vAlign w:val="center"/>
                </w:tcPr>
                <w:p>
                  <w:pPr>
                    <w:pStyle w:val="186"/>
                    <w:spacing w:line="360" w:lineRule="auto"/>
                    <w:rPr>
                      <w:rFonts w:hint="default"/>
                      <w:b/>
                      <w:bCs/>
                      <w:color w:val="auto"/>
                      <w:sz w:val="22"/>
                      <w:szCs w:val="22"/>
                      <w:u w:val="none" w:color="auto"/>
                      <w:lang w:val="en-US" w:eastAsia="zh-CN"/>
                    </w:rPr>
                  </w:pPr>
                  <w:r>
                    <w:rPr>
                      <w:rFonts w:hint="eastAsia"/>
                      <w:b/>
                      <w:bCs/>
                      <w:color w:val="auto"/>
                      <w:sz w:val="22"/>
                      <w:szCs w:val="22"/>
                      <w:u w:val="none" w:color="auto"/>
                      <w:lang w:val="en-US" w:eastAsia="zh-CN"/>
                    </w:rPr>
                    <w:t>0.12</w:t>
                  </w:r>
                </w:p>
              </w:tc>
              <w:tc>
                <w:tcPr>
                  <w:tcW w:w="1216" w:type="dxa"/>
                  <w:tcBorders>
                    <w:tl2br w:val="nil"/>
                    <w:tr2bl w:val="nil"/>
                  </w:tcBorders>
                  <w:noWrap w:val="0"/>
                  <w:vAlign w:val="center"/>
                </w:tcPr>
                <w:p>
                  <w:pPr>
                    <w:pStyle w:val="186"/>
                    <w:spacing w:line="360" w:lineRule="auto"/>
                    <w:rPr>
                      <w:rFonts w:hint="default"/>
                      <w:b/>
                      <w:bCs/>
                      <w:color w:val="auto"/>
                      <w:sz w:val="22"/>
                      <w:szCs w:val="22"/>
                      <w:u w:val="none" w:color="auto"/>
                    </w:rPr>
                  </w:pPr>
                  <w:r>
                    <w:rPr>
                      <w:rFonts w:hint="eastAsia"/>
                      <w:b/>
                      <w:bCs/>
                      <w:color w:val="auto"/>
                      <w:sz w:val="22"/>
                      <w:szCs w:val="22"/>
                      <w:u w:val="none" w:color="auto"/>
                      <w:lang w:eastAsia="zh-CN"/>
                    </w:rPr>
                    <w:t>不</w:t>
                  </w:r>
                  <w:r>
                    <w:rPr>
                      <w:rFonts w:hint="default"/>
                      <w:b/>
                      <w:bCs/>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6"/>
                    <w:spacing w:line="360" w:lineRule="auto"/>
                    <w:rPr>
                      <w:rFonts w:hint="default"/>
                      <w:color w:val="auto"/>
                      <w:sz w:val="22"/>
                      <w:szCs w:val="22"/>
                      <w:u w:val="none" w:color="auto"/>
                    </w:rPr>
                  </w:pPr>
                </w:p>
              </w:tc>
              <w:tc>
                <w:tcPr>
                  <w:tcW w:w="1128" w:type="dxa"/>
                  <w:tcBorders>
                    <w:tl2br w:val="nil"/>
                    <w:tr2bl w:val="nil"/>
                  </w:tcBorders>
                  <w:noWrap w:val="0"/>
                  <w:vAlign w:val="center"/>
                </w:tcPr>
                <w:p>
                  <w:pPr>
                    <w:pStyle w:val="186"/>
                    <w:spacing w:line="360" w:lineRule="auto"/>
                    <w:rPr>
                      <w:rFonts w:hint="default"/>
                      <w:color w:val="auto"/>
                      <w:sz w:val="22"/>
                      <w:szCs w:val="22"/>
                      <w:u w:val="none" w:color="auto"/>
                    </w:rPr>
                  </w:pPr>
                  <w:r>
                    <w:rPr>
                      <w:rFonts w:hint="eastAsia"/>
                      <w:color w:val="auto"/>
                      <w:sz w:val="22"/>
                      <w:szCs w:val="22"/>
                      <w:u w:val="none" w:color="auto"/>
                      <w:lang w:val="en-US" w:eastAsia="zh-CN"/>
                    </w:rPr>
                    <w:t>C</w:t>
                  </w:r>
                  <w:r>
                    <w:rPr>
                      <w:rFonts w:hint="default"/>
                      <w:color w:val="auto"/>
                      <w:sz w:val="22"/>
                      <w:szCs w:val="22"/>
                      <w:u w:val="none" w:color="auto"/>
                    </w:rPr>
                    <w:t>O</w:t>
                  </w:r>
                </w:p>
              </w:tc>
              <w:tc>
                <w:tcPr>
                  <w:tcW w:w="1933" w:type="dxa"/>
                  <w:tcBorders>
                    <w:tl2br w:val="nil"/>
                    <w:tr2bl w:val="nil"/>
                  </w:tcBorders>
                  <w:noWrap w:val="0"/>
                  <w:vAlign w:val="center"/>
                </w:tcPr>
                <w:p>
                  <w:pPr>
                    <w:pStyle w:val="186"/>
                    <w:spacing w:line="360" w:lineRule="auto"/>
                    <w:rPr>
                      <w:rFonts w:hint="eastAsia"/>
                      <w:color w:val="auto"/>
                      <w:sz w:val="22"/>
                      <w:szCs w:val="22"/>
                      <w:u w:val="none" w:color="auto"/>
                      <w:lang w:eastAsia="zh-CN"/>
                    </w:rPr>
                  </w:pPr>
                  <w:r>
                    <w:rPr>
                      <w:rFonts w:hint="eastAsia"/>
                      <w:color w:val="auto"/>
                      <w:sz w:val="22"/>
                      <w:szCs w:val="22"/>
                      <w:u w:val="none" w:color="auto"/>
                      <w:lang w:val="en-US" w:eastAsia="zh-CN"/>
                    </w:rPr>
                    <w:t>95百分位数</w:t>
                  </w:r>
                  <w:r>
                    <w:rPr>
                      <w:rFonts w:hint="eastAsia"/>
                      <w:color w:val="auto"/>
                      <w:sz w:val="22"/>
                      <w:szCs w:val="22"/>
                      <w:u w:val="none" w:color="auto"/>
                      <w:lang w:eastAsia="zh-CN"/>
                    </w:rPr>
                    <w:t>日平均质量浓度</w:t>
                  </w:r>
                </w:p>
              </w:tc>
              <w:tc>
                <w:tcPr>
                  <w:tcW w:w="1408" w:type="dxa"/>
                  <w:tcBorders>
                    <w:tl2br w:val="nil"/>
                    <w:tr2bl w:val="nil"/>
                  </w:tcBorders>
                  <w:noWrap w:val="0"/>
                  <w:vAlign w:val="center"/>
                </w:tcPr>
                <w:p>
                  <w:pPr>
                    <w:pStyle w:val="186"/>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1.04</w:t>
                  </w:r>
                </w:p>
              </w:tc>
              <w:tc>
                <w:tcPr>
                  <w:tcW w:w="1294" w:type="dxa"/>
                  <w:tcBorders>
                    <w:tl2br w:val="nil"/>
                    <w:tr2bl w:val="nil"/>
                  </w:tcBorders>
                  <w:noWrap w:val="0"/>
                  <w:vAlign w:val="center"/>
                </w:tcPr>
                <w:p>
                  <w:pPr>
                    <w:pStyle w:val="186"/>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4000</w:t>
                  </w:r>
                </w:p>
              </w:tc>
              <w:tc>
                <w:tcPr>
                  <w:tcW w:w="1216" w:type="dxa"/>
                  <w:tcBorders>
                    <w:tl2br w:val="nil"/>
                    <w:tr2bl w:val="nil"/>
                  </w:tcBorders>
                  <w:noWrap w:val="0"/>
                  <w:vAlign w:val="center"/>
                </w:tcPr>
                <w:p>
                  <w:pPr>
                    <w:pStyle w:val="186"/>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16"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6"/>
                    <w:spacing w:line="360" w:lineRule="auto"/>
                    <w:rPr>
                      <w:rFonts w:hint="default"/>
                      <w:color w:val="auto"/>
                      <w:sz w:val="22"/>
                      <w:szCs w:val="22"/>
                      <w:u w:val="none" w:color="auto"/>
                    </w:rPr>
                  </w:pPr>
                </w:p>
              </w:tc>
              <w:tc>
                <w:tcPr>
                  <w:tcW w:w="1128" w:type="dxa"/>
                  <w:tcBorders>
                    <w:tl2br w:val="nil"/>
                    <w:tr2bl w:val="nil"/>
                  </w:tcBorders>
                  <w:noWrap w:val="0"/>
                  <w:vAlign w:val="center"/>
                </w:tcPr>
                <w:p>
                  <w:pPr>
                    <w:pStyle w:val="186"/>
                    <w:spacing w:line="360" w:lineRule="auto"/>
                    <w:rPr>
                      <w:rFonts w:hint="eastAsia"/>
                      <w:color w:val="auto"/>
                      <w:sz w:val="22"/>
                      <w:szCs w:val="22"/>
                      <w:u w:val="none" w:color="auto"/>
                      <w:lang w:eastAsia="zh-CN"/>
                    </w:rPr>
                  </w:pPr>
                  <w:r>
                    <w:rPr>
                      <w:rFonts w:hint="default"/>
                      <w:color w:val="auto"/>
                      <w:sz w:val="22"/>
                      <w:szCs w:val="22"/>
                      <w:u w:val="none" w:color="auto"/>
                    </w:rPr>
                    <w:t>O</w:t>
                  </w:r>
                  <w:r>
                    <w:rPr>
                      <w:rFonts w:hint="eastAsia"/>
                      <w:color w:val="auto"/>
                      <w:sz w:val="22"/>
                      <w:szCs w:val="22"/>
                      <w:u w:val="none" w:color="auto"/>
                      <w:vertAlign w:val="subscript"/>
                      <w:lang w:val="en-US" w:eastAsia="zh-CN"/>
                    </w:rPr>
                    <w:t>3</w:t>
                  </w:r>
                </w:p>
              </w:tc>
              <w:tc>
                <w:tcPr>
                  <w:tcW w:w="1933" w:type="dxa"/>
                  <w:tcBorders>
                    <w:tl2br w:val="nil"/>
                    <w:tr2bl w:val="nil"/>
                  </w:tcBorders>
                  <w:noWrap w:val="0"/>
                  <w:vAlign w:val="center"/>
                </w:tcPr>
                <w:p>
                  <w:pPr>
                    <w:pStyle w:val="186"/>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90百分位数</w:t>
                  </w:r>
                  <w:r>
                    <w:rPr>
                      <w:rFonts w:hint="eastAsia"/>
                      <w:color w:val="auto"/>
                      <w:sz w:val="22"/>
                      <w:szCs w:val="22"/>
                      <w:u w:val="none" w:color="auto"/>
                      <w:lang w:eastAsia="zh-CN"/>
                    </w:rPr>
                    <w:t>最大</w:t>
                  </w:r>
                  <w:r>
                    <w:rPr>
                      <w:rFonts w:hint="eastAsia"/>
                      <w:color w:val="auto"/>
                      <w:sz w:val="22"/>
                      <w:szCs w:val="22"/>
                      <w:u w:val="none" w:color="auto"/>
                      <w:lang w:val="en-US" w:eastAsia="zh-CN"/>
                    </w:rPr>
                    <w:t>8小时平均质量浓度</w:t>
                  </w:r>
                </w:p>
              </w:tc>
              <w:tc>
                <w:tcPr>
                  <w:tcW w:w="1408" w:type="dxa"/>
                  <w:tcBorders>
                    <w:tl2br w:val="nil"/>
                    <w:tr2bl w:val="nil"/>
                  </w:tcBorders>
                  <w:noWrap w:val="0"/>
                  <w:vAlign w:val="center"/>
                </w:tcPr>
                <w:p>
                  <w:pPr>
                    <w:pStyle w:val="186"/>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101.67</w:t>
                  </w:r>
                </w:p>
              </w:tc>
              <w:tc>
                <w:tcPr>
                  <w:tcW w:w="1294" w:type="dxa"/>
                  <w:tcBorders>
                    <w:tl2br w:val="nil"/>
                    <w:tr2bl w:val="nil"/>
                  </w:tcBorders>
                  <w:noWrap w:val="0"/>
                  <w:vAlign w:val="center"/>
                </w:tcPr>
                <w:p>
                  <w:pPr>
                    <w:pStyle w:val="186"/>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160</w:t>
                  </w:r>
                </w:p>
              </w:tc>
              <w:tc>
                <w:tcPr>
                  <w:tcW w:w="1216" w:type="dxa"/>
                  <w:tcBorders>
                    <w:tl2br w:val="nil"/>
                    <w:tr2bl w:val="nil"/>
                  </w:tcBorders>
                  <w:noWrap w:val="0"/>
                  <w:vAlign w:val="center"/>
                </w:tcPr>
                <w:p>
                  <w:pPr>
                    <w:pStyle w:val="186"/>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16"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达标</w:t>
                  </w:r>
                </w:p>
              </w:tc>
            </w:tr>
          </w:tbl>
          <w:p>
            <w:pPr>
              <w:pStyle w:val="174"/>
              <w:spacing w:line="360" w:lineRule="auto"/>
              <w:ind w:firstLine="466" w:firstLineChars="200"/>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eastAsia="zh-CN"/>
              </w:rPr>
              <w:t>由上表可知，湘阴县</w:t>
            </w:r>
            <w:r>
              <w:rPr>
                <w:rFonts w:hint="default" w:ascii="Times New Roman" w:hAnsi="Times New Roman" w:cs="Times New Roman"/>
                <w:color w:val="auto"/>
                <w:sz w:val="24"/>
                <w:szCs w:val="24"/>
                <w:u w:val="none" w:color="auto"/>
              </w:rPr>
              <w:t>PM</w:t>
            </w:r>
            <w:r>
              <w:rPr>
                <w:rFonts w:hint="default" w:ascii="Times New Roman" w:hAnsi="Times New Roman" w:cs="Times New Roman"/>
                <w:color w:val="auto"/>
                <w:sz w:val="24"/>
                <w:szCs w:val="24"/>
                <w:u w:val="none" w:color="auto"/>
                <w:vertAlign w:val="subscript"/>
                <w:lang w:val="en-US" w:eastAsia="zh-CN"/>
              </w:rPr>
              <w:t>2.5</w:t>
            </w:r>
            <w:r>
              <w:rPr>
                <w:rFonts w:hint="default" w:ascii="Times New Roman" w:hAnsi="Times New Roman" w:cs="Times New Roman"/>
                <w:color w:val="auto"/>
                <w:sz w:val="24"/>
                <w:szCs w:val="24"/>
                <w:u w:val="none" w:color="auto"/>
                <w:lang w:val="en-US" w:eastAsia="zh-CN"/>
              </w:rPr>
              <w:t>出现超标，</w:t>
            </w:r>
            <w:r>
              <w:rPr>
                <w:rFonts w:hint="default" w:ascii="Times New Roman" w:hAnsi="Times New Roman" w:cs="Times New Roman"/>
                <w:color w:val="auto"/>
                <w:sz w:val="24"/>
                <w:szCs w:val="24"/>
                <w:u w:val="none" w:color="auto"/>
              </w:rPr>
              <w:t>PM</w:t>
            </w:r>
            <w:r>
              <w:rPr>
                <w:rFonts w:hint="default" w:ascii="Times New Roman" w:hAnsi="Times New Roman" w:cs="Times New Roman"/>
                <w:color w:val="auto"/>
                <w:sz w:val="24"/>
                <w:szCs w:val="24"/>
                <w:u w:val="none" w:color="auto"/>
                <w:vertAlign w:val="subscript"/>
                <w:lang w:val="en-US" w:eastAsia="zh-CN"/>
              </w:rPr>
              <w:t>2.5</w:t>
            </w:r>
            <w:r>
              <w:rPr>
                <w:rFonts w:hint="default" w:ascii="Times New Roman" w:hAnsi="Times New Roman" w:cs="Times New Roman"/>
                <w:color w:val="auto"/>
                <w:sz w:val="24"/>
                <w:szCs w:val="24"/>
                <w:u w:val="none" w:color="auto"/>
                <w:lang w:val="en-US" w:eastAsia="zh-CN"/>
              </w:rPr>
              <w:t>的超标倍数为0.1</w:t>
            </w:r>
            <w:r>
              <w:rPr>
                <w:rFonts w:hint="eastAsia" w:ascii="Times New Roman" w:hAnsi="Times New Roman" w:cs="Times New Roman"/>
                <w:color w:val="auto"/>
                <w:sz w:val="24"/>
                <w:szCs w:val="24"/>
                <w:u w:val="none" w:color="auto"/>
                <w:lang w:val="en-US" w:eastAsia="zh-CN"/>
              </w:rPr>
              <w:t>2</w:t>
            </w:r>
            <w:r>
              <w:rPr>
                <w:rFonts w:hint="default" w:ascii="Times New Roman" w:hAnsi="Times New Roman" w:cs="Times New Roman"/>
                <w:color w:val="auto"/>
                <w:sz w:val="24"/>
                <w:szCs w:val="24"/>
                <w:u w:val="none" w:color="auto"/>
                <w:lang w:val="en-US" w:eastAsia="zh-CN"/>
              </w:rPr>
              <w:t>，项目所在区域为环境空气质量不达标区。</w:t>
            </w:r>
          </w:p>
          <w:p>
            <w:pPr>
              <w:pStyle w:val="174"/>
              <w:spacing w:line="360" w:lineRule="auto"/>
              <w:ind w:firstLine="480"/>
              <w:rPr>
                <w:rFonts w:hint="eastAsia"/>
                <w:color w:val="auto"/>
                <w:sz w:val="24"/>
                <w:szCs w:val="24"/>
                <w:u w:val="none" w:color="auto"/>
                <w:lang w:eastAsia="zh-CN"/>
              </w:rPr>
            </w:pPr>
            <w:r>
              <w:rPr>
                <w:rFonts w:hint="default" w:ascii="Times New Roman" w:hAnsi="Times New Roman" w:cs="Times New Roman"/>
                <w:color w:val="auto"/>
                <w:sz w:val="24"/>
                <w:szCs w:val="24"/>
                <w:u w:val="none" w:color="auto"/>
                <w:lang w:val="en-US" w:eastAsia="zh-CN"/>
              </w:rPr>
              <w:t>根据</w:t>
            </w:r>
            <w:r>
              <w:rPr>
                <w:rFonts w:hint="default" w:ascii="Times New Roman" w:hAnsi="Times New Roman" w:cs="Times New Roman"/>
                <w:color w:val="auto"/>
                <w:sz w:val="24"/>
                <w:szCs w:val="24"/>
                <w:u w:val="none" w:color="auto"/>
                <w:lang w:eastAsia="zh-CN"/>
              </w:rPr>
              <w:t>《湖南省污染防治攻坚战三年行动计划(2018—2020年)》、《岳阳市洞庭湖生态环境专项整治三年行动实施方案（2018—2020年）》及《湘阴县城镇（乡）黑臭水体治理三年行动（2018-2020年）初步实施计划》，湘阴县近期采取产业和能源结构调整措施、大气污染治理的措施等一系列措施，同时</w:t>
            </w:r>
            <w:r>
              <w:rPr>
                <w:rFonts w:hint="default" w:ascii="Times New Roman" w:hAnsi="Times New Roman" w:cs="Times New Roman"/>
                <w:color w:val="auto"/>
                <w:sz w:val="24"/>
                <w:szCs w:val="24"/>
                <w:u w:val="none" w:color="auto"/>
                <w:lang w:val="en-US" w:eastAsia="zh-CN"/>
              </w:rPr>
              <w:t>根据表3-1及3-2中201</w:t>
            </w:r>
            <w:r>
              <w:rPr>
                <w:rFonts w:hint="eastAsia" w:ascii="Times New Roman" w:hAnsi="Times New Roman" w:cs="Times New Roman"/>
                <w:color w:val="auto"/>
                <w:sz w:val="24"/>
                <w:szCs w:val="24"/>
                <w:u w:val="none" w:color="auto"/>
                <w:lang w:val="en-US" w:eastAsia="zh-CN"/>
              </w:rPr>
              <w:t>8</w:t>
            </w:r>
            <w:r>
              <w:rPr>
                <w:rFonts w:hint="default" w:ascii="Times New Roman" w:hAnsi="Times New Roman" w:cs="Times New Roman"/>
                <w:color w:val="auto"/>
                <w:sz w:val="24"/>
                <w:szCs w:val="24"/>
                <w:u w:val="none" w:color="auto"/>
                <w:lang w:val="en-US" w:eastAsia="zh-CN"/>
              </w:rPr>
              <w:t>年和201</w:t>
            </w:r>
            <w:r>
              <w:rPr>
                <w:rFonts w:hint="eastAsia" w:ascii="Times New Roman" w:hAnsi="Times New Roman" w:cs="Times New Roman"/>
                <w:color w:val="auto"/>
                <w:sz w:val="24"/>
                <w:szCs w:val="24"/>
                <w:u w:val="none" w:color="auto"/>
                <w:lang w:val="en-US" w:eastAsia="zh-CN"/>
              </w:rPr>
              <w:t>9</w:t>
            </w:r>
            <w:r>
              <w:rPr>
                <w:rFonts w:hint="default" w:ascii="Times New Roman" w:hAnsi="Times New Roman" w:cs="Times New Roman"/>
                <w:color w:val="auto"/>
                <w:sz w:val="24"/>
                <w:szCs w:val="24"/>
                <w:u w:val="none" w:color="auto"/>
                <w:lang w:val="en-US" w:eastAsia="zh-CN"/>
              </w:rPr>
              <w:t>年环境空气质量现状对比可知，</w:t>
            </w:r>
            <w:r>
              <w:rPr>
                <w:rFonts w:hint="default" w:ascii="Times New Roman" w:hAnsi="Times New Roman" w:cs="Times New Roman"/>
                <w:color w:val="auto"/>
                <w:sz w:val="24"/>
                <w:szCs w:val="24"/>
                <w:u w:val="none" w:color="auto"/>
                <w:lang w:eastAsia="zh-CN"/>
              </w:rPr>
              <w:t>湘阴县</w:t>
            </w:r>
            <w:r>
              <w:rPr>
                <w:rFonts w:hint="default" w:ascii="Times New Roman" w:hAnsi="Times New Roman" w:cs="Times New Roman"/>
                <w:color w:val="auto"/>
                <w:sz w:val="24"/>
                <w:szCs w:val="24"/>
                <w:u w:val="none" w:color="auto"/>
                <w:lang w:val="en-US" w:eastAsia="zh-CN"/>
              </w:rPr>
              <w:t>环境空气质量正在逐步改善</w:t>
            </w:r>
            <w:r>
              <w:rPr>
                <w:rFonts w:hint="eastAsia"/>
                <w:color w:val="auto"/>
                <w:sz w:val="24"/>
                <w:szCs w:val="24"/>
                <w:u w:val="none" w:color="auto"/>
                <w:lang w:eastAsia="zh-CN"/>
              </w:rPr>
              <w:t>。</w:t>
            </w:r>
          </w:p>
          <w:p>
            <w:pPr>
              <w:pStyle w:val="174"/>
              <w:spacing w:line="360" w:lineRule="auto"/>
              <w:ind w:firstLine="480"/>
              <w:rPr>
                <w:color w:val="auto"/>
                <w:sz w:val="24"/>
                <w:szCs w:val="24"/>
                <w:u w:val="none" w:color="auto"/>
              </w:rPr>
            </w:pPr>
            <w:r>
              <w:rPr>
                <w:rFonts w:hint="eastAsia"/>
                <w:color w:val="auto"/>
                <w:sz w:val="24"/>
                <w:szCs w:val="24"/>
                <w:u w:val="none" w:color="auto"/>
                <w:lang w:eastAsia="zh-CN"/>
              </w:rPr>
              <w:t>本项目特征因子为“</w:t>
            </w:r>
            <w:r>
              <w:rPr>
                <w:rFonts w:hint="eastAsia"/>
                <w:color w:val="auto"/>
                <w:sz w:val="24"/>
                <w:szCs w:val="24"/>
                <w:u w:val="none" w:color="auto"/>
              </w:rPr>
              <w:t>TVOC</w:t>
            </w:r>
            <w:r>
              <w:rPr>
                <w:rFonts w:hint="eastAsia"/>
                <w:color w:val="auto"/>
                <w:sz w:val="24"/>
                <w:szCs w:val="24"/>
                <w:u w:val="none" w:color="auto"/>
                <w:lang w:eastAsia="zh-CN"/>
              </w:rPr>
              <w:t>”</w:t>
            </w:r>
            <w:r>
              <w:rPr>
                <w:color w:val="auto"/>
                <w:sz w:val="24"/>
                <w:szCs w:val="24"/>
                <w:u w:val="none" w:color="auto"/>
              </w:rPr>
              <w:t>，</w:t>
            </w:r>
            <w:r>
              <w:rPr>
                <w:rFonts w:hint="eastAsia"/>
                <w:color w:val="auto"/>
                <w:sz w:val="24"/>
                <w:szCs w:val="24"/>
                <w:u w:val="none" w:color="auto"/>
                <w:lang w:eastAsia="zh-CN"/>
              </w:rPr>
              <w:t>故</w:t>
            </w:r>
            <w:r>
              <w:rPr>
                <w:color w:val="auto"/>
                <w:sz w:val="24"/>
                <w:szCs w:val="24"/>
                <w:u w:val="none" w:color="auto"/>
              </w:rPr>
              <w:t>本环评</w:t>
            </w:r>
            <w:r>
              <w:rPr>
                <w:rFonts w:hint="eastAsia"/>
                <w:color w:val="auto"/>
                <w:sz w:val="24"/>
                <w:szCs w:val="24"/>
                <w:u w:val="none" w:color="auto"/>
                <w:lang w:eastAsia="zh-CN"/>
              </w:rPr>
              <w:t>引用</w:t>
            </w:r>
            <w:r>
              <w:rPr>
                <w:rFonts w:hint="default"/>
                <w:color w:val="auto"/>
                <w:sz w:val="24"/>
                <w:szCs w:val="24"/>
                <w:u w:val="none" w:color="auto"/>
                <w:lang w:val="en-US" w:eastAsia="zh-CN"/>
              </w:rPr>
              <w:t>《</w:t>
            </w:r>
            <w:r>
              <w:rPr>
                <w:rFonts w:hint="eastAsia"/>
                <w:sz w:val="24"/>
                <w:szCs w:val="24"/>
                <w:u w:val="none" w:color="auto"/>
              </w:rPr>
              <w:t>湘阴县雅彩化妆品有限公司年产化妆</w:t>
            </w:r>
            <w:r>
              <w:rPr>
                <w:rFonts w:hint="eastAsia"/>
                <w:sz w:val="24"/>
                <w:szCs w:val="24"/>
                <w:u w:val="none" w:color="auto"/>
                <w:lang w:eastAsia="zh-CN"/>
              </w:rPr>
              <w:t>刷</w:t>
            </w:r>
            <w:r>
              <w:rPr>
                <w:rFonts w:hint="eastAsia"/>
                <w:sz w:val="24"/>
                <w:szCs w:val="24"/>
                <w:u w:val="none" w:color="auto"/>
              </w:rPr>
              <w:t>3000万支、粉扑5000万</w:t>
            </w:r>
            <w:r>
              <w:rPr>
                <w:rFonts w:hint="eastAsia"/>
                <w:sz w:val="24"/>
                <w:szCs w:val="24"/>
                <w:u w:val="none" w:color="auto"/>
                <w:lang w:eastAsia="zh-CN"/>
              </w:rPr>
              <w:t>个</w:t>
            </w:r>
            <w:r>
              <w:rPr>
                <w:rFonts w:hint="eastAsia"/>
                <w:sz w:val="24"/>
                <w:szCs w:val="24"/>
                <w:u w:val="none" w:color="auto"/>
              </w:rPr>
              <w:t>建设项目</w:t>
            </w:r>
            <w:r>
              <w:rPr>
                <w:rFonts w:hint="eastAsia"/>
                <w:sz w:val="24"/>
                <w:szCs w:val="24"/>
                <w:u w:val="none" w:color="auto"/>
                <w:lang w:eastAsia="zh-CN"/>
              </w:rPr>
              <w:t>环境影响报告书</w:t>
            </w:r>
            <w:r>
              <w:rPr>
                <w:rFonts w:hint="default"/>
                <w:color w:val="auto"/>
                <w:sz w:val="24"/>
                <w:szCs w:val="24"/>
                <w:u w:val="none" w:color="auto"/>
                <w:lang w:val="en-US" w:eastAsia="zh-CN"/>
              </w:rPr>
              <w:t>》2019年6月20日-6月26日对周边区域现状监测的数据</w:t>
            </w:r>
            <w:r>
              <w:rPr>
                <w:rFonts w:hint="eastAsia"/>
                <w:color w:val="auto"/>
                <w:sz w:val="24"/>
                <w:szCs w:val="24"/>
                <w:u w:val="none" w:color="auto"/>
              </w:rPr>
              <w:t>，</w:t>
            </w:r>
            <w:r>
              <w:rPr>
                <w:rFonts w:hint="eastAsia"/>
                <w:sz w:val="24"/>
                <w:szCs w:val="24"/>
                <w:u w:val="none" w:color="auto"/>
              </w:rPr>
              <w:t>湘阴县雅彩化妆品有限公司</w:t>
            </w:r>
            <w:r>
              <w:rPr>
                <w:rFonts w:hint="eastAsia"/>
                <w:color w:val="auto"/>
                <w:sz w:val="24"/>
                <w:szCs w:val="24"/>
                <w:u w:val="none" w:color="auto"/>
                <w:lang w:eastAsia="zh-CN"/>
              </w:rPr>
              <w:t>位于</w:t>
            </w:r>
            <w:r>
              <w:rPr>
                <w:rFonts w:hint="eastAsia"/>
                <w:color w:val="auto"/>
                <w:sz w:val="24"/>
                <w:szCs w:val="24"/>
                <w:u w:val="none" w:color="auto"/>
                <w:lang w:val="en-US" w:eastAsia="zh-CN"/>
              </w:rPr>
              <w:t>本项目东北面600米处。</w:t>
            </w:r>
            <w:r>
              <w:rPr>
                <w:color w:val="auto"/>
                <w:sz w:val="24"/>
                <w:szCs w:val="24"/>
                <w:u w:val="none" w:color="auto"/>
              </w:rPr>
              <w:t>根据引用数据的时间与距离，其符合《环境影响评价技术导则  大气环境》（HJ2.2-20</w:t>
            </w:r>
            <w:r>
              <w:rPr>
                <w:rFonts w:hint="eastAsia"/>
                <w:color w:val="auto"/>
                <w:sz w:val="24"/>
                <w:szCs w:val="24"/>
                <w:u w:val="none" w:color="auto"/>
              </w:rPr>
              <w:t>1</w:t>
            </w:r>
            <w:r>
              <w:rPr>
                <w:color w:val="auto"/>
                <w:sz w:val="24"/>
                <w:szCs w:val="24"/>
                <w:u w:val="none" w:color="auto"/>
              </w:rPr>
              <w:t>8）中的对于引用数据的要求，本次环评引用数据可行。</w:t>
            </w:r>
          </w:p>
          <w:p>
            <w:pPr>
              <w:pStyle w:val="174"/>
              <w:numPr>
                <w:ilvl w:val="0"/>
                <w:numId w:val="4"/>
              </w:numPr>
              <w:spacing w:line="360" w:lineRule="auto"/>
              <w:ind w:firstLine="480"/>
              <w:rPr>
                <w:rFonts w:hint="eastAsia"/>
                <w:color w:val="auto"/>
                <w:sz w:val="24"/>
                <w:szCs w:val="24"/>
                <w:u w:val="none" w:color="auto"/>
                <w:lang w:eastAsia="zh-CN"/>
              </w:rPr>
            </w:pPr>
            <w:r>
              <w:rPr>
                <w:rFonts w:hint="eastAsia"/>
                <w:color w:val="auto"/>
                <w:sz w:val="24"/>
                <w:szCs w:val="24"/>
                <w:u w:val="none" w:color="auto"/>
                <w:lang w:eastAsia="zh-CN"/>
              </w:rPr>
              <w:t>引用监测点位</w:t>
            </w:r>
            <w:r>
              <w:rPr>
                <w:color w:val="auto"/>
                <w:sz w:val="24"/>
                <w:szCs w:val="24"/>
                <w:u w:val="none" w:color="auto"/>
              </w:rPr>
              <w:t>：</w:t>
            </w:r>
            <w:r>
              <w:rPr>
                <w:rFonts w:hint="eastAsia"/>
                <w:color w:val="auto"/>
                <w:sz w:val="24"/>
                <w:szCs w:val="24"/>
                <w:u w:val="none" w:color="auto"/>
              </w:rPr>
              <w:t>G</w:t>
            </w:r>
            <w:r>
              <w:rPr>
                <w:color w:val="auto"/>
                <w:sz w:val="24"/>
                <w:szCs w:val="24"/>
                <w:u w:val="none" w:color="auto"/>
              </w:rPr>
              <w:t>1项目</w:t>
            </w:r>
            <w:r>
              <w:rPr>
                <w:rFonts w:hint="eastAsia"/>
                <w:color w:val="auto"/>
                <w:sz w:val="24"/>
                <w:szCs w:val="24"/>
                <w:u w:val="none" w:color="auto"/>
                <w:lang w:eastAsia="zh-CN"/>
              </w:rPr>
              <w:t>所在地下</w:t>
            </w:r>
            <w:r>
              <w:rPr>
                <w:rFonts w:hint="eastAsia"/>
                <w:color w:val="auto"/>
                <w:sz w:val="24"/>
                <w:szCs w:val="24"/>
                <w:u w:val="none" w:color="auto"/>
              </w:rPr>
              <w:t>风向</w:t>
            </w:r>
            <w:r>
              <w:rPr>
                <w:rFonts w:hint="eastAsia"/>
                <w:color w:val="auto"/>
                <w:sz w:val="24"/>
                <w:szCs w:val="24"/>
                <w:u w:val="none" w:color="auto"/>
                <w:lang w:val="en-US" w:eastAsia="zh-CN"/>
              </w:rPr>
              <w:t>853</w:t>
            </w:r>
            <w:r>
              <w:rPr>
                <w:rFonts w:hint="eastAsia"/>
                <w:color w:val="auto"/>
                <w:sz w:val="24"/>
                <w:szCs w:val="24"/>
                <w:u w:val="none" w:color="auto"/>
              </w:rPr>
              <w:t>m处居民所在地</w:t>
            </w:r>
            <w:r>
              <w:rPr>
                <w:rFonts w:hint="eastAsia"/>
                <w:color w:val="auto"/>
                <w:sz w:val="24"/>
                <w:szCs w:val="24"/>
                <w:u w:val="none" w:color="auto"/>
                <w:lang w:eastAsia="zh-CN"/>
              </w:rPr>
              <w:t>。</w:t>
            </w:r>
          </w:p>
          <w:p>
            <w:pPr>
              <w:pStyle w:val="174"/>
              <w:spacing w:line="360" w:lineRule="auto"/>
              <w:ind w:firstLine="480"/>
              <w:rPr>
                <w:color w:val="auto"/>
                <w:sz w:val="24"/>
                <w:szCs w:val="24"/>
                <w:u w:val="none" w:color="auto"/>
              </w:rPr>
            </w:pPr>
            <w:r>
              <w:rPr>
                <w:color w:val="auto"/>
                <w:sz w:val="24"/>
                <w:szCs w:val="24"/>
                <w:u w:val="none" w:color="auto"/>
              </w:rPr>
              <w:t>（</w:t>
            </w:r>
            <w:r>
              <w:rPr>
                <w:rFonts w:hint="eastAsia"/>
                <w:color w:val="auto"/>
                <w:sz w:val="24"/>
                <w:szCs w:val="24"/>
                <w:u w:val="none" w:color="auto"/>
                <w:lang w:val="en-US" w:eastAsia="zh-CN"/>
              </w:rPr>
              <w:t>2</w:t>
            </w:r>
            <w:r>
              <w:rPr>
                <w:color w:val="auto"/>
                <w:sz w:val="24"/>
                <w:szCs w:val="24"/>
                <w:u w:val="none" w:color="auto"/>
              </w:rPr>
              <w:t>）监测因子：TVOC。</w:t>
            </w:r>
          </w:p>
          <w:p>
            <w:pPr>
              <w:pStyle w:val="174"/>
              <w:spacing w:line="360" w:lineRule="auto"/>
              <w:ind w:firstLine="480"/>
              <w:rPr>
                <w:color w:val="auto"/>
                <w:sz w:val="24"/>
                <w:szCs w:val="24"/>
                <w:u w:val="none" w:color="auto"/>
              </w:rPr>
            </w:pPr>
            <w:r>
              <w:rPr>
                <w:color w:val="auto"/>
                <w:sz w:val="24"/>
                <w:szCs w:val="24"/>
                <w:u w:val="none" w:color="auto"/>
              </w:rPr>
              <w:t>（</w:t>
            </w:r>
            <w:r>
              <w:rPr>
                <w:rFonts w:hint="eastAsia"/>
                <w:color w:val="auto"/>
                <w:sz w:val="24"/>
                <w:szCs w:val="24"/>
                <w:u w:val="none" w:color="auto"/>
                <w:lang w:val="en-US" w:eastAsia="zh-CN"/>
              </w:rPr>
              <w:t>3</w:t>
            </w:r>
            <w:r>
              <w:rPr>
                <w:color w:val="auto"/>
                <w:sz w:val="24"/>
                <w:szCs w:val="24"/>
                <w:u w:val="none" w:color="auto"/>
              </w:rPr>
              <w:t>）</w:t>
            </w:r>
            <w:r>
              <w:rPr>
                <w:rFonts w:hint="eastAsia"/>
                <w:color w:val="auto"/>
                <w:sz w:val="24"/>
                <w:szCs w:val="24"/>
                <w:u w:val="none" w:color="auto"/>
                <w:lang w:eastAsia="zh-CN"/>
              </w:rPr>
              <w:t>引用</w:t>
            </w:r>
            <w:r>
              <w:rPr>
                <w:color w:val="auto"/>
                <w:sz w:val="24"/>
                <w:szCs w:val="24"/>
                <w:u w:val="none" w:color="auto"/>
              </w:rPr>
              <w:t>监测结果统计与评价：</w:t>
            </w:r>
            <w:r>
              <w:rPr>
                <w:rFonts w:hint="eastAsia"/>
                <w:color w:val="auto"/>
                <w:sz w:val="24"/>
                <w:szCs w:val="24"/>
                <w:u w:val="none" w:color="auto"/>
                <w:lang w:eastAsia="zh-CN"/>
              </w:rPr>
              <w:t>引用</w:t>
            </w:r>
            <w:r>
              <w:rPr>
                <w:color w:val="auto"/>
                <w:sz w:val="24"/>
                <w:szCs w:val="24"/>
                <w:u w:val="none" w:color="auto"/>
              </w:rPr>
              <w:t>监测结果统计见表3-</w:t>
            </w:r>
            <w:r>
              <w:rPr>
                <w:rFonts w:hint="eastAsia"/>
                <w:color w:val="auto"/>
                <w:sz w:val="24"/>
                <w:szCs w:val="24"/>
                <w:u w:val="none" w:color="auto"/>
                <w:lang w:val="en-US" w:eastAsia="zh-CN"/>
              </w:rPr>
              <w:t>3</w:t>
            </w:r>
            <w:r>
              <w:rPr>
                <w:color w:val="auto"/>
                <w:sz w:val="24"/>
                <w:szCs w:val="24"/>
                <w:u w:val="none" w:color="auto"/>
              </w:rPr>
              <w:t>。</w:t>
            </w:r>
          </w:p>
          <w:p>
            <w:pPr>
              <w:pStyle w:val="190"/>
              <w:rPr>
                <w:rFonts w:hint="default"/>
                <w:color w:val="auto"/>
                <w:u w:val="none" w:color="auto"/>
              </w:rPr>
            </w:pPr>
          </w:p>
          <w:p>
            <w:pPr>
              <w:pStyle w:val="190"/>
              <w:rPr>
                <w:rFonts w:hint="default"/>
                <w:color w:val="auto"/>
                <w:u w:val="none" w:color="auto"/>
              </w:rPr>
            </w:pPr>
          </w:p>
          <w:p>
            <w:pPr>
              <w:pStyle w:val="190"/>
              <w:rPr>
                <w:rFonts w:hint="default"/>
                <w:color w:val="auto"/>
                <w:u w:val="none" w:color="auto"/>
              </w:rPr>
            </w:pPr>
          </w:p>
          <w:p>
            <w:pPr>
              <w:pStyle w:val="190"/>
              <w:rPr>
                <w:rFonts w:hint="default"/>
                <w:color w:val="auto"/>
                <w:u w:val="none" w:color="auto"/>
              </w:rPr>
            </w:pPr>
            <w:r>
              <w:rPr>
                <w:rFonts w:hint="default"/>
                <w:color w:val="auto"/>
                <w:u w:val="none" w:color="auto"/>
              </w:rPr>
              <w:t>表3-</w:t>
            </w:r>
            <w:r>
              <w:rPr>
                <w:rFonts w:hint="eastAsia"/>
                <w:color w:val="auto"/>
                <w:u w:val="none" w:color="auto"/>
                <w:lang w:val="en-US" w:eastAsia="zh-CN"/>
              </w:rPr>
              <w:t>3</w:t>
            </w:r>
            <w:r>
              <w:rPr>
                <w:rFonts w:hint="default"/>
                <w:color w:val="auto"/>
                <w:u w:val="none" w:color="auto"/>
              </w:rPr>
              <w:t xml:space="preserve"> </w:t>
            </w:r>
            <w:r>
              <w:rPr>
                <w:rFonts w:hint="eastAsia"/>
                <w:color w:val="auto"/>
                <w:u w:val="none" w:color="auto"/>
                <w:lang w:eastAsia="zh-CN"/>
              </w:rPr>
              <w:t>引用数据</w:t>
            </w:r>
            <w:r>
              <w:rPr>
                <w:rFonts w:hint="default"/>
                <w:color w:val="auto"/>
                <w:u w:val="none" w:color="auto"/>
              </w:rPr>
              <w:t>统计结果  单位：（mg/m</w:t>
            </w:r>
            <w:r>
              <w:rPr>
                <w:rFonts w:hint="default"/>
                <w:color w:val="auto"/>
                <w:u w:val="none" w:color="auto"/>
                <w:vertAlign w:val="superscript"/>
              </w:rPr>
              <w:t>3</w:t>
            </w:r>
            <w:r>
              <w:rPr>
                <w:rFonts w:hint="default"/>
                <w:color w:val="auto"/>
                <w:u w:val="none" w:color="auto"/>
              </w:rPr>
              <w:t>）</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61"/>
              <w:gridCol w:w="3947"/>
              <w:gridCol w:w="22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1" w:type="dxa"/>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监测点</w:t>
                  </w:r>
                </w:p>
              </w:tc>
              <w:tc>
                <w:tcPr>
                  <w:tcW w:w="3947" w:type="dxa"/>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项目</w:t>
                  </w:r>
                </w:p>
              </w:tc>
              <w:tc>
                <w:tcPr>
                  <w:tcW w:w="2263" w:type="dxa"/>
                  <w:noWrap w:val="0"/>
                  <w:vAlign w:val="center"/>
                </w:tcPr>
                <w:p>
                  <w:pPr>
                    <w:pStyle w:val="186"/>
                    <w:spacing w:line="360" w:lineRule="auto"/>
                    <w:rPr>
                      <w:color w:val="auto"/>
                      <w:sz w:val="22"/>
                      <w:szCs w:val="22"/>
                      <w:u w:val="none" w:color="auto"/>
                    </w:rPr>
                  </w:pPr>
                  <w:r>
                    <w:rPr>
                      <w:rFonts w:hint="default"/>
                      <w:color w:val="auto"/>
                      <w:sz w:val="22"/>
                      <w:szCs w:val="22"/>
                      <w:u w:val="none" w:color="auto"/>
                    </w:rPr>
                    <w:t>TVOC</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1" w:type="dxa"/>
                  <w:vMerge w:val="restart"/>
                  <w:noWrap w:val="0"/>
                  <w:vAlign w:val="center"/>
                </w:tcPr>
                <w:p>
                  <w:pPr>
                    <w:pStyle w:val="186"/>
                    <w:spacing w:line="360" w:lineRule="auto"/>
                    <w:rPr>
                      <w:rFonts w:hint="default"/>
                      <w:color w:val="auto"/>
                      <w:sz w:val="22"/>
                      <w:szCs w:val="22"/>
                      <w:u w:val="none" w:color="auto"/>
                      <w:lang w:eastAsia="zh-CN"/>
                    </w:rPr>
                  </w:pPr>
                  <w:r>
                    <w:rPr>
                      <w:rFonts w:hint="default"/>
                      <w:color w:val="auto"/>
                      <w:sz w:val="22"/>
                      <w:szCs w:val="22"/>
                      <w:u w:val="none" w:color="auto"/>
                      <w:lang w:val="en-US" w:eastAsia="zh-CN"/>
                    </w:rPr>
                    <w:t>G1</w:t>
                  </w:r>
                </w:p>
              </w:tc>
              <w:tc>
                <w:tcPr>
                  <w:tcW w:w="3947" w:type="dxa"/>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浓度范围</w:t>
                  </w:r>
                </w:p>
              </w:tc>
              <w:tc>
                <w:tcPr>
                  <w:tcW w:w="2263" w:type="dxa"/>
                  <w:noWrap w:val="0"/>
                  <w:vAlign w:val="center"/>
                </w:tcPr>
                <w:p>
                  <w:pPr>
                    <w:pStyle w:val="186"/>
                    <w:spacing w:line="360" w:lineRule="auto"/>
                    <w:rPr>
                      <w:rFonts w:hint="default"/>
                      <w:color w:val="auto"/>
                      <w:sz w:val="22"/>
                      <w:szCs w:val="22"/>
                      <w:u w:val="none" w:color="auto"/>
                      <w:lang w:val="en-US"/>
                    </w:rPr>
                  </w:pPr>
                  <w:r>
                    <w:rPr>
                      <w:rFonts w:hint="eastAsia"/>
                      <w:color w:val="auto"/>
                      <w:sz w:val="22"/>
                      <w:szCs w:val="22"/>
                      <w:u w:val="none" w:color="auto"/>
                      <w:lang w:val="en-US" w:eastAsia="zh-CN"/>
                    </w:rPr>
                    <w:t>0.0311~0.476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1" w:type="dxa"/>
                  <w:vMerge w:val="continue"/>
                  <w:noWrap w:val="0"/>
                  <w:vAlign w:val="center"/>
                </w:tcPr>
                <w:p>
                  <w:pPr>
                    <w:pStyle w:val="186"/>
                    <w:spacing w:line="360" w:lineRule="auto"/>
                    <w:rPr>
                      <w:rFonts w:hint="default"/>
                      <w:color w:val="auto"/>
                      <w:sz w:val="22"/>
                      <w:szCs w:val="22"/>
                      <w:u w:val="none" w:color="auto"/>
                    </w:rPr>
                  </w:pPr>
                </w:p>
              </w:tc>
              <w:tc>
                <w:tcPr>
                  <w:tcW w:w="3947" w:type="dxa"/>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超标率（%）</w:t>
                  </w:r>
                </w:p>
              </w:tc>
              <w:tc>
                <w:tcPr>
                  <w:tcW w:w="2263" w:type="dxa"/>
                  <w:noWrap w:val="0"/>
                  <w:vAlign w:val="center"/>
                </w:tcPr>
                <w:p>
                  <w:pPr>
                    <w:pStyle w:val="186"/>
                    <w:spacing w:line="360" w:lineRule="auto"/>
                    <w:rPr>
                      <w:color w:val="auto"/>
                      <w:sz w:val="22"/>
                      <w:szCs w:val="22"/>
                      <w:u w:val="none" w:color="auto"/>
                    </w:rPr>
                  </w:pPr>
                  <w:r>
                    <w:rPr>
                      <w:rFonts w:hint="eastAsia"/>
                      <w:color w:val="auto"/>
                      <w:sz w:val="22"/>
                      <w:szCs w:val="22"/>
                      <w:u w:val="none" w:color="auto"/>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1" w:type="dxa"/>
                  <w:vMerge w:val="continue"/>
                  <w:noWrap w:val="0"/>
                  <w:vAlign w:val="center"/>
                </w:tcPr>
                <w:p>
                  <w:pPr>
                    <w:pStyle w:val="186"/>
                    <w:spacing w:line="360" w:lineRule="auto"/>
                    <w:rPr>
                      <w:rFonts w:hint="default"/>
                      <w:color w:val="auto"/>
                      <w:sz w:val="22"/>
                      <w:szCs w:val="22"/>
                      <w:u w:val="none" w:color="auto"/>
                    </w:rPr>
                  </w:pPr>
                </w:p>
              </w:tc>
              <w:tc>
                <w:tcPr>
                  <w:tcW w:w="3947" w:type="dxa"/>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最大超标倍数</w:t>
                  </w:r>
                </w:p>
              </w:tc>
              <w:tc>
                <w:tcPr>
                  <w:tcW w:w="2263" w:type="dxa"/>
                  <w:noWrap w:val="0"/>
                  <w:vAlign w:val="center"/>
                </w:tcPr>
                <w:p>
                  <w:pPr>
                    <w:pStyle w:val="186"/>
                    <w:spacing w:line="360" w:lineRule="auto"/>
                    <w:rPr>
                      <w:color w:val="auto"/>
                      <w:sz w:val="22"/>
                      <w:szCs w:val="22"/>
                      <w:u w:val="none" w:color="auto"/>
                    </w:rPr>
                  </w:pPr>
                  <w:r>
                    <w:rPr>
                      <w:rFonts w:hint="eastAsia"/>
                      <w:color w:val="auto"/>
                      <w:sz w:val="22"/>
                      <w:szCs w:val="22"/>
                      <w:u w:val="none" w:color="auto"/>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1" w:type="dxa"/>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标准值</w:t>
                  </w:r>
                </w:p>
              </w:tc>
              <w:tc>
                <w:tcPr>
                  <w:tcW w:w="3947" w:type="dxa"/>
                  <w:noWrap w:val="0"/>
                  <w:vAlign w:val="center"/>
                </w:tcPr>
                <w:p>
                  <w:pPr>
                    <w:pStyle w:val="186"/>
                    <w:spacing w:line="360" w:lineRule="auto"/>
                    <w:rPr>
                      <w:rFonts w:hint="default"/>
                      <w:color w:val="auto"/>
                      <w:sz w:val="22"/>
                      <w:szCs w:val="22"/>
                      <w:u w:val="none" w:color="auto"/>
                    </w:rPr>
                  </w:pPr>
                  <w:r>
                    <w:rPr>
                      <w:rFonts w:hint="eastAsia"/>
                      <w:color w:val="auto"/>
                      <w:sz w:val="22"/>
                      <w:szCs w:val="22"/>
                      <w:u w:val="none" w:color="auto"/>
                      <w:lang w:val="en-US" w:eastAsia="zh-CN"/>
                    </w:rPr>
                    <w:t>TVOC为八小时值</w:t>
                  </w:r>
                </w:p>
              </w:tc>
              <w:tc>
                <w:tcPr>
                  <w:tcW w:w="2263" w:type="dxa"/>
                  <w:noWrap w:val="0"/>
                  <w:vAlign w:val="center"/>
                </w:tcPr>
                <w:p>
                  <w:pPr>
                    <w:pStyle w:val="186"/>
                    <w:spacing w:line="360" w:lineRule="auto"/>
                    <w:rPr>
                      <w:color w:val="auto"/>
                      <w:sz w:val="22"/>
                      <w:szCs w:val="22"/>
                      <w:u w:val="none" w:color="auto"/>
                    </w:rPr>
                  </w:pPr>
                  <w:r>
                    <w:rPr>
                      <w:rFonts w:hint="eastAsia"/>
                      <w:color w:val="auto"/>
                      <w:sz w:val="22"/>
                      <w:szCs w:val="22"/>
                      <w:u w:val="none" w:color="auto"/>
                      <w:lang w:val="en-US" w:eastAsia="zh-CN"/>
                    </w:rPr>
                    <w:t>0.6</w:t>
                  </w:r>
                </w:p>
              </w:tc>
            </w:tr>
          </w:tbl>
          <w:p>
            <w:pPr>
              <w:bidi w:val="0"/>
              <w:spacing w:line="360" w:lineRule="auto"/>
              <w:ind w:firstLine="699" w:firstLineChars="300"/>
              <w:rPr>
                <w:rFonts w:hint="default" w:ascii="Times New Roman" w:hAnsi="Times New Roman" w:cs="Times New Roman"/>
                <w:b/>
                <w:bCs/>
                <w:color w:val="auto"/>
                <w:sz w:val="24"/>
                <w:szCs w:val="24"/>
                <w:u w:val="none" w:color="auto"/>
              </w:rPr>
            </w:pPr>
            <w:r>
              <w:rPr>
                <w:rFonts w:hint="default"/>
                <w:color w:val="auto"/>
                <w:sz w:val="24"/>
                <w:szCs w:val="24"/>
                <w:u w:val="none" w:color="auto"/>
              </w:rPr>
              <w:t>由上表</w:t>
            </w:r>
            <w:r>
              <w:rPr>
                <w:rFonts w:hint="eastAsia"/>
                <w:color w:val="auto"/>
                <w:sz w:val="24"/>
                <w:szCs w:val="24"/>
                <w:u w:val="none" w:color="auto"/>
                <w:lang w:val="en-US" w:eastAsia="zh-CN"/>
              </w:rPr>
              <w:t>3-3</w:t>
            </w:r>
            <w:r>
              <w:rPr>
                <w:rFonts w:hint="default"/>
                <w:color w:val="auto"/>
                <w:sz w:val="24"/>
                <w:szCs w:val="24"/>
                <w:u w:val="none" w:color="auto"/>
              </w:rPr>
              <w:t>可见，TVOC满足</w:t>
            </w:r>
            <w:r>
              <w:rPr>
                <w:rFonts w:hint="eastAsia"/>
                <w:color w:val="auto"/>
                <w:sz w:val="24"/>
                <w:szCs w:val="24"/>
                <w:u w:val="none" w:color="auto"/>
                <w:lang w:eastAsia="zh-CN"/>
              </w:rPr>
              <w:t>《环境影响评价技术导则 大气环境》（HJ2.2-2018）附录D中相应的标准</w:t>
            </w:r>
            <w:r>
              <w:rPr>
                <w:rFonts w:hint="eastAsia" w:ascii="Times New Roman" w:hAnsi="Times New Roman" w:cs="Times New Roman"/>
                <w:sz w:val="24"/>
                <w:szCs w:val="24"/>
                <w:u w:val="none" w:color="auto"/>
                <w:lang w:eastAsia="zh-CN"/>
              </w:rPr>
              <w:t>。</w:t>
            </w:r>
          </w:p>
          <w:p>
            <w:pPr>
              <w:spacing w:line="360" w:lineRule="auto"/>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rPr>
              <w:t>3.2</w:t>
            </w:r>
            <w:r>
              <w:rPr>
                <w:rFonts w:hint="eastAsia" w:cs="Times New Roman"/>
                <w:b/>
                <w:bCs/>
                <w:color w:val="auto"/>
                <w:sz w:val="24"/>
                <w:szCs w:val="24"/>
                <w:u w:val="none" w:color="auto"/>
                <w:lang w:eastAsia="zh-CN"/>
              </w:rPr>
              <w:t>、</w:t>
            </w:r>
            <w:r>
              <w:rPr>
                <w:rFonts w:hint="default" w:ascii="Times New Roman" w:hAnsi="Times New Roman" w:cs="Times New Roman"/>
                <w:b/>
                <w:bCs/>
                <w:color w:val="auto"/>
                <w:sz w:val="24"/>
                <w:szCs w:val="24"/>
                <w:u w:val="none" w:color="auto"/>
              </w:rPr>
              <w:t>地表水环境质量现状</w:t>
            </w:r>
          </w:p>
          <w:p>
            <w:pPr>
              <w:spacing w:line="360" w:lineRule="auto"/>
              <w:ind w:firstLine="466" w:firstLineChars="200"/>
              <w:textAlignment w:val="baseline"/>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为了解建设项目所在地的地表水环境状况</w:t>
            </w:r>
            <w:r>
              <w:rPr>
                <w:rFonts w:hint="eastAsia" w:cs="Times New Roman"/>
                <w:color w:val="auto"/>
                <w:sz w:val="24"/>
                <w:szCs w:val="24"/>
                <w:u w:val="none" w:color="auto"/>
                <w:lang w:eastAsia="zh-CN"/>
              </w:rPr>
              <w:t>，本次环评引用</w:t>
            </w:r>
            <w:r>
              <w:rPr>
                <w:rFonts w:hint="eastAsia" w:cs="Times New Roman"/>
                <w:color w:val="auto"/>
                <w:sz w:val="24"/>
                <w:szCs w:val="24"/>
                <w:u w:val="none" w:color="auto"/>
                <w:lang w:val="en-US" w:eastAsia="zh-CN"/>
              </w:rPr>
              <w:t>2019年湘阴县生态环保部门对洋沙湖常规断面进行监测</w:t>
            </w:r>
            <w:r>
              <w:rPr>
                <w:rFonts w:hint="eastAsia"/>
                <w:color w:val="auto"/>
                <w:sz w:val="24"/>
                <w:u w:val="none" w:color="auto"/>
                <w:lang w:eastAsia="zh-CN"/>
              </w:rPr>
              <w:t>，</w:t>
            </w:r>
            <w:r>
              <w:rPr>
                <w:rFonts w:hint="default" w:ascii="Times New Roman" w:hAnsi="Times New Roman" w:cs="Times New Roman"/>
                <w:color w:val="auto"/>
                <w:sz w:val="24"/>
                <w:szCs w:val="24"/>
                <w:u w:val="none" w:color="auto"/>
              </w:rPr>
              <w:t>具体监测情况详见下表。</w:t>
            </w:r>
          </w:p>
          <w:p>
            <w:pPr>
              <w:pStyle w:val="86"/>
              <w:rPr>
                <w:rFonts w:hint="default" w:ascii="Times New Roman" w:hAnsi="Times New Roman" w:eastAsia="宋体" w:cs="Times New Roman"/>
                <w:color w:val="auto"/>
                <w:sz w:val="24"/>
                <w:szCs w:val="22"/>
                <w:u w:val="none" w:color="auto"/>
                <w:lang w:val="en-US" w:eastAsia="zh-CN"/>
              </w:rPr>
            </w:pPr>
            <w:r>
              <w:rPr>
                <w:rFonts w:hint="default" w:ascii="Times New Roman" w:hAnsi="Times New Roman" w:eastAsia="宋体" w:cs="Times New Roman"/>
                <w:color w:val="auto"/>
                <w:sz w:val="24"/>
                <w:szCs w:val="22"/>
                <w:u w:val="none" w:color="auto"/>
              </w:rPr>
              <w:t>表</w:t>
            </w:r>
            <w:r>
              <w:rPr>
                <w:rFonts w:hint="eastAsia" w:ascii="Times New Roman" w:hAnsi="Times New Roman" w:eastAsia="宋体" w:cs="Times New Roman"/>
                <w:color w:val="auto"/>
                <w:sz w:val="24"/>
                <w:szCs w:val="22"/>
                <w:u w:val="none" w:color="auto"/>
                <w:lang w:val="en-US" w:eastAsia="zh-CN"/>
              </w:rPr>
              <w:t>3-</w:t>
            </w:r>
            <w:r>
              <w:rPr>
                <w:rFonts w:hint="eastAsia" w:eastAsia="宋体" w:cs="Times New Roman"/>
                <w:color w:val="auto"/>
                <w:sz w:val="24"/>
                <w:szCs w:val="22"/>
                <w:u w:val="none" w:color="auto"/>
                <w:lang w:val="en-US" w:eastAsia="zh-CN"/>
              </w:rPr>
              <w:t>4</w:t>
            </w:r>
            <w:r>
              <w:rPr>
                <w:rFonts w:hint="default" w:ascii="Times New Roman" w:hAnsi="Times New Roman" w:eastAsia="宋体" w:cs="Times New Roman"/>
                <w:color w:val="auto"/>
                <w:sz w:val="24"/>
                <w:szCs w:val="22"/>
                <w:u w:val="none" w:color="auto"/>
              </w:rPr>
              <w:t xml:space="preserve">  洋沙湖监测结果统计表  单位:mg/L pH</w:t>
            </w:r>
            <w:r>
              <w:rPr>
                <w:rFonts w:hint="eastAsia" w:eastAsia="宋体" w:cs="Times New Roman"/>
                <w:color w:val="auto"/>
                <w:sz w:val="24"/>
                <w:szCs w:val="22"/>
                <w:u w:val="none" w:color="auto"/>
                <w:lang w:val="en-US" w:eastAsia="zh-CN"/>
              </w:rPr>
              <w:t>无量纲。粪大肠菌群:个/L</w:t>
            </w:r>
          </w:p>
          <w:tbl>
            <w:tblPr>
              <w:tblStyle w:val="41"/>
              <w:tblW w:w="4997"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137"/>
              <w:gridCol w:w="917"/>
              <w:gridCol w:w="817"/>
              <w:gridCol w:w="935"/>
              <w:gridCol w:w="1121"/>
              <w:gridCol w:w="748"/>
              <w:gridCol w:w="998"/>
              <w:gridCol w:w="816"/>
              <w:gridCol w:w="7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43" w:hRule="atLeast"/>
              </w:trPr>
              <w:tc>
                <w:tcPr>
                  <w:tcW w:w="430" w:type="pct"/>
                  <w:vMerge w:val="restar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监测断面</w:t>
                  </w:r>
                </w:p>
              </w:tc>
              <w:tc>
                <w:tcPr>
                  <w:tcW w:w="630" w:type="pct"/>
                  <w:vMerge w:val="restart"/>
                  <w:tcBorders>
                    <w:tl2br w:val="nil"/>
                    <w:tr2bl w:val="nil"/>
                  </w:tcBorders>
                  <w:vAlign w:val="center"/>
                </w:tcPr>
                <w:p>
                  <w:pPr>
                    <w:bidi w:val="0"/>
                    <w:spacing w:line="360" w:lineRule="auto"/>
                    <w:jc w:val="center"/>
                    <w:rPr>
                      <w:rFonts w:hint="eastAsia"/>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监测</w:t>
                  </w:r>
                </w:p>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因子</w:t>
                  </w:r>
                </w:p>
              </w:tc>
              <w:tc>
                <w:tcPr>
                  <w:tcW w:w="2101" w:type="pct"/>
                  <w:gridSpan w:val="4"/>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范围值</w:t>
                  </w:r>
                </w:p>
              </w:tc>
              <w:tc>
                <w:tcPr>
                  <w:tcW w:w="414" w:type="pct"/>
                  <w:vMerge w:val="restar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超标率%</w:t>
                  </w:r>
                </w:p>
              </w:tc>
              <w:tc>
                <w:tcPr>
                  <w:tcW w:w="553" w:type="pct"/>
                  <w:vMerge w:val="restar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最大超标倍数%</w:t>
                  </w:r>
                </w:p>
              </w:tc>
              <w:tc>
                <w:tcPr>
                  <w:tcW w:w="452" w:type="pct"/>
                  <w:vMerge w:val="restart"/>
                  <w:tcBorders>
                    <w:tl2br w:val="nil"/>
                    <w:tr2bl w:val="nil"/>
                  </w:tcBorders>
                  <w:vAlign w:val="center"/>
                </w:tcPr>
                <w:p>
                  <w:pPr>
                    <w:bidi w:val="0"/>
                    <w:spacing w:line="360" w:lineRule="auto"/>
                    <w:jc w:val="center"/>
                    <w:rPr>
                      <w:rFonts w:hint="eastAsia"/>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标准</w:t>
                  </w:r>
                </w:p>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限值</w:t>
                  </w:r>
                </w:p>
              </w:tc>
              <w:tc>
                <w:tcPr>
                  <w:tcW w:w="416" w:type="pct"/>
                  <w:vMerge w:val="restar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是否达标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30" w:type="pct"/>
                  <w:vMerge w:val="continue"/>
                  <w:tcBorders>
                    <w:tl2br w:val="nil"/>
                    <w:tr2bl w:val="nil"/>
                  </w:tcBorders>
                  <w:vAlign w:val="center"/>
                </w:tcPr>
                <w:p>
                  <w:pPr>
                    <w:bidi w:val="0"/>
                    <w:spacing w:line="360" w:lineRule="auto"/>
                    <w:jc w:val="center"/>
                    <w:rPr>
                      <w:rFonts w:hint="eastAsia"/>
                      <w:color w:val="auto"/>
                      <w:sz w:val="21"/>
                      <w:szCs w:val="21"/>
                      <w:u w:val="none" w:color="auto"/>
                      <w:vertAlign w:val="baseline"/>
                      <w:lang w:val="en-US" w:eastAsia="zh-CN"/>
                    </w:rPr>
                  </w:pPr>
                </w:p>
              </w:tc>
              <w:tc>
                <w:tcPr>
                  <w:tcW w:w="630" w:type="pct"/>
                  <w:vMerge w:val="continue"/>
                  <w:tcBorders>
                    <w:tl2br w:val="nil"/>
                    <w:tr2bl w:val="nil"/>
                  </w:tcBorders>
                  <w:vAlign w:val="center"/>
                </w:tcPr>
                <w:p>
                  <w:pPr>
                    <w:bidi w:val="0"/>
                    <w:spacing w:line="360" w:lineRule="auto"/>
                    <w:jc w:val="center"/>
                    <w:rPr>
                      <w:rFonts w:hint="eastAsia"/>
                      <w:color w:val="auto"/>
                      <w:sz w:val="21"/>
                      <w:szCs w:val="21"/>
                      <w:u w:val="none" w:color="auto"/>
                      <w:vertAlign w:val="baseline"/>
                      <w:lang w:val="en-US" w:eastAsia="zh-CN"/>
                    </w:rPr>
                  </w:pPr>
                </w:p>
              </w:tc>
              <w:tc>
                <w:tcPr>
                  <w:tcW w:w="508" w:type="pct"/>
                  <w:tcBorders>
                    <w:tl2br w:val="nil"/>
                    <w:tr2bl w:val="nil"/>
                  </w:tcBorders>
                  <w:vAlign w:val="center"/>
                </w:tcPr>
                <w:p>
                  <w:pPr>
                    <w:bidi w:val="0"/>
                    <w:spacing w:line="360" w:lineRule="auto"/>
                    <w:jc w:val="center"/>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左</w:t>
                  </w:r>
                </w:p>
              </w:tc>
              <w:tc>
                <w:tcPr>
                  <w:tcW w:w="453" w:type="pct"/>
                  <w:tcBorders>
                    <w:tl2br w:val="nil"/>
                    <w:tr2bl w:val="nil"/>
                  </w:tcBorders>
                  <w:vAlign w:val="center"/>
                </w:tcPr>
                <w:p>
                  <w:pPr>
                    <w:bidi w:val="0"/>
                    <w:spacing w:line="360" w:lineRule="auto"/>
                    <w:jc w:val="center"/>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中</w:t>
                  </w:r>
                </w:p>
              </w:tc>
              <w:tc>
                <w:tcPr>
                  <w:tcW w:w="518" w:type="pct"/>
                  <w:tcBorders>
                    <w:tl2br w:val="nil"/>
                    <w:tr2bl w:val="nil"/>
                  </w:tcBorders>
                  <w:vAlign w:val="center"/>
                </w:tcPr>
                <w:p>
                  <w:pPr>
                    <w:bidi w:val="0"/>
                    <w:spacing w:line="360" w:lineRule="auto"/>
                    <w:jc w:val="center"/>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右</w:t>
                  </w:r>
                </w:p>
              </w:tc>
              <w:tc>
                <w:tcPr>
                  <w:tcW w:w="621" w:type="pct"/>
                  <w:tcBorders>
                    <w:tl2br w:val="nil"/>
                    <w:tr2bl w:val="nil"/>
                  </w:tcBorders>
                  <w:vAlign w:val="center"/>
                </w:tcPr>
                <w:p>
                  <w:pPr>
                    <w:bidi w:val="0"/>
                    <w:spacing w:line="360" w:lineRule="auto"/>
                    <w:jc w:val="center"/>
                    <w:rPr>
                      <w:rFonts w:hint="eastAsia"/>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均值</w:t>
                  </w:r>
                </w:p>
              </w:tc>
              <w:tc>
                <w:tcPr>
                  <w:tcW w:w="414" w:type="pct"/>
                  <w:vMerge w:val="continue"/>
                  <w:tcBorders>
                    <w:tl2br w:val="nil"/>
                    <w:tr2bl w:val="nil"/>
                  </w:tcBorders>
                  <w:vAlign w:val="center"/>
                </w:tcPr>
                <w:p>
                  <w:pPr>
                    <w:bidi w:val="0"/>
                    <w:spacing w:line="360" w:lineRule="auto"/>
                    <w:jc w:val="center"/>
                    <w:rPr>
                      <w:rFonts w:hint="eastAsia"/>
                      <w:color w:val="auto"/>
                      <w:sz w:val="21"/>
                      <w:szCs w:val="21"/>
                      <w:u w:val="none" w:color="auto"/>
                      <w:vertAlign w:val="baseline"/>
                      <w:lang w:val="en-US" w:eastAsia="zh-CN"/>
                    </w:rPr>
                  </w:pPr>
                </w:p>
              </w:tc>
              <w:tc>
                <w:tcPr>
                  <w:tcW w:w="553" w:type="pct"/>
                  <w:vMerge w:val="continue"/>
                  <w:tcBorders>
                    <w:tl2br w:val="nil"/>
                    <w:tr2bl w:val="nil"/>
                  </w:tcBorders>
                  <w:vAlign w:val="center"/>
                </w:tcPr>
                <w:p>
                  <w:pPr>
                    <w:bidi w:val="0"/>
                    <w:spacing w:line="360" w:lineRule="auto"/>
                    <w:jc w:val="center"/>
                    <w:rPr>
                      <w:rFonts w:hint="eastAsia"/>
                      <w:color w:val="auto"/>
                      <w:sz w:val="21"/>
                      <w:szCs w:val="21"/>
                      <w:u w:val="none" w:color="auto"/>
                      <w:vertAlign w:val="baseline"/>
                      <w:lang w:val="en-US" w:eastAsia="zh-CN"/>
                    </w:rPr>
                  </w:pPr>
                </w:p>
              </w:tc>
              <w:tc>
                <w:tcPr>
                  <w:tcW w:w="452" w:type="pct"/>
                  <w:vMerge w:val="continue"/>
                  <w:tcBorders>
                    <w:tl2br w:val="nil"/>
                    <w:tr2bl w:val="nil"/>
                  </w:tcBorders>
                  <w:vAlign w:val="center"/>
                </w:tcPr>
                <w:p>
                  <w:pPr>
                    <w:bidi w:val="0"/>
                    <w:spacing w:line="360" w:lineRule="auto"/>
                    <w:jc w:val="center"/>
                    <w:rPr>
                      <w:rFonts w:hint="eastAsia"/>
                      <w:color w:val="auto"/>
                      <w:sz w:val="21"/>
                      <w:szCs w:val="21"/>
                      <w:u w:val="none" w:color="auto"/>
                      <w:vertAlign w:val="baseline"/>
                      <w:lang w:val="en-US" w:eastAsia="zh-CN"/>
                    </w:rPr>
                  </w:pPr>
                </w:p>
              </w:tc>
              <w:tc>
                <w:tcPr>
                  <w:tcW w:w="416" w:type="pct"/>
                  <w:vMerge w:val="continue"/>
                  <w:tcBorders>
                    <w:tl2br w:val="nil"/>
                    <w:tr2bl w:val="nil"/>
                  </w:tcBorders>
                  <w:vAlign w:val="center"/>
                </w:tcPr>
                <w:p>
                  <w:pPr>
                    <w:bidi w:val="0"/>
                    <w:spacing w:line="360" w:lineRule="auto"/>
                    <w:jc w:val="center"/>
                    <w:rPr>
                      <w:rFonts w:hint="eastAsia"/>
                      <w:color w:val="auto"/>
                      <w:sz w:val="21"/>
                      <w:szCs w:val="21"/>
                      <w:u w:val="none" w:color="auto"/>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0" w:type="pct"/>
                  <w:vMerge w:val="restar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洋沙湖断面</w:t>
                  </w:r>
                </w:p>
              </w:tc>
              <w:tc>
                <w:tcPr>
                  <w:tcW w:w="630"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pH值</w:t>
                  </w:r>
                </w:p>
              </w:tc>
              <w:tc>
                <w:tcPr>
                  <w:tcW w:w="508"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6.8</w:t>
                  </w:r>
                </w:p>
              </w:tc>
              <w:tc>
                <w:tcPr>
                  <w:tcW w:w="453" w:type="pct"/>
                  <w:tcBorders>
                    <w:tl2br w:val="nil"/>
                    <w:tr2bl w:val="nil"/>
                  </w:tcBorders>
                  <w:vAlign w:val="center"/>
                </w:tcPr>
                <w:p>
                  <w:pPr>
                    <w:bidi w:val="0"/>
                    <w:spacing w:line="360" w:lineRule="auto"/>
                    <w:jc w:val="center"/>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7.12</w:t>
                  </w:r>
                </w:p>
              </w:tc>
              <w:tc>
                <w:tcPr>
                  <w:tcW w:w="518" w:type="pct"/>
                  <w:tcBorders>
                    <w:tl2br w:val="nil"/>
                    <w:tr2bl w:val="nil"/>
                  </w:tcBorders>
                  <w:vAlign w:val="center"/>
                </w:tcPr>
                <w:p>
                  <w:pPr>
                    <w:bidi w:val="0"/>
                    <w:spacing w:line="360" w:lineRule="auto"/>
                    <w:jc w:val="center"/>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7.08</w:t>
                  </w:r>
                </w:p>
              </w:tc>
              <w:tc>
                <w:tcPr>
                  <w:tcW w:w="621"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6.98-7.12</w:t>
                  </w:r>
                </w:p>
              </w:tc>
              <w:tc>
                <w:tcPr>
                  <w:tcW w:w="414"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w:t>
                  </w:r>
                </w:p>
              </w:tc>
              <w:tc>
                <w:tcPr>
                  <w:tcW w:w="553"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w:t>
                  </w:r>
                </w:p>
              </w:tc>
              <w:tc>
                <w:tcPr>
                  <w:tcW w:w="452"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6-9</w:t>
                  </w:r>
                </w:p>
              </w:tc>
              <w:tc>
                <w:tcPr>
                  <w:tcW w:w="416"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0" w:type="pct"/>
                  <w:vMerge w:val="continue"/>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p>
              </w:tc>
              <w:tc>
                <w:tcPr>
                  <w:tcW w:w="630"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DO</w:t>
                  </w:r>
                </w:p>
              </w:tc>
              <w:tc>
                <w:tcPr>
                  <w:tcW w:w="508"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5.76</w:t>
                  </w:r>
                </w:p>
              </w:tc>
              <w:tc>
                <w:tcPr>
                  <w:tcW w:w="453" w:type="pct"/>
                  <w:tcBorders>
                    <w:tl2br w:val="nil"/>
                    <w:tr2bl w:val="nil"/>
                  </w:tcBorders>
                  <w:vAlign w:val="center"/>
                </w:tcPr>
                <w:p>
                  <w:pPr>
                    <w:bidi w:val="0"/>
                    <w:spacing w:line="360" w:lineRule="auto"/>
                    <w:jc w:val="center"/>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5.61</w:t>
                  </w:r>
                </w:p>
              </w:tc>
              <w:tc>
                <w:tcPr>
                  <w:tcW w:w="518" w:type="pct"/>
                  <w:tcBorders>
                    <w:tl2br w:val="nil"/>
                    <w:tr2bl w:val="nil"/>
                  </w:tcBorders>
                  <w:vAlign w:val="center"/>
                </w:tcPr>
                <w:p>
                  <w:pPr>
                    <w:bidi w:val="0"/>
                    <w:spacing w:line="360" w:lineRule="auto"/>
                    <w:jc w:val="center"/>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5.84</w:t>
                  </w:r>
                </w:p>
              </w:tc>
              <w:tc>
                <w:tcPr>
                  <w:tcW w:w="621"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5.74</w:t>
                  </w:r>
                </w:p>
              </w:tc>
              <w:tc>
                <w:tcPr>
                  <w:tcW w:w="414"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w:t>
                  </w:r>
                </w:p>
              </w:tc>
              <w:tc>
                <w:tcPr>
                  <w:tcW w:w="553"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w:t>
                  </w:r>
                </w:p>
              </w:tc>
              <w:tc>
                <w:tcPr>
                  <w:tcW w:w="452"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default" w:ascii="Arial" w:hAnsi="Arial" w:cs="Arial"/>
                      <w:color w:val="auto"/>
                      <w:sz w:val="21"/>
                      <w:szCs w:val="21"/>
                      <w:u w:val="none" w:color="auto"/>
                      <w:vertAlign w:val="baseline"/>
                      <w:lang w:val="en-US" w:eastAsia="zh-CN"/>
                    </w:rPr>
                    <w:t>≥</w:t>
                  </w:r>
                  <w:r>
                    <w:rPr>
                      <w:rFonts w:hint="eastAsia"/>
                      <w:color w:val="auto"/>
                      <w:sz w:val="21"/>
                      <w:szCs w:val="21"/>
                      <w:u w:val="none" w:color="auto"/>
                      <w:vertAlign w:val="baseline"/>
                      <w:lang w:val="en-US" w:eastAsia="zh-CN"/>
                    </w:rPr>
                    <w:t>5</w:t>
                  </w:r>
                </w:p>
              </w:tc>
              <w:tc>
                <w:tcPr>
                  <w:tcW w:w="416"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0" w:type="pct"/>
                  <w:vMerge w:val="continue"/>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p>
              </w:tc>
              <w:tc>
                <w:tcPr>
                  <w:tcW w:w="630"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COD</w:t>
                  </w:r>
                  <w:r>
                    <w:rPr>
                      <w:rFonts w:hint="eastAsia"/>
                      <w:color w:val="auto"/>
                      <w:sz w:val="21"/>
                      <w:szCs w:val="21"/>
                      <w:u w:val="none" w:color="auto"/>
                      <w:vertAlign w:val="subscript"/>
                      <w:lang w:val="en-US" w:eastAsia="zh-CN"/>
                    </w:rPr>
                    <w:t>cr</w:t>
                  </w:r>
                </w:p>
              </w:tc>
              <w:tc>
                <w:tcPr>
                  <w:tcW w:w="508"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13.6</w:t>
                  </w:r>
                </w:p>
              </w:tc>
              <w:tc>
                <w:tcPr>
                  <w:tcW w:w="453" w:type="pct"/>
                  <w:tcBorders>
                    <w:tl2br w:val="nil"/>
                    <w:tr2bl w:val="nil"/>
                  </w:tcBorders>
                  <w:vAlign w:val="center"/>
                </w:tcPr>
                <w:p>
                  <w:pPr>
                    <w:bidi w:val="0"/>
                    <w:spacing w:line="360" w:lineRule="auto"/>
                    <w:jc w:val="center"/>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13.1</w:t>
                  </w:r>
                </w:p>
              </w:tc>
              <w:tc>
                <w:tcPr>
                  <w:tcW w:w="518" w:type="pct"/>
                  <w:tcBorders>
                    <w:tl2br w:val="nil"/>
                    <w:tr2bl w:val="nil"/>
                  </w:tcBorders>
                  <w:vAlign w:val="center"/>
                </w:tcPr>
                <w:p>
                  <w:pPr>
                    <w:bidi w:val="0"/>
                    <w:spacing w:line="360" w:lineRule="auto"/>
                    <w:jc w:val="center"/>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13.4</w:t>
                  </w:r>
                </w:p>
              </w:tc>
              <w:tc>
                <w:tcPr>
                  <w:tcW w:w="621"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13.4</w:t>
                  </w:r>
                </w:p>
              </w:tc>
              <w:tc>
                <w:tcPr>
                  <w:tcW w:w="414"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w:t>
                  </w:r>
                </w:p>
              </w:tc>
              <w:tc>
                <w:tcPr>
                  <w:tcW w:w="553"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w:t>
                  </w:r>
                </w:p>
              </w:tc>
              <w:tc>
                <w:tcPr>
                  <w:tcW w:w="452"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20</w:t>
                  </w:r>
                </w:p>
              </w:tc>
              <w:tc>
                <w:tcPr>
                  <w:tcW w:w="416"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0" w:type="pct"/>
                  <w:vMerge w:val="continue"/>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p>
              </w:tc>
              <w:tc>
                <w:tcPr>
                  <w:tcW w:w="630"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BOD</w:t>
                  </w:r>
                  <w:r>
                    <w:rPr>
                      <w:rFonts w:hint="eastAsia"/>
                      <w:color w:val="auto"/>
                      <w:sz w:val="21"/>
                      <w:szCs w:val="21"/>
                      <w:u w:val="none" w:color="auto"/>
                      <w:vertAlign w:val="subscript"/>
                      <w:lang w:val="en-US" w:eastAsia="zh-CN"/>
                    </w:rPr>
                    <w:t>5</w:t>
                  </w:r>
                </w:p>
              </w:tc>
              <w:tc>
                <w:tcPr>
                  <w:tcW w:w="508"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2.72</w:t>
                  </w:r>
                </w:p>
              </w:tc>
              <w:tc>
                <w:tcPr>
                  <w:tcW w:w="453" w:type="pct"/>
                  <w:tcBorders>
                    <w:tl2br w:val="nil"/>
                    <w:tr2bl w:val="nil"/>
                  </w:tcBorders>
                  <w:vAlign w:val="center"/>
                </w:tcPr>
                <w:p>
                  <w:pPr>
                    <w:bidi w:val="0"/>
                    <w:spacing w:line="360" w:lineRule="auto"/>
                    <w:jc w:val="center"/>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2.62</w:t>
                  </w:r>
                </w:p>
              </w:tc>
              <w:tc>
                <w:tcPr>
                  <w:tcW w:w="518" w:type="pct"/>
                  <w:tcBorders>
                    <w:tl2br w:val="nil"/>
                    <w:tr2bl w:val="nil"/>
                  </w:tcBorders>
                  <w:vAlign w:val="center"/>
                </w:tcPr>
                <w:p>
                  <w:pPr>
                    <w:bidi w:val="0"/>
                    <w:spacing w:line="360" w:lineRule="auto"/>
                    <w:jc w:val="center"/>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2.68</w:t>
                  </w:r>
                </w:p>
              </w:tc>
              <w:tc>
                <w:tcPr>
                  <w:tcW w:w="621"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2.67</w:t>
                  </w:r>
                </w:p>
              </w:tc>
              <w:tc>
                <w:tcPr>
                  <w:tcW w:w="414"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w:t>
                  </w:r>
                </w:p>
              </w:tc>
              <w:tc>
                <w:tcPr>
                  <w:tcW w:w="553"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w:t>
                  </w:r>
                </w:p>
              </w:tc>
              <w:tc>
                <w:tcPr>
                  <w:tcW w:w="452"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4</w:t>
                  </w:r>
                </w:p>
              </w:tc>
              <w:tc>
                <w:tcPr>
                  <w:tcW w:w="416"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0" w:type="pct"/>
                  <w:vMerge w:val="continue"/>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p>
              </w:tc>
              <w:tc>
                <w:tcPr>
                  <w:tcW w:w="630"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氨氮</w:t>
                  </w:r>
                </w:p>
              </w:tc>
              <w:tc>
                <w:tcPr>
                  <w:tcW w:w="508"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0.535</w:t>
                  </w:r>
                </w:p>
              </w:tc>
              <w:tc>
                <w:tcPr>
                  <w:tcW w:w="453" w:type="pct"/>
                  <w:tcBorders>
                    <w:tl2br w:val="nil"/>
                    <w:tr2bl w:val="nil"/>
                  </w:tcBorders>
                  <w:vAlign w:val="center"/>
                </w:tcPr>
                <w:p>
                  <w:pPr>
                    <w:bidi w:val="0"/>
                    <w:spacing w:line="360" w:lineRule="auto"/>
                    <w:jc w:val="center"/>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0.486</w:t>
                  </w:r>
                </w:p>
              </w:tc>
              <w:tc>
                <w:tcPr>
                  <w:tcW w:w="518" w:type="pct"/>
                  <w:tcBorders>
                    <w:tl2br w:val="nil"/>
                    <w:tr2bl w:val="nil"/>
                  </w:tcBorders>
                  <w:vAlign w:val="center"/>
                </w:tcPr>
                <w:p>
                  <w:pPr>
                    <w:bidi w:val="0"/>
                    <w:spacing w:line="360" w:lineRule="auto"/>
                    <w:jc w:val="center"/>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0.426</w:t>
                  </w:r>
                </w:p>
              </w:tc>
              <w:tc>
                <w:tcPr>
                  <w:tcW w:w="621"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0.517</w:t>
                  </w:r>
                </w:p>
              </w:tc>
              <w:tc>
                <w:tcPr>
                  <w:tcW w:w="414"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w:t>
                  </w:r>
                </w:p>
              </w:tc>
              <w:tc>
                <w:tcPr>
                  <w:tcW w:w="553"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w:t>
                  </w:r>
                </w:p>
              </w:tc>
              <w:tc>
                <w:tcPr>
                  <w:tcW w:w="452"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1</w:t>
                  </w:r>
                </w:p>
              </w:tc>
              <w:tc>
                <w:tcPr>
                  <w:tcW w:w="416"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0" w:type="pct"/>
                  <w:vMerge w:val="continue"/>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p>
              </w:tc>
              <w:tc>
                <w:tcPr>
                  <w:tcW w:w="630"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总磷</w:t>
                  </w:r>
                </w:p>
              </w:tc>
              <w:tc>
                <w:tcPr>
                  <w:tcW w:w="508"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0.092</w:t>
                  </w:r>
                </w:p>
              </w:tc>
              <w:tc>
                <w:tcPr>
                  <w:tcW w:w="453" w:type="pct"/>
                  <w:tcBorders>
                    <w:tl2br w:val="nil"/>
                    <w:tr2bl w:val="nil"/>
                  </w:tcBorders>
                  <w:vAlign w:val="center"/>
                </w:tcPr>
                <w:p>
                  <w:pPr>
                    <w:bidi w:val="0"/>
                    <w:spacing w:line="360" w:lineRule="auto"/>
                    <w:jc w:val="center"/>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0.076</w:t>
                  </w:r>
                </w:p>
              </w:tc>
              <w:tc>
                <w:tcPr>
                  <w:tcW w:w="518" w:type="pct"/>
                  <w:tcBorders>
                    <w:tl2br w:val="nil"/>
                    <w:tr2bl w:val="nil"/>
                  </w:tcBorders>
                  <w:vAlign w:val="center"/>
                </w:tcPr>
                <w:p>
                  <w:pPr>
                    <w:bidi w:val="0"/>
                    <w:spacing w:line="360" w:lineRule="auto"/>
                    <w:jc w:val="center"/>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0.083</w:t>
                  </w:r>
                </w:p>
              </w:tc>
              <w:tc>
                <w:tcPr>
                  <w:tcW w:w="621"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0.084</w:t>
                  </w:r>
                </w:p>
              </w:tc>
              <w:tc>
                <w:tcPr>
                  <w:tcW w:w="414"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w:t>
                  </w:r>
                </w:p>
              </w:tc>
              <w:tc>
                <w:tcPr>
                  <w:tcW w:w="553"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w:t>
                  </w:r>
                </w:p>
              </w:tc>
              <w:tc>
                <w:tcPr>
                  <w:tcW w:w="452"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0.2</w:t>
                  </w:r>
                </w:p>
              </w:tc>
              <w:tc>
                <w:tcPr>
                  <w:tcW w:w="416"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0" w:type="pct"/>
                  <w:vMerge w:val="continue"/>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p>
              </w:tc>
              <w:tc>
                <w:tcPr>
                  <w:tcW w:w="630" w:type="pct"/>
                  <w:tcBorders>
                    <w:tl2br w:val="nil"/>
                    <w:tr2bl w:val="nil"/>
                  </w:tcBorders>
                  <w:vAlign w:val="center"/>
                </w:tcPr>
                <w:p>
                  <w:pPr>
                    <w:bidi w:val="0"/>
                    <w:spacing w:line="360" w:lineRule="auto"/>
                    <w:jc w:val="center"/>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六价铬</w:t>
                  </w:r>
                </w:p>
              </w:tc>
              <w:tc>
                <w:tcPr>
                  <w:tcW w:w="508"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ND</w:t>
                  </w:r>
                </w:p>
              </w:tc>
              <w:tc>
                <w:tcPr>
                  <w:tcW w:w="453" w:type="pct"/>
                  <w:tcBorders>
                    <w:tl2br w:val="nil"/>
                    <w:tr2bl w:val="nil"/>
                  </w:tcBorders>
                  <w:vAlign w:val="center"/>
                </w:tcPr>
                <w:p>
                  <w:pPr>
                    <w:bidi w:val="0"/>
                    <w:spacing w:line="360" w:lineRule="auto"/>
                    <w:jc w:val="center"/>
                    <w:rPr>
                      <w:rFonts w:hint="eastAsia"/>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ND</w:t>
                  </w:r>
                </w:p>
              </w:tc>
              <w:tc>
                <w:tcPr>
                  <w:tcW w:w="518" w:type="pct"/>
                  <w:tcBorders>
                    <w:tl2br w:val="nil"/>
                    <w:tr2bl w:val="nil"/>
                  </w:tcBorders>
                  <w:vAlign w:val="center"/>
                </w:tcPr>
                <w:p>
                  <w:pPr>
                    <w:bidi w:val="0"/>
                    <w:spacing w:line="360" w:lineRule="auto"/>
                    <w:jc w:val="center"/>
                    <w:rPr>
                      <w:rFonts w:hint="eastAsia"/>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ND</w:t>
                  </w:r>
                </w:p>
              </w:tc>
              <w:tc>
                <w:tcPr>
                  <w:tcW w:w="621"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ND</w:t>
                  </w:r>
                </w:p>
              </w:tc>
              <w:tc>
                <w:tcPr>
                  <w:tcW w:w="414"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w:t>
                  </w:r>
                </w:p>
              </w:tc>
              <w:tc>
                <w:tcPr>
                  <w:tcW w:w="553"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w:t>
                  </w:r>
                </w:p>
              </w:tc>
              <w:tc>
                <w:tcPr>
                  <w:tcW w:w="452"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0.05</w:t>
                  </w:r>
                </w:p>
              </w:tc>
              <w:tc>
                <w:tcPr>
                  <w:tcW w:w="416"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430" w:type="pct"/>
                  <w:vMerge w:val="continue"/>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p>
              </w:tc>
              <w:tc>
                <w:tcPr>
                  <w:tcW w:w="630" w:type="pct"/>
                  <w:tcBorders>
                    <w:tl2br w:val="nil"/>
                    <w:tr2bl w:val="nil"/>
                  </w:tcBorders>
                  <w:vAlign w:val="center"/>
                </w:tcPr>
                <w:p>
                  <w:pPr>
                    <w:bidi w:val="0"/>
                    <w:spacing w:line="360" w:lineRule="auto"/>
                    <w:jc w:val="center"/>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氰化物</w:t>
                  </w:r>
                </w:p>
              </w:tc>
              <w:tc>
                <w:tcPr>
                  <w:tcW w:w="508"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ND</w:t>
                  </w:r>
                </w:p>
              </w:tc>
              <w:tc>
                <w:tcPr>
                  <w:tcW w:w="453" w:type="pct"/>
                  <w:tcBorders>
                    <w:tl2br w:val="nil"/>
                    <w:tr2bl w:val="nil"/>
                  </w:tcBorders>
                  <w:vAlign w:val="center"/>
                </w:tcPr>
                <w:p>
                  <w:pPr>
                    <w:bidi w:val="0"/>
                    <w:spacing w:line="360" w:lineRule="auto"/>
                    <w:jc w:val="center"/>
                    <w:rPr>
                      <w:rFonts w:hint="eastAsia"/>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ND</w:t>
                  </w:r>
                </w:p>
              </w:tc>
              <w:tc>
                <w:tcPr>
                  <w:tcW w:w="518" w:type="pct"/>
                  <w:tcBorders>
                    <w:tl2br w:val="nil"/>
                    <w:tr2bl w:val="nil"/>
                  </w:tcBorders>
                  <w:vAlign w:val="center"/>
                </w:tcPr>
                <w:p>
                  <w:pPr>
                    <w:bidi w:val="0"/>
                    <w:spacing w:line="360" w:lineRule="auto"/>
                    <w:jc w:val="center"/>
                    <w:rPr>
                      <w:rFonts w:hint="eastAsia"/>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ND</w:t>
                  </w:r>
                </w:p>
              </w:tc>
              <w:tc>
                <w:tcPr>
                  <w:tcW w:w="621"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ND</w:t>
                  </w:r>
                </w:p>
              </w:tc>
              <w:tc>
                <w:tcPr>
                  <w:tcW w:w="414"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w:t>
                  </w:r>
                </w:p>
              </w:tc>
              <w:tc>
                <w:tcPr>
                  <w:tcW w:w="553"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w:t>
                  </w:r>
                </w:p>
              </w:tc>
              <w:tc>
                <w:tcPr>
                  <w:tcW w:w="452"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2</w:t>
                  </w:r>
                </w:p>
              </w:tc>
              <w:tc>
                <w:tcPr>
                  <w:tcW w:w="416"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430" w:type="pct"/>
                  <w:vMerge w:val="continue"/>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p>
              </w:tc>
              <w:tc>
                <w:tcPr>
                  <w:tcW w:w="630" w:type="pct"/>
                  <w:tcBorders>
                    <w:tl2br w:val="nil"/>
                    <w:tr2bl w:val="nil"/>
                  </w:tcBorders>
                  <w:vAlign w:val="center"/>
                </w:tcPr>
                <w:p>
                  <w:pPr>
                    <w:bidi w:val="0"/>
                    <w:spacing w:line="360" w:lineRule="auto"/>
                    <w:jc w:val="center"/>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挥发酚</w:t>
                  </w:r>
                </w:p>
              </w:tc>
              <w:tc>
                <w:tcPr>
                  <w:tcW w:w="508"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ND</w:t>
                  </w:r>
                </w:p>
              </w:tc>
              <w:tc>
                <w:tcPr>
                  <w:tcW w:w="453" w:type="pct"/>
                  <w:tcBorders>
                    <w:tl2br w:val="nil"/>
                    <w:tr2bl w:val="nil"/>
                  </w:tcBorders>
                  <w:vAlign w:val="center"/>
                </w:tcPr>
                <w:p>
                  <w:pPr>
                    <w:bidi w:val="0"/>
                    <w:spacing w:line="360" w:lineRule="auto"/>
                    <w:jc w:val="center"/>
                    <w:rPr>
                      <w:rFonts w:hint="eastAsia"/>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ND</w:t>
                  </w:r>
                </w:p>
              </w:tc>
              <w:tc>
                <w:tcPr>
                  <w:tcW w:w="518" w:type="pct"/>
                  <w:tcBorders>
                    <w:tl2br w:val="nil"/>
                    <w:tr2bl w:val="nil"/>
                  </w:tcBorders>
                  <w:vAlign w:val="center"/>
                </w:tcPr>
                <w:p>
                  <w:pPr>
                    <w:bidi w:val="0"/>
                    <w:spacing w:line="360" w:lineRule="auto"/>
                    <w:jc w:val="center"/>
                    <w:rPr>
                      <w:rFonts w:hint="eastAsia"/>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ND</w:t>
                  </w:r>
                </w:p>
              </w:tc>
              <w:tc>
                <w:tcPr>
                  <w:tcW w:w="621"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ND</w:t>
                  </w:r>
                </w:p>
              </w:tc>
              <w:tc>
                <w:tcPr>
                  <w:tcW w:w="414"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w:t>
                  </w:r>
                </w:p>
              </w:tc>
              <w:tc>
                <w:tcPr>
                  <w:tcW w:w="553"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w:t>
                  </w:r>
                </w:p>
              </w:tc>
              <w:tc>
                <w:tcPr>
                  <w:tcW w:w="452"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0.005</w:t>
                  </w:r>
                </w:p>
              </w:tc>
              <w:tc>
                <w:tcPr>
                  <w:tcW w:w="416"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0" w:type="pct"/>
                  <w:vMerge w:val="continue"/>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p>
              </w:tc>
              <w:tc>
                <w:tcPr>
                  <w:tcW w:w="630" w:type="pct"/>
                  <w:tcBorders>
                    <w:tl2br w:val="nil"/>
                    <w:tr2bl w:val="nil"/>
                  </w:tcBorders>
                  <w:vAlign w:val="center"/>
                </w:tcPr>
                <w:p>
                  <w:pPr>
                    <w:bidi w:val="0"/>
                    <w:spacing w:line="360" w:lineRule="auto"/>
                    <w:jc w:val="center"/>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石油类</w:t>
                  </w:r>
                </w:p>
              </w:tc>
              <w:tc>
                <w:tcPr>
                  <w:tcW w:w="508"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0.03</w:t>
                  </w:r>
                </w:p>
              </w:tc>
              <w:tc>
                <w:tcPr>
                  <w:tcW w:w="453" w:type="pct"/>
                  <w:tcBorders>
                    <w:tl2br w:val="nil"/>
                    <w:tr2bl w:val="nil"/>
                  </w:tcBorders>
                  <w:vAlign w:val="center"/>
                </w:tcPr>
                <w:p>
                  <w:pPr>
                    <w:bidi w:val="0"/>
                    <w:spacing w:line="360" w:lineRule="auto"/>
                    <w:jc w:val="center"/>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0.03</w:t>
                  </w:r>
                </w:p>
              </w:tc>
              <w:tc>
                <w:tcPr>
                  <w:tcW w:w="518" w:type="pct"/>
                  <w:tcBorders>
                    <w:tl2br w:val="nil"/>
                    <w:tr2bl w:val="nil"/>
                  </w:tcBorders>
                  <w:vAlign w:val="center"/>
                </w:tcPr>
                <w:p>
                  <w:pPr>
                    <w:bidi w:val="0"/>
                    <w:spacing w:line="360" w:lineRule="auto"/>
                    <w:jc w:val="center"/>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0.01</w:t>
                  </w:r>
                </w:p>
              </w:tc>
              <w:tc>
                <w:tcPr>
                  <w:tcW w:w="621"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0.03</w:t>
                  </w:r>
                </w:p>
              </w:tc>
              <w:tc>
                <w:tcPr>
                  <w:tcW w:w="414"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w:t>
                  </w:r>
                </w:p>
              </w:tc>
              <w:tc>
                <w:tcPr>
                  <w:tcW w:w="553"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w:t>
                  </w:r>
                </w:p>
              </w:tc>
              <w:tc>
                <w:tcPr>
                  <w:tcW w:w="452"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0.05</w:t>
                  </w:r>
                </w:p>
              </w:tc>
              <w:tc>
                <w:tcPr>
                  <w:tcW w:w="416"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0" w:type="pct"/>
                  <w:vMerge w:val="continue"/>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p>
              </w:tc>
              <w:tc>
                <w:tcPr>
                  <w:tcW w:w="630" w:type="pct"/>
                  <w:tcBorders>
                    <w:tl2br w:val="nil"/>
                    <w:tr2bl w:val="nil"/>
                  </w:tcBorders>
                  <w:vAlign w:val="center"/>
                </w:tcPr>
                <w:p>
                  <w:pPr>
                    <w:bidi w:val="0"/>
                    <w:spacing w:line="360" w:lineRule="auto"/>
                    <w:jc w:val="center"/>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硫化物</w:t>
                  </w:r>
                </w:p>
              </w:tc>
              <w:tc>
                <w:tcPr>
                  <w:tcW w:w="508"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ND</w:t>
                  </w:r>
                </w:p>
              </w:tc>
              <w:tc>
                <w:tcPr>
                  <w:tcW w:w="453" w:type="pct"/>
                  <w:tcBorders>
                    <w:tl2br w:val="nil"/>
                    <w:tr2bl w:val="nil"/>
                  </w:tcBorders>
                  <w:vAlign w:val="center"/>
                </w:tcPr>
                <w:p>
                  <w:pPr>
                    <w:bidi w:val="0"/>
                    <w:spacing w:line="360" w:lineRule="auto"/>
                    <w:jc w:val="center"/>
                    <w:rPr>
                      <w:rFonts w:hint="eastAsia"/>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ND</w:t>
                  </w:r>
                </w:p>
              </w:tc>
              <w:tc>
                <w:tcPr>
                  <w:tcW w:w="518" w:type="pct"/>
                  <w:tcBorders>
                    <w:tl2br w:val="nil"/>
                    <w:tr2bl w:val="nil"/>
                  </w:tcBorders>
                  <w:vAlign w:val="center"/>
                </w:tcPr>
                <w:p>
                  <w:pPr>
                    <w:bidi w:val="0"/>
                    <w:spacing w:line="360" w:lineRule="auto"/>
                    <w:jc w:val="center"/>
                    <w:rPr>
                      <w:rFonts w:hint="eastAsia"/>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ND</w:t>
                  </w:r>
                </w:p>
              </w:tc>
              <w:tc>
                <w:tcPr>
                  <w:tcW w:w="621"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ND</w:t>
                  </w:r>
                </w:p>
              </w:tc>
              <w:tc>
                <w:tcPr>
                  <w:tcW w:w="414"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w:t>
                  </w:r>
                </w:p>
              </w:tc>
              <w:tc>
                <w:tcPr>
                  <w:tcW w:w="553"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w:t>
                  </w:r>
                </w:p>
              </w:tc>
              <w:tc>
                <w:tcPr>
                  <w:tcW w:w="452"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0.2</w:t>
                  </w:r>
                </w:p>
              </w:tc>
              <w:tc>
                <w:tcPr>
                  <w:tcW w:w="416" w:type="pct"/>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0" w:type="pct"/>
                  <w:vMerge w:val="continue"/>
                  <w:tcBorders>
                    <w:tl2br w:val="nil"/>
                    <w:tr2bl w:val="nil"/>
                  </w:tcBorders>
                  <w:vAlign w:val="center"/>
                </w:tcPr>
                <w:p>
                  <w:pPr>
                    <w:bidi w:val="0"/>
                    <w:spacing w:line="360" w:lineRule="auto"/>
                    <w:jc w:val="center"/>
                    <w:rPr>
                      <w:rFonts w:hint="default" w:eastAsia="宋体"/>
                      <w:color w:val="auto"/>
                      <w:sz w:val="21"/>
                      <w:szCs w:val="21"/>
                      <w:u w:val="none" w:color="auto"/>
                      <w:vertAlign w:val="baseline"/>
                      <w:lang w:val="en-US" w:eastAsia="zh-CN"/>
                    </w:rPr>
                  </w:pPr>
                </w:p>
              </w:tc>
              <w:tc>
                <w:tcPr>
                  <w:tcW w:w="630" w:type="pct"/>
                  <w:tcBorders>
                    <w:tl2br w:val="nil"/>
                    <w:tr2bl w:val="nil"/>
                  </w:tcBorders>
                  <w:vAlign w:val="center"/>
                </w:tcPr>
                <w:p>
                  <w:pPr>
                    <w:bidi w:val="0"/>
                    <w:spacing w:line="360" w:lineRule="auto"/>
                    <w:jc w:val="center"/>
                    <w:rPr>
                      <w:rFonts w:hint="eastAsia"/>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粪大肠</w:t>
                  </w:r>
                </w:p>
                <w:p>
                  <w:pPr>
                    <w:bidi w:val="0"/>
                    <w:spacing w:line="360" w:lineRule="auto"/>
                    <w:jc w:val="center"/>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菌群</w:t>
                  </w:r>
                </w:p>
              </w:tc>
              <w:tc>
                <w:tcPr>
                  <w:tcW w:w="508" w:type="pct"/>
                  <w:tcBorders>
                    <w:tl2br w:val="nil"/>
                    <w:tr2bl w:val="nil"/>
                  </w:tcBorders>
                  <w:vAlign w:val="center"/>
                </w:tcPr>
                <w:p>
                  <w:pPr>
                    <w:bidi w:val="0"/>
                    <w:spacing w:line="360" w:lineRule="auto"/>
                    <w:jc w:val="center"/>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2200</w:t>
                  </w:r>
                </w:p>
              </w:tc>
              <w:tc>
                <w:tcPr>
                  <w:tcW w:w="453" w:type="pct"/>
                  <w:tcBorders>
                    <w:tl2br w:val="nil"/>
                    <w:tr2bl w:val="nil"/>
                  </w:tcBorders>
                  <w:vAlign w:val="center"/>
                </w:tcPr>
                <w:p>
                  <w:pPr>
                    <w:bidi w:val="0"/>
                    <w:spacing w:line="360" w:lineRule="auto"/>
                    <w:jc w:val="center"/>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2200</w:t>
                  </w:r>
                </w:p>
              </w:tc>
              <w:tc>
                <w:tcPr>
                  <w:tcW w:w="518" w:type="pct"/>
                  <w:tcBorders>
                    <w:tl2br w:val="nil"/>
                    <w:tr2bl w:val="nil"/>
                  </w:tcBorders>
                  <w:vAlign w:val="center"/>
                </w:tcPr>
                <w:p>
                  <w:pPr>
                    <w:bidi w:val="0"/>
                    <w:spacing w:line="360" w:lineRule="auto"/>
                    <w:jc w:val="center"/>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2800</w:t>
                  </w:r>
                </w:p>
              </w:tc>
              <w:tc>
                <w:tcPr>
                  <w:tcW w:w="621" w:type="pct"/>
                  <w:tcBorders>
                    <w:tl2br w:val="nil"/>
                    <w:tr2bl w:val="nil"/>
                  </w:tcBorders>
                  <w:vAlign w:val="center"/>
                </w:tcPr>
                <w:p>
                  <w:pPr>
                    <w:bidi w:val="0"/>
                    <w:spacing w:line="360" w:lineRule="auto"/>
                    <w:jc w:val="center"/>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2400</w:t>
                  </w:r>
                </w:p>
              </w:tc>
              <w:tc>
                <w:tcPr>
                  <w:tcW w:w="414" w:type="pct"/>
                  <w:tcBorders>
                    <w:tl2br w:val="nil"/>
                    <w:tr2bl w:val="nil"/>
                  </w:tcBorders>
                  <w:vAlign w:val="center"/>
                </w:tcPr>
                <w:p>
                  <w:pPr>
                    <w:bidi w:val="0"/>
                    <w:spacing w:line="360" w:lineRule="auto"/>
                    <w:jc w:val="center"/>
                    <w:rPr>
                      <w:rFonts w:hint="eastAsia"/>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w:t>
                  </w:r>
                </w:p>
              </w:tc>
              <w:tc>
                <w:tcPr>
                  <w:tcW w:w="553" w:type="pct"/>
                  <w:tcBorders>
                    <w:tl2br w:val="nil"/>
                    <w:tr2bl w:val="nil"/>
                  </w:tcBorders>
                  <w:vAlign w:val="center"/>
                </w:tcPr>
                <w:p>
                  <w:pPr>
                    <w:bidi w:val="0"/>
                    <w:spacing w:line="360" w:lineRule="auto"/>
                    <w:jc w:val="center"/>
                    <w:rPr>
                      <w:rFonts w:hint="eastAsia"/>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w:t>
                  </w:r>
                </w:p>
              </w:tc>
              <w:tc>
                <w:tcPr>
                  <w:tcW w:w="452" w:type="pct"/>
                  <w:tcBorders>
                    <w:tl2br w:val="nil"/>
                    <w:tr2bl w:val="nil"/>
                  </w:tcBorders>
                  <w:vAlign w:val="center"/>
                </w:tcPr>
                <w:p>
                  <w:pPr>
                    <w:bidi w:val="0"/>
                    <w:spacing w:line="360" w:lineRule="auto"/>
                    <w:jc w:val="center"/>
                    <w:rPr>
                      <w:rFonts w:hint="eastAsia"/>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10000</w:t>
                  </w:r>
                </w:p>
              </w:tc>
              <w:tc>
                <w:tcPr>
                  <w:tcW w:w="416" w:type="pct"/>
                  <w:tcBorders>
                    <w:tl2br w:val="nil"/>
                    <w:tr2bl w:val="nil"/>
                  </w:tcBorders>
                  <w:vAlign w:val="center"/>
                </w:tcPr>
                <w:p>
                  <w:pPr>
                    <w:bidi w:val="0"/>
                    <w:spacing w:line="360" w:lineRule="auto"/>
                    <w:jc w:val="center"/>
                    <w:rPr>
                      <w:rFonts w:hint="eastAsia"/>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达标</w:t>
                  </w:r>
                </w:p>
              </w:tc>
            </w:tr>
          </w:tbl>
          <w:p>
            <w:pPr>
              <w:spacing w:line="360" w:lineRule="auto"/>
              <w:ind w:firstLine="466" w:firstLineChars="200"/>
              <w:jc w:val="both"/>
              <w:rPr>
                <w:rFonts w:hint="default" w:ascii="Times New Roman" w:hAnsi="Times New Roman" w:cs="Times New Roman"/>
                <w:b/>
                <w:bCs/>
                <w:color w:val="auto"/>
                <w:sz w:val="24"/>
                <w:szCs w:val="24"/>
                <w:u w:val="none" w:color="auto"/>
              </w:rPr>
            </w:pPr>
            <w:r>
              <w:rPr>
                <w:bCs/>
                <w:color w:val="auto"/>
                <w:sz w:val="24"/>
                <w:u w:val="none" w:color="auto"/>
              </w:rPr>
              <w:t>由表可知，洋沙湖水质各项指标均达到《地表水环境质量标准》（GB3838-2002）中Ⅲ类标准，区域水质状况良好</w:t>
            </w:r>
            <w:r>
              <w:rPr>
                <w:rFonts w:hint="eastAsia"/>
                <w:color w:val="auto"/>
                <w:sz w:val="24"/>
                <w:szCs w:val="24"/>
                <w:u w:val="none" w:color="auto"/>
                <w:lang w:eastAsia="zh-CN"/>
              </w:rPr>
              <w:t>。</w:t>
            </w:r>
          </w:p>
          <w:p>
            <w:pPr>
              <w:spacing w:line="360" w:lineRule="auto"/>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rPr>
              <w:t>3.</w:t>
            </w:r>
            <w:r>
              <w:rPr>
                <w:rFonts w:hint="eastAsia" w:cs="Times New Roman"/>
                <w:b/>
                <w:bCs/>
                <w:color w:val="auto"/>
                <w:sz w:val="24"/>
                <w:szCs w:val="24"/>
                <w:u w:val="none" w:color="auto"/>
                <w:lang w:val="en-US" w:eastAsia="zh-CN"/>
              </w:rPr>
              <w:t>3、</w:t>
            </w:r>
            <w:r>
              <w:rPr>
                <w:rFonts w:hint="default" w:ascii="Times New Roman" w:hAnsi="Times New Roman" w:cs="Times New Roman"/>
                <w:b/>
                <w:bCs/>
                <w:color w:val="auto"/>
                <w:sz w:val="24"/>
                <w:szCs w:val="24"/>
                <w:u w:val="none" w:color="auto"/>
              </w:rPr>
              <w:t>声环境质量现状</w:t>
            </w:r>
          </w:p>
          <w:p>
            <w:pPr>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为了解项目所在地声环境质量现状，本环评特委托湖南</w:t>
            </w:r>
            <w:r>
              <w:rPr>
                <w:rFonts w:hint="default" w:ascii="Times New Roman" w:hAnsi="Times New Roman" w:cs="Times New Roman"/>
                <w:color w:val="auto"/>
                <w:sz w:val="24"/>
                <w:szCs w:val="24"/>
                <w:u w:val="none" w:color="auto"/>
                <w:lang w:eastAsia="zh-CN"/>
              </w:rPr>
              <w:t>精准通</w:t>
            </w:r>
            <w:r>
              <w:rPr>
                <w:rFonts w:hint="default" w:ascii="Times New Roman" w:hAnsi="Times New Roman" w:cs="Times New Roman"/>
                <w:color w:val="auto"/>
                <w:sz w:val="24"/>
                <w:szCs w:val="24"/>
                <w:u w:val="none" w:color="auto"/>
              </w:rPr>
              <w:t>检测技术有限公司于20</w:t>
            </w:r>
            <w:r>
              <w:rPr>
                <w:rFonts w:hint="eastAsia" w:cs="Times New Roman"/>
                <w:color w:val="auto"/>
                <w:sz w:val="24"/>
                <w:szCs w:val="24"/>
                <w:u w:val="none" w:color="auto"/>
                <w:lang w:val="en-US" w:eastAsia="zh-CN"/>
              </w:rPr>
              <w:t>20</w:t>
            </w:r>
            <w:r>
              <w:rPr>
                <w:rFonts w:hint="default" w:ascii="Times New Roman" w:hAnsi="Times New Roman" w:cs="Times New Roman"/>
                <w:color w:val="auto"/>
                <w:sz w:val="24"/>
                <w:szCs w:val="24"/>
                <w:u w:val="none" w:color="auto"/>
              </w:rPr>
              <w:t>年</w:t>
            </w:r>
            <w:r>
              <w:rPr>
                <w:rFonts w:hint="eastAsia" w:cs="Times New Roman"/>
                <w:color w:val="auto"/>
                <w:sz w:val="24"/>
                <w:szCs w:val="24"/>
                <w:u w:val="none" w:color="auto"/>
                <w:lang w:val="en-US" w:eastAsia="zh-CN"/>
              </w:rPr>
              <w:t>10</w:t>
            </w:r>
            <w:r>
              <w:rPr>
                <w:rFonts w:hint="default" w:ascii="Times New Roman" w:hAnsi="Times New Roman" w:cs="Times New Roman"/>
                <w:color w:val="auto"/>
                <w:sz w:val="24"/>
                <w:szCs w:val="24"/>
                <w:u w:val="none" w:color="auto"/>
              </w:rPr>
              <w:t>月</w:t>
            </w:r>
            <w:r>
              <w:rPr>
                <w:rFonts w:hint="eastAsia" w:cs="Times New Roman"/>
                <w:color w:val="auto"/>
                <w:sz w:val="24"/>
                <w:szCs w:val="24"/>
                <w:u w:val="none" w:color="auto"/>
                <w:lang w:val="en-US" w:eastAsia="zh-CN"/>
              </w:rPr>
              <w:t>30-31</w:t>
            </w:r>
            <w:r>
              <w:rPr>
                <w:rFonts w:hint="default" w:ascii="Times New Roman" w:hAnsi="Times New Roman" w:cs="Times New Roman"/>
                <w:color w:val="auto"/>
                <w:sz w:val="24"/>
                <w:szCs w:val="24"/>
                <w:u w:val="none" w:color="auto"/>
              </w:rPr>
              <w:t>日在项目地东、南、西、北厂界外1m各布设1个监测</w:t>
            </w:r>
            <w:r>
              <w:rPr>
                <w:rFonts w:hint="eastAsia" w:cs="Times New Roman"/>
                <w:color w:val="auto"/>
                <w:sz w:val="24"/>
                <w:szCs w:val="24"/>
                <w:u w:val="none" w:color="auto"/>
                <w:lang w:val="en-US" w:eastAsia="zh-CN"/>
              </w:rPr>
              <w:t>点</w:t>
            </w:r>
            <w:r>
              <w:rPr>
                <w:rFonts w:hint="default" w:ascii="Times New Roman" w:hAnsi="Times New Roman" w:cs="Times New Roman"/>
                <w:color w:val="auto"/>
                <w:sz w:val="24"/>
                <w:szCs w:val="24"/>
                <w:u w:val="none" w:color="auto"/>
              </w:rPr>
              <w:t>，昼、夜间各监测一次。</w:t>
            </w:r>
          </w:p>
          <w:p>
            <w:pPr>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表3-</w:t>
            </w:r>
            <w:r>
              <w:rPr>
                <w:rFonts w:hint="eastAsia" w:cs="Times New Roman"/>
                <w:color w:val="auto"/>
                <w:sz w:val="24"/>
                <w:szCs w:val="24"/>
                <w:u w:val="none" w:color="auto"/>
                <w:lang w:val="en-US" w:eastAsia="zh-CN"/>
              </w:rPr>
              <w:t xml:space="preserve">5 </w:t>
            </w:r>
            <w:r>
              <w:rPr>
                <w:rFonts w:hint="default" w:ascii="Times New Roman" w:hAnsi="Times New Roman" w:cs="Times New Roman"/>
                <w:color w:val="auto"/>
                <w:sz w:val="24"/>
                <w:szCs w:val="24"/>
                <w:u w:val="none" w:color="auto"/>
              </w:rPr>
              <w:t xml:space="preserve"> 声</w:t>
            </w:r>
            <w:r>
              <w:rPr>
                <w:rFonts w:hint="eastAsia" w:cs="Times New Roman"/>
                <w:color w:val="auto"/>
                <w:sz w:val="24"/>
                <w:szCs w:val="24"/>
                <w:u w:val="none" w:color="auto"/>
                <w:lang w:val="en-US" w:eastAsia="zh-CN"/>
              </w:rPr>
              <w:t>环境</w:t>
            </w:r>
            <w:r>
              <w:rPr>
                <w:rFonts w:hint="default" w:ascii="Times New Roman" w:hAnsi="Times New Roman" w:cs="Times New Roman"/>
                <w:color w:val="auto"/>
                <w:sz w:val="24"/>
                <w:szCs w:val="24"/>
                <w:u w:val="none" w:color="auto"/>
              </w:rPr>
              <w:t>质量现状监测与评价统计表    单位：dB(A)</w:t>
            </w:r>
          </w:p>
          <w:tbl>
            <w:tblPr>
              <w:tblStyle w:val="40"/>
              <w:tblW w:w="9056"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848"/>
              <w:gridCol w:w="1369"/>
              <w:gridCol w:w="972"/>
              <w:gridCol w:w="973"/>
              <w:gridCol w:w="974"/>
              <w:gridCol w:w="973"/>
              <w:gridCol w:w="975"/>
              <w:gridCol w:w="9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06"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监测点</w:t>
                  </w:r>
                </w:p>
              </w:tc>
              <w:tc>
                <w:tcPr>
                  <w:tcW w:w="1369"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监测日期</w:t>
                  </w:r>
                </w:p>
              </w:tc>
              <w:tc>
                <w:tcPr>
                  <w:tcW w:w="2919"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昼间</w:t>
                  </w:r>
                </w:p>
              </w:tc>
              <w:tc>
                <w:tcPr>
                  <w:tcW w:w="2920"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866"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结果</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标准值</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是否</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结果</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标准值</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是否</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东</w:t>
                  </w:r>
                  <w:r>
                    <w:rPr>
                      <w:rFonts w:hint="default" w:ascii="Times New Roman" w:hAnsi="Times New Roman" w:cs="Times New Roman"/>
                      <w:color w:val="auto"/>
                      <w:sz w:val="22"/>
                      <w:szCs w:val="22"/>
                      <w:u w:val="none" w:color="auto"/>
                    </w:rPr>
                    <w:t>面</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（厂界外 1m）</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10</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30</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54.0</w:t>
                  </w:r>
                </w:p>
              </w:tc>
              <w:tc>
                <w:tcPr>
                  <w:tcW w:w="973" w:type="dxa"/>
                  <w:tcBorders>
                    <w:tl2br w:val="nil"/>
                    <w:tr2bl w:val="nil"/>
                  </w:tcBorders>
                  <w:noWrap w:val="0"/>
                  <w:vAlign w:val="center"/>
                </w:tcPr>
                <w:p>
                  <w:pPr>
                    <w:spacing w:line="360" w:lineRule="auto"/>
                    <w:jc w:val="center"/>
                    <w:rPr>
                      <w:rFonts w:hint="eastAsia"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65</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40.1</w:t>
                  </w:r>
                </w:p>
              </w:tc>
              <w:tc>
                <w:tcPr>
                  <w:tcW w:w="975" w:type="dxa"/>
                  <w:tcBorders>
                    <w:tl2br w:val="nil"/>
                    <w:tr2bl w:val="nil"/>
                  </w:tcBorders>
                  <w:noWrap w:val="0"/>
                  <w:vAlign w:val="center"/>
                </w:tcPr>
                <w:p>
                  <w:pPr>
                    <w:spacing w:line="360" w:lineRule="auto"/>
                    <w:jc w:val="center"/>
                    <w:rPr>
                      <w:rFonts w:hint="eastAsia"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55</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10</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31</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52.6</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65</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41.7</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55</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南</w:t>
                  </w:r>
                  <w:r>
                    <w:rPr>
                      <w:rFonts w:hint="default" w:ascii="Times New Roman" w:hAnsi="Times New Roman" w:cs="Times New Roman"/>
                      <w:color w:val="auto"/>
                      <w:sz w:val="22"/>
                      <w:szCs w:val="22"/>
                      <w:u w:val="none" w:color="auto"/>
                    </w:rPr>
                    <w:t>面</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（厂界外 1m）</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10</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30</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51.2</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65</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43.2</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55</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10</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31</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53.4</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65</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40.9</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55</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西</w:t>
                  </w:r>
                  <w:r>
                    <w:rPr>
                      <w:rFonts w:hint="default" w:ascii="Times New Roman" w:hAnsi="Times New Roman" w:cs="Times New Roman"/>
                      <w:color w:val="auto"/>
                      <w:sz w:val="22"/>
                      <w:szCs w:val="22"/>
                      <w:u w:val="none" w:color="auto"/>
                    </w:rPr>
                    <w:t>面</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（厂界外 1m）</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10</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30</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50.8</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65</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41.8</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55</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10</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31</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50.1</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65</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42.2</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55</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北</w:t>
                  </w:r>
                  <w:r>
                    <w:rPr>
                      <w:rFonts w:hint="default" w:ascii="Times New Roman" w:hAnsi="Times New Roman" w:cs="Times New Roman"/>
                      <w:color w:val="auto"/>
                      <w:sz w:val="22"/>
                      <w:szCs w:val="22"/>
                      <w:u w:val="none" w:color="auto"/>
                    </w:rPr>
                    <w:t>面</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（厂界外 1m）</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10</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30</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57.5</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65</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44.9</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55</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10</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31</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56.6</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65</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45.5</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55</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bl>
          <w:p>
            <w:pPr>
              <w:spacing w:line="360" w:lineRule="auto"/>
              <w:ind w:firstLine="466" w:firstLineChars="200"/>
              <w:rPr>
                <w:rFonts w:hint="eastAsia" w:cs="Times New Roman"/>
                <w:color w:val="auto"/>
                <w:sz w:val="24"/>
                <w:szCs w:val="24"/>
                <w:u w:val="none" w:color="auto"/>
                <w:lang w:eastAsia="zh-CN"/>
              </w:rPr>
            </w:pPr>
            <w:r>
              <w:rPr>
                <w:rFonts w:hint="default" w:ascii="Times New Roman" w:hAnsi="Times New Roman" w:cs="Times New Roman"/>
                <w:color w:val="auto"/>
                <w:sz w:val="24"/>
                <w:szCs w:val="24"/>
                <w:u w:val="none" w:color="auto"/>
              </w:rPr>
              <w:t>本项目所在地声环境质量现状满足《声环境质量标准》（GB3096-2008）中</w:t>
            </w:r>
            <w:r>
              <w:rPr>
                <w:rFonts w:hint="eastAsia" w:cs="Times New Roman"/>
                <w:color w:val="auto"/>
                <w:sz w:val="24"/>
                <w:szCs w:val="24"/>
                <w:u w:val="none" w:color="auto"/>
                <w:lang w:val="en-US" w:eastAsia="zh-CN"/>
              </w:rPr>
              <w:t>3</w:t>
            </w:r>
            <w:r>
              <w:rPr>
                <w:rFonts w:hint="default" w:ascii="Times New Roman" w:hAnsi="Times New Roman" w:cs="Times New Roman"/>
                <w:color w:val="auto"/>
                <w:sz w:val="24"/>
                <w:szCs w:val="24"/>
                <w:u w:val="none" w:color="auto"/>
              </w:rPr>
              <w:t>类区标准要求。因此，本项目所在区域声环境质量现状较好</w:t>
            </w:r>
            <w:r>
              <w:rPr>
                <w:rFonts w:hint="eastAsia" w:cs="Times New Roman"/>
                <w:color w:val="auto"/>
                <w:sz w:val="24"/>
                <w:szCs w:val="24"/>
                <w:u w:val="none" w:color="auto"/>
                <w:lang w:eastAsia="zh-CN"/>
              </w:rPr>
              <w:t>。</w:t>
            </w:r>
          </w:p>
          <w:p>
            <w:pPr>
              <w:spacing w:line="360" w:lineRule="auto"/>
              <w:rPr>
                <w:rFonts w:hint="default" w:cs="Times New Roman"/>
                <w:b/>
                <w:bCs/>
                <w:color w:val="auto"/>
                <w:sz w:val="24"/>
                <w:szCs w:val="24"/>
                <w:u w:val="none" w:color="auto"/>
                <w:lang w:val="en-US" w:eastAsia="zh-CN"/>
              </w:rPr>
            </w:pPr>
            <w:r>
              <w:rPr>
                <w:rFonts w:hint="eastAsia" w:cs="Times New Roman"/>
                <w:b/>
                <w:bCs/>
                <w:color w:val="auto"/>
                <w:sz w:val="24"/>
                <w:szCs w:val="24"/>
                <w:u w:val="none" w:color="auto"/>
                <w:lang w:val="en-US" w:eastAsia="zh-CN"/>
              </w:rPr>
              <w:t>3.4、地下水环境</w:t>
            </w:r>
          </w:p>
          <w:p>
            <w:pPr>
              <w:spacing w:line="360" w:lineRule="auto"/>
              <w:ind w:firstLine="466" w:firstLineChars="200"/>
              <w:rPr>
                <w:rFonts w:hint="eastAsia"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color w:val="auto"/>
                <w:sz w:val="24"/>
                <w:szCs w:val="24"/>
                <w:u w:val="none" w:color="auto"/>
              </w:rPr>
              <w:t>本项目</w:t>
            </w:r>
            <w:r>
              <w:rPr>
                <w:rFonts w:hint="eastAsia" w:ascii="Times New Roman" w:hAnsi="Times New Roman" w:eastAsia="宋体" w:cs="Times New Roman"/>
                <w:color w:val="auto"/>
                <w:sz w:val="24"/>
                <w:szCs w:val="24"/>
                <w:u w:val="none" w:color="auto"/>
                <w:lang w:val="en-US" w:eastAsia="zh-CN"/>
              </w:rPr>
              <w:t>为</w:t>
            </w:r>
            <w:r>
              <w:rPr>
                <w:rFonts w:hint="eastAsia" w:eastAsia="宋体" w:cs="Times New Roman"/>
                <w:color w:val="auto"/>
                <w:sz w:val="24"/>
                <w:szCs w:val="24"/>
                <w:u w:val="none" w:color="auto"/>
                <w:lang w:val="en-US" w:eastAsia="zh-CN"/>
              </w:rPr>
              <w:t>纸</w:t>
            </w:r>
            <w:r>
              <w:rPr>
                <w:rFonts w:hint="eastAsia" w:ascii="Times New Roman" w:hAnsi="Times New Roman" w:eastAsia="宋体" w:cs="Times New Roman"/>
                <w:color w:val="auto"/>
                <w:sz w:val="24"/>
                <w:szCs w:val="24"/>
                <w:u w:val="none" w:color="auto"/>
                <w:lang w:val="en-US" w:eastAsia="zh-CN"/>
              </w:rPr>
              <w:t>品加工项目，</w:t>
            </w:r>
            <w:r>
              <w:rPr>
                <w:rFonts w:hint="eastAsia" w:ascii="Times New Roman" w:hAnsi="Times New Roman" w:eastAsia="宋体" w:cs="Times New Roman"/>
                <w:color w:val="auto"/>
                <w:sz w:val="24"/>
                <w:szCs w:val="24"/>
                <w:u w:val="none" w:color="auto"/>
              </w:rPr>
              <w:t>根据《环境影响评价技术导则地下</w:t>
            </w:r>
            <w:r>
              <w:rPr>
                <w:rFonts w:hint="default" w:ascii="Times New Roman" w:hAnsi="Times New Roman" w:eastAsia="宋体" w:cs="Times New Roman"/>
                <w:color w:val="auto"/>
                <w:sz w:val="24"/>
                <w:szCs w:val="24"/>
                <w:u w:val="none" w:color="auto"/>
              </w:rPr>
              <w:t>水环境》(HJ 610 2016 ）附录 A</w:t>
            </w:r>
            <w:r>
              <w:rPr>
                <w:rFonts w:hint="eastAsia" w:ascii="Times New Roman" w:hAnsi="Times New Roman" w:eastAsia="宋体" w:cs="Times New Roman"/>
                <w:color w:val="auto"/>
                <w:sz w:val="24"/>
                <w:szCs w:val="24"/>
                <w:u w:val="none" w:color="auto"/>
                <w:lang w:val="en-US" w:eastAsia="zh-CN"/>
              </w:rPr>
              <w:t>可知</w:t>
            </w:r>
            <w:r>
              <w:rPr>
                <w:rFonts w:hint="default" w:ascii="Times New Roman" w:hAnsi="Times New Roman" w:eastAsia="宋体" w:cs="Times New Roman"/>
                <w:color w:val="auto"/>
                <w:sz w:val="24"/>
                <w:szCs w:val="24"/>
                <w:u w:val="none" w:color="auto"/>
              </w:rPr>
              <w:t>，</w:t>
            </w:r>
            <w:r>
              <w:rPr>
                <w:rFonts w:hint="eastAsia" w:ascii="Times New Roman" w:hAnsi="Times New Roman" w:eastAsia="宋体" w:cs="Times New Roman"/>
                <w:color w:val="auto"/>
                <w:sz w:val="24"/>
                <w:szCs w:val="24"/>
                <w:u w:val="none" w:color="auto"/>
                <w:lang w:val="en-US" w:eastAsia="zh-CN"/>
              </w:rPr>
              <w:t>本项目属于</w:t>
            </w:r>
            <w:r>
              <w:rPr>
                <w:rFonts w:hint="default" w:ascii="Times New Roman" w:hAnsi="Times New Roman" w:eastAsia="宋体" w:cs="Times New Roman"/>
                <w:color w:val="auto"/>
                <w:sz w:val="24"/>
                <w:szCs w:val="24"/>
                <w:u w:val="none" w:color="auto"/>
              </w:rPr>
              <w:t>“</w:t>
            </w:r>
            <w:r>
              <w:rPr>
                <w:rFonts w:hint="eastAsia" w:eastAsia="宋体" w:cs="Times New Roman"/>
                <w:color w:val="auto"/>
                <w:sz w:val="24"/>
                <w:szCs w:val="24"/>
                <w:u w:val="none" w:color="auto"/>
                <w:lang w:val="en-US" w:eastAsia="zh-CN"/>
              </w:rPr>
              <w:t>N轻工</w:t>
            </w:r>
            <w:r>
              <w:rPr>
                <w:rFonts w:hint="eastAsia" w:ascii="Times New Roman" w:hAnsi="Times New Roman" w:eastAsia="宋体" w:cs="Times New Roman"/>
                <w:color w:val="auto"/>
                <w:sz w:val="24"/>
                <w:szCs w:val="24"/>
                <w:u w:val="none" w:color="auto"/>
                <w:lang w:val="en-US" w:eastAsia="zh-CN"/>
              </w:rPr>
              <w:t>，</w:t>
            </w:r>
            <w:r>
              <w:rPr>
                <w:rFonts w:hint="eastAsia" w:eastAsia="宋体" w:cs="Times New Roman"/>
                <w:color w:val="auto"/>
                <w:sz w:val="24"/>
                <w:szCs w:val="24"/>
                <w:u w:val="none" w:color="auto"/>
                <w:lang w:val="en-US" w:eastAsia="zh-CN"/>
              </w:rPr>
              <w:t>113</w:t>
            </w:r>
            <w:r>
              <w:rPr>
                <w:rFonts w:hint="eastAsia" w:ascii="Times New Roman" w:hAnsi="Times New Roman" w:eastAsia="宋体" w:cs="Times New Roman"/>
                <w:color w:val="auto"/>
                <w:sz w:val="24"/>
                <w:szCs w:val="24"/>
                <w:u w:val="none" w:color="auto"/>
                <w:lang w:val="en-US" w:eastAsia="zh-CN"/>
              </w:rPr>
              <w:t>、</w:t>
            </w:r>
            <w:r>
              <w:rPr>
                <w:rFonts w:hint="eastAsia" w:eastAsia="宋体" w:cs="Times New Roman"/>
                <w:color w:val="auto"/>
                <w:sz w:val="24"/>
                <w:szCs w:val="24"/>
                <w:u w:val="none" w:color="auto"/>
                <w:lang w:val="en-US" w:eastAsia="zh-CN"/>
              </w:rPr>
              <w:t>纸制品，其中有化学处理工艺的为</w:t>
            </w:r>
            <w:r>
              <w:rPr>
                <w:rFonts w:hint="default" w:ascii="Times New Roman" w:hAnsi="Times New Roman" w:eastAsia="宋体" w:cs="Times New Roman"/>
                <w:color w:val="auto"/>
                <w:kern w:val="0"/>
                <w:sz w:val="24"/>
                <w:szCs w:val="24"/>
                <w:u w:val="none" w:color="auto"/>
              </w:rPr>
              <w:t>III</w:t>
            </w:r>
            <w:r>
              <w:rPr>
                <w:rFonts w:hint="eastAsia" w:eastAsia="宋体" w:cs="Times New Roman"/>
                <w:color w:val="auto"/>
                <w:kern w:val="0"/>
                <w:sz w:val="24"/>
                <w:szCs w:val="24"/>
                <w:u w:val="none" w:color="auto"/>
                <w:lang w:val="en-US" w:eastAsia="zh-CN"/>
              </w:rPr>
              <w:t>类项目，本项目无化学处理工艺，且根据114、印刷、文教、体育、娱乐用品制造、磁材料制造均属于</w:t>
            </w:r>
            <w:r>
              <w:rPr>
                <w:rFonts w:hint="eastAsia" w:ascii="Times New Roman" w:hAnsi="Times New Roman" w:eastAsia="宋体" w:cs="Times New Roman"/>
                <w:color w:val="auto"/>
                <w:sz w:val="24"/>
                <w:szCs w:val="24"/>
                <w:u w:val="none" w:color="auto"/>
              </w:rPr>
              <w:t>Ⅳ</w:t>
            </w:r>
            <w:r>
              <w:rPr>
                <w:rFonts w:hint="default" w:ascii="Times New Roman" w:hAnsi="Times New Roman" w:eastAsia="宋体" w:cs="Times New Roman"/>
                <w:color w:val="auto"/>
                <w:sz w:val="24"/>
                <w:szCs w:val="24"/>
                <w:u w:val="none" w:color="auto"/>
              </w:rPr>
              <w:t>类项目”</w:t>
            </w:r>
            <w:r>
              <w:rPr>
                <w:rFonts w:hint="eastAsia" w:ascii="Times New Roman" w:hAnsi="Times New Roman" w:eastAsia="宋体" w:cs="Times New Roman"/>
                <w:color w:val="auto"/>
                <w:sz w:val="24"/>
                <w:szCs w:val="24"/>
                <w:u w:val="none" w:color="auto"/>
              </w:rPr>
              <w:t>，</w:t>
            </w:r>
            <w:r>
              <w:rPr>
                <w:rFonts w:hint="eastAsia" w:eastAsia="宋体" w:cs="Times New Roman"/>
                <w:color w:val="auto"/>
                <w:sz w:val="24"/>
                <w:szCs w:val="24"/>
                <w:u w:val="none" w:color="auto"/>
                <w:lang w:val="en-US" w:eastAsia="zh-CN"/>
              </w:rPr>
              <w:t>本项目为纸制品加工，部分产品需要进行印刷，因为本项目</w:t>
            </w:r>
            <w:r>
              <w:rPr>
                <w:rFonts w:hint="eastAsia" w:ascii="Times New Roman" w:hAnsi="Times New Roman" w:eastAsia="宋体" w:cs="Times New Roman"/>
                <w:color w:val="auto"/>
                <w:sz w:val="24"/>
                <w:szCs w:val="24"/>
                <w:u w:val="none" w:color="auto"/>
              </w:rPr>
              <w:t>为Ⅳ</w:t>
            </w:r>
            <w:r>
              <w:rPr>
                <w:rFonts w:hint="default" w:ascii="Times New Roman" w:hAnsi="Times New Roman" w:eastAsia="宋体" w:cs="Times New Roman"/>
                <w:color w:val="auto"/>
                <w:sz w:val="24"/>
                <w:szCs w:val="24"/>
                <w:u w:val="none" w:color="auto"/>
              </w:rPr>
              <w:t>类项目，</w:t>
            </w:r>
            <w:r>
              <w:rPr>
                <w:rFonts w:hint="eastAsia" w:ascii="Times New Roman" w:hAnsi="Times New Roman" w:eastAsia="宋体" w:cs="Times New Roman"/>
                <w:color w:val="auto"/>
                <w:sz w:val="24"/>
                <w:szCs w:val="24"/>
                <w:u w:val="none" w:color="auto"/>
              </w:rPr>
              <w:t>不需进行地下水评价</w:t>
            </w:r>
            <w:r>
              <w:rPr>
                <w:rFonts w:hint="eastAsia" w:ascii="Times New Roman" w:hAnsi="Times New Roman" w:eastAsia="宋体" w:cs="Times New Roman"/>
                <w:color w:val="auto"/>
                <w:sz w:val="24"/>
                <w:szCs w:val="24"/>
                <w:u w:val="none" w:color="auto"/>
                <w:lang w:eastAsia="zh-CN"/>
              </w:rPr>
              <w:t>。</w:t>
            </w:r>
          </w:p>
          <w:p>
            <w:pPr>
              <w:spacing w:line="360" w:lineRule="auto"/>
              <w:rPr>
                <w:rFonts w:hint="eastAsia" w:ascii="Times New Roman" w:hAnsi="Times New Roman" w:eastAsia="宋体" w:cs="Times New Roman"/>
                <w:b/>
                <w:bCs/>
                <w:color w:val="auto"/>
                <w:sz w:val="24"/>
                <w:szCs w:val="24"/>
                <w:u w:val="none" w:color="auto"/>
                <w:lang w:val="en-US" w:eastAsia="zh-CN"/>
              </w:rPr>
            </w:pPr>
          </w:p>
          <w:p>
            <w:pPr>
              <w:spacing w:line="360" w:lineRule="auto"/>
              <w:rPr>
                <w:rFonts w:hint="default" w:ascii="Times New Roman" w:hAnsi="Times New Roman" w:eastAsia="宋体" w:cs="Times New Roman"/>
                <w:b/>
                <w:bCs/>
                <w:color w:val="auto"/>
                <w:sz w:val="24"/>
                <w:szCs w:val="24"/>
                <w:u w:val="none" w:color="auto"/>
                <w:lang w:val="en-US" w:eastAsia="zh-CN"/>
              </w:rPr>
            </w:pPr>
            <w:r>
              <w:rPr>
                <w:rFonts w:hint="eastAsia" w:ascii="Times New Roman" w:hAnsi="Times New Roman" w:eastAsia="宋体" w:cs="Times New Roman"/>
                <w:b/>
                <w:bCs/>
                <w:color w:val="auto"/>
                <w:sz w:val="24"/>
                <w:szCs w:val="24"/>
                <w:u w:val="none" w:color="auto"/>
                <w:lang w:val="en-US" w:eastAsia="zh-CN"/>
              </w:rPr>
              <w:t>3.5、土壤环境</w:t>
            </w:r>
          </w:p>
          <w:p>
            <w:pPr>
              <w:spacing w:line="360" w:lineRule="auto"/>
              <w:ind w:firstLine="466" w:firstLineChars="200"/>
              <w:rPr>
                <w:rFonts w:hint="default" w:ascii="Times New Roman" w:hAnsi="Times New Roman" w:cs="Times New Roman"/>
                <w:color w:val="auto"/>
                <w:sz w:val="24"/>
                <w:szCs w:val="24"/>
                <w:u w:val="none" w:color="auto"/>
              </w:rPr>
            </w:pPr>
            <w:r>
              <w:rPr>
                <w:rFonts w:hint="eastAsia" w:ascii="Times New Roman" w:hAnsi="Times New Roman" w:eastAsia="宋体" w:cs="Times New Roman"/>
                <w:color w:val="auto"/>
                <w:sz w:val="24"/>
                <w:szCs w:val="24"/>
                <w:u w:val="none" w:color="auto"/>
                <w:lang w:val="en-US" w:eastAsia="zh-CN"/>
              </w:rPr>
              <w:t>根据《环境影响评价技术导则---土壤环境》（HJ964-2018）中可知，本项目属于污染影响型，本项目为</w:t>
            </w:r>
            <w:r>
              <w:rPr>
                <w:rFonts w:hint="eastAsia" w:cs="Times New Roman"/>
                <w:color w:val="auto"/>
                <w:sz w:val="24"/>
                <w:szCs w:val="24"/>
                <w:u w:val="none" w:color="auto"/>
                <w:lang w:val="en-US" w:eastAsia="zh-CN"/>
              </w:rPr>
              <w:t>纸制品生产</w:t>
            </w:r>
            <w:r>
              <w:rPr>
                <w:rFonts w:hint="eastAsia" w:ascii="Times New Roman" w:hAnsi="Times New Roman" w:eastAsia="宋体" w:cs="Times New Roman"/>
                <w:color w:val="auto"/>
                <w:sz w:val="24"/>
                <w:szCs w:val="24"/>
                <w:u w:val="none" w:color="auto"/>
                <w:lang w:val="en-US" w:eastAsia="zh-CN"/>
              </w:rPr>
              <w:t>项目，土壤环境影响评价项目类别中，属于“</w:t>
            </w:r>
            <w:r>
              <w:rPr>
                <w:rFonts w:hint="eastAsia" w:cs="Times New Roman"/>
                <w:color w:val="auto"/>
                <w:sz w:val="24"/>
                <w:szCs w:val="24"/>
                <w:u w:val="none" w:color="auto"/>
                <w:lang w:val="en-US" w:eastAsia="zh-CN"/>
              </w:rPr>
              <w:t>造纸及纸制品中</w:t>
            </w:r>
            <w:r>
              <w:rPr>
                <w:rFonts w:hint="eastAsia" w:ascii="Times New Roman" w:hAnsi="Times New Roman" w:eastAsia="宋体" w:cs="Times New Roman"/>
                <w:color w:val="auto"/>
                <w:sz w:val="24"/>
                <w:szCs w:val="24"/>
                <w:u w:val="none" w:color="auto"/>
                <w:lang w:val="en-US" w:eastAsia="zh-CN"/>
              </w:rPr>
              <w:t>的</w:t>
            </w:r>
            <w:r>
              <w:rPr>
                <w:rFonts w:hint="eastAsia" w:cs="Times New Roman"/>
                <w:color w:val="auto"/>
                <w:sz w:val="24"/>
                <w:szCs w:val="24"/>
                <w:u w:val="none" w:color="auto"/>
                <w:lang w:val="en-US" w:eastAsia="zh-CN"/>
              </w:rPr>
              <w:t>其他</w:t>
            </w:r>
            <w:r>
              <w:rPr>
                <w:rFonts w:hint="eastAsia" w:ascii="Times New Roman" w:hAnsi="Times New Roman" w:eastAsia="宋体" w:cs="Times New Roman"/>
                <w:color w:val="auto"/>
                <w:sz w:val="24"/>
                <w:szCs w:val="24"/>
                <w:u w:val="none" w:color="auto"/>
                <w:lang w:val="en-US" w:eastAsia="zh-CN"/>
              </w:rPr>
              <w:t>”，因此类别为</w:t>
            </w:r>
            <w:r>
              <w:rPr>
                <w:rFonts w:hint="eastAsia" w:ascii="Times New Roman" w:hAnsi="Times New Roman" w:eastAsia="宋体" w:cs="Times New Roman"/>
                <w:color w:val="auto"/>
                <w:sz w:val="24"/>
                <w:szCs w:val="24"/>
                <w:u w:val="none" w:color="auto"/>
                <w:lang w:val="en-US" w:eastAsia="zh-CN"/>
              </w:rPr>
              <w:fldChar w:fldCharType="begin"/>
            </w:r>
            <w:r>
              <w:rPr>
                <w:rFonts w:hint="eastAsia" w:ascii="Times New Roman" w:hAnsi="Times New Roman" w:eastAsia="宋体" w:cs="Times New Roman"/>
                <w:color w:val="auto"/>
                <w:sz w:val="24"/>
                <w:szCs w:val="24"/>
                <w:u w:val="none" w:color="auto"/>
                <w:lang w:val="en-US" w:eastAsia="zh-CN"/>
              </w:rPr>
              <w:instrText xml:space="preserve"> = 3 \* ROMAN \* MERGEFORMAT </w:instrText>
            </w:r>
            <w:r>
              <w:rPr>
                <w:rFonts w:hint="eastAsia" w:ascii="Times New Roman" w:hAnsi="Times New Roman" w:eastAsia="宋体" w:cs="Times New Roman"/>
                <w:color w:val="auto"/>
                <w:sz w:val="24"/>
                <w:szCs w:val="24"/>
                <w:u w:val="none" w:color="auto"/>
                <w:lang w:val="en-US" w:eastAsia="zh-CN"/>
              </w:rPr>
              <w:fldChar w:fldCharType="separate"/>
            </w:r>
            <w:r>
              <w:rPr>
                <w:color w:val="auto"/>
                <w:u w:val="none" w:color="auto"/>
              </w:rPr>
              <w:t>III</w:t>
            </w:r>
            <w:r>
              <w:rPr>
                <w:rFonts w:hint="eastAsia" w:ascii="Times New Roman" w:hAnsi="Times New Roman" w:eastAsia="宋体" w:cs="Times New Roman"/>
                <w:color w:val="auto"/>
                <w:sz w:val="24"/>
                <w:szCs w:val="24"/>
                <w:u w:val="none" w:color="auto"/>
                <w:lang w:val="en-US" w:eastAsia="zh-CN"/>
              </w:rPr>
              <w:fldChar w:fldCharType="end"/>
            </w:r>
            <w:r>
              <w:rPr>
                <w:rFonts w:hint="eastAsia" w:ascii="Times New Roman" w:hAnsi="Times New Roman" w:eastAsia="宋体" w:cs="Times New Roman"/>
                <w:color w:val="auto"/>
                <w:sz w:val="24"/>
                <w:szCs w:val="24"/>
                <w:u w:val="none" w:color="auto"/>
                <w:lang w:val="en-US" w:eastAsia="zh-CN"/>
              </w:rPr>
              <w:t>类。项目位于</w:t>
            </w:r>
            <w:r>
              <w:rPr>
                <w:rFonts w:hint="eastAsia" w:cs="Times New Roman"/>
                <w:color w:val="auto"/>
                <w:sz w:val="24"/>
                <w:szCs w:val="24"/>
                <w:u w:val="none" w:color="auto"/>
                <w:lang w:val="en-US" w:eastAsia="zh-CN"/>
              </w:rPr>
              <w:t>湘阴县金龙新区内</w:t>
            </w:r>
            <w:r>
              <w:rPr>
                <w:rFonts w:hint="eastAsia" w:ascii="Times New Roman" w:hAnsi="Times New Roman" w:eastAsia="宋体" w:cs="Times New Roman"/>
                <w:color w:val="auto"/>
                <w:sz w:val="24"/>
                <w:szCs w:val="24"/>
                <w:u w:val="none" w:color="auto"/>
                <w:lang w:val="en-US" w:eastAsia="zh-CN"/>
              </w:rPr>
              <w:t>，周边均为</w:t>
            </w:r>
            <w:r>
              <w:rPr>
                <w:rFonts w:hint="eastAsia" w:cs="Times New Roman"/>
                <w:color w:val="auto"/>
                <w:sz w:val="24"/>
                <w:szCs w:val="24"/>
                <w:u w:val="none" w:color="auto"/>
                <w:lang w:val="en-US" w:eastAsia="zh-CN"/>
              </w:rPr>
              <w:t>厂房</w:t>
            </w:r>
            <w:r>
              <w:rPr>
                <w:rFonts w:hint="eastAsia" w:ascii="Times New Roman" w:hAnsi="Times New Roman" w:eastAsia="宋体" w:cs="Times New Roman"/>
                <w:color w:val="auto"/>
                <w:sz w:val="24"/>
                <w:szCs w:val="24"/>
                <w:u w:val="none" w:color="auto"/>
                <w:lang w:val="en-US" w:eastAsia="zh-CN"/>
              </w:rPr>
              <w:t>对照敏感程度分类表可知，本项目为“</w:t>
            </w:r>
            <w:r>
              <w:rPr>
                <w:rFonts w:hint="eastAsia" w:cs="Times New Roman"/>
                <w:color w:val="auto"/>
                <w:sz w:val="24"/>
                <w:szCs w:val="24"/>
                <w:u w:val="none" w:color="auto"/>
                <w:lang w:val="en-US" w:eastAsia="zh-CN"/>
              </w:rPr>
              <w:t>不</w:t>
            </w:r>
            <w:r>
              <w:rPr>
                <w:rFonts w:hint="eastAsia" w:ascii="Times New Roman" w:hAnsi="Times New Roman" w:eastAsia="宋体" w:cs="Times New Roman"/>
                <w:color w:val="auto"/>
                <w:sz w:val="24"/>
                <w:szCs w:val="24"/>
                <w:u w:val="none" w:color="auto"/>
                <w:lang w:val="en-US" w:eastAsia="zh-CN"/>
              </w:rPr>
              <w:t>敏感”，</w:t>
            </w:r>
            <w:r>
              <w:rPr>
                <w:rFonts w:hint="eastAsia" w:cs="Times New Roman"/>
                <w:color w:val="auto"/>
                <w:sz w:val="24"/>
                <w:szCs w:val="24"/>
                <w:u w:val="none" w:color="auto"/>
                <w:lang w:val="en-US" w:eastAsia="zh-CN"/>
              </w:rPr>
              <w:t>本项目占地面积为</w:t>
            </w:r>
            <w:r>
              <w:rPr>
                <w:rFonts w:hint="eastAsia" w:cs="Times New Roman"/>
                <w:spacing w:val="-6"/>
                <w:sz w:val="24"/>
                <w:u w:val="none" w:color="auto"/>
                <w:lang w:val="en-US" w:eastAsia="zh-CN"/>
              </w:rPr>
              <w:t>1176.02</w:t>
            </w:r>
            <w:r>
              <w:rPr>
                <w:rFonts w:hint="eastAsia" w:cs="Times New Roman"/>
                <w:color w:val="auto"/>
                <w:spacing w:val="-6"/>
                <w:sz w:val="24"/>
                <w:u w:val="none" w:color="auto"/>
                <w:lang w:val="en-US" w:eastAsia="zh-CN"/>
              </w:rPr>
              <w:t>m</w:t>
            </w:r>
            <w:r>
              <w:rPr>
                <w:rFonts w:hint="eastAsia" w:cs="Times New Roman"/>
                <w:color w:val="auto"/>
                <w:spacing w:val="-6"/>
                <w:sz w:val="24"/>
                <w:u w:val="none" w:color="auto"/>
                <w:vertAlign w:val="superscript"/>
                <w:lang w:val="en-US" w:eastAsia="zh-CN"/>
              </w:rPr>
              <w:t>2</w:t>
            </w:r>
            <w:r>
              <w:rPr>
                <w:rFonts w:hint="eastAsia" w:cs="Times New Roman"/>
                <w:color w:val="auto"/>
                <w:spacing w:val="-6"/>
                <w:sz w:val="24"/>
                <w:u w:val="none" w:color="auto"/>
                <w:lang w:val="en-US" w:eastAsia="zh-CN"/>
              </w:rPr>
              <w:t>，对照建设项目占地规模可知，项目属于小型，</w:t>
            </w:r>
            <w:r>
              <w:rPr>
                <w:rFonts w:hint="eastAsia" w:ascii="Times New Roman" w:hAnsi="Times New Roman" w:eastAsia="宋体" w:cs="Times New Roman"/>
                <w:color w:val="auto"/>
                <w:sz w:val="24"/>
                <w:szCs w:val="24"/>
                <w:u w:val="none" w:color="auto"/>
                <w:lang w:val="en-US" w:eastAsia="zh-CN"/>
              </w:rPr>
              <w:t>对照土壤分级表可知，本项目</w:t>
            </w:r>
            <w:r>
              <w:rPr>
                <w:rFonts w:hint="eastAsia" w:cs="Times New Roman"/>
                <w:color w:val="auto"/>
                <w:sz w:val="24"/>
                <w:szCs w:val="24"/>
                <w:u w:val="none" w:color="auto"/>
                <w:lang w:val="en-US" w:eastAsia="zh-CN"/>
              </w:rPr>
              <w:t>可不开展土壤环境评价工作</w:t>
            </w:r>
            <w:r>
              <w:rPr>
                <w:rFonts w:hint="default" w:ascii="Times New Roman" w:hAnsi="Times New Roman" w:cs="Times New Roman"/>
                <w:color w:val="auto"/>
                <w:sz w:val="24"/>
                <w:szCs w:val="24"/>
                <w:u w:val="none" w:color="auto"/>
              </w:rPr>
              <w:t>。</w:t>
            </w:r>
          </w:p>
          <w:p>
            <w:pPr>
              <w:spacing w:line="360" w:lineRule="auto"/>
              <w:rPr>
                <w:rFonts w:hint="default" w:ascii="Times New Roman" w:hAnsi="Times New Roman" w:cs="Times New Roman"/>
                <w:b/>
                <w:bCs/>
                <w:color w:val="auto"/>
                <w:sz w:val="24"/>
                <w:szCs w:val="24"/>
                <w:u w:val="none" w:color="auto"/>
              </w:rPr>
            </w:pPr>
            <w:r>
              <w:rPr>
                <w:rFonts w:hint="eastAsia" w:cs="Times New Roman"/>
                <w:b/>
                <w:bCs/>
                <w:color w:val="auto"/>
                <w:sz w:val="24"/>
                <w:szCs w:val="24"/>
                <w:u w:val="none" w:color="auto"/>
                <w:lang w:val="en-US" w:eastAsia="zh-CN"/>
              </w:rPr>
              <w:t>3.6</w:t>
            </w:r>
            <w:r>
              <w:rPr>
                <w:rFonts w:hint="default" w:ascii="Times New Roman" w:hAnsi="Times New Roman" w:cs="Times New Roman"/>
                <w:b/>
                <w:bCs/>
                <w:color w:val="auto"/>
                <w:sz w:val="24"/>
                <w:szCs w:val="24"/>
                <w:u w:val="none" w:color="auto"/>
              </w:rPr>
              <w:t>、生态环境</w:t>
            </w:r>
          </w:p>
          <w:p>
            <w:pPr>
              <w:snapToGrid w:val="0"/>
              <w:spacing w:line="360" w:lineRule="auto"/>
              <w:ind w:firstLine="457" w:firstLineChars="196"/>
              <w:rPr>
                <w:rFonts w:hAnsi="宋体"/>
                <w:bCs/>
                <w:sz w:val="24"/>
                <w:u w:val="none" w:color="auto"/>
              </w:rPr>
            </w:pPr>
            <w:r>
              <w:rPr>
                <w:rFonts w:hint="default" w:ascii="Times New Roman" w:hAnsi="Times New Roman" w:cs="Times New Roman"/>
                <w:color w:val="auto"/>
                <w:sz w:val="24"/>
                <w:szCs w:val="24"/>
                <w:u w:val="none" w:color="auto"/>
              </w:rPr>
              <w:t>项目所在区域植被</w:t>
            </w:r>
            <w:r>
              <w:rPr>
                <w:rFonts w:hint="eastAsia" w:cs="Times New Roman"/>
                <w:color w:val="auto"/>
                <w:sz w:val="24"/>
                <w:szCs w:val="24"/>
                <w:u w:val="none" w:color="auto"/>
                <w:lang w:val="en-US" w:eastAsia="zh-CN"/>
              </w:rPr>
              <w:t>为</w:t>
            </w:r>
            <w:r>
              <w:rPr>
                <w:rFonts w:hint="default" w:ascii="Times New Roman" w:hAnsi="Times New Roman" w:cs="Times New Roman"/>
                <w:color w:val="auto"/>
                <w:sz w:val="24"/>
                <w:szCs w:val="24"/>
                <w:u w:val="none" w:color="auto"/>
              </w:rPr>
              <w:t>绿化的樟、灌木丛、花卉等，项目区域内植被以人工绿化苗木为主，植物种类单一，主要有樟树、桂花、柳树等，并伴有少量野生杉、桃、</w:t>
            </w:r>
            <w:r>
              <w:rPr>
                <w:rFonts w:hint="default" w:ascii="Times New Roman" w:hAnsi="Times New Roman" w:cs="Times New Roman"/>
                <w:color w:val="auto"/>
                <w:spacing w:val="-11"/>
                <w:sz w:val="24"/>
                <w:szCs w:val="24"/>
                <w:u w:val="none" w:color="auto"/>
              </w:rPr>
              <w:t>梨等；生态环境一般。本区域及其周边植被覆盖率较低，</w:t>
            </w:r>
            <w:r>
              <w:rPr>
                <w:rFonts w:hint="default" w:ascii="Times New Roman" w:hAnsi="Times New Roman" w:cs="Times New Roman"/>
                <w:color w:val="auto"/>
                <w:sz w:val="24"/>
                <w:szCs w:val="24"/>
                <w:u w:val="none" w:color="auto"/>
              </w:rPr>
              <w:t>主要为人工草皮及较少灌木，物种较为单一，生态稳定性较差。根据现场踏勘，本项目区域内未发现野生珍稀动植物物种</w:t>
            </w:r>
            <w:r>
              <w:rPr>
                <w:rFonts w:hint="eastAsia" w:hAnsi="宋体"/>
                <w:bCs/>
                <w:sz w:val="24"/>
                <w:u w:val="none" w:color="auto"/>
              </w:rPr>
              <w:t>。</w:t>
            </w:r>
          </w:p>
          <w:p>
            <w:pPr>
              <w:pStyle w:val="34"/>
              <w:adjustRightInd w:val="0"/>
              <w:snapToGrid w:val="0"/>
              <w:spacing w:line="360" w:lineRule="auto"/>
              <w:ind w:left="0" w:leftChars="0" w:firstLine="0" w:firstLineChars="0"/>
              <w:rPr>
                <w:b/>
                <w:u w:val="single" w:color="auto"/>
              </w:rPr>
            </w:pPr>
            <w:r>
              <w:rPr>
                <w:rFonts w:hint="eastAsia"/>
                <w:b/>
                <w:sz w:val="24"/>
                <w:u w:val="single" w:color="auto"/>
                <w:lang w:val="en-US" w:eastAsia="zh-CN"/>
              </w:rPr>
              <w:t>3.7</w:t>
            </w:r>
            <w:r>
              <w:rPr>
                <w:rFonts w:hint="eastAsia"/>
                <w:b/>
                <w:sz w:val="24"/>
                <w:u w:val="single" w:color="auto"/>
              </w:rPr>
              <w:t>、</w:t>
            </w:r>
            <w:r>
              <w:rPr>
                <w:b/>
                <w:sz w:val="24"/>
                <w:u w:val="single" w:color="auto"/>
              </w:rPr>
              <w:t>主要环境保护目标</w:t>
            </w:r>
          </w:p>
          <w:p>
            <w:pPr>
              <w:autoSpaceDE w:val="0"/>
              <w:autoSpaceDN w:val="0"/>
              <w:adjustRightInd w:val="0"/>
              <w:spacing w:line="360" w:lineRule="auto"/>
              <w:ind w:firstLine="466" w:firstLineChars="200"/>
              <w:rPr>
                <w:rFonts w:hint="default" w:ascii="Times New Roman" w:hAnsi="Times New Roman" w:eastAsia="宋体" w:cs="Times New Roman"/>
                <w:snapToGrid w:val="0"/>
                <w:color w:val="auto"/>
                <w:kern w:val="0"/>
                <w:sz w:val="24"/>
                <w:u w:val="single" w:color="auto"/>
                <w:lang w:val="en-US" w:eastAsia="zh-CN"/>
              </w:rPr>
            </w:pPr>
            <w:r>
              <w:rPr>
                <w:rFonts w:hint="default" w:ascii="Times New Roman" w:hAnsi="Times New Roman" w:eastAsia="宋体" w:cs="Times New Roman"/>
                <w:b w:val="0"/>
                <w:bCs/>
                <w:color w:val="auto"/>
                <w:sz w:val="24"/>
                <w:highlight w:val="none"/>
                <w:u w:val="single" w:color="auto"/>
                <w:shd w:val="clear" w:color="auto" w:fill="auto"/>
                <w:lang w:eastAsia="zh-CN"/>
              </w:rPr>
              <w:t>本</w:t>
            </w:r>
            <w:r>
              <w:rPr>
                <w:rFonts w:hint="default" w:ascii="Times New Roman" w:hAnsi="Times New Roman" w:eastAsia="宋体" w:cs="Times New Roman"/>
                <w:b w:val="0"/>
                <w:bCs/>
                <w:color w:val="auto"/>
                <w:sz w:val="24"/>
                <w:highlight w:val="none"/>
                <w:u w:val="single" w:color="auto"/>
                <w:shd w:val="clear" w:color="auto" w:fill="auto"/>
              </w:rPr>
              <w:t>项目周围为</w:t>
            </w:r>
            <w:r>
              <w:rPr>
                <w:rFonts w:hint="eastAsia" w:ascii="Times New Roman" w:hAnsi="Times New Roman" w:eastAsia="宋体" w:cs="Times New Roman"/>
                <w:b w:val="0"/>
                <w:bCs/>
                <w:color w:val="auto"/>
                <w:sz w:val="24"/>
                <w:highlight w:val="none"/>
                <w:u w:val="single" w:color="auto"/>
                <w:shd w:val="clear" w:color="auto" w:fill="auto"/>
                <w:lang w:eastAsia="zh-CN"/>
              </w:rPr>
              <w:t>工业园</w:t>
            </w:r>
            <w:r>
              <w:rPr>
                <w:rFonts w:hint="default" w:ascii="Times New Roman" w:hAnsi="Times New Roman" w:eastAsia="宋体" w:cs="Times New Roman"/>
                <w:b w:val="0"/>
                <w:bCs/>
                <w:color w:val="auto"/>
                <w:sz w:val="24"/>
                <w:highlight w:val="none"/>
                <w:u w:val="single" w:color="auto"/>
                <w:shd w:val="clear" w:color="auto" w:fill="auto"/>
              </w:rPr>
              <w:t>。评价区内无风景名胜点，没有征占基本农田，周围无需要特别保护的文物古迹、风景名胜地、水源地，未发现国家重点保护的野生动植物资源和古树名木。</w:t>
            </w:r>
            <w:r>
              <w:rPr>
                <w:rFonts w:hint="default" w:ascii="Times New Roman" w:hAnsi="Times New Roman" w:eastAsia="宋体" w:cs="Times New Roman"/>
                <w:snapToGrid w:val="0"/>
                <w:color w:val="auto"/>
                <w:kern w:val="0"/>
                <w:sz w:val="24"/>
                <w:u w:val="single" w:color="auto"/>
                <w:lang w:val="en-US" w:eastAsia="zh-CN"/>
              </w:rPr>
              <w:t>项目</w:t>
            </w:r>
            <w:r>
              <w:rPr>
                <w:rFonts w:hint="eastAsia" w:cs="Times New Roman"/>
                <w:snapToGrid w:val="0"/>
                <w:color w:val="auto"/>
                <w:kern w:val="0"/>
                <w:sz w:val="24"/>
                <w:u w:val="single" w:color="auto"/>
                <w:lang w:val="en-US" w:eastAsia="zh-CN"/>
              </w:rPr>
              <w:t>所在地及</w:t>
            </w:r>
            <w:r>
              <w:rPr>
                <w:rFonts w:hint="default" w:ascii="Times New Roman" w:hAnsi="Times New Roman" w:eastAsia="宋体" w:cs="Times New Roman"/>
                <w:snapToGrid w:val="0"/>
                <w:color w:val="auto"/>
                <w:kern w:val="0"/>
                <w:sz w:val="24"/>
                <w:u w:val="single" w:color="auto"/>
                <w:lang w:val="en-US" w:eastAsia="zh-CN"/>
              </w:rPr>
              <w:t>周边</w:t>
            </w:r>
            <w:r>
              <w:rPr>
                <w:rFonts w:hint="eastAsia" w:cs="Times New Roman"/>
                <w:snapToGrid w:val="0"/>
                <w:color w:val="auto"/>
                <w:kern w:val="0"/>
                <w:sz w:val="24"/>
                <w:u w:val="single" w:color="auto"/>
                <w:lang w:val="en-US" w:eastAsia="zh-CN"/>
              </w:rPr>
              <w:t>用水</w:t>
            </w:r>
            <w:r>
              <w:rPr>
                <w:rFonts w:hint="eastAsia" w:ascii="Times New Roman" w:hAnsi="Times New Roman" w:eastAsia="宋体" w:cs="Times New Roman"/>
                <w:snapToGrid w:val="0"/>
                <w:color w:val="auto"/>
                <w:kern w:val="0"/>
                <w:sz w:val="24"/>
                <w:u w:val="single" w:color="auto"/>
                <w:lang w:val="en-US" w:eastAsia="zh-CN"/>
              </w:rPr>
              <w:t>均为</w:t>
            </w:r>
            <w:r>
              <w:rPr>
                <w:rFonts w:hint="default" w:ascii="Times New Roman" w:hAnsi="Times New Roman" w:eastAsia="宋体" w:cs="Times New Roman"/>
                <w:snapToGrid w:val="0"/>
                <w:color w:val="auto"/>
                <w:kern w:val="0"/>
                <w:sz w:val="24"/>
                <w:u w:val="single" w:color="auto"/>
                <w:lang w:val="en-US" w:eastAsia="zh-CN"/>
              </w:rPr>
              <w:t>自来水。</w:t>
            </w:r>
          </w:p>
          <w:p>
            <w:pPr>
              <w:autoSpaceDE w:val="0"/>
              <w:autoSpaceDN w:val="0"/>
              <w:adjustRightInd w:val="0"/>
              <w:spacing w:line="360" w:lineRule="auto"/>
              <w:ind w:firstLine="466" w:firstLineChars="200"/>
              <w:rPr>
                <w:rFonts w:hint="default" w:ascii="Times New Roman" w:hAnsi="Times New Roman" w:eastAsia="宋体" w:cs="Times New Roman"/>
                <w:b w:val="0"/>
                <w:bCs/>
                <w:color w:val="auto"/>
                <w:sz w:val="24"/>
                <w:highlight w:val="none"/>
                <w:u w:val="single" w:color="auto"/>
                <w:shd w:val="clear" w:color="auto" w:fill="auto"/>
              </w:rPr>
            </w:pPr>
            <w:r>
              <w:rPr>
                <w:rFonts w:hint="default" w:ascii="Times New Roman" w:hAnsi="Times New Roman" w:eastAsia="宋体" w:cs="Times New Roman"/>
                <w:b w:val="0"/>
                <w:bCs/>
                <w:color w:val="auto"/>
                <w:sz w:val="24"/>
                <w:highlight w:val="none"/>
                <w:u w:val="single" w:color="auto"/>
                <w:shd w:val="clear" w:color="auto" w:fill="auto"/>
              </w:rPr>
              <w:t>本项目的主要环境保护目标分布情况见表</w:t>
            </w:r>
            <w:r>
              <w:rPr>
                <w:rFonts w:hint="default" w:ascii="Times New Roman" w:hAnsi="Times New Roman" w:eastAsia="宋体" w:cs="Times New Roman"/>
                <w:b w:val="0"/>
                <w:bCs/>
                <w:color w:val="auto"/>
                <w:sz w:val="24"/>
                <w:highlight w:val="none"/>
                <w:u w:val="single" w:color="auto"/>
                <w:shd w:val="clear" w:color="auto" w:fill="auto"/>
                <w:lang w:val="en-US" w:eastAsia="zh-CN"/>
              </w:rPr>
              <w:t>3-</w:t>
            </w:r>
            <w:r>
              <w:rPr>
                <w:rFonts w:hint="eastAsia" w:cs="Times New Roman"/>
                <w:b w:val="0"/>
                <w:bCs/>
                <w:color w:val="auto"/>
                <w:sz w:val="24"/>
                <w:highlight w:val="none"/>
                <w:u w:val="single" w:color="auto"/>
                <w:shd w:val="clear" w:color="auto" w:fill="auto"/>
                <w:lang w:val="en-US" w:eastAsia="zh-CN"/>
              </w:rPr>
              <w:t>6</w:t>
            </w:r>
            <w:r>
              <w:rPr>
                <w:rFonts w:hint="default" w:ascii="Times New Roman" w:hAnsi="Times New Roman" w:eastAsia="宋体" w:cs="Times New Roman"/>
                <w:b w:val="0"/>
                <w:bCs/>
                <w:color w:val="auto"/>
                <w:sz w:val="24"/>
                <w:highlight w:val="none"/>
                <w:u w:val="single" w:color="auto"/>
                <w:shd w:val="clear" w:color="auto" w:fill="auto"/>
              </w:rPr>
              <w:t>。</w:t>
            </w:r>
          </w:p>
          <w:p>
            <w:pPr>
              <w:pStyle w:val="151"/>
              <w:keepNext w:val="0"/>
              <w:keepLines w:val="0"/>
              <w:pageBreakBefore w:val="0"/>
              <w:widowControl w:val="0"/>
              <w:kinsoku/>
              <w:wordWrap/>
              <w:overflowPunct/>
              <w:topLinePunct w:val="0"/>
              <w:autoSpaceDE/>
              <w:autoSpaceDN/>
              <w:bidi w:val="0"/>
              <w:adjustRightInd w:val="0"/>
              <w:snapToGrid w:val="0"/>
              <w:spacing w:line="480" w:lineRule="exact"/>
              <w:ind w:firstLine="482"/>
              <w:textAlignment w:val="auto"/>
              <w:rPr>
                <w:rFonts w:hint="default" w:ascii="Times New Roman" w:hAnsi="Times New Roman" w:eastAsia="宋体" w:cs="Times New Roman"/>
                <w:b/>
                <w:snapToGrid w:val="0"/>
                <w:color w:val="auto"/>
                <w:spacing w:val="0"/>
                <w:sz w:val="21"/>
                <w:szCs w:val="21"/>
                <w:u w:val="single" w:color="auto"/>
              </w:rPr>
            </w:pPr>
            <w:r>
              <w:rPr>
                <w:rFonts w:hint="default" w:ascii="Times New Roman" w:hAnsi="Times New Roman" w:eastAsia="宋体" w:cs="Times New Roman"/>
                <w:b/>
                <w:snapToGrid w:val="0"/>
                <w:color w:val="auto"/>
                <w:spacing w:val="0"/>
                <w:sz w:val="21"/>
                <w:szCs w:val="21"/>
                <w:u w:val="single" w:color="auto"/>
                <w:lang w:val="en-US" w:eastAsia="zh-CN"/>
              </w:rPr>
              <w:t>3-</w:t>
            </w:r>
            <w:r>
              <w:rPr>
                <w:rFonts w:hint="eastAsia" w:cs="Times New Roman"/>
                <w:b/>
                <w:snapToGrid w:val="0"/>
                <w:color w:val="auto"/>
                <w:spacing w:val="0"/>
                <w:sz w:val="21"/>
                <w:szCs w:val="21"/>
                <w:u w:val="single" w:color="auto"/>
                <w:lang w:val="en-US" w:eastAsia="zh-CN"/>
              </w:rPr>
              <w:t>6</w:t>
            </w:r>
            <w:r>
              <w:rPr>
                <w:rFonts w:hint="default" w:ascii="Times New Roman" w:hAnsi="Times New Roman" w:eastAsia="宋体" w:cs="Times New Roman"/>
                <w:b/>
                <w:snapToGrid w:val="0"/>
                <w:color w:val="auto"/>
                <w:spacing w:val="0"/>
                <w:sz w:val="21"/>
                <w:szCs w:val="21"/>
                <w:u w:val="single" w:color="auto"/>
              </w:rPr>
              <w:t xml:space="preserve">  本项目环境空气环境保护目标一览表</w:t>
            </w:r>
          </w:p>
          <w:tbl>
            <w:tblPr>
              <w:tblStyle w:val="40"/>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11"/>
              <w:gridCol w:w="1277"/>
              <w:gridCol w:w="1168"/>
              <w:gridCol w:w="648"/>
              <w:gridCol w:w="1059"/>
              <w:gridCol w:w="862"/>
              <w:gridCol w:w="204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430" w:type="pct"/>
                  <w:vMerge w:val="restart"/>
                  <w:tcBorders>
                    <w:tl2br w:val="nil"/>
                    <w:tr2bl w:val="nil"/>
                  </w:tcBorders>
                  <w:noWrap w:val="0"/>
                  <w:vAlign w:val="center"/>
                </w:tcPr>
                <w:p>
                  <w:pPr>
                    <w:widowControl/>
                    <w:spacing w:line="360" w:lineRule="auto"/>
                    <w:jc w:val="center"/>
                    <w:rPr>
                      <w:rFonts w:hint="default" w:ascii="Times New Roman" w:hAnsi="Times New Roman" w:eastAsia="宋体" w:cs="Times New Roman"/>
                      <w:b/>
                      <w:color w:val="auto"/>
                      <w:kern w:val="0"/>
                      <w:sz w:val="22"/>
                      <w:szCs w:val="22"/>
                      <w:u w:val="single" w:color="auto"/>
                    </w:rPr>
                  </w:pPr>
                  <w:r>
                    <w:rPr>
                      <w:rFonts w:hint="default" w:ascii="Times New Roman" w:hAnsi="Times New Roman" w:eastAsia="宋体" w:cs="Times New Roman"/>
                      <w:b/>
                      <w:color w:val="auto"/>
                      <w:kern w:val="0"/>
                      <w:sz w:val="22"/>
                      <w:szCs w:val="22"/>
                      <w:u w:val="single" w:color="auto"/>
                    </w:rPr>
                    <w:t>环境要求</w:t>
                  </w:r>
                </w:p>
              </w:tc>
              <w:tc>
                <w:tcPr>
                  <w:tcW w:w="668" w:type="pct"/>
                  <w:vMerge w:val="restart"/>
                  <w:tcBorders>
                    <w:tl2br w:val="nil"/>
                    <w:tr2bl w:val="nil"/>
                  </w:tcBorders>
                  <w:noWrap w:val="0"/>
                  <w:vAlign w:val="center"/>
                </w:tcPr>
                <w:p>
                  <w:pPr>
                    <w:widowControl/>
                    <w:spacing w:line="360" w:lineRule="auto"/>
                    <w:jc w:val="center"/>
                    <w:rPr>
                      <w:rFonts w:hint="default" w:ascii="Times New Roman" w:hAnsi="Times New Roman" w:eastAsia="宋体" w:cs="Times New Roman"/>
                      <w:b/>
                      <w:color w:val="auto"/>
                      <w:kern w:val="0"/>
                      <w:sz w:val="22"/>
                      <w:szCs w:val="22"/>
                      <w:u w:val="single" w:color="auto"/>
                    </w:rPr>
                  </w:pPr>
                  <w:r>
                    <w:rPr>
                      <w:rFonts w:hint="default" w:ascii="Times New Roman" w:hAnsi="Times New Roman" w:eastAsia="宋体" w:cs="Times New Roman"/>
                      <w:b/>
                      <w:color w:val="auto"/>
                      <w:kern w:val="0"/>
                      <w:sz w:val="22"/>
                      <w:szCs w:val="22"/>
                      <w:u w:val="single" w:color="auto"/>
                    </w:rPr>
                    <w:t>环境保护目标名称</w:t>
                  </w:r>
                </w:p>
              </w:tc>
              <w:tc>
                <w:tcPr>
                  <w:tcW w:w="1350" w:type="pct"/>
                  <w:gridSpan w:val="2"/>
                  <w:tcBorders>
                    <w:tl2br w:val="nil"/>
                    <w:tr2bl w:val="nil"/>
                  </w:tcBorders>
                  <w:noWrap w:val="0"/>
                  <w:vAlign w:val="center"/>
                </w:tcPr>
                <w:p>
                  <w:pPr>
                    <w:widowControl/>
                    <w:spacing w:line="360" w:lineRule="auto"/>
                    <w:jc w:val="center"/>
                    <w:rPr>
                      <w:rFonts w:hint="default" w:ascii="Times New Roman" w:hAnsi="Times New Roman" w:eastAsia="宋体" w:cs="Times New Roman"/>
                      <w:b/>
                      <w:color w:val="auto"/>
                      <w:kern w:val="0"/>
                      <w:sz w:val="22"/>
                      <w:szCs w:val="22"/>
                      <w:u w:val="single" w:color="auto"/>
                      <w:lang w:val="en-US" w:eastAsia="zh-CN"/>
                    </w:rPr>
                  </w:pPr>
                  <w:r>
                    <w:rPr>
                      <w:rFonts w:hint="default" w:ascii="Times New Roman" w:hAnsi="Times New Roman" w:eastAsia="宋体" w:cs="Times New Roman"/>
                      <w:b/>
                      <w:color w:val="auto"/>
                      <w:kern w:val="0"/>
                      <w:sz w:val="22"/>
                      <w:szCs w:val="22"/>
                      <w:u w:val="single" w:color="auto"/>
                      <w:lang w:val="en-US" w:eastAsia="zh-CN"/>
                    </w:rPr>
                    <w:t>坐标</w:t>
                  </w:r>
                </w:p>
              </w:tc>
              <w:tc>
                <w:tcPr>
                  <w:tcW w:w="357" w:type="pct"/>
                  <w:vMerge w:val="restart"/>
                  <w:tcBorders>
                    <w:tl2br w:val="nil"/>
                    <w:tr2bl w:val="nil"/>
                  </w:tcBorders>
                  <w:noWrap w:val="0"/>
                  <w:vAlign w:val="center"/>
                </w:tcPr>
                <w:p>
                  <w:pPr>
                    <w:widowControl/>
                    <w:spacing w:line="360" w:lineRule="auto"/>
                    <w:jc w:val="center"/>
                    <w:rPr>
                      <w:rFonts w:hint="default" w:ascii="Times New Roman" w:hAnsi="Times New Roman" w:eastAsia="宋体" w:cs="Times New Roman"/>
                      <w:b/>
                      <w:color w:val="auto"/>
                      <w:kern w:val="0"/>
                      <w:sz w:val="22"/>
                      <w:szCs w:val="22"/>
                      <w:u w:val="single" w:color="auto"/>
                    </w:rPr>
                  </w:pPr>
                  <w:r>
                    <w:rPr>
                      <w:rFonts w:hint="default" w:ascii="Times New Roman" w:hAnsi="Times New Roman" w:eastAsia="宋体" w:cs="Times New Roman"/>
                      <w:b/>
                      <w:color w:val="auto"/>
                      <w:kern w:val="0"/>
                      <w:sz w:val="22"/>
                      <w:szCs w:val="22"/>
                      <w:u w:val="single" w:color="auto"/>
                    </w:rPr>
                    <w:t>方位</w:t>
                  </w:r>
                </w:p>
              </w:tc>
              <w:tc>
                <w:tcPr>
                  <w:tcW w:w="584" w:type="pct"/>
                  <w:vMerge w:val="restart"/>
                  <w:tcBorders>
                    <w:tl2br w:val="nil"/>
                    <w:tr2bl w:val="nil"/>
                  </w:tcBorders>
                  <w:noWrap w:val="0"/>
                  <w:vAlign w:val="center"/>
                </w:tcPr>
                <w:p>
                  <w:pPr>
                    <w:widowControl/>
                    <w:spacing w:line="360" w:lineRule="auto"/>
                    <w:ind w:left="-101" w:leftChars="-50" w:right="-101" w:rightChars="-50"/>
                    <w:jc w:val="center"/>
                    <w:rPr>
                      <w:rFonts w:hint="default" w:ascii="Times New Roman" w:hAnsi="Times New Roman" w:eastAsia="宋体" w:cs="Times New Roman"/>
                      <w:b/>
                      <w:color w:val="auto"/>
                      <w:kern w:val="0"/>
                      <w:sz w:val="22"/>
                      <w:szCs w:val="22"/>
                      <w:u w:val="single" w:color="auto"/>
                    </w:rPr>
                  </w:pPr>
                  <w:r>
                    <w:rPr>
                      <w:rFonts w:hint="default" w:ascii="Times New Roman" w:hAnsi="Times New Roman" w:eastAsia="宋体" w:cs="Times New Roman"/>
                      <w:b/>
                      <w:color w:val="auto"/>
                      <w:kern w:val="0"/>
                      <w:sz w:val="22"/>
                      <w:szCs w:val="22"/>
                      <w:u w:val="single" w:color="auto"/>
                    </w:rPr>
                    <w:t>距离项目距离（m）</w:t>
                  </w:r>
                </w:p>
              </w:tc>
              <w:tc>
                <w:tcPr>
                  <w:tcW w:w="476" w:type="pct"/>
                  <w:vMerge w:val="restart"/>
                  <w:tcBorders>
                    <w:tl2br w:val="nil"/>
                    <w:tr2bl w:val="nil"/>
                  </w:tcBorders>
                  <w:noWrap w:val="0"/>
                  <w:vAlign w:val="center"/>
                </w:tcPr>
                <w:p>
                  <w:pPr>
                    <w:widowControl/>
                    <w:spacing w:line="360" w:lineRule="auto"/>
                    <w:jc w:val="center"/>
                    <w:rPr>
                      <w:rFonts w:hint="default" w:ascii="Times New Roman" w:hAnsi="Times New Roman" w:eastAsia="宋体" w:cs="Times New Roman"/>
                      <w:b/>
                      <w:color w:val="auto"/>
                      <w:kern w:val="0"/>
                      <w:sz w:val="22"/>
                      <w:szCs w:val="22"/>
                      <w:u w:val="single" w:color="auto"/>
                    </w:rPr>
                  </w:pPr>
                  <w:r>
                    <w:rPr>
                      <w:rFonts w:hint="default" w:ascii="Times New Roman" w:hAnsi="Times New Roman" w:eastAsia="宋体" w:cs="Times New Roman"/>
                      <w:b/>
                      <w:color w:val="auto"/>
                      <w:kern w:val="0"/>
                      <w:sz w:val="22"/>
                      <w:szCs w:val="22"/>
                      <w:u w:val="single" w:color="auto"/>
                      <w:lang w:eastAsia="zh-CN"/>
                    </w:rPr>
                    <w:t>性质/</w:t>
                  </w:r>
                  <w:r>
                    <w:rPr>
                      <w:rFonts w:hint="default" w:ascii="Times New Roman" w:hAnsi="Times New Roman" w:eastAsia="宋体" w:cs="Times New Roman"/>
                      <w:b/>
                      <w:color w:val="auto"/>
                      <w:kern w:val="0"/>
                      <w:sz w:val="22"/>
                      <w:szCs w:val="22"/>
                      <w:u w:val="single" w:color="auto"/>
                    </w:rPr>
                    <w:t>规模</w:t>
                  </w:r>
                </w:p>
              </w:tc>
              <w:tc>
                <w:tcPr>
                  <w:tcW w:w="1130" w:type="pct"/>
                  <w:vMerge w:val="restart"/>
                  <w:tcBorders>
                    <w:tl2br w:val="nil"/>
                    <w:tr2bl w:val="nil"/>
                  </w:tcBorders>
                  <w:noWrap w:val="0"/>
                  <w:vAlign w:val="center"/>
                </w:tcPr>
                <w:p>
                  <w:pPr>
                    <w:widowControl/>
                    <w:spacing w:line="360" w:lineRule="auto"/>
                    <w:jc w:val="center"/>
                    <w:rPr>
                      <w:rFonts w:hint="default" w:ascii="Times New Roman" w:hAnsi="Times New Roman" w:eastAsia="宋体" w:cs="Times New Roman"/>
                      <w:b/>
                      <w:color w:val="auto"/>
                      <w:kern w:val="0"/>
                      <w:sz w:val="22"/>
                      <w:szCs w:val="22"/>
                      <w:u w:val="single" w:color="auto"/>
                    </w:rPr>
                  </w:pPr>
                  <w:r>
                    <w:rPr>
                      <w:rFonts w:hint="default" w:ascii="Times New Roman" w:hAnsi="Times New Roman" w:eastAsia="宋体" w:cs="Times New Roman"/>
                      <w:b/>
                      <w:color w:val="auto"/>
                      <w:kern w:val="0"/>
                      <w:sz w:val="22"/>
                      <w:szCs w:val="22"/>
                      <w:u w:val="single" w:color="auto"/>
                    </w:rPr>
                    <w:t>环境功能及保护级别</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30" w:type="pct"/>
                  <w:vMerge w:val="continue"/>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sz w:val="22"/>
                      <w:szCs w:val="22"/>
                      <w:u w:val="single" w:color="auto"/>
                    </w:rPr>
                  </w:pPr>
                </w:p>
              </w:tc>
              <w:tc>
                <w:tcPr>
                  <w:tcW w:w="668" w:type="pct"/>
                  <w:vMerge w:val="continue"/>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sz w:val="22"/>
                      <w:szCs w:val="22"/>
                      <w:u w:val="single" w:color="auto"/>
                    </w:rPr>
                  </w:pPr>
                </w:p>
              </w:tc>
              <w:tc>
                <w:tcPr>
                  <w:tcW w:w="705" w:type="pct"/>
                  <w:tcBorders>
                    <w:tl2br w:val="nil"/>
                    <w:tr2bl w:val="nil"/>
                  </w:tcBorders>
                  <w:noWrap w:val="0"/>
                  <w:vAlign w:val="center"/>
                </w:tcPr>
                <w:p>
                  <w:pPr>
                    <w:widowControl/>
                    <w:spacing w:line="360" w:lineRule="auto"/>
                    <w:jc w:val="center"/>
                    <w:rPr>
                      <w:rFonts w:hint="default" w:ascii="Times New Roman" w:hAnsi="Times New Roman" w:eastAsia="宋体" w:cs="Times New Roman"/>
                      <w:b/>
                      <w:color w:val="auto"/>
                      <w:kern w:val="0"/>
                      <w:sz w:val="22"/>
                      <w:szCs w:val="22"/>
                      <w:u w:val="single" w:color="auto"/>
                      <w:lang w:val="en-US" w:eastAsia="zh-CN"/>
                    </w:rPr>
                  </w:pPr>
                  <w:r>
                    <w:rPr>
                      <w:rFonts w:hint="default" w:ascii="Times New Roman" w:hAnsi="Times New Roman" w:eastAsia="宋体" w:cs="Times New Roman"/>
                      <w:b/>
                      <w:color w:val="auto"/>
                      <w:kern w:val="0"/>
                      <w:sz w:val="22"/>
                      <w:szCs w:val="22"/>
                      <w:u w:val="single" w:color="auto"/>
                      <w:lang w:val="en-US" w:eastAsia="zh-CN"/>
                    </w:rPr>
                    <w:t>X</w:t>
                  </w:r>
                </w:p>
              </w:tc>
              <w:tc>
                <w:tcPr>
                  <w:tcW w:w="645" w:type="pct"/>
                  <w:tcBorders>
                    <w:tl2br w:val="nil"/>
                    <w:tr2bl w:val="nil"/>
                  </w:tcBorders>
                  <w:noWrap w:val="0"/>
                  <w:vAlign w:val="center"/>
                </w:tcPr>
                <w:p>
                  <w:pPr>
                    <w:widowControl/>
                    <w:spacing w:line="360" w:lineRule="auto"/>
                    <w:jc w:val="center"/>
                    <w:rPr>
                      <w:rFonts w:hint="default" w:ascii="Times New Roman" w:hAnsi="Times New Roman" w:eastAsia="宋体" w:cs="Times New Roman"/>
                      <w:b/>
                      <w:color w:val="auto"/>
                      <w:kern w:val="0"/>
                      <w:sz w:val="22"/>
                      <w:szCs w:val="22"/>
                      <w:u w:val="single" w:color="auto"/>
                      <w:lang w:val="en-US" w:eastAsia="zh-CN"/>
                    </w:rPr>
                  </w:pPr>
                  <w:r>
                    <w:rPr>
                      <w:rFonts w:hint="default" w:ascii="Times New Roman" w:hAnsi="Times New Roman" w:eastAsia="宋体" w:cs="Times New Roman"/>
                      <w:b/>
                      <w:color w:val="auto"/>
                      <w:kern w:val="0"/>
                      <w:sz w:val="22"/>
                      <w:szCs w:val="22"/>
                      <w:u w:val="single" w:color="auto"/>
                      <w:lang w:val="en-US" w:eastAsia="zh-CN"/>
                    </w:rPr>
                    <w:t>Y</w:t>
                  </w:r>
                </w:p>
              </w:tc>
              <w:tc>
                <w:tcPr>
                  <w:tcW w:w="357" w:type="pct"/>
                  <w:vMerge w:val="continue"/>
                  <w:tcBorders>
                    <w:tl2br w:val="nil"/>
                    <w:tr2bl w:val="nil"/>
                  </w:tcBorders>
                  <w:noWrap w:val="0"/>
                  <w:vAlign w:val="center"/>
                </w:tcPr>
                <w:p>
                  <w:pPr>
                    <w:widowControl/>
                    <w:spacing w:line="360" w:lineRule="auto"/>
                    <w:jc w:val="center"/>
                    <w:rPr>
                      <w:rFonts w:hint="default" w:ascii="Times New Roman" w:hAnsi="Times New Roman" w:eastAsia="宋体" w:cs="Times New Roman"/>
                      <w:b/>
                      <w:color w:val="auto"/>
                      <w:kern w:val="0"/>
                      <w:sz w:val="22"/>
                      <w:szCs w:val="22"/>
                      <w:u w:val="single" w:color="auto"/>
                      <w:lang w:val="en-US" w:eastAsia="zh-CN"/>
                    </w:rPr>
                  </w:pPr>
                </w:p>
              </w:tc>
              <w:tc>
                <w:tcPr>
                  <w:tcW w:w="584" w:type="pct"/>
                  <w:vMerge w:val="continue"/>
                  <w:tcBorders>
                    <w:tl2br w:val="nil"/>
                    <w:tr2bl w:val="nil"/>
                  </w:tcBorders>
                  <w:noWrap w:val="0"/>
                  <w:vAlign w:val="center"/>
                </w:tcPr>
                <w:p>
                  <w:pPr>
                    <w:widowControl/>
                    <w:spacing w:line="360" w:lineRule="auto"/>
                    <w:jc w:val="center"/>
                    <w:rPr>
                      <w:rFonts w:hint="default" w:ascii="Times New Roman" w:hAnsi="Times New Roman" w:eastAsia="宋体" w:cs="Times New Roman"/>
                      <w:b/>
                      <w:color w:val="auto"/>
                      <w:kern w:val="0"/>
                      <w:sz w:val="22"/>
                      <w:szCs w:val="22"/>
                      <w:u w:val="single" w:color="auto"/>
                      <w:lang w:val="en-US" w:eastAsia="zh-CN"/>
                    </w:rPr>
                  </w:pPr>
                </w:p>
              </w:tc>
              <w:tc>
                <w:tcPr>
                  <w:tcW w:w="476" w:type="pct"/>
                  <w:vMerge w:val="continue"/>
                  <w:tcBorders>
                    <w:tl2br w:val="nil"/>
                    <w:tr2bl w:val="nil"/>
                  </w:tcBorders>
                  <w:noWrap w:val="0"/>
                  <w:vAlign w:val="center"/>
                </w:tcPr>
                <w:p>
                  <w:pPr>
                    <w:widowControl/>
                    <w:spacing w:line="360" w:lineRule="auto"/>
                    <w:jc w:val="center"/>
                    <w:rPr>
                      <w:rFonts w:hint="default" w:ascii="Times New Roman" w:hAnsi="Times New Roman" w:eastAsia="宋体" w:cs="Times New Roman"/>
                      <w:b/>
                      <w:color w:val="auto"/>
                      <w:kern w:val="0"/>
                      <w:sz w:val="22"/>
                      <w:szCs w:val="22"/>
                      <w:u w:val="single" w:color="auto"/>
                      <w:lang w:val="en-US" w:eastAsia="zh-CN"/>
                    </w:rPr>
                  </w:pPr>
                </w:p>
              </w:tc>
              <w:tc>
                <w:tcPr>
                  <w:tcW w:w="1130" w:type="pct"/>
                  <w:vMerge w:val="continue"/>
                  <w:tcBorders>
                    <w:tl2br w:val="nil"/>
                    <w:tr2bl w:val="nil"/>
                  </w:tcBorders>
                  <w:noWrap w:val="0"/>
                  <w:vAlign w:val="center"/>
                </w:tcPr>
                <w:p>
                  <w:pPr>
                    <w:widowControl/>
                    <w:spacing w:line="360" w:lineRule="auto"/>
                    <w:jc w:val="center"/>
                    <w:rPr>
                      <w:rFonts w:hint="default" w:ascii="Times New Roman" w:hAnsi="Times New Roman" w:eastAsia="宋体" w:cs="Times New Roman"/>
                      <w:b/>
                      <w:color w:val="auto"/>
                      <w:kern w:val="0"/>
                      <w:sz w:val="22"/>
                      <w:szCs w:val="22"/>
                      <w:u w:val="single" w:color="auto"/>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30" w:type="pct"/>
                  <w:vMerge w:val="restart"/>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single" w:color="auto"/>
                    </w:rPr>
                  </w:pPr>
                  <w:r>
                    <w:rPr>
                      <w:rFonts w:hint="default" w:ascii="Times New Roman" w:hAnsi="Times New Roman" w:eastAsia="宋体" w:cs="Times New Roman"/>
                      <w:color w:val="auto"/>
                      <w:kern w:val="0"/>
                      <w:sz w:val="22"/>
                      <w:szCs w:val="22"/>
                      <w:u w:val="single" w:color="auto"/>
                    </w:rPr>
                    <w:t>环境空气</w:t>
                  </w:r>
                </w:p>
              </w:tc>
              <w:tc>
                <w:tcPr>
                  <w:tcW w:w="668" w:type="pct"/>
                  <w:tcBorders>
                    <w:tl2br w:val="nil"/>
                    <w:tr2bl w:val="nil"/>
                  </w:tcBorders>
                  <w:noWrap w:val="0"/>
                  <w:vAlign w:val="center"/>
                </w:tcPr>
                <w:p>
                  <w:pPr>
                    <w:jc w:val="center"/>
                    <w:rPr>
                      <w:rFonts w:hint="default" w:ascii="Times New Roman" w:hAnsi="Times New Roman" w:eastAsia="宋体" w:cs="Times New Roman"/>
                      <w:color w:val="auto"/>
                      <w:kern w:val="0"/>
                      <w:sz w:val="22"/>
                      <w:szCs w:val="22"/>
                      <w:u w:val="single" w:color="auto"/>
                      <w:lang w:val="en-US" w:eastAsia="zh-CN"/>
                    </w:rPr>
                  </w:pPr>
                  <w:r>
                    <w:rPr>
                      <w:rFonts w:hint="eastAsia" w:ascii="Times New Roman" w:hAnsi="Times New Roman" w:eastAsia="宋体" w:cs="Times New Roman"/>
                      <w:b w:val="0"/>
                      <w:bCs/>
                      <w:color w:val="auto"/>
                      <w:sz w:val="22"/>
                      <w:szCs w:val="22"/>
                      <w:u w:val="single" w:color="auto"/>
                      <w:lang w:eastAsia="zh-CN"/>
                    </w:rPr>
                    <w:t>新塘村</w:t>
                  </w:r>
                </w:p>
              </w:tc>
              <w:tc>
                <w:tcPr>
                  <w:tcW w:w="705"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default" w:ascii="Times New Roman" w:hAnsi="Times New Roman" w:eastAsia="宋体" w:cs="Times New Roman"/>
                      <w:color w:val="auto"/>
                      <w:kern w:val="0"/>
                      <w:sz w:val="22"/>
                      <w:szCs w:val="22"/>
                      <w:u w:val="single" w:color="auto"/>
                      <w:lang w:val="en-US" w:eastAsia="zh-CN"/>
                    </w:rPr>
                    <w:t>112.930827</w:t>
                  </w:r>
                </w:p>
              </w:tc>
              <w:tc>
                <w:tcPr>
                  <w:tcW w:w="645"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default" w:ascii="Times New Roman" w:hAnsi="Times New Roman" w:eastAsia="宋体" w:cs="Times New Roman"/>
                      <w:color w:val="auto"/>
                      <w:kern w:val="0"/>
                      <w:sz w:val="22"/>
                      <w:szCs w:val="22"/>
                      <w:u w:val="single" w:color="auto"/>
                      <w:lang w:val="en-US" w:eastAsia="zh-CN"/>
                    </w:rPr>
                    <w:t>28.537029</w:t>
                  </w:r>
                </w:p>
              </w:tc>
              <w:tc>
                <w:tcPr>
                  <w:tcW w:w="357"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eastAsia" w:cs="Times New Roman"/>
                      <w:color w:val="auto"/>
                      <w:kern w:val="0"/>
                      <w:sz w:val="22"/>
                      <w:szCs w:val="22"/>
                      <w:u w:val="single" w:color="auto"/>
                      <w:lang w:val="en-US" w:eastAsia="zh-CN"/>
                    </w:rPr>
                    <w:t>西北</w:t>
                  </w:r>
                </w:p>
              </w:tc>
              <w:tc>
                <w:tcPr>
                  <w:tcW w:w="584"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eastAsia" w:cs="Times New Roman"/>
                      <w:color w:val="auto"/>
                      <w:kern w:val="0"/>
                      <w:sz w:val="22"/>
                      <w:szCs w:val="22"/>
                      <w:u w:val="single" w:color="auto"/>
                      <w:lang w:val="en-US" w:eastAsia="zh-CN"/>
                    </w:rPr>
                    <w:t>850-1100</w:t>
                  </w:r>
                </w:p>
              </w:tc>
              <w:tc>
                <w:tcPr>
                  <w:tcW w:w="476" w:type="pct"/>
                  <w:tcBorders>
                    <w:tl2br w:val="nil"/>
                    <w:tr2bl w:val="nil"/>
                  </w:tcBorders>
                  <w:noWrap w:val="0"/>
                  <w:vAlign w:val="center"/>
                </w:tcPr>
                <w:p>
                  <w:pPr>
                    <w:spacing w:line="360" w:lineRule="exact"/>
                    <w:jc w:val="center"/>
                    <w:rPr>
                      <w:rFonts w:hint="default" w:ascii="Times New Roman" w:hAnsi="Times New Roman" w:eastAsia="宋体" w:cs="Times New Roman"/>
                      <w:color w:val="auto"/>
                      <w:kern w:val="0"/>
                      <w:sz w:val="22"/>
                      <w:szCs w:val="22"/>
                      <w:u w:val="single" w:color="auto"/>
                      <w:lang w:val="en-US" w:eastAsia="zh-CN"/>
                    </w:rPr>
                  </w:pPr>
                  <w:r>
                    <w:rPr>
                      <w:rFonts w:hint="default" w:ascii="Times New Roman" w:hAnsi="Times New Roman" w:eastAsia="宋体" w:cs="Times New Roman"/>
                      <w:b w:val="0"/>
                      <w:bCs/>
                      <w:color w:val="auto"/>
                      <w:sz w:val="22"/>
                      <w:szCs w:val="22"/>
                      <w:u w:val="single" w:color="auto"/>
                    </w:rPr>
                    <w:t>约</w:t>
                  </w:r>
                  <w:r>
                    <w:rPr>
                      <w:rFonts w:hint="eastAsia" w:ascii="Times New Roman" w:hAnsi="Times New Roman" w:cs="Times New Roman"/>
                      <w:b w:val="0"/>
                      <w:bCs/>
                      <w:color w:val="auto"/>
                      <w:sz w:val="22"/>
                      <w:szCs w:val="22"/>
                      <w:u w:val="single" w:color="auto"/>
                      <w:lang w:val="en-US" w:eastAsia="zh-CN"/>
                    </w:rPr>
                    <w:t>40</w:t>
                  </w:r>
                  <w:r>
                    <w:rPr>
                      <w:rFonts w:hint="default" w:ascii="Times New Roman" w:hAnsi="Times New Roman" w:eastAsia="宋体" w:cs="Times New Roman"/>
                      <w:b w:val="0"/>
                      <w:bCs/>
                      <w:color w:val="auto"/>
                      <w:sz w:val="22"/>
                      <w:szCs w:val="22"/>
                      <w:u w:val="single" w:color="auto"/>
                      <w:lang w:val="en-US" w:eastAsia="zh-CN"/>
                    </w:rPr>
                    <w:t>人</w:t>
                  </w:r>
                </w:p>
              </w:tc>
              <w:tc>
                <w:tcPr>
                  <w:tcW w:w="1130" w:type="pct"/>
                  <w:vMerge w:val="restar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rPr>
                  </w:pPr>
                  <w:r>
                    <w:rPr>
                      <w:rFonts w:hint="default" w:ascii="Times New Roman" w:hAnsi="Times New Roman" w:eastAsia="宋体" w:cs="Times New Roman"/>
                      <w:color w:val="auto"/>
                      <w:sz w:val="22"/>
                      <w:szCs w:val="22"/>
                      <w:u w:val="single" w:color="auto"/>
                    </w:rPr>
                    <w:t>《环境空气质量标准》（GB3095-2012）中二级标准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430" w:type="pct"/>
                  <w:vMerge w:val="continue"/>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rPr>
                  </w:pPr>
                </w:p>
              </w:tc>
              <w:tc>
                <w:tcPr>
                  <w:tcW w:w="668" w:type="pct"/>
                  <w:tcBorders>
                    <w:tl2br w:val="nil"/>
                    <w:tr2bl w:val="nil"/>
                  </w:tcBorders>
                  <w:noWrap w:val="0"/>
                  <w:vAlign w:val="center"/>
                </w:tcPr>
                <w:p>
                  <w:pPr>
                    <w:jc w:val="center"/>
                    <w:rPr>
                      <w:rFonts w:hint="default" w:ascii="Times New Roman" w:hAnsi="Times New Roman" w:eastAsia="宋体" w:cs="Times New Roman"/>
                      <w:color w:val="auto"/>
                      <w:kern w:val="0"/>
                      <w:sz w:val="22"/>
                      <w:szCs w:val="22"/>
                      <w:u w:val="single" w:color="auto"/>
                      <w:lang w:val="en-US" w:eastAsia="zh-CN"/>
                    </w:rPr>
                  </w:pPr>
                  <w:r>
                    <w:rPr>
                      <w:rFonts w:hint="eastAsia" w:ascii="Times New Roman" w:hAnsi="Times New Roman" w:eastAsia="宋体" w:cs="Times New Roman"/>
                      <w:b w:val="0"/>
                      <w:bCs/>
                      <w:color w:val="auto"/>
                      <w:sz w:val="22"/>
                      <w:szCs w:val="22"/>
                      <w:u w:val="single" w:color="auto"/>
                      <w:lang w:eastAsia="zh-CN"/>
                    </w:rPr>
                    <w:t>金华村</w:t>
                  </w:r>
                </w:p>
              </w:tc>
              <w:tc>
                <w:tcPr>
                  <w:tcW w:w="705"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default" w:ascii="Times New Roman" w:hAnsi="Times New Roman" w:eastAsia="宋体" w:cs="Times New Roman"/>
                      <w:color w:val="auto"/>
                      <w:kern w:val="0"/>
                      <w:sz w:val="22"/>
                      <w:szCs w:val="22"/>
                      <w:u w:val="single" w:color="auto"/>
                      <w:lang w:val="en-US" w:eastAsia="zh-CN"/>
                    </w:rPr>
                    <w:t>112.923810</w:t>
                  </w:r>
                </w:p>
              </w:tc>
              <w:tc>
                <w:tcPr>
                  <w:tcW w:w="645"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default" w:ascii="Times New Roman" w:hAnsi="Times New Roman" w:eastAsia="宋体" w:cs="Times New Roman"/>
                      <w:color w:val="auto"/>
                      <w:kern w:val="0"/>
                      <w:sz w:val="22"/>
                      <w:szCs w:val="22"/>
                      <w:u w:val="single" w:color="auto"/>
                      <w:lang w:val="en-US" w:eastAsia="zh-CN"/>
                    </w:rPr>
                    <w:t>28.529733</w:t>
                  </w:r>
                </w:p>
              </w:tc>
              <w:tc>
                <w:tcPr>
                  <w:tcW w:w="357"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eastAsia" w:cs="Times New Roman"/>
                      <w:color w:val="auto"/>
                      <w:kern w:val="0"/>
                      <w:sz w:val="22"/>
                      <w:szCs w:val="22"/>
                      <w:u w:val="single" w:color="auto"/>
                      <w:lang w:val="en-US" w:eastAsia="zh-CN"/>
                    </w:rPr>
                    <w:t>西</w:t>
                  </w:r>
                </w:p>
              </w:tc>
              <w:tc>
                <w:tcPr>
                  <w:tcW w:w="584"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eastAsia" w:cs="Times New Roman"/>
                      <w:color w:val="auto"/>
                      <w:kern w:val="0"/>
                      <w:sz w:val="22"/>
                      <w:szCs w:val="22"/>
                      <w:u w:val="single" w:color="auto"/>
                      <w:lang w:val="en-US" w:eastAsia="zh-CN"/>
                    </w:rPr>
                    <w:t>730-1300</w:t>
                  </w:r>
                </w:p>
              </w:tc>
              <w:tc>
                <w:tcPr>
                  <w:tcW w:w="476" w:type="pct"/>
                  <w:tcBorders>
                    <w:tl2br w:val="nil"/>
                    <w:tr2bl w:val="nil"/>
                  </w:tcBorders>
                  <w:noWrap w:val="0"/>
                  <w:vAlign w:val="center"/>
                </w:tcPr>
                <w:p>
                  <w:pPr>
                    <w:spacing w:line="360" w:lineRule="exact"/>
                    <w:jc w:val="center"/>
                    <w:rPr>
                      <w:rFonts w:hint="default" w:ascii="Times New Roman" w:hAnsi="Times New Roman" w:eastAsia="宋体" w:cs="Times New Roman"/>
                      <w:color w:val="auto"/>
                      <w:kern w:val="0"/>
                      <w:sz w:val="22"/>
                      <w:szCs w:val="22"/>
                      <w:u w:val="single" w:color="auto"/>
                      <w:lang w:val="en-US" w:eastAsia="zh-CN"/>
                    </w:rPr>
                  </w:pPr>
                  <w:r>
                    <w:rPr>
                      <w:rFonts w:hint="default" w:ascii="Times New Roman" w:hAnsi="Times New Roman" w:eastAsia="宋体" w:cs="Times New Roman"/>
                      <w:b w:val="0"/>
                      <w:bCs/>
                      <w:color w:val="auto"/>
                      <w:sz w:val="22"/>
                      <w:szCs w:val="22"/>
                      <w:u w:val="single" w:color="auto"/>
                    </w:rPr>
                    <w:t>约</w:t>
                  </w:r>
                  <w:r>
                    <w:rPr>
                      <w:rFonts w:hint="eastAsia" w:ascii="Times New Roman" w:hAnsi="Times New Roman" w:cs="Times New Roman"/>
                      <w:b w:val="0"/>
                      <w:bCs/>
                      <w:color w:val="auto"/>
                      <w:sz w:val="22"/>
                      <w:szCs w:val="22"/>
                      <w:u w:val="single" w:color="auto"/>
                      <w:lang w:val="en-US" w:eastAsia="zh-CN"/>
                    </w:rPr>
                    <w:t>45</w:t>
                  </w:r>
                  <w:r>
                    <w:rPr>
                      <w:rFonts w:hint="default" w:ascii="Times New Roman" w:hAnsi="Times New Roman" w:eastAsia="宋体" w:cs="Times New Roman"/>
                      <w:b w:val="0"/>
                      <w:bCs/>
                      <w:color w:val="auto"/>
                      <w:sz w:val="22"/>
                      <w:szCs w:val="22"/>
                      <w:u w:val="single" w:color="auto"/>
                      <w:lang w:val="en-US" w:eastAsia="zh-CN"/>
                    </w:rPr>
                    <w:t>人</w:t>
                  </w:r>
                </w:p>
              </w:tc>
              <w:tc>
                <w:tcPr>
                  <w:tcW w:w="1130" w:type="pct"/>
                  <w:vMerge w:val="continue"/>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30" w:type="pct"/>
                  <w:vMerge w:val="continue"/>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rPr>
                  </w:pPr>
                </w:p>
              </w:tc>
              <w:tc>
                <w:tcPr>
                  <w:tcW w:w="668" w:type="pct"/>
                  <w:tcBorders>
                    <w:tl2br w:val="nil"/>
                    <w:tr2bl w:val="nil"/>
                  </w:tcBorders>
                  <w:noWrap w:val="0"/>
                  <w:vAlign w:val="center"/>
                </w:tcPr>
                <w:p>
                  <w:pPr>
                    <w:jc w:val="center"/>
                    <w:rPr>
                      <w:rFonts w:hint="default" w:ascii="Times New Roman" w:hAnsi="Times New Roman" w:eastAsia="宋体" w:cs="Times New Roman"/>
                      <w:color w:val="auto"/>
                      <w:kern w:val="0"/>
                      <w:sz w:val="22"/>
                      <w:szCs w:val="22"/>
                      <w:u w:val="single" w:color="auto"/>
                      <w:lang w:val="en-US" w:eastAsia="zh-CN"/>
                    </w:rPr>
                  </w:pPr>
                  <w:r>
                    <w:rPr>
                      <w:rFonts w:hint="eastAsia" w:ascii="Times New Roman" w:hAnsi="Times New Roman" w:cs="Times New Roman"/>
                      <w:bCs/>
                      <w:color w:val="auto"/>
                      <w:sz w:val="22"/>
                      <w:szCs w:val="22"/>
                      <w:u w:val="single" w:color="auto"/>
                      <w:lang w:eastAsia="zh-CN"/>
                    </w:rPr>
                    <w:t>界头铺镇</w:t>
                  </w:r>
                </w:p>
              </w:tc>
              <w:tc>
                <w:tcPr>
                  <w:tcW w:w="705"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default" w:ascii="Times New Roman" w:hAnsi="Times New Roman" w:eastAsia="宋体" w:cs="Times New Roman"/>
                      <w:color w:val="auto"/>
                      <w:kern w:val="0"/>
                      <w:sz w:val="22"/>
                      <w:szCs w:val="22"/>
                      <w:u w:val="single" w:color="auto"/>
                      <w:lang w:val="en-US" w:eastAsia="zh-CN"/>
                    </w:rPr>
                    <w:t>112.939324</w:t>
                  </w:r>
                </w:p>
              </w:tc>
              <w:tc>
                <w:tcPr>
                  <w:tcW w:w="645"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default" w:ascii="Times New Roman" w:hAnsi="Times New Roman" w:eastAsia="宋体" w:cs="Times New Roman"/>
                      <w:color w:val="auto"/>
                      <w:kern w:val="0"/>
                      <w:sz w:val="22"/>
                      <w:szCs w:val="22"/>
                      <w:u w:val="single" w:color="auto"/>
                      <w:lang w:val="en-US" w:eastAsia="zh-CN"/>
                    </w:rPr>
                    <w:t>28.534314</w:t>
                  </w:r>
                </w:p>
              </w:tc>
              <w:tc>
                <w:tcPr>
                  <w:tcW w:w="357"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eastAsia" w:cs="Times New Roman"/>
                      <w:color w:val="auto"/>
                      <w:kern w:val="0"/>
                      <w:sz w:val="22"/>
                      <w:szCs w:val="22"/>
                      <w:u w:val="single" w:color="auto"/>
                      <w:lang w:val="en-US" w:eastAsia="zh-CN"/>
                    </w:rPr>
                    <w:t>北</w:t>
                  </w:r>
                </w:p>
              </w:tc>
              <w:tc>
                <w:tcPr>
                  <w:tcW w:w="584"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eastAsia" w:cs="Times New Roman"/>
                      <w:color w:val="auto"/>
                      <w:kern w:val="0"/>
                      <w:sz w:val="22"/>
                      <w:szCs w:val="22"/>
                      <w:u w:val="single" w:color="auto"/>
                      <w:lang w:val="en-US" w:eastAsia="zh-CN"/>
                    </w:rPr>
                    <w:t>380-1200</w:t>
                  </w:r>
                </w:p>
              </w:tc>
              <w:tc>
                <w:tcPr>
                  <w:tcW w:w="476" w:type="pct"/>
                  <w:tcBorders>
                    <w:tl2br w:val="nil"/>
                    <w:tr2bl w:val="nil"/>
                  </w:tcBorders>
                  <w:noWrap w:val="0"/>
                  <w:vAlign w:val="center"/>
                </w:tcPr>
                <w:p>
                  <w:pPr>
                    <w:spacing w:line="360" w:lineRule="exact"/>
                    <w:jc w:val="center"/>
                    <w:rPr>
                      <w:rFonts w:hint="default" w:ascii="Times New Roman" w:hAnsi="Times New Roman" w:eastAsia="宋体" w:cs="Times New Roman"/>
                      <w:color w:val="auto"/>
                      <w:kern w:val="0"/>
                      <w:sz w:val="22"/>
                      <w:szCs w:val="22"/>
                      <w:u w:val="single" w:color="auto"/>
                      <w:lang w:val="en-US" w:eastAsia="zh-CN"/>
                    </w:rPr>
                  </w:pPr>
                  <w:r>
                    <w:rPr>
                      <w:rFonts w:hint="default" w:ascii="Times New Roman" w:hAnsi="Times New Roman" w:eastAsia="宋体" w:cs="Times New Roman"/>
                      <w:b w:val="0"/>
                      <w:bCs/>
                      <w:color w:val="auto"/>
                      <w:sz w:val="22"/>
                      <w:szCs w:val="22"/>
                      <w:u w:val="single" w:color="auto"/>
                    </w:rPr>
                    <w:t>约</w:t>
                  </w:r>
                  <w:r>
                    <w:rPr>
                      <w:rFonts w:hint="eastAsia" w:ascii="Times New Roman" w:hAnsi="Times New Roman" w:cs="Times New Roman"/>
                      <w:b w:val="0"/>
                      <w:bCs/>
                      <w:color w:val="auto"/>
                      <w:sz w:val="22"/>
                      <w:szCs w:val="22"/>
                      <w:u w:val="single" w:color="auto"/>
                      <w:lang w:val="en-US" w:eastAsia="zh-CN"/>
                    </w:rPr>
                    <w:t>700</w:t>
                  </w:r>
                  <w:r>
                    <w:rPr>
                      <w:rFonts w:hint="default" w:ascii="Times New Roman" w:hAnsi="Times New Roman" w:eastAsia="宋体" w:cs="Times New Roman"/>
                      <w:b w:val="0"/>
                      <w:bCs/>
                      <w:color w:val="auto"/>
                      <w:sz w:val="22"/>
                      <w:szCs w:val="22"/>
                      <w:u w:val="single" w:color="auto"/>
                      <w:lang w:val="en-US" w:eastAsia="zh-CN"/>
                    </w:rPr>
                    <w:t>人</w:t>
                  </w:r>
                </w:p>
              </w:tc>
              <w:tc>
                <w:tcPr>
                  <w:tcW w:w="1130" w:type="pct"/>
                  <w:vMerge w:val="continue"/>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30" w:type="pct"/>
                  <w:vMerge w:val="continue"/>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rPr>
                  </w:pPr>
                </w:p>
              </w:tc>
              <w:tc>
                <w:tcPr>
                  <w:tcW w:w="668" w:type="pct"/>
                  <w:tcBorders>
                    <w:tl2br w:val="nil"/>
                    <w:tr2bl w:val="nil"/>
                  </w:tcBorders>
                  <w:noWrap w:val="0"/>
                  <w:vAlign w:val="center"/>
                </w:tcPr>
                <w:p>
                  <w:pPr>
                    <w:jc w:val="center"/>
                    <w:rPr>
                      <w:rFonts w:hint="default" w:ascii="Times New Roman" w:hAnsi="Times New Roman" w:eastAsia="宋体" w:cs="Times New Roman"/>
                      <w:color w:val="auto"/>
                      <w:kern w:val="0"/>
                      <w:sz w:val="22"/>
                      <w:szCs w:val="22"/>
                      <w:u w:val="single" w:color="auto"/>
                      <w:lang w:val="en-US" w:eastAsia="zh-CN"/>
                    </w:rPr>
                  </w:pPr>
                  <w:r>
                    <w:rPr>
                      <w:rFonts w:hint="eastAsia" w:ascii="Times New Roman" w:hAnsi="Times New Roman" w:cs="Times New Roman"/>
                      <w:bCs/>
                      <w:color w:val="auto"/>
                      <w:sz w:val="22"/>
                      <w:szCs w:val="22"/>
                      <w:u w:val="single" w:color="auto"/>
                      <w:lang w:eastAsia="zh-CN"/>
                    </w:rPr>
                    <w:t>安置区</w:t>
                  </w:r>
                </w:p>
              </w:tc>
              <w:tc>
                <w:tcPr>
                  <w:tcW w:w="705" w:type="pct"/>
                  <w:tcBorders>
                    <w:tl2br w:val="nil"/>
                    <w:tr2bl w:val="nil"/>
                  </w:tcBorders>
                  <w:noWrap w:val="0"/>
                  <w:vAlign w:val="center"/>
                </w:tcPr>
                <w:p>
                  <w:pPr>
                    <w:widowControl/>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112.940269</w:t>
                  </w:r>
                </w:p>
              </w:tc>
              <w:tc>
                <w:tcPr>
                  <w:tcW w:w="645" w:type="pct"/>
                  <w:tcBorders>
                    <w:tl2br w:val="nil"/>
                    <w:tr2bl w:val="nil"/>
                  </w:tcBorders>
                  <w:noWrap w:val="0"/>
                  <w:vAlign w:val="center"/>
                </w:tcPr>
                <w:p>
                  <w:pPr>
                    <w:widowControl/>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28.528319</w:t>
                  </w:r>
                </w:p>
              </w:tc>
              <w:tc>
                <w:tcPr>
                  <w:tcW w:w="357"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eastAsia" w:cs="Times New Roman"/>
                      <w:color w:val="auto"/>
                      <w:kern w:val="0"/>
                      <w:sz w:val="22"/>
                      <w:szCs w:val="22"/>
                      <w:u w:val="single" w:color="auto"/>
                      <w:lang w:val="en-US" w:eastAsia="zh-CN"/>
                    </w:rPr>
                    <w:t>东南</w:t>
                  </w:r>
                </w:p>
              </w:tc>
              <w:tc>
                <w:tcPr>
                  <w:tcW w:w="584"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eastAsia" w:cs="Times New Roman"/>
                      <w:color w:val="auto"/>
                      <w:kern w:val="0"/>
                      <w:sz w:val="22"/>
                      <w:szCs w:val="22"/>
                      <w:u w:val="single" w:color="auto"/>
                      <w:lang w:val="en-US" w:eastAsia="zh-CN"/>
                    </w:rPr>
                    <w:t>370-670</w:t>
                  </w:r>
                </w:p>
              </w:tc>
              <w:tc>
                <w:tcPr>
                  <w:tcW w:w="476" w:type="pct"/>
                  <w:tcBorders>
                    <w:tl2br w:val="nil"/>
                    <w:tr2bl w:val="nil"/>
                  </w:tcBorders>
                  <w:noWrap w:val="0"/>
                  <w:vAlign w:val="center"/>
                </w:tcPr>
                <w:p>
                  <w:pPr>
                    <w:spacing w:line="360" w:lineRule="exact"/>
                    <w:jc w:val="center"/>
                    <w:rPr>
                      <w:rFonts w:hint="default" w:ascii="Times New Roman" w:hAnsi="Times New Roman" w:eastAsia="宋体" w:cs="Times New Roman"/>
                      <w:color w:val="auto"/>
                      <w:kern w:val="0"/>
                      <w:sz w:val="22"/>
                      <w:szCs w:val="22"/>
                      <w:u w:val="single" w:color="auto"/>
                      <w:lang w:val="en-US" w:eastAsia="zh-CN"/>
                    </w:rPr>
                  </w:pPr>
                  <w:r>
                    <w:rPr>
                      <w:rFonts w:hint="default" w:ascii="Times New Roman" w:hAnsi="Times New Roman" w:eastAsia="宋体" w:cs="Times New Roman"/>
                      <w:b w:val="0"/>
                      <w:bCs/>
                      <w:color w:val="auto"/>
                      <w:sz w:val="22"/>
                      <w:szCs w:val="22"/>
                      <w:u w:val="single" w:color="auto"/>
                    </w:rPr>
                    <w:t>约</w:t>
                  </w:r>
                  <w:r>
                    <w:rPr>
                      <w:rFonts w:hint="eastAsia" w:ascii="Times New Roman" w:hAnsi="Times New Roman" w:cs="Times New Roman"/>
                      <w:b w:val="0"/>
                      <w:bCs/>
                      <w:color w:val="auto"/>
                      <w:sz w:val="22"/>
                      <w:szCs w:val="22"/>
                      <w:u w:val="single" w:color="auto"/>
                      <w:lang w:val="en-US" w:eastAsia="zh-CN"/>
                    </w:rPr>
                    <w:t>200</w:t>
                  </w:r>
                  <w:r>
                    <w:rPr>
                      <w:rFonts w:hint="default" w:ascii="Times New Roman" w:hAnsi="Times New Roman" w:eastAsia="宋体" w:cs="Times New Roman"/>
                      <w:b w:val="0"/>
                      <w:bCs/>
                      <w:color w:val="auto"/>
                      <w:sz w:val="22"/>
                      <w:szCs w:val="22"/>
                      <w:u w:val="single" w:color="auto"/>
                      <w:lang w:val="en-US" w:eastAsia="zh-CN"/>
                    </w:rPr>
                    <w:t>人</w:t>
                  </w:r>
                </w:p>
              </w:tc>
              <w:tc>
                <w:tcPr>
                  <w:tcW w:w="1130" w:type="pct"/>
                  <w:vMerge w:val="continue"/>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0" w:type="pct"/>
                  <w:vMerge w:val="continue"/>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rPr>
                  </w:pPr>
                </w:p>
              </w:tc>
              <w:tc>
                <w:tcPr>
                  <w:tcW w:w="668" w:type="pct"/>
                  <w:tcBorders>
                    <w:tl2br w:val="nil"/>
                    <w:tr2bl w:val="nil"/>
                  </w:tcBorders>
                  <w:noWrap w:val="0"/>
                  <w:vAlign w:val="center"/>
                </w:tcPr>
                <w:p>
                  <w:pPr>
                    <w:jc w:val="center"/>
                    <w:rPr>
                      <w:rFonts w:hint="default" w:ascii="Times New Roman" w:hAnsi="Times New Roman" w:eastAsia="宋体" w:cs="Times New Roman"/>
                      <w:color w:val="auto"/>
                      <w:kern w:val="0"/>
                      <w:sz w:val="22"/>
                      <w:szCs w:val="22"/>
                      <w:u w:val="single" w:color="auto"/>
                      <w:lang w:val="en-US" w:eastAsia="zh-CN"/>
                    </w:rPr>
                  </w:pPr>
                  <w:r>
                    <w:rPr>
                      <w:rFonts w:hint="eastAsia" w:ascii="Times New Roman" w:hAnsi="Times New Roman" w:cs="Times New Roman"/>
                      <w:bCs/>
                      <w:color w:val="auto"/>
                      <w:sz w:val="22"/>
                      <w:szCs w:val="22"/>
                      <w:u w:val="single" w:color="auto"/>
                      <w:lang w:eastAsia="zh-CN"/>
                    </w:rPr>
                    <w:t>园区委员会</w:t>
                  </w:r>
                </w:p>
              </w:tc>
              <w:tc>
                <w:tcPr>
                  <w:tcW w:w="705" w:type="pct"/>
                  <w:tcBorders>
                    <w:tl2br w:val="nil"/>
                    <w:tr2bl w:val="nil"/>
                  </w:tcBorders>
                  <w:noWrap w:val="0"/>
                  <w:vAlign w:val="center"/>
                </w:tcPr>
                <w:p>
                  <w:pPr>
                    <w:widowControl/>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112.937629</w:t>
                  </w:r>
                </w:p>
              </w:tc>
              <w:tc>
                <w:tcPr>
                  <w:tcW w:w="645" w:type="pct"/>
                  <w:tcBorders>
                    <w:tl2br w:val="nil"/>
                    <w:tr2bl w:val="nil"/>
                  </w:tcBorders>
                  <w:noWrap w:val="0"/>
                  <w:vAlign w:val="center"/>
                </w:tcPr>
                <w:p>
                  <w:pPr>
                    <w:widowControl/>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28.526604</w:t>
                  </w:r>
                </w:p>
              </w:tc>
              <w:tc>
                <w:tcPr>
                  <w:tcW w:w="357"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eastAsia" w:cs="Times New Roman"/>
                      <w:color w:val="auto"/>
                      <w:kern w:val="0"/>
                      <w:sz w:val="22"/>
                      <w:szCs w:val="22"/>
                      <w:u w:val="single" w:color="auto"/>
                      <w:lang w:val="en-US" w:eastAsia="zh-CN"/>
                    </w:rPr>
                    <w:t>东南</w:t>
                  </w:r>
                </w:p>
              </w:tc>
              <w:tc>
                <w:tcPr>
                  <w:tcW w:w="584"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eastAsia" w:cs="Times New Roman"/>
                      <w:color w:val="auto"/>
                      <w:kern w:val="0"/>
                      <w:sz w:val="22"/>
                      <w:szCs w:val="22"/>
                      <w:u w:val="single" w:color="auto"/>
                      <w:lang w:val="en-US" w:eastAsia="zh-CN"/>
                    </w:rPr>
                    <w:t>350-450</w:t>
                  </w:r>
                </w:p>
              </w:tc>
              <w:tc>
                <w:tcPr>
                  <w:tcW w:w="476" w:type="pct"/>
                  <w:tcBorders>
                    <w:tl2br w:val="nil"/>
                    <w:tr2bl w:val="nil"/>
                  </w:tcBorders>
                  <w:noWrap w:val="0"/>
                  <w:vAlign w:val="center"/>
                </w:tcPr>
                <w:p>
                  <w:pPr>
                    <w:spacing w:line="360" w:lineRule="exact"/>
                    <w:jc w:val="center"/>
                    <w:rPr>
                      <w:rFonts w:hint="default" w:ascii="Times New Roman" w:hAnsi="Times New Roman" w:eastAsia="宋体" w:cs="Times New Roman"/>
                      <w:color w:val="auto"/>
                      <w:kern w:val="0"/>
                      <w:sz w:val="22"/>
                      <w:szCs w:val="22"/>
                      <w:u w:val="single" w:color="auto"/>
                      <w:lang w:val="en-US" w:eastAsia="zh-CN"/>
                    </w:rPr>
                  </w:pPr>
                  <w:r>
                    <w:rPr>
                      <w:rFonts w:hint="eastAsia" w:ascii="Times New Roman" w:hAnsi="Times New Roman" w:cs="Times New Roman"/>
                      <w:b w:val="0"/>
                      <w:bCs/>
                      <w:color w:val="auto"/>
                      <w:sz w:val="22"/>
                      <w:szCs w:val="22"/>
                      <w:u w:val="single" w:color="auto"/>
                      <w:lang w:eastAsia="zh-CN"/>
                    </w:rPr>
                    <w:t>办公</w:t>
                  </w:r>
                </w:p>
              </w:tc>
              <w:tc>
                <w:tcPr>
                  <w:tcW w:w="1130" w:type="pct"/>
                  <w:vMerge w:val="continue"/>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430" w:type="pct"/>
                  <w:vMerge w:val="continue"/>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rPr>
                  </w:pPr>
                </w:p>
              </w:tc>
              <w:tc>
                <w:tcPr>
                  <w:tcW w:w="668" w:type="pct"/>
                  <w:tcBorders>
                    <w:tl2br w:val="nil"/>
                    <w:tr2bl w:val="nil"/>
                  </w:tcBorders>
                  <w:noWrap w:val="0"/>
                  <w:vAlign w:val="center"/>
                </w:tcPr>
                <w:p>
                  <w:pPr>
                    <w:jc w:val="center"/>
                    <w:rPr>
                      <w:rFonts w:hint="default" w:ascii="Times New Roman" w:hAnsi="Times New Roman" w:eastAsia="宋体" w:cs="Times New Roman"/>
                      <w:color w:val="auto"/>
                      <w:kern w:val="0"/>
                      <w:sz w:val="22"/>
                      <w:szCs w:val="22"/>
                      <w:u w:val="single" w:color="auto"/>
                      <w:lang w:val="en-US" w:eastAsia="zh-CN"/>
                    </w:rPr>
                  </w:pPr>
                  <w:r>
                    <w:rPr>
                      <w:rFonts w:hint="eastAsia" w:ascii="Times New Roman" w:hAnsi="Times New Roman" w:cs="Times New Roman"/>
                      <w:bCs/>
                      <w:color w:val="auto"/>
                      <w:sz w:val="22"/>
                      <w:szCs w:val="22"/>
                      <w:u w:val="single" w:color="auto"/>
                      <w:lang w:eastAsia="zh-CN"/>
                    </w:rPr>
                    <w:t>庙塘垅</w:t>
                  </w:r>
                </w:p>
              </w:tc>
              <w:tc>
                <w:tcPr>
                  <w:tcW w:w="705" w:type="pct"/>
                  <w:tcBorders>
                    <w:tl2br w:val="nil"/>
                    <w:tr2bl w:val="nil"/>
                  </w:tcBorders>
                  <w:noWrap w:val="0"/>
                  <w:vAlign w:val="center"/>
                </w:tcPr>
                <w:p>
                  <w:pPr>
                    <w:widowControl/>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112.944818</w:t>
                  </w:r>
                </w:p>
              </w:tc>
              <w:tc>
                <w:tcPr>
                  <w:tcW w:w="645" w:type="pct"/>
                  <w:tcBorders>
                    <w:tl2br w:val="nil"/>
                    <w:tr2bl w:val="nil"/>
                  </w:tcBorders>
                  <w:noWrap w:val="0"/>
                  <w:vAlign w:val="center"/>
                </w:tcPr>
                <w:p>
                  <w:pPr>
                    <w:widowControl/>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28.527433</w:t>
                  </w:r>
                </w:p>
              </w:tc>
              <w:tc>
                <w:tcPr>
                  <w:tcW w:w="357"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eastAsia" w:cs="Times New Roman"/>
                      <w:color w:val="auto"/>
                      <w:kern w:val="0"/>
                      <w:sz w:val="22"/>
                      <w:szCs w:val="22"/>
                      <w:u w:val="single" w:color="auto"/>
                      <w:lang w:val="en-US" w:eastAsia="zh-CN"/>
                    </w:rPr>
                    <w:t>东南</w:t>
                  </w:r>
                </w:p>
              </w:tc>
              <w:tc>
                <w:tcPr>
                  <w:tcW w:w="584"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eastAsia" w:cs="Times New Roman"/>
                      <w:color w:val="auto"/>
                      <w:kern w:val="0"/>
                      <w:sz w:val="22"/>
                      <w:szCs w:val="22"/>
                      <w:u w:val="single" w:color="auto"/>
                      <w:lang w:val="en-US" w:eastAsia="zh-CN"/>
                    </w:rPr>
                    <w:t>740-1100</w:t>
                  </w:r>
                </w:p>
              </w:tc>
              <w:tc>
                <w:tcPr>
                  <w:tcW w:w="476" w:type="pct"/>
                  <w:tcBorders>
                    <w:tl2br w:val="nil"/>
                    <w:tr2bl w:val="nil"/>
                  </w:tcBorders>
                  <w:noWrap w:val="0"/>
                  <w:vAlign w:val="center"/>
                </w:tcPr>
                <w:p>
                  <w:pPr>
                    <w:spacing w:line="360" w:lineRule="exact"/>
                    <w:jc w:val="center"/>
                    <w:rPr>
                      <w:rFonts w:hint="default" w:ascii="Times New Roman" w:hAnsi="Times New Roman" w:eastAsia="宋体" w:cs="Times New Roman"/>
                      <w:color w:val="auto"/>
                      <w:kern w:val="0"/>
                      <w:sz w:val="22"/>
                      <w:szCs w:val="22"/>
                      <w:u w:val="single" w:color="auto"/>
                      <w:lang w:val="en-US" w:eastAsia="zh-CN"/>
                    </w:rPr>
                  </w:pPr>
                  <w:r>
                    <w:rPr>
                      <w:rFonts w:hint="default" w:ascii="Times New Roman" w:hAnsi="Times New Roman" w:eastAsia="宋体" w:cs="Times New Roman"/>
                      <w:b w:val="0"/>
                      <w:bCs/>
                      <w:color w:val="auto"/>
                      <w:sz w:val="22"/>
                      <w:szCs w:val="22"/>
                      <w:u w:val="single" w:color="auto"/>
                    </w:rPr>
                    <w:t>约</w:t>
                  </w:r>
                  <w:r>
                    <w:rPr>
                      <w:rFonts w:hint="eastAsia" w:ascii="Times New Roman" w:hAnsi="Times New Roman" w:cs="Times New Roman"/>
                      <w:b w:val="0"/>
                      <w:bCs/>
                      <w:color w:val="auto"/>
                      <w:sz w:val="22"/>
                      <w:szCs w:val="22"/>
                      <w:u w:val="single" w:color="auto"/>
                      <w:lang w:val="en-US" w:eastAsia="zh-CN"/>
                    </w:rPr>
                    <w:t>55</w:t>
                  </w:r>
                  <w:r>
                    <w:rPr>
                      <w:rFonts w:hint="default" w:ascii="Times New Roman" w:hAnsi="Times New Roman" w:eastAsia="宋体" w:cs="Times New Roman"/>
                      <w:b w:val="0"/>
                      <w:bCs/>
                      <w:color w:val="auto"/>
                      <w:sz w:val="22"/>
                      <w:szCs w:val="22"/>
                      <w:u w:val="single" w:color="auto"/>
                      <w:lang w:val="en-US" w:eastAsia="zh-CN"/>
                    </w:rPr>
                    <w:t>人</w:t>
                  </w:r>
                </w:p>
              </w:tc>
              <w:tc>
                <w:tcPr>
                  <w:tcW w:w="1130" w:type="pct"/>
                  <w:vMerge w:val="continue"/>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430" w:type="pct"/>
                  <w:vMerge w:val="restart"/>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single" w:color="auto"/>
                    </w:rPr>
                  </w:pPr>
                  <w:r>
                    <w:rPr>
                      <w:rFonts w:hint="default" w:ascii="Times New Roman" w:hAnsi="Times New Roman" w:eastAsia="宋体" w:cs="Times New Roman"/>
                      <w:color w:val="auto"/>
                      <w:kern w:val="0"/>
                      <w:sz w:val="22"/>
                      <w:szCs w:val="22"/>
                      <w:u w:val="single" w:color="auto"/>
                    </w:rPr>
                    <w:t>地表水环境</w:t>
                  </w:r>
                </w:p>
              </w:tc>
              <w:tc>
                <w:tcPr>
                  <w:tcW w:w="668" w:type="pct"/>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洋沙河</w:t>
                  </w:r>
                </w:p>
              </w:tc>
              <w:tc>
                <w:tcPr>
                  <w:tcW w:w="705" w:type="pct"/>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西</w:t>
                  </w:r>
                </w:p>
              </w:tc>
              <w:tc>
                <w:tcPr>
                  <w:tcW w:w="645" w:type="pct"/>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3900</w:t>
                  </w:r>
                </w:p>
              </w:tc>
              <w:tc>
                <w:tcPr>
                  <w:tcW w:w="357" w:type="pct"/>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eastAsia" w:ascii="Times New Roman" w:hAnsi="Times New Roman" w:eastAsia="宋体" w:cs="Times New Roman"/>
                      <w:color w:val="auto"/>
                      <w:sz w:val="22"/>
                      <w:szCs w:val="22"/>
                      <w:u w:val="single" w:color="auto"/>
                      <w:lang w:val="en-US" w:eastAsia="zh-CN"/>
                    </w:rPr>
                    <w:t>/</w:t>
                  </w:r>
                </w:p>
              </w:tc>
              <w:tc>
                <w:tcPr>
                  <w:tcW w:w="2191" w:type="pct"/>
                  <w:gridSpan w:val="3"/>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single" w:color="auto"/>
                    </w:rPr>
                  </w:pPr>
                  <w:r>
                    <w:rPr>
                      <w:rFonts w:hint="default" w:ascii="Times New Roman" w:hAnsi="Times New Roman" w:eastAsia="宋体" w:cs="Times New Roman"/>
                      <w:color w:val="auto"/>
                      <w:kern w:val="0"/>
                      <w:sz w:val="22"/>
                      <w:szCs w:val="22"/>
                      <w:u w:val="single" w:color="auto"/>
                      <w:lang w:eastAsia="zh-CN"/>
                    </w:rPr>
                    <w:t>《</w:t>
                  </w:r>
                  <w:r>
                    <w:rPr>
                      <w:rFonts w:hint="default" w:ascii="Times New Roman" w:hAnsi="Times New Roman" w:eastAsia="宋体" w:cs="Times New Roman"/>
                      <w:color w:val="auto"/>
                      <w:kern w:val="0"/>
                      <w:sz w:val="22"/>
                      <w:szCs w:val="22"/>
                      <w:u w:val="single" w:color="auto"/>
                      <w:lang w:val="en-US" w:eastAsia="zh-CN"/>
                    </w:rPr>
                    <w:t>地表水环境质量标准</w:t>
                  </w:r>
                  <w:r>
                    <w:rPr>
                      <w:rFonts w:hint="default" w:ascii="Times New Roman" w:hAnsi="Times New Roman" w:eastAsia="宋体" w:cs="Times New Roman"/>
                      <w:color w:val="auto"/>
                      <w:kern w:val="0"/>
                      <w:sz w:val="22"/>
                      <w:szCs w:val="22"/>
                      <w:u w:val="single" w:color="auto"/>
                      <w:lang w:eastAsia="zh-CN"/>
                    </w:rPr>
                    <w:t>》</w:t>
                  </w:r>
                  <w:r>
                    <w:rPr>
                      <w:rFonts w:hint="default" w:ascii="Times New Roman" w:hAnsi="Times New Roman" w:eastAsia="宋体" w:cs="Times New Roman"/>
                      <w:color w:val="auto"/>
                      <w:kern w:val="0"/>
                      <w:sz w:val="22"/>
                      <w:szCs w:val="22"/>
                      <w:u w:val="single" w:color="auto"/>
                    </w:rPr>
                    <w:t>GB3838-2002中的</w:t>
                  </w:r>
                  <w:r>
                    <w:rPr>
                      <w:rFonts w:hint="default" w:ascii="Times New Roman" w:hAnsi="Times New Roman" w:cs="Times New Roman"/>
                      <w:color w:val="000000"/>
                      <w:u w:val="single" w:color="auto"/>
                    </w:rPr>
                    <w:t>Ⅳ</w:t>
                  </w:r>
                  <w:r>
                    <w:rPr>
                      <w:rFonts w:hint="default" w:ascii="Times New Roman" w:hAnsi="Times New Roman" w:eastAsia="宋体" w:cs="Times New Roman"/>
                      <w:color w:val="auto"/>
                      <w:kern w:val="0"/>
                      <w:sz w:val="22"/>
                      <w:szCs w:val="22"/>
                      <w:u w:val="single" w:color="auto"/>
                    </w:rPr>
                    <w:t>类水体功能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30" w:type="pct"/>
                  <w:vMerge w:val="continue"/>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single" w:color="auto"/>
                    </w:rPr>
                  </w:pPr>
                </w:p>
              </w:tc>
              <w:tc>
                <w:tcPr>
                  <w:tcW w:w="668" w:type="pct"/>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eastAsia" w:cs="Times New Roman"/>
                      <w:color w:val="auto"/>
                      <w:kern w:val="0"/>
                      <w:sz w:val="22"/>
                      <w:szCs w:val="22"/>
                      <w:u w:val="single" w:color="auto"/>
                      <w:lang w:val="en-US" w:eastAsia="zh-CN"/>
                    </w:rPr>
                    <w:t>洋沙湖</w:t>
                  </w:r>
                </w:p>
              </w:tc>
              <w:tc>
                <w:tcPr>
                  <w:tcW w:w="705" w:type="pct"/>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西北</w:t>
                  </w:r>
                </w:p>
              </w:tc>
              <w:tc>
                <w:tcPr>
                  <w:tcW w:w="645" w:type="pct"/>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10800</w:t>
                  </w:r>
                </w:p>
              </w:tc>
              <w:tc>
                <w:tcPr>
                  <w:tcW w:w="357" w:type="pct"/>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w:t>
                  </w:r>
                </w:p>
              </w:tc>
              <w:tc>
                <w:tcPr>
                  <w:tcW w:w="2191" w:type="pct"/>
                  <w:gridSpan w:val="3"/>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single" w:color="auto"/>
                      <w:lang w:eastAsia="zh-CN"/>
                    </w:rPr>
                  </w:pPr>
                  <w:r>
                    <w:rPr>
                      <w:rFonts w:hint="default" w:ascii="Times New Roman" w:hAnsi="Times New Roman" w:eastAsia="宋体" w:cs="Times New Roman"/>
                      <w:color w:val="auto"/>
                      <w:kern w:val="0"/>
                      <w:sz w:val="22"/>
                      <w:szCs w:val="22"/>
                      <w:u w:val="single" w:color="auto"/>
                      <w:lang w:eastAsia="zh-CN"/>
                    </w:rPr>
                    <w:t>《</w:t>
                  </w:r>
                  <w:r>
                    <w:rPr>
                      <w:rFonts w:hint="default" w:ascii="Times New Roman" w:hAnsi="Times New Roman" w:eastAsia="宋体" w:cs="Times New Roman"/>
                      <w:color w:val="auto"/>
                      <w:kern w:val="0"/>
                      <w:sz w:val="22"/>
                      <w:szCs w:val="22"/>
                      <w:u w:val="single" w:color="auto"/>
                      <w:lang w:val="en-US" w:eastAsia="zh-CN"/>
                    </w:rPr>
                    <w:t>地表水环境质量标准</w:t>
                  </w:r>
                  <w:r>
                    <w:rPr>
                      <w:rFonts w:hint="default" w:ascii="Times New Roman" w:hAnsi="Times New Roman" w:eastAsia="宋体" w:cs="Times New Roman"/>
                      <w:color w:val="auto"/>
                      <w:kern w:val="0"/>
                      <w:sz w:val="22"/>
                      <w:szCs w:val="22"/>
                      <w:u w:val="single" w:color="auto"/>
                      <w:lang w:eastAsia="zh-CN"/>
                    </w:rPr>
                    <w:t>》</w:t>
                  </w:r>
                  <w:r>
                    <w:rPr>
                      <w:rFonts w:hint="default" w:ascii="Times New Roman" w:hAnsi="Times New Roman" w:eastAsia="宋体" w:cs="Times New Roman"/>
                      <w:color w:val="auto"/>
                      <w:kern w:val="0"/>
                      <w:sz w:val="22"/>
                      <w:szCs w:val="22"/>
                      <w:u w:val="single" w:color="auto"/>
                    </w:rPr>
                    <w:t>GB3838-2002中的III类水体功能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430" w:type="pct"/>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single" w:color="auto"/>
                      <w:lang w:eastAsia="zh-CN"/>
                    </w:rPr>
                  </w:pPr>
                  <w:r>
                    <w:rPr>
                      <w:rFonts w:hint="default" w:ascii="Times New Roman" w:hAnsi="Times New Roman" w:eastAsia="宋体" w:cs="Times New Roman"/>
                      <w:color w:val="auto"/>
                      <w:kern w:val="0"/>
                      <w:sz w:val="22"/>
                      <w:szCs w:val="22"/>
                      <w:u w:val="single" w:color="auto"/>
                      <w:lang w:eastAsia="zh-CN"/>
                    </w:rPr>
                    <w:t>声环境</w:t>
                  </w:r>
                </w:p>
              </w:tc>
              <w:tc>
                <w:tcPr>
                  <w:tcW w:w="4569" w:type="pct"/>
                  <w:gridSpan w:val="7"/>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eastAsia" w:cs="Times New Roman"/>
                      <w:color w:val="auto"/>
                      <w:kern w:val="0"/>
                      <w:sz w:val="22"/>
                      <w:szCs w:val="22"/>
                      <w:u w:val="single" w:color="auto"/>
                      <w:lang w:val="en-US" w:eastAsia="zh-CN"/>
                    </w:rPr>
                    <w:t>项目200m范围内无声环境敏感目标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430" w:type="pct"/>
                  <w:tcBorders>
                    <w:tl2br w:val="nil"/>
                    <w:tr2bl w:val="nil"/>
                  </w:tcBorders>
                  <w:noWrap w:val="0"/>
                  <w:vAlign w:val="center"/>
                </w:tcPr>
                <w:p>
                  <w:pPr>
                    <w:widowControl/>
                    <w:spacing w:line="360" w:lineRule="auto"/>
                    <w:jc w:val="center"/>
                    <w:textAlignment w:val="center"/>
                    <w:rPr>
                      <w:rFonts w:hint="default" w:ascii="Times New Roman" w:hAnsi="Times New Roman" w:eastAsia="宋体" w:cs="Times New Roman"/>
                      <w:color w:val="auto"/>
                      <w:kern w:val="0"/>
                      <w:sz w:val="22"/>
                      <w:szCs w:val="22"/>
                      <w:u w:val="single" w:color="auto"/>
                      <w:lang w:eastAsia="zh-CN"/>
                    </w:rPr>
                  </w:pPr>
                  <w:r>
                    <w:rPr>
                      <w:rFonts w:hint="default" w:ascii="Times New Roman" w:hAnsi="Times New Roman" w:cs="Times New Roman"/>
                      <w:color w:val="auto"/>
                      <w:kern w:val="0"/>
                      <w:sz w:val="22"/>
                      <w:szCs w:val="22"/>
                      <w:u w:val="single" w:color="auto"/>
                      <w:lang w:val="en-US" w:eastAsia="zh-CN" w:bidi="ar"/>
                    </w:rPr>
                    <w:t>地下水</w:t>
                  </w:r>
                </w:p>
              </w:tc>
              <w:tc>
                <w:tcPr>
                  <w:tcW w:w="3438" w:type="pct"/>
                  <w:gridSpan w:val="6"/>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single" w:color="auto"/>
                      <w:lang w:eastAsia="zh-CN"/>
                    </w:rPr>
                  </w:pPr>
                  <w:r>
                    <w:rPr>
                      <w:rFonts w:hint="default" w:ascii="Times New Roman" w:hAnsi="Times New Roman" w:eastAsia="宋体" w:cs="Times New Roman"/>
                      <w:color w:val="auto"/>
                      <w:sz w:val="22"/>
                      <w:szCs w:val="22"/>
                      <w:u w:val="single" w:color="auto"/>
                    </w:rPr>
                    <w:t>饮用自来水，地下水资源开发利用程度较低</w:t>
                  </w:r>
                </w:p>
              </w:tc>
              <w:tc>
                <w:tcPr>
                  <w:tcW w:w="1130" w:type="pct"/>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single" w:color="auto"/>
                      <w:lang w:eastAsia="zh-CN"/>
                    </w:rPr>
                  </w:pPr>
                  <w:r>
                    <w:rPr>
                      <w:rFonts w:hint="default" w:ascii="Times New Roman" w:hAnsi="Times New Roman" w:cs="Times New Roman"/>
                      <w:color w:val="auto"/>
                      <w:sz w:val="22"/>
                      <w:szCs w:val="22"/>
                      <w:u w:val="single" w:color="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430" w:type="pct"/>
                  <w:tcBorders>
                    <w:tl2br w:val="nil"/>
                    <w:tr2bl w:val="nil"/>
                  </w:tcBorders>
                  <w:noWrap w:val="0"/>
                  <w:vAlign w:val="center"/>
                </w:tcPr>
                <w:p>
                  <w:pPr>
                    <w:widowControl/>
                    <w:spacing w:line="360" w:lineRule="auto"/>
                    <w:jc w:val="center"/>
                    <w:textAlignment w:val="center"/>
                    <w:rPr>
                      <w:rFonts w:hint="default" w:ascii="Times New Roman" w:hAnsi="Times New Roman" w:cs="Times New Roman"/>
                      <w:color w:val="auto"/>
                      <w:kern w:val="0"/>
                      <w:sz w:val="22"/>
                      <w:szCs w:val="22"/>
                      <w:u w:val="single" w:color="auto"/>
                      <w:lang w:val="en-US" w:eastAsia="zh-CN" w:bidi="ar"/>
                    </w:rPr>
                  </w:pPr>
                  <w:r>
                    <w:rPr>
                      <w:rFonts w:hint="default" w:ascii="Times New Roman" w:hAnsi="Times New Roman" w:cs="Times New Roman"/>
                      <w:color w:val="auto"/>
                      <w:kern w:val="0"/>
                      <w:sz w:val="22"/>
                      <w:szCs w:val="22"/>
                      <w:u w:val="single" w:color="auto"/>
                      <w:lang w:val="en-US" w:eastAsia="zh-CN" w:bidi="ar"/>
                    </w:rPr>
                    <w:t>生态</w:t>
                  </w:r>
                </w:p>
                <w:p>
                  <w:pPr>
                    <w:widowControl/>
                    <w:spacing w:line="360" w:lineRule="auto"/>
                    <w:jc w:val="center"/>
                    <w:textAlignment w:val="center"/>
                    <w:rPr>
                      <w:rFonts w:hint="default" w:ascii="Times New Roman" w:hAnsi="Times New Roman" w:eastAsia="宋体" w:cs="Times New Roman"/>
                      <w:color w:val="auto"/>
                      <w:kern w:val="0"/>
                      <w:sz w:val="22"/>
                      <w:szCs w:val="22"/>
                      <w:u w:val="single" w:color="auto"/>
                      <w:lang w:eastAsia="zh-CN"/>
                    </w:rPr>
                  </w:pPr>
                  <w:r>
                    <w:rPr>
                      <w:rFonts w:hint="default" w:ascii="Times New Roman" w:hAnsi="Times New Roman" w:cs="Times New Roman"/>
                      <w:color w:val="auto"/>
                      <w:kern w:val="0"/>
                      <w:sz w:val="22"/>
                      <w:szCs w:val="22"/>
                      <w:u w:val="single" w:color="auto"/>
                      <w:lang w:val="en-US" w:eastAsia="zh-CN" w:bidi="ar"/>
                    </w:rPr>
                    <w:t>环境</w:t>
                  </w:r>
                </w:p>
              </w:tc>
              <w:tc>
                <w:tcPr>
                  <w:tcW w:w="3438" w:type="pct"/>
                  <w:gridSpan w:val="6"/>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single" w:color="auto"/>
                      <w:lang w:eastAsia="zh-CN"/>
                    </w:rPr>
                  </w:pPr>
                  <w:r>
                    <w:rPr>
                      <w:rFonts w:hint="default" w:ascii="Times New Roman" w:hAnsi="Times New Roman" w:eastAsia="宋体" w:cs="Times New Roman"/>
                      <w:color w:val="auto"/>
                      <w:sz w:val="22"/>
                      <w:szCs w:val="22"/>
                      <w:u w:val="single" w:color="auto"/>
                    </w:rPr>
                    <w:t xml:space="preserve">厂区周边 </w:t>
                  </w:r>
                  <w:r>
                    <w:rPr>
                      <w:rFonts w:hint="default" w:ascii="Times New Roman" w:hAnsi="Times New Roman" w:eastAsia="宋体" w:cs="Times New Roman"/>
                      <w:color w:val="auto"/>
                      <w:sz w:val="22"/>
                      <w:szCs w:val="22"/>
                      <w:u w:val="single" w:color="auto"/>
                      <w:lang w:val="en-US" w:eastAsia="zh-CN"/>
                    </w:rPr>
                    <w:t>2</w:t>
                  </w:r>
                  <w:r>
                    <w:rPr>
                      <w:rFonts w:hint="default" w:ascii="Times New Roman" w:hAnsi="Times New Roman" w:eastAsia="宋体" w:cs="Times New Roman"/>
                      <w:color w:val="auto"/>
                      <w:sz w:val="22"/>
                      <w:szCs w:val="22"/>
                      <w:u w:val="single" w:color="auto"/>
                    </w:rPr>
                    <w:t>00m 范围内的生态环境</w:t>
                  </w:r>
                </w:p>
              </w:tc>
              <w:tc>
                <w:tcPr>
                  <w:tcW w:w="1130" w:type="pct"/>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single" w:color="auto"/>
                      <w:lang w:eastAsia="zh-CN"/>
                    </w:rPr>
                  </w:pPr>
                  <w:r>
                    <w:rPr>
                      <w:rFonts w:hint="default" w:ascii="Times New Roman" w:hAnsi="Times New Roman" w:eastAsia="宋体" w:cs="Times New Roman"/>
                      <w:color w:val="auto"/>
                      <w:sz w:val="22"/>
                      <w:szCs w:val="22"/>
                      <w:u w:val="single" w:color="auto"/>
                    </w:rPr>
                    <w:t>不破坏生态系统</w:t>
                  </w:r>
                </w:p>
              </w:tc>
            </w:tr>
          </w:tbl>
          <w:p>
            <w:pPr>
              <w:snapToGrid w:val="0"/>
              <w:jc w:val="both"/>
              <w:rPr>
                <w:u w:val="none" w:color="auto"/>
              </w:rPr>
            </w:pPr>
          </w:p>
        </w:tc>
      </w:tr>
    </w:tbl>
    <w:p>
      <w:pPr>
        <w:snapToGrid w:val="0"/>
        <w:textAlignment w:val="baseline"/>
        <w:outlineLvl w:val="0"/>
        <w:rPr>
          <w:rFonts w:eastAsia="黑体"/>
          <w:sz w:val="32"/>
          <w:u w:val="none" w:color="auto"/>
        </w:rPr>
      </w:pPr>
      <w:r>
        <w:rPr>
          <w:u w:val="none" w:color="auto"/>
        </w:rPr>
        <w:br w:type="page"/>
      </w:r>
      <w:bookmarkStart w:id="3" w:name="_Toc27017"/>
      <w:r>
        <w:rPr>
          <w:rFonts w:hint="default" w:ascii="Times New Roman" w:hAnsi="Times New Roman" w:eastAsia="黑体" w:cs="Times New Roman"/>
          <w:sz w:val="32"/>
          <w:szCs w:val="32"/>
          <w:u w:val="none" w:color="auto"/>
        </w:rPr>
        <w:t>四、</w:t>
      </w:r>
      <w:r>
        <w:rPr>
          <w:rFonts w:hint="default" w:ascii="Times New Roman" w:hAnsi="Times New Roman" w:eastAsia="黑体" w:cs="Times New Roman"/>
          <w:sz w:val="32"/>
          <w:u w:val="none" w:color="auto"/>
        </w:rPr>
        <w:t>评价适用标准</w:t>
      </w:r>
      <w:bookmarkEnd w:id="3"/>
    </w:p>
    <w:tbl>
      <w:tblPr>
        <w:tblStyle w:val="40"/>
        <w:tblW w:w="92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86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74" w:hRule="atLeast"/>
          <w:jc w:val="center"/>
        </w:trPr>
        <w:tc>
          <w:tcPr>
            <w:tcW w:w="592" w:type="dxa"/>
            <w:vAlign w:val="center"/>
          </w:tcPr>
          <w:p>
            <w:pPr>
              <w:jc w:val="center"/>
              <w:rPr>
                <w:b/>
                <w:bCs/>
                <w:sz w:val="24"/>
                <w:szCs w:val="24"/>
                <w:u w:val="none" w:color="auto"/>
              </w:rPr>
            </w:pPr>
            <w:r>
              <w:rPr>
                <w:b/>
                <w:bCs/>
                <w:sz w:val="24"/>
                <w:szCs w:val="24"/>
                <w:u w:val="none" w:color="auto"/>
              </w:rPr>
              <w:t>环境质量标准</w:t>
            </w:r>
          </w:p>
        </w:tc>
        <w:tc>
          <w:tcPr>
            <w:tcW w:w="8676" w:type="dxa"/>
            <w:vAlign w:val="center"/>
          </w:tcPr>
          <w:p>
            <w:pPr>
              <w:pStyle w:val="174"/>
              <w:numPr>
                <w:ilvl w:val="0"/>
                <w:numId w:val="0"/>
              </w:numPr>
              <w:spacing w:line="360" w:lineRule="auto"/>
              <w:rPr>
                <w:rFonts w:hint="eastAsia" w:eastAsia="宋体"/>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1</w:t>
            </w:r>
            <w:r>
              <w:rPr>
                <w:rFonts w:hint="eastAsia" w:cs="Times New Roman"/>
                <w:color w:val="auto"/>
                <w:sz w:val="24"/>
                <w:szCs w:val="24"/>
                <w:u w:val="none" w:color="auto"/>
                <w:lang w:val="en-US" w:eastAsia="zh-CN"/>
              </w:rPr>
              <w:t>、</w:t>
            </w:r>
            <w:r>
              <w:rPr>
                <w:color w:val="auto"/>
                <w:sz w:val="24"/>
                <w:szCs w:val="24"/>
                <w:u w:val="none" w:color="auto"/>
              </w:rPr>
              <w:t>环境空气质量：</w:t>
            </w:r>
            <w:r>
              <w:rPr>
                <w:rFonts w:hint="default"/>
                <w:color w:val="auto"/>
                <w:sz w:val="24"/>
                <w:szCs w:val="24"/>
                <w:u w:val="none" w:color="auto"/>
              </w:rPr>
              <w:t>SO</w:t>
            </w:r>
            <w:r>
              <w:rPr>
                <w:rFonts w:hint="default"/>
                <w:color w:val="auto"/>
                <w:sz w:val="24"/>
                <w:szCs w:val="24"/>
                <w:u w:val="none" w:color="auto"/>
                <w:vertAlign w:val="subscript"/>
              </w:rPr>
              <w:t>2</w:t>
            </w:r>
            <w:r>
              <w:rPr>
                <w:rFonts w:hint="default"/>
                <w:color w:val="auto"/>
                <w:sz w:val="24"/>
                <w:szCs w:val="24"/>
                <w:u w:val="none" w:color="auto"/>
              </w:rPr>
              <w:t>、NO</w:t>
            </w:r>
            <w:r>
              <w:rPr>
                <w:rFonts w:hint="default"/>
                <w:color w:val="auto"/>
                <w:sz w:val="24"/>
                <w:szCs w:val="24"/>
                <w:u w:val="none" w:color="auto"/>
                <w:vertAlign w:val="subscript"/>
              </w:rPr>
              <w:t>2</w:t>
            </w:r>
            <w:r>
              <w:rPr>
                <w:rFonts w:hint="default"/>
                <w:color w:val="auto"/>
                <w:sz w:val="24"/>
                <w:szCs w:val="24"/>
                <w:u w:val="none" w:color="auto"/>
              </w:rPr>
              <w:t>、PM</w:t>
            </w:r>
            <w:r>
              <w:rPr>
                <w:rFonts w:hint="default"/>
                <w:color w:val="auto"/>
                <w:sz w:val="24"/>
                <w:szCs w:val="24"/>
                <w:u w:val="none" w:color="auto"/>
                <w:vertAlign w:val="subscript"/>
              </w:rPr>
              <w:t>10</w:t>
            </w:r>
            <w:r>
              <w:rPr>
                <w:rFonts w:hint="eastAsia"/>
                <w:color w:val="auto"/>
                <w:sz w:val="24"/>
                <w:szCs w:val="24"/>
                <w:u w:val="none" w:color="auto"/>
                <w:vertAlign w:val="baseline"/>
                <w:lang w:eastAsia="zh-CN"/>
              </w:rPr>
              <w:t>、</w:t>
            </w:r>
            <w:r>
              <w:rPr>
                <w:rFonts w:hint="default" w:ascii="Times New Roman" w:hAnsi="Times New Roman" w:cs="Times New Roman"/>
                <w:color w:val="auto"/>
                <w:sz w:val="24"/>
                <w:szCs w:val="24"/>
                <w:u w:val="none" w:color="auto"/>
              </w:rPr>
              <w:t>PM</w:t>
            </w:r>
            <w:r>
              <w:rPr>
                <w:rFonts w:hint="eastAsia" w:ascii="Times New Roman" w:hAnsi="Times New Roman" w:cs="Times New Roman"/>
                <w:color w:val="auto"/>
                <w:sz w:val="24"/>
                <w:szCs w:val="24"/>
                <w:u w:val="none" w:color="auto"/>
                <w:vertAlign w:val="subscript"/>
                <w:lang w:val="en-US" w:eastAsia="zh-CN"/>
              </w:rPr>
              <w:t>2.5</w:t>
            </w:r>
            <w:r>
              <w:rPr>
                <w:rFonts w:hint="eastAsia" w:cs="Times New Roman"/>
                <w:color w:val="auto"/>
                <w:sz w:val="24"/>
                <w:szCs w:val="24"/>
                <w:u w:val="none" w:color="auto"/>
                <w:vertAlign w:val="baseline"/>
                <w:lang w:val="en-US" w:eastAsia="zh-CN"/>
              </w:rPr>
              <w:t>、</w:t>
            </w:r>
            <w:r>
              <w:rPr>
                <w:rFonts w:hint="eastAsia" w:ascii="Times New Roman" w:hAnsi="Times New Roman" w:cs="Times New Roman"/>
                <w:color w:val="auto"/>
                <w:sz w:val="24"/>
                <w:szCs w:val="24"/>
                <w:u w:val="none" w:color="auto"/>
                <w:lang w:val="en-US" w:eastAsia="zh-CN"/>
              </w:rPr>
              <w:t>C</w:t>
            </w:r>
            <w:r>
              <w:rPr>
                <w:rFonts w:hint="default" w:ascii="Times New Roman" w:hAnsi="Times New Roman" w:cs="Times New Roman"/>
                <w:color w:val="auto"/>
                <w:sz w:val="24"/>
                <w:szCs w:val="24"/>
                <w:u w:val="none" w:color="auto"/>
              </w:rPr>
              <w:t>O</w:t>
            </w:r>
            <w:r>
              <w:rPr>
                <w:rFonts w:hint="eastAsia" w:cs="Times New Roman"/>
                <w:color w:val="auto"/>
                <w:sz w:val="24"/>
                <w:szCs w:val="24"/>
                <w:u w:val="none" w:color="auto"/>
                <w:lang w:eastAsia="zh-CN"/>
              </w:rPr>
              <w:t>、</w:t>
            </w:r>
            <w:r>
              <w:rPr>
                <w:rFonts w:hint="default" w:ascii="Times New Roman" w:hAnsi="Times New Roman" w:cs="Times New Roman"/>
                <w:color w:val="auto"/>
                <w:sz w:val="24"/>
                <w:szCs w:val="24"/>
                <w:u w:val="none" w:color="auto"/>
              </w:rPr>
              <w:t>O</w:t>
            </w:r>
            <w:r>
              <w:rPr>
                <w:rFonts w:hint="eastAsia" w:ascii="Times New Roman" w:hAnsi="Times New Roman" w:cs="Times New Roman"/>
                <w:color w:val="auto"/>
                <w:sz w:val="24"/>
                <w:szCs w:val="24"/>
                <w:u w:val="none" w:color="auto"/>
                <w:vertAlign w:val="subscript"/>
                <w:lang w:val="en-US" w:eastAsia="zh-CN"/>
              </w:rPr>
              <w:t>3</w:t>
            </w:r>
            <w:r>
              <w:rPr>
                <w:rFonts w:hint="default"/>
                <w:color w:val="auto"/>
                <w:sz w:val="24"/>
                <w:szCs w:val="24"/>
                <w:u w:val="none" w:color="auto"/>
              </w:rPr>
              <w:t>执行《环境空气质量标准》（GB3095-2012）中的二级标准</w:t>
            </w:r>
            <w:r>
              <w:rPr>
                <w:rFonts w:hint="eastAsia"/>
                <w:color w:val="auto"/>
                <w:sz w:val="24"/>
                <w:szCs w:val="24"/>
                <w:u w:val="none" w:color="auto"/>
                <w:lang w:eastAsia="zh-CN"/>
              </w:rPr>
              <w:t>。</w:t>
            </w:r>
            <w:r>
              <w:rPr>
                <w:rFonts w:hint="default"/>
                <w:color w:val="auto"/>
                <w:sz w:val="24"/>
                <w:szCs w:val="24"/>
                <w:u w:val="none" w:color="auto"/>
              </w:rPr>
              <w:t>TVOC满足《环境影响评价技术导则 大气环境》（HJ2.2-2018）附录D中相应的标准</w:t>
            </w:r>
            <w:r>
              <w:rPr>
                <w:rFonts w:hint="eastAsia"/>
                <w:color w:val="auto"/>
                <w:sz w:val="24"/>
                <w:szCs w:val="24"/>
                <w:u w:val="none" w:color="auto"/>
                <w:lang w:eastAsia="zh-CN"/>
              </w:rPr>
              <w:t>。</w:t>
            </w:r>
          </w:p>
          <w:p>
            <w:pPr>
              <w:pStyle w:val="188"/>
              <w:rPr>
                <w:rFonts w:hint="default"/>
                <w:color w:val="auto"/>
                <w:u w:val="none" w:color="auto"/>
                <w:lang w:val="en-US" w:eastAsia="zh-CN"/>
              </w:rPr>
            </w:pPr>
            <w:r>
              <w:rPr>
                <w:rFonts w:hint="default"/>
                <w:color w:val="auto"/>
                <w:u w:val="none" w:color="auto"/>
                <w:lang w:val="en-US" w:eastAsia="zh-CN"/>
              </w:rPr>
              <w:t>表</w:t>
            </w:r>
            <w:r>
              <w:rPr>
                <w:rFonts w:hint="eastAsia"/>
                <w:color w:val="auto"/>
                <w:u w:val="none" w:color="auto"/>
                <w:lang w:val="en-US" w:eastAsia="zh-CN"/>
              </w:rPr>
              <w:t>4-1</w:t>
            </w:r>
            <w:r>
              <w:rPr>
                <w:rFonts w:hint="default"/>
                <w:color w:val="auto"/>
                <w:u w:val="none" w:color="auto"/>
                <w:lang w:val="en-US" w:eastAsia="zh-CN"/>
              </w:rPr>
              <w:t xml:space="preserve">   环境空气质量标准  单位：ug/m</w:t>
            </w:r>
            <w:r>
              <w:rPr>
                <w:rFonts w:hint="default"/>
                <w:color w:val="auto"/>
                <w:u w:val="none" w:color="auto"/>
                <w:vertAlign w:val="superscript"/>
                <w:lang w:val="en-US" w:eastAsia="zh-CN"/>
              </w:rPr>
              <w:t>3</w:t>
            </w:r>
          </w:p>
          <w:tbl>
            <w:tblPr>
              <w:tblStyle w:val="40"/>
              <w:tblW w:w="843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1757"/>
              <w:gridCol w:w="1787"/>
              <w:gridCol w:w="1781"/>
              <w:gridCol w:w="17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329" w:type="dxa"/>
                  <w:vMerge w:val="restart"/>
                  <w:tcBorders>
                    <w:tl2br w:val="nil"/>
                    <w:tr2bl w:val="nil"/>
                  </w:tcBorders>
                  <w:noWrap w:val="0"/>
                  <w:vAlign w:val="center"/>
                </w:tcPr>
                <w:p>
                  <w:pPr>
                    <w:pStyle w:val="186"/>
                    <w:spacing w:line="360" w:lineRule="auto"/>
                    <w:rPr>
                      <w:rFonts w:hint="default"/>
                      <w:color w:val="auto"/>
                      <w:u w:val="none" w:color="auto"/>
                    </w:rPr>
                  </w:pPr>
                  <w:r>
                    <w:rPr>
                      <w:rFonts w:hint="default"/>
                      <w:color w:val="auto"/>
                      <w:u w:val="none" w:color="auto"/>
                    </w:rPr>
                    <w:t>污染物名称</w:t>
                  </w:r>
                </w:p>
              </w:tc>
              <w:tc>
                <w:tcPr>
                  <w:tcW w:w="7101" w:type="dxa"/>
                  <w:gridSpan w:val="4"/>
                  <w:tcBorders>
                    <w:tl2br w:val="nil"/>
                    <w:tr2bl w:val="nil"/>
                  </w:tcBorders>
                  <w:noWrap w:val="0"/>
                  <w:vAlign w:val="center"/>
                </w:tcPr>
                <w:p>
                  <w:pPr>
                    <w:pStyle w:val="186"/>
                    <w:spacing w:line="360" w:lineRule="auto"/>
                    <w:rPr>
                      <w:rFonts w:hint="default"/>
                      <w:color w:val="auto"/>
                      <w:u w:val="none" w:color="auto"/>
                    </w:rPr>
                  </w:pPr>
                  <w:r>
                    <w:rPr>
                      <w:rFonts w:hint="default"/>
                      <w:color w:val="auto"/>
                      <w:u w:val="none" w:color="auto"/>
                    </w:rPr>
                    <w:t>标准限值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9" w:type="dxa"/>
                  <w:vMerge w:val="continue"/>
                  <w:tcBorders>
                    <w:tl2br w:val="nil"/>
                    <w:tr2bl w:val="nil"/>
                  </w:tcBorders>
                  <w:noWrap w:val="0"/>
                  <w:vAlign w:val="center"/>
                </w:tcPr>
                <w:p>
                  <w:pPr>
                    <w:pStyle w:val="186"/>
                    <w:spacing w:line="360" w:lineRule="auto"/>
                    <w:rPr>
                      <w:rFonts w:hint="default"/>
                      <w:color w:val="auto"/>
                      <w:u w:val="none" w:color="auto"/>
                    </w:rPr>
                  </w:pPr>
                </w:p>
              </w:tc>
              <w:tc>
                <w:tcPr>
                  <w:tcW w:w="1757" w:type="dxa"/>
                  <w:tcBorders>
                    <w:tl2br w:val="nil"/>
                    <w:tr2bl w:val="nil"/>
                  </w:tcBorders>
                  <w:noWrap w:val="0"/>
                  <w:vAlign w:val="center"/>
                </w:tcPr>
                <w:p>
                  <w:pPr>
                    <w:pStyle w:val="186"/>
                    <w:spacing w:line="360" w:lineRule="auto"/>
                    <w:rPr>
                      <w:rFonts w:hint="default"/>
                      <w:color w:val="auto"/>
                      <w:u w:val="none" w:color="auto"/>
                    </w:rPr>
                  </w:pPr>
                  <w:r>
                    <w:rPr>
                      <w:rFonts w:hint="default"/>
                      <w:color w:val="auto"/>
                      <w:u w:val="none" w:color="auto"/>
                    </w:rPr>
                    <w:t>1小时平均</w:t>
                  </w:r>
                </w:p>
              </w:tc>
              <w:tc>
                <w:tcPr>
                  <w:tcW w:w="1787" w:type="dxa"/>
                  <w:tcBorders>
                    <w:tl2br w:val="nil"/>
                    <w:tr2bl w:val="nil"/>
                  </w:tcBorders>
                  <w:noWrap w:val="0"/>
                  <w:vAlign w:val="center"/>
                </w:tcPr>
                <w:p>
                  <w:pPr>
                    <w:pStyle w:val="186"/>
                    <w:spacing w:line="360" w:lineRule="auto"/>
                    <w:rPr>
                      <w:rFonts w:hint="default"/>
                      <w:color w:val="auto"/>
                      <w:u w:val="none" w:color="auto"/>
                    </w:rPr>
                  </w:pPr>
                  <w:r>
                    <w:rPr>
                      <w:rFonts w:hint="default"/>
                      <w:color w:val="auto"/>
                      <w:u w:val="none" w:color="auto"/>
                    </w:rPr>
                    <w:t>日平均</w:t>
                  </w:r>
                </w:p>
              </w:tc>
              <w:tc>
                <w:tcPr>
                  <w:tcW w:w="1781" w:type="dxa"/>
                  <w:tcBorders>
                    <w:tl2br w:val="nil"/>
                    <w:tr2bl w:val="nil"/>
                  </w:tcBorders>
                  <w:noWrap w:val="0"/>
                  <w:vAlign w:val="center"/>
                </w:tcPr>
                <w:p>
                  <w:pPr>
                    <w:pStyle w:val="186"/>
                    <w:spacing w:line="360" w:lineRule="auto"/>
                    <w:rPr>
                      <w:rFonts w:hint="default"/>
                      <w:color w:val="auto"/>
                      <w:u w:val="none" w:color="auto"/>
                    </w:rPr>
                  </w:pPr>
                  <w:r>
                    <w:rPr>
                      <w:color w:val="auto"/>
                      <w:sz w:val="21"/>
                      <w:szCs w:val="21"/>
                      <w:u w:val="none" w:color="auto"/>
                    </w:rPr>
                    <w:t>8小时均值</w:t>
                  </w:r>
                </w:p>
              </w:tc>
              <w:tc>
                <w:tcPr>
                  <w:tcW w:w="1776" w:type="dxa"/>
                  <w:tcBorders>
                    <w:tl2br w:val="nil"/>
                    <w:tr2bl w:val="nil"/>
                  </w:tcBorders>
                  <w:noWrap w:val="0"/>
                  <w:vAlign w:val="center"/>
                </w:tcPr>
                <w:p>
                  <w:pPr>
                    <w:pStyle w:val="186"/>
                    <w:spacing w:line="360" w:lineRule="auto"/>
                    <w:rPr>
                      <w:rFonts w:hint="eastAsia" w:eastAsia="宋体"/>
                      <w:color w:val="auto"/>
                      <w:sz w:val="21"/>
                      <w:szCs w:val="21"/>
                      <w:u w:val="none" w:color="auto"/>
                      <w:lang w:eastAsia="zh-CN"/>
                    </w:rPr>
                  </w:pPr>
                  <w:r>
                    <w:rPr>
                      <w:rFonts w:hint="eastAsia"/>
                      <w:color w:val="auto"/>
                      <w:sz w:val="21"/>
                      <w:szCs w:val="21"/>
                      <w:u w:val="none" w:color="auto"/>
                      <w:lang w:eastAsia="zh-CN"/>
                    </w:rPr>
                    <w:t>年均值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9" w:type="dxa"/>
                  <w:tcBorders>
                    <w:tl2br w:val="nil"/>
                    <w:tr2bl w:val="nil"/>
                  </w:tcBorders>
                  <w:noWrap w:val="0"/>
                  <w:vAlign w:val="center"/>
                </w:tcPr>
                <w:p>
                  <w:pPr>
                    <w:pStyle w:val="186"/>
                    <w:spacing w:line="360" w:lineRule="auto"/>
                    <w:rPr>
                      <w:rFonts w:hint="default"/>
                      <w:color w:val="auto"/>
                      <w:u w:val="none" w:color="auto"/>
                    </w:rPr>
                  </w:pPr>
                  <w:r>
                    <w:rPr>
                      <w:rFonts w:hint="default"/>
                      <w:color w:val="auto"/>
                      <w:u w:val="none" w:color="auto"/>
                    </w:rPr>
                    <w:t>SO</w:t>
                  </w:r>
                  <w:r>
                    <w:rPr>
                      <w:rFonts w:hint="default"/>
                      <w:color w:val="auto"/>
                      <w:u w:val="none" w:color="auto"/>
                      <w:vertAlign w:val="subscript"/>
                    </w:rPr>
                    <w:t>2</w:t>
                  </w:r>
                </w:p>
              </w:tc>
              <w:tc>
                <w:tcPr>
                  <w:tcW w:w="1757" w:type="dxa"/>
                  <w:tcBorders>
                    <w:tl2br w:val="nil"/>
                    <w:tr2bl w:val="nil"/>
                  </w:tcBorders>
                  <w:noWrap w:val="0"/>
                  <w:vAlign w:val="center"/>
                </w:tcPr>
                <w:p>
                  <w:pPr>
                    <w:pStyle w:val="186"/>
                    <w:spacing w:line="360" w:lineRule="auto"/>
                    <w:rPr>
                      <w:rFonts w:hint="default"/>
                      <w:color w:val="auto"/>
                      <w:u w:val="none" w:color="auto"/>
                    </w:rPr>
                  </w:pPr>
                  <w:r>
                    <w:rPr>
                      <w:rFonts w:hint="default"/>
                      <w:color w:val="auto"/>
                      <w:u w:val="none" w:color="auto"/>
                    </w:rPr>
                    <w:t>500</w:t>
                  </w:r>
                </w:p>
              </w:tc>
              <w:tc>
                <w:tcPr>
                  <w:tcW w:w="1787" w:type="dxa"/>
                  <w:tcBorders>
                    <w:tl2br w:val="nil"/>
                    <w:tr2bl w:val="nil"/>
                  </w:tcBorders>
                  <w:noWrap w:val="0"/>
                  <w:vAlign w:val="center"/>
                </w:tcPr>
                <w:p>
                  <w:pPr>
                    <w:pStyle w:val="186"/>
                    <w:spacing w:line="360" w:lineRule="auto"/>
                    <w:rPr>
                      <w:rFonts w:hint="default"/>
                      <w:color w:val="auto"/>
                      <w:u w:val="none" w:color="auto"/>
                    </w:rPr>
                  </w:pPr>
                  <w:r>
                    <w:rPr>
                      <w:rFonts w:hint="default"/>
                      <w:color w:val="auto"/>
                      <w:u w:val="none" w:color="auto"/>
                    </w:rPr>
                    <w:t>150</w:t>
                  </w:r>
                </w:p>
              </w:tc>
              <w:tc>
                <w:tcPr>
                  <w:tcW w:w="1781" w:type="dxa"/>
                  <w:tcBorders>
                    <w:tl2br w:val="nil"/>
                    <w:tr2bl w:val="nil"/>
                  </w:tcBorders>
                  <w:noWrap w:val="0"/>
                  <w:vAlign w:val="center"/>
                </w:tcPr>
                <w:p>
                  <w:pPr>
                    <w:pStyle w:val="186"/>
                    <w:spacing w:line="360" w:lineRule="auto"/>
                    <w:rPr>
                      <w:rFonts w:hint="default"/>
                      <w:color w:val="auto"/>
                      <w:u w:val="none" w:color="auto"/>
                    </w:rPr>
                  </w:pPr>
                  <w:r>
                    <w:rPr>
                      <w:color w:val="auto"/>
                      <w:sz w:val="21"/>
                      <w:szCs w:val="21"/>
                      <w:u w:val="none" w:color="auto"/>
                    </w:rPr>
                    <w:t>/</w:t>
                  </w:r>
                </w:p>
              </w:tc>
              <w:tc>
                <w:tcPr>
                  <w:tcW w:w="1776" w:type="dxa"/>
                  <w:tcBorders>
                    <w:tl2br w:val="nil"/>
                    <w:tr2bl w:val="nil"/>
                  </w:tcBorders>
                  <w:noWrap w:val="0"/>
                  <w:vAlign w:val="center"/>
                </w:tcPr>
                <w:p>
                  <w:pPr>
                    <w:pStyle w:val="186"/>
                    <w:spacing w:line="360" w:lineRule="auto"/>
                    <w:rPr>
                      <w:rFonts w:hint="eastAsia" w:eastAsia="宋体"/>
                      <w:color w:val="auto"/>
                      <w:sz w:val="21"/>
                      <w:szCs w:val="21"/>
                      <w:u w:val="none" w:color="auto"/>
                      <w:lang w:val="en-US" w:eastAsia="zh-CN"/>
                    </w:rPr>
                  </w:pPr>
                  <w:r>
                    <w:rPr>
                      <w:rFonts w:hint="eastAsia"/>
                      <w:color w:val="auto"/>
                      <w:sz w:val="21"/>
                      <w:szCs w:val="21"/>
                      <w:u w:val="none" w:color="auto"/>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9" w:type="dxa"/>
                  <w:tcBorders>
                    <w:tl2br w:val="nil"/>
                    <w:tr2bl w:val="nil"/>
                  </w:tcBorders>
                  <w:noWrap w:val="0"/>
                  <w:vAlign w:val="center"/>
                </w:tcPr>
                <w:p>
                  <w:pPr>
                    <w:pStyle w:val="186"/>
                    <w:spacing w:line="360" w:lineRule="auto"/>
                    <w:rPr>
                      <w:rFonts w:hint="default"/>
                      <w:color w:val="auto"/>
                      <w:u w:val="none" w:color="auto"/>
                    </w:rPr>
                  </w:pPr>
                  <w:r>
                    <w:rPr>
                      <w:rFonts w:hint="default"/>
                      <w:color w:val="auto"/>
                      <w:u w:val="none" w:color="auto"/>
                    </w:rPr>
                    <w:t>NO</w:t>
                  </w:r>
                  <w:r>
                    <w:rPr>
                      <w:rFonts w:hint="default"/>
                      <w:color w:val="auto"/>
                      <w:u w:val="none" w:color="auto"/>
                      <w:vertAlign w:val="subscript"/>
                    </w:rPr>
                    <w:t>2</w:t>
                  </w:r>
                </w:p>
              </w:tc>
              <w:tc>
                <w:tcPr>
                  <w:tcW w:w="1757" w:type="dxa"/>
                  <w:tcBorders>
                    <w:tl2br w:val="nil"/>
                    <w:tr2bl w:val="nil"/>
                  </w:tcBorders>
                  <w:noWrap w:val="0"/>
                  <w:vAlign w:val="center"/>
                </w:tcPr>
                <w:p>
                  <w:pPr>
                    <w:pStyle w:val="186"/>
                    <w:spacing w:line="360" w:lineRule="auto"/>
                    <w:rPr>
                      <w:rFonts w:hint="default"/>
                      <w:color w:val="auto"/>
                      <w:u w:val="none" w:color="auto"/>
                    </w:rPr>
                  </w:pPr>
                  <w:r>
                    <w:rPr>
                      <w:rFonts w:hint="default"/>
                      <w:color w:val="auto"/>
                      <w:u w:val="none" w:color="auto"/>
                    </w:rPr>
                    <w:t>200</w:t>
                  </w:r>
                </w:p>
              </w:tc>
              <w:tc>
                <w:tcPr>
                  <w:tcW w:w="1787" w:type="dxa"/>
                  <w:tcBorders>
                    <w:tl2br w:val="nil"/>
                    <w:tr2bl w:val="nil"/>
                  </w:tcBorders>
                  <w:noWrap w:val="0"/>
                  <w:vAlign w:val="center"/>
                </w:tcPr>
                <w:p>
                  <w:pPr>
                    <w:pStyle w:val="186"/>
                    <w:spacing w:line="360" w:lineRule="auto"/>
                    <w:rPr>
                      <w:rFonts w:hint="default"/>
                      <w:color w:val="auto"/>
                      <w:u w:val="none" w:color="auto"/>
                    </w:rPr>
                  </w:pPr>
                  <w:r>
                    <w:rPr>
                      <w:rFonts w:hint="default"/>
                      <w:color w:val="auto"/>
                      <w:u w:val="none" w:color="auto"/>
                    </w:rPr>
                    <w:t>80</w:t>
                  </w:r>
                </w:p>
              </w:tc>
              <w:tc>
                <w:tcPr>
                  <w:tcW w:w="1781" w:type="dxa"/>
                  <w:tcBorders>
                    <w:tl2br w:val="nil"/>
                    <w:tr2bl w:val="nil"/>
                  </w:tcBorders>
                  <w:noWrap w:val="0"/>
                  <w:vAlign w:val="center"/>
                </w:tcPr>
                <w:p>
                  <w:pPr>
                    <w:pStyle w:val="186"/>
                    <w:spacing w:line="360" w:lineRule="auto"/>
                    <w:rPr>
                      <w:rFonts w:hint="default"/>
                      <w:color w:val="auto"/>
                      <w:u w:val="none" w:color="auto"/>
                    </w:rPr>
                  </w:pPr>
                  <w:r>
                    <w:rPr>
                      <w:color w:val="auto"/>
                      <w:sz w:val="21"/>
                      <w:szCs w:val="21"/>
                      <w:u w:val="none" w:color="auto"/>
                    </w:rPr>
                    <w:t>/</w:t>
                  </w:r>
                </w:p>
              </w:tc>
              <w:tc>
                <w:tcPr>
                  <w:tcW w:w="1776" w:type="dxa"/>
                  <w:tcBorders>
                    <w:tl2br w:val="nil"/>
                    <w:tr2bl w:val="nil"/>
                  </w:tcBorders>
                  <w:noWrap w:val="0"/>
                  <w:vAlign w:val="center"/>
                </w:tcPr>
                <w:p>
                  <w:pPr>
                    <w:pStyle w:val="186"/>
                    <w:spacing w:line="360" w:lineRule="auto"/>
                    <w:rPr>
                      <w:rFonts w:hint="eastAsia" w:eastAsia="宋体"/>
                      <w:color w:val="auto"/>
                      <w:sz w:val="21"/>
                      <w:szCs w:val="21"/>
                      <w:u w:val="none" w:color="auto"/>
                      <w:lang w:val="en-US" w:eastAsia="zh-CN"/>
                    </w:rPr>
                  </w:pPr>
                  <w:r>
                    <w:rPr>
                      <w:rFonts w:hint="eastAsia"/>
                      <w:color w:val="auto"/>
                      <w:sz w:val="21"/>
                      <w:szCs w:val="21"/>
                      <w:u w:val="none" w:color="auto"/>
                      <w:lang w:val="en-US" w:eastAsia="zh-CN"/>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9" w:type="dxa"/>
                  <w:tcBorders>
                    <w:tl2br w:val="nil"/>
                    <w:tr2bl w:val="nil"/>
                  </w:tcBorders>
                  <w:noWrap w:val="0"/>
                  <w:vAlign w:val="center"/>
                </w:tcPr>
                <w:p>
                  <w:pPr>
                    <w:pStyle w:val="186"/>
                    <w:spacing w:line="360" w:lineRule="auto"/>
                    <w:rPr>
                      <w:rFonts w:hint="default"/>
                      <w:color w:val="auto"/>
                      <w:u w:val="none" w:color="auto"/>
                    </w:rPr>
                  </w:pPr>
                  <w:r>
                    <w:rPr>
                      <w:rFonts w:hint="default"/>
                      <w:color w:val="auto"/>
                      <w:u w:val="none" w:color="auto"/>
                    </w:rPr>
                    <w:t>PM</w:t>
                  </w:r>
                  <w:r>
                    <w:rPr>
                      <w:rFonts w:hint="default"/>
                      <w:color w:val="auto"/>
                      <w:u w:val="none" w:color="auto"/>
                      <w:vertAlign w:val="subscript"/>
                    </w:rPr>
                    <w:t>10</w:t>
                  </w:r>
                </w:p>
              </w:tc>
              <w:tc>
                <w:tcPr>
                  <w:tcW w:w="1757" w:type="dxa"/>
                  <w:tcBorders>
                    <w:tl2br w:val="nil"/>
                    <w:tr2bl w:val="nil"/>
                  </w:tcBorders>
                  <w:noWrap w:val="0"/>
                  <w:vAlign w:val="center"/>
                </w:tcPr>
                <w:p>
                  <w:pPr>
                    <w:pStyle w:val="186"/>
                    <w:spacing w:line="360" w:lineRule="auto"/>
                    <w:rPr>
                      <w:rFonts w:hint="default"/>
                      <w:color w:val="auto"/>
                      <w:u w:val="none" w:color="auto"/>
                    </w:rPr>
                  </w:pPr>
                  <w:r>
                    <w:rPr>
                      <w:rFonts w:hint="default"/>
                      <w:color w:val="auto"/>
                      <w:u w:val="none" w:color="auto"/>
                    </w:rPr>
                    <w:t>/</w:t>
                  </w:r>
                </w:p>
              </w:tc>
              <w:tc>
                <w:tcPr>
                  <w:tcW w:w="1787" w:type="dxa"/>
                  <w:tcBorders>
                    <w:tl2br w:val="nil"/>
                    <w:tr2bl w:val="nil"/>
                  </w:tcBorders>
                  <w:noWrap w:val="0"/>
                  <w:vAlign w:val="center"/>
                </w:tcPr>
                <w:p>
                  <w:pPr>
                    <w:pStyle w:val="186"/>
                    <w:spacing w:line="360" w:lineRule="auto"/>
                    <w:rPr>
                      <w:rFonts w:hint="eastAsia" w:eastAsia="宋体"/>
                      <w:color w:val="auto"/>
                      <w:u w:val="none" w:color="auto"/>
                      <w:lang w:eastAsia="zh-CN"/>
                    </w:rPr>
                  </w:pPr>
                  <w:r>
                    <w:rPr>
                      <w:rFonts w:hint="eastAsia"/>
                      <w:color w:val="auto"/>
                      <w:u w:val="none" w:color="auto"/>
                      <w:lang w:val="en-US" w:eastAsia="zh-CN"/>
                    </w:rPr>
                    <w:t>150</w:t>
                  </w:r>
                </w:p>
              </w:tc>
              <w:tc>
                <w:tcPr>
                  <w:tcW w:w="1781" w:type="dxa"/>
                  <w:tcBorders>
                    <w:tl2br w:val="nil"/>
                    <w:tr2bl w:val="nil"/>
                  </w:tcBorders>
                  <w:noWrap w:val="0"/>
                  <w:vAlign w:val="center"/>
                </w:tcPr>
                <w:p>
                  <w:pPr>
                    <w:pStyle w:val="186"/>
                    <w:spacing w:line="360" w:lineRule="auto"/>
                    <w:rPr>
                      <w:rFonts w:hint="eastAsia"/>
                      <w:color w:val="auto"/>
                      <w:u w:val="none" w:color="auto"/>
                      <w:lang w:val="en-US" w:eastAsia="zh-CN"/>
                    </w:rPr>
                  </w:pPr>
                  <w:r>
                    <w:rPr>
                      <w:color w:val="auto"/>
                      <w:sz w:val="21"/>
                      <w:szCs w:val="21"/>
                      <w:u w:val="none" w:color="auto"/>
                    </w:rPr>
                    <w:t>/</w:t>
                  </w:r>
                </w:p>
              </w:tc>
              <w:tc>
                <w:tcPr>
                  <w:tcW w:w="1776" w:type="dxa"/>
                  <w:tcBorders>
                    <w:tl2br w:val="nil"/>
                    <w:tr2bl w:val="nil"/>
                  </w:tcBorders>
                  <w:noWrap w:val="0"/>
                  <w:vAlign w:val="center"/>
                </w:tcPr>
                <w:p>
                  <w:pPr>
                    <w:pStyle w:val="186"/>
                    <w:spacing w:line="360" w:lineRule="auto"/>
                    <w:rPr>
                      <w:rFonts w:hint="eastAsia" w:eastAsia="宋体"/>
                      <w:color w:val="auto"/>
                      <w:sz w:val="21"/>
                      <w:szCs w:val="21"/>
                      <w:u w:val="none" w:color="auto"/>
                      <w:lang w:val="en-US" w:eastAsia="zh-CN"/>
                    </w:rPr>
                  </w:pPr>
                  <w:r>
                    <w:rPr>
                      <w:rFonts w:hint="eastAsia"/>
                      <w:color w:val="auto"/>
                      <w:sz w:val="21"/>
                      <w:szCs w:val="21"/>
                      <w:u w:val="none" w:color="auto"/>
                      <w:lang w:val="en-US" w:eastAsia="zh-CN"/>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9" w:type="dxa"/>
                  <w:tcBorders>
                    <w:tl2br w:val="nil"/>
                    <w:tr2bl w:val="nil"/>
                  </w:tcBorders>
                  <w:noWrap w:val="0"/>
                  <w:vAlign w:val="center"/>
                </w:tcPr>
                <w:p>
                  <w:pPr>
                    <w:spacing w:line="360" w:lineRule="auto"/>
                    <w:jc w:val="center"/>
                    <w:rPr>
                      <w:rFonts w:hint="default"/>
                      <w:color w:val="auto"/>
                      <w:u w:val="none" w:color="auto"/>
                    </w:rPr>
                  </w:pPr>
                  <w:r>
                    <w:rPr>
                      <w:rFonts w:hint="default" w:ascii="Times New Roman" w:hAnsi="Times New Roman" w:cs="Times New Roman"/>
                      <w:color w:val="auto"/>
                      <w:u w:val="none" w:color="auto"/>
                    </w:rPr>
                    <w:t>PM</w:t>
                  </w:r>
                  <w:r>
                    <w:rPr>
                      <w:rFonts w:hint="eastAsia" w:ascii="Times New Roman" w:hAnsi="Times New Roman" w:cs="Times New Roman"/>
                      <w:color w:val="auto"/>
                      <w:u w:val="none" w:color="auto"/>
                      <w:vertAlign w:val="subscript"/>
                      <w:lang w:val="en-US" w:eastAsia="zh-CN"/>
                    </w:rPr>
                    <w:t>2.5</w:t>
                  </w:r>
                </w:p>
              </w:tc>
              <w:tc>
                <w:tcPr>
                  <w:tcW w:w="1757" w:type="dxa"/>
                  <w:tcBorders>
                    <w:tl2br w:val="nil"/>
                    <w:tr2bl w:val="nil"/>
                  </w:tcBorders>
                  <w:noWrap w:val="0"/>
                  <w:vAlign w:val="center"/>
                </w:tcPr>
                <w:p>
                  <w:pPr>
                    <w:pStyle w:val="186"/>
                    <w:spacing w:line="360" w:lineRule="auto"/>
                    <w:rPr>
                      <w:rFonts w:hint="eastAsia" w:eastAsia="宋体"/>
                      <w:color w:val="auto"/>
                      <w:u w:val="none" w:color="auto"/>
                      <w:lang w:val="en-US" w:eastAsia="zh-CN"/>
                    </w:rPr>
                  </w:pPr>
                  <w:r>
                    <w:rPr>
                      <w:rFonts w:hint="eastAsia"/>
                      <w:color w:val="auto"/>
                      <w:u w:val="none" w:color="auto"/>
                      <w:lang w:val="en-US" w:eastAsia="zh-CN"/>
                    </w:rPr>
                    <w:t>/</w:t>
                  </w:r>
                </w:p>
              </w:tc>
              <w:tc>
                <w:tcPr>
                  <w:tcW w:w="1787" w:type="dxa"/>
                  <w:tcBorders>
                    <w:tl2br w:val="nil"/>
                    <w:tr2bl w:val="nil"/>
                  </w:tcBorders>
                  <w:noWrap w:val="0"/>
                  <w:vAlign w:val="center"/>
                </w:tcPr>
                <w:p>
                  <w:pPr>
                    <w:pStyle w:val="186"/>
                    <w:spacing w:line="360" w:lineRule="auto"/>
                    <w:rPr>
                      <w:rFonts w:hint="eastAsia"/>
                      <w:color w:val="auto"/>
                      <w:u w:val="none" w:color="auto"/>
                      <w:lang w:val="en-US" w:eastAsia="zh-CN"/>
                    </w:rPr>
                  </w:pPr>
                  <w:r>
                    <w:rPr>
                      <w:rFonts w:hint="eastAsia"/>
                      <w:color w:val="auto"/>
                      <w:u w:val="none" w:color="auto"/>
                      <w:lang w:val="en-US" w:eastAsia="zh-CN"/>
                    </w:rPr>
                    <w:t>75</w:t>
                  </w:r>
                </w:p>
              </w:tc>
              <w:tc>
                <w:tcPr>
                  <w:tcW w:w="1781" w:type="dxa"/>
                  <w:tcBorders>
                    <w:tl2br w:val="nil"/>
                    <w:tr2bl w:val="nil"/>
                  </w:tcBorders>
                  <w:noWrap w:val="0"/>
                  <w:vAlign w:val="center"/>
                </w:tcPr>
                <w:p>
                  <w:pPr>
                    <w:pStyle w:val="186"/>
                    <w:spacing w:line="360" w:lineRule="auto"/>
                    <w:rPr>
                      <w:rFonts w:hint="eastAsia" w:eastAsia="宋体"/>
                      <w:color w:val="auto"/>
                      <w:sz w:val="21"/>
                      <w:szCs w:val="21"/>
                      <w:u w:val="none" w:color="auto"/>
                      <w:lang w:val="en-US" w:eastAsia="zh-CN"/>
                    </w:rPr>
                  </w:pPr>
                  <w:r>
                    <w:rPr>
                      <w:rFonts w:hint="eastAsia"/>
                      <w:color w:val="auto"/>
                      <w:sz w:val="21"/>
                      <w:szCs w:val="21"/>
                      <w:u w:val="none" w:color="auto"/>
                      <w:lang w:val="en-US" w:eastAsia="zh-CN"/>
                    </w:rPr>
                    <w:t>/</w:t>
                  </w:r>
                </w:p>
              </w:tc>
              <w:tc>
                <w:tcPr>
                  <w:tcW w:w="1776" w:type="dxa"/>
                  <w:tcBorders>
                    <w:tl2br w:val="nil"/>
                    <w:tr2bl w:val="nil"/>
                  </w:tcBorders>
                  <w:noWrap w:val="0"/>
                  <w:vAlign w:val="center"/>
                </w:tcPr>
                <w:p>
                  <w:pPr>
                    <w:pStyle w:val="186"/>
                    <w:spacing w:line="360" w:lineRule="auto"/>
                    <w:rPr>
                      <w:rFonts w:hint="eastAsia" w:eastAsia="宋体"/>
                      <w:color w:val="auto"/>
                      <w:sz w:val="21"/>
                      <w:szCs w:val="21"/>
                      <w:u w:val="none" w:color="auto"/>
                      <w:lang w:val="en-US" w:eastAsia="zh-CN"/>
                    </w:rPr>
                  </w:pPr>
                  <w:r>
                    <w:rPr>
                      <w:rFonts w:hint="eastAsia"/>
                      <w:color w:val="auto"/>
                      <w:sz w:val="21"/>
                      <w:szCs w:val="21"/>
                      <w:u w:val="none" w:color="auto"/>
                      <w:lang w:val="en-US" w:eastAsia="zh-CN"/>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9" w:type="dxa"/>
                  <w:tcBorders>
                    <w:tl2br w:val="nil"/>
                    <w:tr2bl w:val="nil"/>
                  </w:tcBorders>
                  <w:noWrap w:val="0"/>
                  <w:vAlign w:val="center"/>
                </w:tcPr>
                <w:p>
                  <w:pPr>
                    <w:spacing w:line="360" w:lineRule="auto"/>
                    <w:jc w:val="center"/>
                    <w:rPr>
                      <w:rFonts w:hint="default"/>
                      <w:color w:val="auto"/>
                      <w:u w:val="none" w:color="auto"/>
                    </w:rPr>
                  </w:pPr>
                  <w:r>
                    <w:rPr>
                      <w:rFonts w:hint="eastAsia" w:ascii="Times New Roman" w:hAnsi="Times New Roman" w:cs="Times New Roman"/>
                      <w:color w:val="auto"/>
                      <w:u w:val="none" w:color="auto"/>
                      <w:lang w:val="en-US" w:eastAsia="zh-CN"/>
                    </w:rPr>
                    <w:t>C</w:t>
                  </w:r>
                  <w:r>
                    <w:rPr>
                      <w:rFonts w:hint="default" w:ascii="Times New Roman" w:hAnsi="Times New Roman" w:cs="Times New Roman"/>
                      <w:color w:val="auto"/>
                      <w:u w:val="none" w:color="auto"/>
                    </w:rPr>
                    <w:t>O</w:t>
                  </w:r>
                </w:p>
              </w:tc>
              <w:tc>
                <w:tcPr>
                  <w:tcW w:w="1757" w:type="dxa"/>
                  <w:tcBorders>
                    <w:tl2br w:val="nil"/>
                    <w:tr2bl w:val="nil"/>
                  </w:tcBorders>
                  <w:noWrap w:val="0"/>
                  <w:vAlign w:val="center"/>
                </w:tcPr>
                <w:p>
                  <w:pPr>
                    <w:pStyle w:val="186"/>
                    <w:spacing w:line="360" w:lineRule="auto"/>
                    <w:rPr>
                      <w:rFonts w:hint="eastAsia" w:eastAsia="宋体"/>
                      <w:color w:val="auto"/>
                      <w:u w:val="none" w:color="auto"/>
                      <w:lang w:val="en-US" w:eastAsia="zh-CN"/>
                    </w:rPr>
                  </w:pPr>
                  <w:r>
                    <w:rPr>
                      <w:rFonts w:hint="eastAsia"/>
                      <w:color w:val="auto"/>
                      <w:u w:val="none" w:color="auto"/>
                      <w:lang w:val="en-US" w:eastAsia="zh-CN"/>
                    </w:rPr>
                    <w:t>10000</w:t>
                  </w:r>
                </w:p>
              </w:tc>
              <w:tc>
                <w:tcPr>
                  <w:tcW w:w="1787" w:type="dxa"/>
                  <w:tcBorders>
                    <w:tl2br w:val="nil"/>
                    <w:tr2bl w:val="nil"/>
                  </w:tcBorders>
                  <w:noWrap w:val="0"/>
                  <w:vAlign w:val="center"/>
                </w:tcPr>
                <w:p>
                  <w:pPr>
                    <w:pStyle w:val="186"/>
                    <w:spacing w:line="360" w:lineRule="auto"/>
                    <w:rPr>
                      <w:rFonts w:hint="eastAsia"/>
                      <w:color w:val="auto"/>
                      <w:u w:val="none" w:color="auto"/>
                      <w:lang w:val="en-US" w:eastAsia="zh-CN"/>
                    </w:rPr>
                  </w:pPr>
                  <w:r>
                    <w:rPr>
                      <w:rFonts w:hint="eastAsia"/>
                      <w:color w:val="auto"/>
                      <w:u w:val="none" w:color="auto"/>
                      <w:lang w:val="en-US" w:eastAsia="zh-CN"/>
                    </w:rPr>
                    <w:t>4000</w:t>
                  </w:r>
                </w:p>
              </w:tc>
              <w:tc>
                <w:tcPr>
                  <w:tcW w:w="1781" w:type="dxa"/>
                  <w:tcBorders>
                    <w:tl2br w:val="nil"/>
                    <w:tr2bl w:val="nil"/>
                  </w:tcBorders>
                  <w:noWrap w:val="0"/>
                  <w:vAlign w:val="center"/>
                </w:tcPr>
                <w:p>
                  <w:pPr>
                    <w:pStyle w:val="186"/>
                    <w:spacing w:line="360" w:lineRule="auto"/>
                    <w:rPr>
                      <w:rFonts w:hint="eastAsia" w:eastAsia="宋体"/>
                      <w:color w:val="auto"/>
                      <w:sz w:val="21"/>
                      <w:szCs w:val="21"/>
                      <w:u w:val="none" w:color="auto"/>
                      <w:lang w:val="en-US" w:eastAsia="zh-CN"/>
                    </w:rPr>
                  </w:pPr>
                  <w:r>
                    <w:rPr>
                      <w:rFonts w:hint="eastAsia"/>
                      <w:color w:val="auto"/>
                      <w:sz w:val="21"/>
                      <w:szCs w:val="21"/>
                      <w:u w:val="none" w:color="auto"/>
                      <w:lang w:val="en-US" w:eastAsia="zh-CN"/>
                    </w:rPr>
                    <w:t>/</w:t>
                  </w:r>
                </w:p>
              </w:tc>
              <w:tc>
                <w:tcPr>
                  <w:tcW w:w="1776" w:type="dxa"/>
                  <w:tcBorders>
                    <w:tl2br w:val="nil"/>
                    <w:tr2bl w:val="nil"/>
                  </w:tcBorders>
                  <w:noWrap w:val="0"/>
                  <w:vAlign w:val="center"/>
                </w:tcPr>
                <w:p>
                  <w:pPr>
                    <w:pStyle w:val="186"/>
                    <w:spacing w:line="360" w:lineRule="auto"/>
                    <w:rPr>
                      <w:rFonts w:hint="eastAsia" w:eastAsia="宋体"/>
                      <w:color w:val="auto"/>
                      <w:sz w:val="21"/>
                      <w:szCs w:val="21"/>
                      <w:u w:val="none" w:color="auto"/>
                      <w:lang w:val="en-US" w:eastAsia="zh-CN"/>
                    </w:rPr>
                  </w:pPr>
                  <w:r>
                    <w:rPr>
                      <w:rFonts w:hint="eastAsia"/>
                      <w:color w:val="auto"/>
                      <w:sz w:val="21"/>
                      <w:szCs w:val="21"/>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9" w:type="dxa"/>
                  <w:tcBorders>
                    <w:tl2br w:val="nil"/>
                    <w:tr2bl w:val="nil"/>
                  </w:tcBorders>
                  <w:noWrap w:val="0"/>
                  <w:vAlign w:val="center"/>
                </w:tcPr>
                <w:p>
                  <w:pPr>
                    <w:spacing w:line="360" w:lineRule="auto"/>
                    <w:jc w:val="center"/>
                    <w:rPr>
                      <w:rFonts w:hint="default"/>
                      <w:color w:val="auto"/>
                      <w:u w:val="none" w:color="auto"/>
                    </w:rPr>
                  </w:pPr>
                  <w:r>
                    <w:rPr>
                      <w:rFonts w:hint="default" w:ascii="Times New Roman" w:hAnsi="Times New Roman" w:cs="Times New Roman"/>
                      <w:color w:val="auto"/>
                      <w:u w:val="none" w:color="auto"/>
                    </w:rPr>
                    <w:t>O</w:t>
                  </w:r>
                  <w:r>
                    <w:rPr>
                      <w:rFonts w:hint="eastAsia" w:ascii="Times New Roman" w:hAnsi="Times New Roman" w:cs="Times New Roman"/>
                      <w:color w:val="auto"/>
                      <w:u w:val="none" w:color="auto"/>
                      <w:vertAlign w:val="subscript"/>
                      <w:lang w:val="en-US" w:eastAsia="zh-CN"/>
                    </w:rPr>
                    <w:t>3</w:t>
                  </w:r>
                </w:p>
              </w:tc>
              <w:tc>
                <w:tcPr>
                  <w:tcW w:w="1757" w:type="dxa"/>
                  <w:tcBorders>
                    <w:tl2br w:val="nil"/>
                    <w:tr2bl w:val="nil"/>
                  </w:tcBorders>
                  <w:noWrap w:val="0"/>
                  <w:vAlign w:val="center"/>
                </w:tcPr>
                <w:p>
                  <w:pPr>
                    <w:pStyle w:val="186"/>
                    <w:spacing w:line="360" w:lineRule="auto"/>
                    <w:rPr>
                      <w:rFonts w:hint="eastAsia" w:eastAsia="宋体"/>
                      <w:color w:val="auto"/>
                      <w:u w:val="none" w:color="auto"/>
                      <w:lang w:val="en-US" w:eastAsia="zh-CN"/>
                    </w:rPr>
                  </w:pPr>
                  <w:r>
                    <w:rPr>
                      <w:rFonts w:hint="eastAsia"/>
                      <w:color w:val="auto"/>
                      <w:u w:val="none" w:color="auto"/>
                      <w:lang w:val="en-US" w:eastAsia="zh-CN"/>
                    </w:rPr>
                    <w:t>200</w:t>
                  </w:r>
                </w:p>
              </w:tc>
              <w:tc>
                <w:tcPr>
                  <w:tcW w:w="1787" w:type="dxa"/>
                  <w:tcBorders>
                    <w:tl2br w:val="nil"/>
                    <w:tr2bl w:val="nil"/>
                  </w:tcBorders>
                  <w:noWrap w:val="0"/>
                  <w:vAlign w:val="center"/>
                </w:tcPr>
                <w:p>
                  <w:pPr>
                    <w:pStyle w:val="186"/>
                    <w:spacing w:line="360" w:lineRule="auto"/>
                    <w:rPr>
                      <w:rFonts w:hint="eastAsia"/>
                      <w:color w:val="auto"/>
                      <w:u w:val="none" w:color="auto"/>
                      <w:lang w:val="en-US" w:eastAsia="zh-CN"/>
                    </w:rPr>
                  </w:pPr>
                  <w:r>
                    <w:rPr>
                      <w:rFonts w:hint="eastAsia"/>
                      <w:color w:val="auto"/>
                      <w:u w:val="none" w:color="auto"/>
                      <w:lang w:val="en-US" w:eastAsia="zh-CN"/>
                    </w:rPr>
                    <w:t>/</w:t>
                  </w:r>
                </w:p>
              </w:tc>
              <w:tc>
                <w:tcPr>
                  <w:tcW w:w="1781" w:type="dxa"/>
                  <w:tcBorders>
                    <w:tl2br w:val="nil"/>
                    <w:tr2bl w:val="nil"/>
                  </w:tcBorders>
                  <w:noWrap w:val="0"/>
                  <w:vAlign w:val="center"/>
                </w:tcPr>
                <w:p>
                  <w:pPr>
                    <w:pStyle w:val="186"/>
                    <w:spacing w:line="360" w:lineRule="auto"/>
                    <w:rPr>
                      <w:rFonts w:hint="eastAsia" w:eastAsia="宋体"/>
                      <w:color w:val="auto"/>
                      <w:sz w:val="21"/>
                      <w:szCs w:val="21"/>
                      <w:u w:val="none" w:color="auto"/>
                      <w:lang w:val="en-US" w:eastAsia="zh-CN"/>
                    </w:rPr>
                  </w:pPr>
                  <w:r>
                    <w:rPr>
                      <w:rFonts w:hint="eastAsia"/>
                      <w:color w:val="auto"/>
                      <w:sz w:val="21"/>
                      <w:szCs w:val="21"/>
                      <w:u w:val="none" w:color="auto"/>
                      <w:lang w:val="en-US" w:eastAsia="zh-CN"/>
                    </w:rPr>
                    <w:t>160</w:t>
                  </w:r>
                </w:p>
              </w:tc>
              <w:tc>
                <w:tcPr>
                  <w:tcW w:w="1776" w:type="dxa"/>
                  <w:tcBorders>
                    <w:tl2br w:val="nil"/>
                    <w:tr2bl w:val="nil"/>
                  </w:tcBorders>
                  <w:noWrap w:val="0"/>
                  <w:vAlign w:val="center"/>
                </w:tcPr>
                <w:p>
                  <w:pPr>
                    <w:pStyle w:val="186"/>
                    <w:spacing w:line="360" w:lineRule="auto"/>
                    <w:rPr>
                      <w:rFonts w:hint="eastAsia" w:eastAsia="宋体"/>
                      <w:color w:val="auto"/>
                      <w:sz w:val="21"/>
                      <w:szCs w:val="21"/>
                      <w:u w:val="none" w:color="auto"/>
                      <w:lang w:val="en-US" w:eastAsia="zh-CN"/>
                    </w:rPr>
                  </w:pPr>
                  <w:r>
                    <w:rPr>
                      <w:rFonts w:hint="eastAsia"/>
                      <w:color w:val="auto"/>
                      <w:sz w:val="21"/>
                      <w:szCs w:val="21"/>
                      <w:u w:val="none" w:color="auto"/>
                      <w:lang w:val="en-US" w:eastAsia="zh-CN"/>
                    </w:rPr>
                    <w:t>/</w:t>
                  </w:r>
                </w:p>
              </w:tc>
            </w:tr>
          </w:tbl>
          <w:p>
            <w:pPr>
              <w:pStyle w:val="188"/>
              <w:rPr>
                <w:rFonts w:hint="default"/>
                <w:color w:val="auto"/>
                <w:u w:val="none" w:color="auto"/>
                <w:lang w:val="en-US" w:eastAsia="zh-CN"/>
              </w:rPr>
            </w:pPr>
            <w:r>
              <w:rPr>
                <w:rFonts w:hint="default"/>
                <w:color w:val="auto"/>
                <w:u w:val="none" w:color="auto"/>
                <w:lang w:val="en-US" w:eastAsia="zh-CN"/>
              </w:rPr>
              <w:t>表</w:t>
            </w:r>
            <w:r>
              <w:rPr>
                <w:rFonts w:hint="eastAsia"/>
                <w:color w:val="auto"/>
                <w:u w:val="none" w:color="auto"/>
                <w:lang w:val="en-US" w:eastAsia="zh-CN"/>
              </w:rPr>
              <w:t>4-2</w:t>
            </w:r>
            <w:r>
              <w:rPr>
                <w:rFonts w:hint="default"/>
                <w:color w:val="auto"/>
                <w:u w:val="none" w:color="auto"/>
                <w:lang w:val="en-US" w:eastAsia="zh-CN"/>
              </w:rPr>
              <w:t xml:space="preserve">   </w:t>
            </w:r>
            <w:r>
              <w:rPr>
                <w:rFonts w:hint="default"/>
                <w:color w:val="auto"/>
                <w:u w:val="none" w:color="auto"/>
              </w:rPr>
              <w:t>附录D</w:t>
            </w:r>
            <w:r>
              <w:rPr>
                <w:rFonts w:hint="eastAsia"/>
                <w:color w:val="auto"/>
                <w:u w:val="none" w:color="auto"/>
                <w:lang w:val="en-US" w:eastAsia="zh-CN"/>
              </w:rPr>
              <w:t>其他污染物空气质量浓度参考限值</w:t>
            </w:r>
            <w:r>
              <w:rPr>
                <w:rFonts w:hint="default"/>
                <w:color w:val="auto"/>
                <w:u w:val="none" w:color="auto"/>
                <w:lang w:val="en-US" w:eastAsia="zh-CN"/>
              </w:rPr>
              <w:t xml:space="preserve">  单位：ug/m</w:t>
            </w:r>
            <w:r>
              <w:rPr>
                <w:rFonts w:hint="default"/>
                <w:color w:val="auto"/>
                <w:u w:val="none" w:color="auto"/>
                <w:vertAlign w:val="superscript"/>
                <w:lang w:val="en-US" w:eastAsia="zh-CN"/>
              </w:rPr>
              <w:t>3</w:t>
            </w:r>
          </w:p>
          <w:tbl>
            <w:tblPr>
              <w:tblStyle w:val="40"/>
              <w:tblW w:w="843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84"/>
              <w:gridCol w:w="2225"/>
              <w:gridCol w:w="2265"/>
              <w:gridCol w:w="22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4" w:type="dxa"/>
                  <w:vMerge w:val="restart"/>
                  <w:tcBorders>
                    <w:tl2br w:val="nil"/>
                    <w:tr2bl w:val="nil"/>
                  </w:tcBorders>
                  <w:noWrap w:val="0"/>
                  <w:vAlign w:val="center"/>
                </w:tcPr>
                <w:p>
                  <w:pPr>
                    <w:pStyle w:val="186"/>
                    <w:spacing w:line="360" w:lineRule="auto"/>
                    <w:rPr>
                      <w:rFonts w:hint="default"/>
                      <w:color w:val="auto"/>
                      <w:u w:val="none" w:color="auto"/>
                    </w:rPr>
                  </w:pPr>
                  <w:r>
                    <w:rPr>
                      <w:rFonts w:hint="default"/>
                      <w:color w:val="auto"/>
                      <w:u w:val="none" w:color="auto"/>
                    </w:rPr>
                    <w:t>污染物名称</w:t>
                  </w:r>
                </w:p>
              </w:tc>
              <w:tc>
                <w:tcPr>
                  <w:tcW w:w="6748" w:type="dxa"/>
                  <w:gridSpan w:val="3"/>
                  <w:tcBorders>
                    <w:tl2br w:val="nil"/>
                    <w:tr2bl w:val="nil"/>
                  </w:tcBorders>
                  <w:noWrap w:val="0"/>
                  <w:vAlign w:val="center"/>
                </w:tcPr>
                <w:p>
                  <w:pPr>
                    <w:pStyle w:val="186"/>
                    <w:spacing w:line="360" w:lineRule="auto"/>
                    <w:rPr>
                      <w:rFonts w:hint="default"/>
                      <w:color w:val="auto"/>
                      <w:u w:val="none" w:color="auto"/>
                    </w:rPr>
                  </w:pPr>
                  <w:r>
                    <w:rPr>
                      <w:rFonts w:hint="default"/>
                      <w:color w:val="auto"/>
                      <w:u w:val="none" w:color="auto"/>
                    </w:rPr>
                    <w:t>标准限值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4" w:type="dxa"/>
                  <w:vMerge w:val="continue"/>
                  <w:tcBorders>
                    <w:tl2br w:val="nil"/>
                    <w:tr2bl w:val="nil"/>
                  </w:tcBorders>
                  <w:noWrap w:val="0"/>
                  <w:vAlign w:val="center"/>
                </w:tcPr>
                <w:p>
                  <w:pPr>
                    <w:pStyle w:val="186"/>
                    <w:spacing w:line="360" w:lineRule="auto"/>
                    <w:rPr>
                      <w:rFonts w:hint="default"/>
                      <w:color w:val="auto"/>
                      <w:u w:val="none" w:color="auto"/>
                    </w:rPr>
                  </w:pPr>
                </w:p>
              </w:tc>
              <w:tc>
                <w:tcPr>
                  <w:tcW w:w="2225" w:type="dxa"/>
                  <w:tcBorders>
                    <w:tl2br w:val="nil"/>
                    <w:tr2bl w:val="nil"/>
                  </w:tcBorders>
                  <w:noWrap w:val="0"/>
                  <w:vAlign w:val="center"/>
                </w:tcPr>
                <w:p>
                  <w:pPr>
                    <w:pStyle w:val="186"/>
                    <w:spacing w:line="360" w:lineRule="auto"/>
                    <w:rPr>
                      <w:rFonts w:hint="default"/>
                      <w:color w:val="auto"/>
                      <w:u w:val="none" w:color="auto"/>
                    </w:rPr>
                  </w:pPr>
                  <w:r>
                    <w:rPr>
                      <w:rFonts w:hint="default"/>
                      <w:color w:val="auto"/>
                      <w:u w:val="none" w:color="auto"/>
                    </w:rPr>
                    <w:t>1小时平均</w:t>
                  </w:r>
                </w:p>
              </w:tc>
              <w:tc>
                <w:tcPr>
                  <w:tcW w:w="2265" w:type="dxa"/>
                  <w:tcBorders>
                    <w:tl2br w:val="nil"/>
                    <w:tr2bl w:val="nil"/>
                  </w:tcBorders>
                  <w:noWrap w:val="0"/>
                  <w:vAlign w:val="center"/>
                </w:tcPr>
                <w:p>
                  <w:pPr>
                    <w:pStyle w:val="186"/>
                    <w:spacing w:line="360" w:lineRule="auto"/>
                    <w:rPr>
                      <w:rFonts w:hint="default"/>
                      <w:color w:val="auto"/>
                      <w:u w:val="none" w:color="auto"/>
                    </w:rPr>
                  </w:pPr>
                  <w:r>
                    <w:rPr>
                      <w:rFonts w:hint="default"/>
                      <w:color w:val="auto"/>
                      <w:u w:val="none" w:color="auto"/>
                    </w:rPr>
                    <w:t>日平均</w:t>
                  </w:r>
                </w:p>
              </w:tc>
              <w:tc>
                <w:tcPr>
                  <w:tcW w:w="2258" w:type="dxa"/>
                  <w:tcBorders>
                    <w:tl2br w:val="nil"/>
                    <w:tr2bl w:val="nil"/>
                  </w:tcBorders>
                  <w:noWrap w:val="0"/>
                  <w:vAlign w:val="center"/>
                </w:tcPr>
                <w:p>
                  <w:pPr>
                    <w:pStyle w:val="186"/>
                    <w:spacing w:line="360" w:lineRule="auto"/>
                    <w:rPr>
                      <w:rFonts w:hint="default"/>
                      <w:color w:val="auto"/>
                      <w:u w:val="none" w:color="auto"/>
                    </w:rPr>
                  </w:pPr>
                  <w:r>
                    <w:rPr>
                      <w:color w:val="auto"/>
                      <w:sz w:val="21"/>
                      <w:szCs w:val="21"/>
                      <w:u w:val="none" w:color="auto"/>
                    </w:rPr>
                    <w:t>8小时均值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4" w:type="dxa"/>
                  <w:tcBorders>
                    <w:tl2br w:val="nil"/>
                    <w:tr2bl w:val="nil"/>
                  </w:tcBorders>
                  <w:noWrap w:val="0"/>
                  <w:vAlign w:val="center"/>
                </w:tcPr>
                <w:p>
                  <w:pPr>
                    <w:pStyle w:val="186"/>
                    <w:spacing w:line="360" w:lineRule="auto"/>
                    <w:rPr>
                      <w:rFonts w:hint="default" w:eastAsia="宋体"/>
                      <w:color w:val="auto"/>
                      <w:u w:val="none" w:color="auto"/>
                      <w:lang w:val="en-US" w:eastAsia="zh-CN"/>
                    </w:rPr>
                  </w:pPr>
                  <w:r>
                    <w:rPr>
                      <w:rFonts w:hint="eastAsia"/>
                      <w:color w:val="auto"/>
                      <w:u w:val="none" w:color="auto"/>
                      <w:lang w:val="en-US" w:eastAsia="zh-CN"/>
                    </w:rPr>
                    <w:t>TVOC</w:t>
                  </w:r>
                </w:p>
              </w:tc>
              <w:tc>
                <w:tcPr>
                  <w:tcW w:w="2225" w:type="dxa"/>
                  <w:tcBorders>
                    <w:tl2br w:val="nil"/>
                    <w:tr2bl w:val="nil"/>
                  </w:tcBorders>
                  <w:noWrap w:val="0"/>
                  <w:vAlign w:val="center"/>
                </w:tcPr>
                <w:p>
                  <w:pPr>
                    <w:pStyle w:val="186"/>
                    <w:spacing w:line="360" w:lineRule="auto"/>
                    <w:rPr>
                      <w:rFonts w:hint="eastAsia" w:eastAsia="宋体"/>
                      <w:color w:val="auto"/>
                      <w:u w:val="none" w:color="auto"/>
                      <w:lang w:eastAsia="zh-CN"/>
                    </w:rPr>
                  </w:pPr>
                  <w:r>
                    <w:rPr>
                      <w:rFonts w:hint="eastAsia"/>
                      <w:color w:val="auto"/>
                      <w:u w:val="none" w:color="auto"/>
                      <w:lang w:val="en-US" w:eastAsia="zh-CN"/>
                    </w:rPr>
                    <w:t>/</w:t>
                  </w:r>
                </w:p>
              </w:tc>
              <w:tc>
                <w:tcPr>
                  <w:tcW w:w="2265" w:type="dxa"/>
                  <w:tcBorders>
                    <w:tl2br w:val="nil"/>
                    <w:tr2bl w:val="nil"/>
                  </w:tcBorders>
                  <w:noWrap w:val="0"/>
                  <w:vAlign w:val="center"/>
                </w:tcPr>
                <w:p>
                  <w:pPr>
                    <w:pStyle w:val="186"/>
                    <w:spacing w:line="360" w:lineRule="auto"/>
                    <w:rPr>
                      <w:rFonts w:hint="eastAsia" w:eastAsia="宋体"/>
                      <w:color w:val="auto"/>
                      <w:u w:val="none" w:color="auto"/>
                      <w:lang w:eastAsia="zh-CN"/>
                    </w:rPr>
                  </w:pPr>
                  <w:r>
                    <w:rPr>
                      <w:rFonts w:hint="eastAsia"/>
                      <w:color w:val="auto"/>
                      <w:u w:val="none" w:color="auto"/>
                      <w:lang w:val="en-US" w:eastAsia="zh-CN"/>
                    </w:rPr>
                    <w:t>/</w:t>
                  </w:r>
                </w:p>
              </w:tc>
              <w:tc>
                <w:tcPr>
                  <w:tcW w:w="2258" w:type="dxa"/>
                  <w:tcBorders>
                    <w:tl2br w:val="nil"/>
                    <w:tr2bl w:val="nil"/>
                  </w:tcBorders>
                  <w:noWrap w:val="0"/>
                  <w:vAlign w:val="center"/>
                </w:tcPr>
                <w:p>
                  <w:pPr>
                    <w:pStyle w:val="186"/>
                    <w:spacing w:line="360" w:lineRule="auto"/>
                    <w:rPr>
                      <w:rFonts w:hint="default" w:eastAsia="宋体"/>
                      <w:color w:val="auto"/>
                      <w:u w:val="none" w:color="auto"/>
                      <w:lang w:val="en-US" w:eastAsia="zh-CN"/>
                    </w:rPr>
                  </w:pPr>
                  <w:r>
                    <w:rPr>
                      <w:rFonts w:hint="eastAsia"/>
                      <w:color w:val="auto"/>
                      <w:sz w:val="21"/>
                      <w:szCs w:val="21"/>
                      <w:u w:val="none" w:color="auto"/>
                      <w:lang w:val="en-US" w:eastAsia="zh-CN"/>
                    </w:rPr>
                    <w:t>600</w:t>
                  </w:r>
                </w:p>
              </w:tc>
            </w:tr>
          </w:tbl>
          <w:p>
            <w:pPr>
              <w:pStyle w:val="167"/>
              <w:numPr>
                <w:ilvl w:val="0"/>
                <w:numId w:val="5"/>
              </w:numPr>
              <w:snapToGrid w:val="0"/>
              <w:spacing w:line="360" w:lineRule="auto"/>
              <w:ind w:firstLineChars="0"/>
              <w:rPr>
                <w:sz w:val="24"/>
                <w:u w:val="none" w:color="auto"/>
              </w:rPr>
            </w:pPr>
            <w:r>
              <w:rPr>
                <w:sz w:val="24"/>
                <w:u w:val="none" w:color="auto"/>
              </w:rPr>
              <w:t>地表水环境：执行《地表水环境质量标准》（GB3838-2002）中的</w:t>
            </w:r>
            <w:r>
              <w:rPr>
                <w:szCs w:val="21"/>
                <w:u w:val="none" w:color="auto"/>
              </w:rPr>
              <w:t>III</w:t>
            </w:r>
            <w:r>
              <w:rPr>
                <w:sz w:val="24"/>
                <w:u w:val="none" w:color="auto"/>
              </w:rPr>
              <w:t>类标准</w:t>
            </w:r>
          </w:p>
          <w:p>
            <w:pPr>
              <w:jc w:val="center"/>
              <w:rPr>
                <w:sz w:val="24"/>
                <w:szCs w:val="24"/>
                <w:u w:val="none" w:color="auto"/>
              </w:rPr>
            </w:pPr>
            <w:r>
              <w:rPr>
                <w:b/>
                <w:bCs/>
                <w:sz w:val="24"/>
                <w:u w:val="none" w:color="auto"/>
              </w:rPr>
              <w:t>表4-</w:t>
            </w:r>
            <w:r>
              <w:rPr>
                <w:rFonts w:hint="eastAsia"/>
                <w:b/>
                <w:bCs/>
                <w:sz w:val="24"/>
                <w:u w:val="none" w:color="auto"/>
                <w:lang w:val="en-US" w:eastAsia="zh-CN"/>
              </w:rPr>
              <w:t>3</w:t>
            </w:r>
            <w:r>
              <w:rPr>
                <w:b/>
                <w:bCs/>
                <w:sz w:val="24"/>
                <w:u w:val="none" w:color="auto"/>
              </w:rPr>
              <w:t xml:space="preserve">  《地表水环境质量标准》中的</w:t>
            </w:r>
            <w:r>
              <w:rPr>
                <w:szCs w:val="21"/>
                <w:u w:val="none" w:color="auto"/>
              </w:rPr>
              <w:t>III</w:t>
            </w:r>
            <w:r>
              <w:rPr>
                <w:b/>
                <w:bCs/>
                <w:sz w:val="24"/>
                <w:u w:val="none" w:color="auto"/>
              </w:rPr>
              <w:t>类标准</w:t>
            </w:r>
          </w:p>
          <w:tbl>
            <w:tblPr>
              <w:tblStyle w:val="40"/>
              <w:tblW w:w="843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87"/>
              <w:gridCol w:w="1191"/>
              <w:gridCol w:w="1212"/>
              <w:gridCol w:w="1212"/>
              <w:gridCol w:w="1213"/>
              <w:gridCol w:w="1212"/>
              <w:gridCol w:w="12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87" w:type="dxa"/>
                  <w:vAlign w:val="center"/>
                </w:tcPr>
                <w:p>
                  <w:pPr>
                    <w:spacing w:line="360" w:lineRule="auto"/>
                    <w:jc w:val="center"/>
                    <w:rPr>
                      <w:b/>
                      <w:bCs/>
                      <w:szCs w:val="21"/>
                      <w:u w:val="none" w:color="auto"/>
                    </w:rPr>
                  </w:pPr>
                  <w:r>
                    <w:rPr>
                      <w:b/>
                      <w:bCs/>
                      <w:szCs w:val="21"/>
                      <w:u w:val="none" w:color="auto"/>
                    </w:rPr>
                    <w:t>主要污</w:t>
                  </w:r>
                </w:p>
                <w:p>
                  <w:pPr>
                    <w:spacing w:line="360" w:lineRule="auto"/>
                    <w:jc w:val="center"/>
                    <w:rPr>
                      <w:b/>
                      <w:szCs w:val="21"/>
                      <w:u w:val="none" w:color="auto"/>
                    </w:rPr>
                  </w:pPr>
                  <w:r>
                    <w:rPr>
                      <w:b/>
                      <w:bCs/>
                      <w:szCs w:val="21"/>
                      <w:u w:val="none" w:color="auto"/>
                    </w:rPr>
                    <w:t>染物</w:t>
                  </w:r>
                </w:p>
              </w:tc>
              <w:tc>
                <w:tcPr>
                  <w:tcW w:w="1191" w:type="dxa"/>
                  <w:vAlign w:val="center"/>
                </w:tcPr>
                <w:p>
                  <w:pPr>
                    <w:spacing w:line="360" w:lineRule="auto"/>
                    <w:jc w:val="center"/>
                    <w:rPr>
                      <w:rFonts w:hint="eastAsia" w:eastAsia="宋体"/>
                      <w:b/>
                      <w:szCs w:val="21"/>
                      <w:u w:val="none" w:color="auto"/>
                      <w:lang w:val="en-US" w:eastAsia="zh-CN"/>
                    </w:rPr>
                  </w:pPr>
                  <w:r>
                    <w:rPr>
                      <w:b/>
                      <w:bCs/>
                      <w:szCs w:val="21"/>
                      <w:u w:val="none" w:color="auto"/>
                    </w:rPr>
                    <w:t>pH</w:t>
                  </w:r>
                  <w:r>
                    <w:rPr>
                      <w:rFonts w:hint="eastAsia"/>
                      <w:b/>
                      <w:bCs/>
                      <w:szCs w:val="21"/>
                      <w:u w:val="none" w:color="auto"/>
                      <w:lang w:val="en-US" w:eastAsia="zh-CN"/>
                    </w:rPr>
                    <w:t>值</w:t>
                  </w:r>
                </w:p>
              </w:tc>
              <w:tc>
                <w:tcPr>
                  <w:tcW w:w="1212" w:type="dxa"/>
                  <w:vAlign w:val="center"/>
                </w:tcPr>
                <w:p>
                  <w:pPr>
                    <w:spacing w:line="360" w:lineRule="auto"/>
                    <w:jc w:val="center"/>
                    <w:rPr>
                      <w:b/>
                      <w:bCs/>
                      <w:szCs w:val="21"/>
                      <w:u w:val="none" w:color="auto"/>
                    </w:rPr>
                  </w:pPr>
                  <w:r>
                    <w:rPr>
                      <w:b/>
                      <w:bCs/>
                      <w:szCs w:val="21"/>
                      <w:u w:val="none" w:color="auto"/>
                    </w:rPr>
                    <w:t>COD</w:t>
                  </w:r>
                  <w:r>
                    <w:rPr>
                      <w:b/>
                      <w:bCs/>
                      <w:szCs w:val="21"/>
                      <w:u w:val="none" w:color="auto"/>
                      <w:vertAlign w:val="subscript"/>
                    </w:rPr>
                    <w:t>Cr</w:t>
                  </w:r>
                </w:p>
                <w:p>
                  <w:pPr>
                    <w:spacing w:line="360" w:lineRule="auto"/>
                    <w:jc w:val="center"/>
                    <w:rPr>
                      <w:b/>
                      <w:szCs w:val="21"/>
                      <w:u w:val="none" w:color="auto"/>
                    </w:rPr>
                  </w:pPr>
                  <w:r>
                    <w:rPr>
                      <w:b/>
                      <w:bCs/>
                      <w:szCs w:val="21"/>
                      <w:u w:val="none" w:color="auto"/>
                    </w:rPr>
                    <w:t>（mg/L）</w:t>
                  </w:r>
                </w:p>
              </w:tc>
              <w:tc>
                <w:tcPr>
                  <w:tcW w:w="1212" w:type="dxa"/>
                  <w:vAlign w:val="center"/>
                </w:tcPr>
                <w:p>
                  <w:pPr>
                    <w:spacing w:line="360" w:lineRule="auto"/>
                    <w:jc w:val="center"/>
                    <w:rPr>
                      <w:b/>
                      <w:bCs/>
                      <w:szCs w:val="21"/>
                      <w:u w:val="none" w:color="auto"/>
                    </w:rPr>
                  </w:pPr>
                  <w:r>
                    <w:rPr>
                      <w:b/>
                      <w:bCs/>
                      <w:szCs w:val="21"/>
                      <w:u w:val="none" w:color="auto"/>
                    </w:rPr>
                    <w:t>BOD</w:t>
                  </w:r>
                  <w:r>
                    <w:rPr>
                      <w:b/>
                      <w:bCs/>
                      <w:szCs w:val="21"/>
                      <w:u w:val="none" w:color="auto"/>
                      <w:vertAlign w:val="subscript"/>
                    </w:rPr>
                    <w:t>5</w:t>
                  </w:r>
                </w:p>
                <w:p>
                  <w:pPr>
                    <w:spacing w:line="360" w:lineRule="auto"/>
                    <w:jc w:val="center"/>
                    <w:rPr>
                      <w:b/>
                      <w:szCs w:val="21"/>
                      <w:u w:val="none" w:color="auto"/>
                    </w:rPr>
                  </w:pPr>
                  <w:r>
                    <w:rPr>
                      <w:b/>
                      <w:bCs/>
                      <w:szCs w:val="21"/>
                      <w:u w:val="none" w:color="auto"/>
                    </w:rPr>
                    <w:t>（mg/L）</w:t>
                  </w:r>
                </w:p>
              </w:tc>
              <w:tc>
                <w:tcPr>
                  <w:tcW w:w="1213" w:type="dxa"/>
                  <w:vAlign w:val="center"/>
                </w:tcPr>
                <w:p>
                  <w:pPr>
                    <w:spacing w:line="360" w:lineRule="auto"/>
                    <w:jc w:val="center"/>
                    <w:rPr>
                      <w:b/>
                      <w:bCs/>
                      <w:szCs w:val="21"/>
                      <w:u w:val="none" w:color="auto"/>
                    </w:rPr>
                  </w:pPr>
                  <w:r>
                    <w:rPr>
                      <w:b/>
                      <w:bCs/>
                      <w:szCs w:val="21"/>
                      <w:u w:val="none" w:color="auto"/>
                    </w:rPr>
                    <w:t>氨氮</w:t>
                  </w:r>
                </w:p>
                <w:p>
                  <w:pPr>
                    <w:spacing w:line="360" w:lineRule="auto"/>
                    <w:jc w:val="center"/>
                    <w:rPr>
                      <w:b/>
                      <w:szCs w:val="21"/>
                      <w:u w:val="none" w:color="auto"/>
                    </w:rPr>
                  </w:pPr>
                  <w:r>
                    <w:rPr>
                      <w:b/>
                      <w:bCs/>
                      <w:szCs w:val="21"/>
                      <w:u w:val="none" w:color="auto"/>
                    </w:rPr>
                    <w:t>（mg/L）</w:t>
                  </w:r>
                </w:p>
              </w:tc>
              <w:tc>
                <w:tcPr>
                  <w:tcW w:w="1212" w:type="dxa"/>
                  <w:vAlign w:val="center"/>
                </w:tcPr>
                <w:p>
                  <w:pPr>
                    <w:spacing w:line="360" w:lineRule="auto"/>
                    <w:jc w:val="center"/>
                    <w:rPr>
                      <w:b/>
                      <w:bCs/>
                      <w:szCs w:val="21"/>
                      <w:u w:val="none" w:color="auto"/>
                    </w:rPr>
                  </w:pPr>
                  <w:r>
                    <w:rPr>
                      <w:b/>
                      <w:bCs/>
                      <w:szCs w:val="21"/>
                      <w:u w:val="none" w:color="auto"/>
                    </w:rPr>
                    <w:t>DO</w:t>
                  </w:r>
                </w:p>
                <w:p>
                  <w:pPr>
                    <w:spacing w:line="360" w:lineRule="auto"/>
                    <w:jc w:val="center"/>
                    <w:rPr>
                      <w:b/>
                      <w:szCs w:val="21"/>
                      <w:u w:val="none" w:color="auto"/>
                    </w:rPr>
                  </w:pPr>
                  <w:r>
                    <w:rPr>
                      <w:b/>
                      <w:bCs/>
                      <w:szCs w:val="21"/>
                      <w:u w:val="none" w:color="auto"/>
                    </w:rPr>
                    <w:t>（mg/L）</w:t>
                  </w:r>
                </w:p>
              </w:tc>
              <w:tc>
                <w:tcPr>
                  <w:tcW w:w="1203" w:type="dxa"/>
                  <w:vAlign w:val="center"/>
                </w:tcPr>
                <w:p>
                  <w:pPr>
                    <w:spacing w:line="360" w:lineRule="auto"/>
                    <w:jc w:val="center"/>
                    <w:rPr>
                      <w:b/>
                      <w:szCs w:val="21"/>
                      <w:u w:val="none" w:color="auto"/>
                    </w:rPr>
                  </w:pPr>
                  <w:r>
                    <w:rPr>
                      <w:b/>
                      <w:bCs/>
                      <w:szCs w:val="21"/>
                      <w:u w:val="none" w:color="auto"/>
                    </w:rPr>
                    <w:t>石油类(mg/L)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187" w:type="dxa"/>
                  <w:vAlign w:val="center"/>
                </w:tcPr>
                <w:p>
                  <w:pPr>
                    <w:spacing w:line="360" w:lineRule="auto"/>
                    <w:jc w:val="center"/>
                    <w:rPr>
                      <w:szCs w:val="21"/>
                      <w:u w:val="none" w:color="auto"/>
                    </w:rPr>
                  </w:pPr>
                  <w:r>
                    <w:rPr>
                      <w:bCs/>
                      <w:szCs w:val="21"/>
                      <w:u w:val="none" w:color="auto"/>
                    </w:rPr>
                    <w:t>浓度限值</w:t>
                  </w:r>
                </w:p>
              </w:tc>
              <w:tc>
                <w:tcPr>
                  <w:tcW w:w="1191" w:type="dxa"/>
                  <w:vAlign w:val="center"/>
                </w:tcPr>
                <w:p>
                  <w:pPr>
                    <w:spacing w:line="360" w:lineRule="auto"/>
                    <w:jc w:val="center"/>
                    <w:rPr>
                      <w:szCs w:val="21"/>
                      <w:u w:val="none" w:color="auto"/>
                    </w:rPr>
                  </w:pPr>
                  <w:r>
                    <w:rPr>
                      <w:bCs/>
                      <w:szCs w:val="21"/>
                      <w:u w:val="none" w:color="auto"/>
                    </w:rPr>
                    <w:t>6～9</w:t>
                  </w:r>
                </w:p>
              </w:tc>
              <w:tc>
                <w:tcPr>
                  <w:tcW w:w="1212" w:type="dxa"/>
                  <w:vAlign w:val="center"/>
                </w:tcPr>
                <w:p>
                  <w:pPr>
                    <w:spacing w:line="360" w:lineRule="auto"/>
                    <w:jc w:val="center"/>
                    <w:rPr>
                      <w:szCs w:val="21"/>
                      <w:u w:val="none" w:color="auto"/>
                    </w:rPr>
                  </w:pPr>
                  <w:r>
                    <w:rPr>
                      <w:bCs/>
                      <w:szCs w:val="21"/>
                      <w:u w:val="none" w:color="auto"/>
                    </w:rPr>
                    <w:t>≤20</w:t>
                  </w:r>
                </w:p>
              </w:tc>
              <w:tc>
                <w:tcPr>
                  <w:tcW w:w="1212" w:type="dxa"/>
                  <w:vAlign w:val="center"/>
                </w:tcPr>
                <w:p>
                  <w:pPr>
                    <w:spacing w:line="360" w:lineRule="auto"/>
                    <w:jc w:val="center"/>
                    <w:rPr>
                      <w:szCs w:val="21"/>
                      <w:u w:val="none" w:color="auto"/>
                    </w:rPr>
                  </w:pPr>
                  <w:r>
                    <w:rPr>
                      <w:bCs/>
                      <w:szCs w:val="21"/>
                      <w:u w:val="none" w:color="auto"/>
                    </w:rPr>
                    <w:t>≤4.0</w:t>
                  </w:r>
                </w:p>
              </w:tc>
              <w:tc>
                <w:tcPr>
                  <w:tcW w:w="1213" w:type="dxa"/>
                  <w:vAlign w:val="center"/>
                </w:tcPr>
                <w:p>
                  <w:pPr>
                    <w:spacing w:line="360" w:lineRule="auto"/>
                    <w:jc w:val="center"/>
                    <w:rPr>
                      <w:szCs w:val="21"/>
                      <w:u w:val="none" w:color="auto"/>
                    </w:rPr>
                  </w:pPr>
                  <w:r>
                    <w:rPr>
                      <w:bCs/>
                      <w:szCs w:val="21"/>
                      <w:u w:val="none" w:color="auto"/>
                    </w:rPr>
                    <w:t>≤1.0</w:t>
                  </w:r>
                </w:p>
              </w:tc>
              <w:tc>
                <w:tcPr>
                  <w:tcW w:w="1212" w:type="dxa"/>
                  <w:vAlign w:val="center"/>
                </w:tcPr>
                <w:p>
                  <w:pPr>
                    <w:spacing w:line="360" w:lineRule="auto"/>
                    <w:jc w:val="center"/>
                    <w:rPr>
                      <w:szCs w:val="21"/>
                      <w:u w:val="none" w:color="auto"/>
                    </w:rPr>
                  </w:pPr>
                  <w:r>
                    <w:rPr>
                      <w:szCs w:val="21"/>
                      <w:u w:val="none" w:color="auto"/>
                    </w:rPr>
                    <w:t>≥5</w:t>
                  </w:r>
                </w:p>
              </w:tc>
              <w:tc>
                <w:tcPr>
                  <w:tcW w:w="1203" w:type="dxa"/>
                  <w:vAlign w:val="center"/>
                </w:tcPr>
                <w:p>
                  <w:pPr>
                    <w:spacing w:line="360" w:lineRule="auto"/>
                    <w:jc w:val="center"/>
                    <w:rPr>
                      <w:szCs w:val="21"/>
                      <w:u w:val="none" w:color="auto"/>
                    </w:rPr>
                  </w:pPr>
                  <w:r>
                    <w:rPr>
                      <w:bCs/>
                      <w:szCs w:val="21"/>
                      <w:u w:val="none" w:color="auto"/>
                    </w:rPr>
                    <w:t>≤0.05</w:t>
                  </w:r>
                </w:p>
              </w:tc>
            </w:tr>
          </w:tbl>
          <w:p>
            <w:pPr>
              <w:pStyle w:val="34"/>
              <w:numPr>
                <w:ilvl w:val="0"/>
                <w:numId w:val="0"/>
              </w:numPr>
              <w:spacing w:line="360" w:lineRule="auto"/>
              <w:ind w:leftChars="0"/>
              <w:rPr>
                <w:sz w:val="24"/>
                <w:u w:val="none" w:color="auto"/>
              </w:rPr>
            </w:pPr>
            <w:r>
              <w:rPr>
                <w:rFonts w:hint="eastAsia"/>
                <w:sz w:val="24"/>
                <w:u w:val="none" w:color="auto"/>
                <w:lang w:val="en-US" w:eastAsia="zh-CN"/>
              </w:rPr>
              <w:t>3、</w:t>
            </w:r>
            <w:r>
              <w:rPr>
                <w:sz w:val="24"/>
                <w:u w:val="none" w:color="auto"/>
              </w:rPr>
              <w:t>声环境：执行《声环境质量标准》（GB3096-</w:t>
            </w:r>
            <w:r>
              <w:rPr>
                <w:rFonts w:hint="eastAsia"/>
                <w:sz w:val="24"/>
                <w:u w:val="none" w:color="auto"/>
                <w:lang w:val="en-US" w:eastAsia="zh-CN"/>
              </w:rPr>
              <w:t>2008</w:t>
            </w:r>
            <w:r>
              <w:rPr>
                <w:sz w:val="24"/>
                <w:u w:val="none" w:color="auto"/>
              </w:rPr>
              <w:t>）中的</w:t>
            </w:r>
            <w:r>
              <w:rPr>
                <w:rFonts w:hint="eastAsia"/>
                <w:sz w:val="24"/>
                <w:u w:val="none" w:color="auto"/>
                <w:lang w:val="en-US" w:eastAsia="zh-CN"/>
              </w:rPr>
              <w:t>3</w:t>
            </w:r>
            <w:r>
              <w:rPr>
                <w:sz w:val="24"/>
                <w:u w:val="none" w:color="auto"/>
              </w:rPr>
              <w:t>类标准</w:t>
            </w:r>
          </w:p>
          <w:p>
            <w:pPr>
              <w:pStyle w:val="34"/>
              <w:ind w:left="0" w:leftChars="0" w:firstLine="462"/>
              <w:jc w:val="center"/>
              <w:rPr>
                <w:b/>
                <w:bCs/>
                <w:sz w:val="24"/>
                <w:u w:val="none" w:color="auto"/>
              </w:rPr>
            </w:pPr>
            <w:r>
              <w:rPr>
                <w:b/>
                <w:bCs/>
                <w:sz w:val="24"/>
                <w:u w:val="none" w:color="auto"/>
              </w:rPr>
              <w:t>表4-</w:t>
            </w:r>
            <w:r>
              <w:rPr>
                <w:rFonts w:hint="eastAsia"/>
                <w:b/>
                <w:bCs/>
                <w:sz w:val="24"/>
                <w:u w:val="none" w:color="auto"/>
                <w:lang w:val="en-US" w:eastAsia="zh-CN"/>
              </w:rPr>
              <w:t>4</w:t>
            </w:r>
            <w:r>
              <w:rPr>
                <w:b/>
                <w:bCs/>
                <w:sz w:val="24"/>
                <w:u w:val="none" w:color="auto"/>
              </w:rPr>
              <w:t xml:space="preserve">  《声环境质量标准》中的标准</w:t>
            </w:r>
          </w:p>
          <w:tbl>
            <w:tblPr>
              <w:tblStyle w:val="40"/>
              <w:tblW w:w="843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12"/>
              <w:gridCol w:w="2806"/>
              <w:gridCol w:w="28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7" w:hRule="atLeast"/>
              </w:trPr>
              <w:tc>
                <w:tcPr>
                  <w:tcW w:w="2812" w:type="dxa"/>
                  <w:vMerge w:val="restart"/>
                  <w:vAlign w:val="center"/>
                </w:tcPr>
                <w:p>
                  <w:pPr>
                    <w:pStyle w:val="34"/>
                    <w:ind w:left="0" w:leftChars="0" w:firstLine="462"/>
                    <w:jc w:val="center"/>
                    <w:rPr>
                      <w:b/>
                      <w:bCs/>
                      <w:szCs w:val="21"/>
                      <w:u w:val="none" w:color="auto"/>
                    </w:rPr>
                  </w:pPr>
                  <w:r>
                    <w:rPr>
                      <w:b/>
                      <w:bCs/>
                      <w:szCs w:val="21"/>
                      <w:u w:val="none" w:color="auto"/>
                    </w:rPr>
                    <w:t>声环境功能区类别</w:t>
                  </w:r>
                </w:p>
              </w:tc>
              <w:tc>
                <w:tcPr>
                  <w:tcW w:w="5618" w:type="dxa"/>
                  <w:gridSpan w:val="2"/>
                  <w:vAlign w:val="center"/>
                </w:tcPr>
                <w:p>
                  <w:pPr>
                    <w:pStyle w:val="34"/>
                    <w:ind w:left="0" w:leftChars="0" w:firstLine="462"/>
                    <w:jc w:val="center"/>
                    <w:rPr>
                      <w:b/>
                      <w:bCs/>
                      <w:szCs w:val="21"/>
                      <w:u w:val="none" w:color="auto"/>
                    </w:rPr>
                  </w:pPr>
                  <w:r>
                    <w:rPr>
                      <w:b/>
                      <w:bCs/>
                      <w:szCs w:val="21"/>
                      <w:u w:val="none" w:color="auto"/>
                    </w:rPr>
                    <w:t>时段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7" w:hRule="atLeast"/>
              </w:trPr>
              <w:tc>
                <w:tcPr>
                  <w:tcW w:w="2812" w:type="dxa"/>
                  <w:vMerge w:val="continue"/>
                  <w:vAlign w:val="center"/>
                </w:tcPr>
                <w:p>
                  <w:pPr>
                    <w:pStyle w:val="34"/>
                    <w:ind w:left="400" w:firstLine="462"/>
                    <w:jc w:val="center"/>
                    <w:rPr>
                      <w:b/>
                      <w:bCs/>
                      <w:szCs w:val="21"/>
                      <w:u w:val="none" w:color="auto"/>
                    </w:rPr>
                  </w:pPr>
                </w:p>
              </w:tc>
              <w:tc>
                <w:tcPr>
                  <w:tcW w:w="2806" w:type="dxa"/>
                  <w:vAlign w:val="center"/>
                </w:tcPr>
                <w:p>
                  <w:pPr>
                    <w:pStyle w:val="34"/>
                    <w:ind w:left="0" w:leftChars="0" w:firstLine="462"/>
                    <w:jc w:val="center"/>
                    <w:rPr>
                      <w:b/>
                      <w:bCs/>
                      <w:szCs w:val="21"/>
                      <w:u w:val="none" w:color="auto"/>
                    </w:rPr>
                  </w:pPr>
                  <w:r>
                    <w:rPr>
                      <w:b/>
                      <w:bCs/>
                      <w:szCs w:val="21"/>
                      <w:u w:val="none" w:color="auto"/>
                    </w:rPr>
                    <w:t>昼间</w:t>
                  </w:r>
                </w:p>
              </w:tc>
              <w:tc>
                <w:tcPr>
                  <w:tcW w:w="2812" w:type="dxa"/>
                  <w:vAlign w:val="center"/>
                </w:tcPr>
                <w:p>
                  <w:pPr>
                    <w:pStyle w:val="34"/>
                    <w:ind w:left="0" w:leftChars="0" w:firstLine="462"/>
                    <w:jc w:val="center"/>
                    <w:rPr>
                      <w:b/>
                      <w:bCs/>
                      <w:szCs w:val="21"/>
                      <w:u w:val="none" w:color="auto"/>
                    </w:rPr>
                  </w:pPr>
                  <w:r>
                    <w:rPr>
                      <w:b/>
                      <w:bCs/>
                      <w:szCs w:val="21"/>
                      <w:u w:val="none" w:color="auto"/>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2812" w:type="dxa"/>
                  <w:vAlign w:val="center"/>
                </w:tcPr>
                <w:p>
                  <w:pPr>
                    <w:pStyle w:val="34"/>
                    <w:ind w:left="0" w:leftChars="0" w:firstLine="460"/>
                    <w:jc w:val="center"/>
                    <w:rPr>
                      <w:szCs w:val="21"/>
                      <w:u w:val="none" w:color="auto"/>
                    </w:rPr>
                  </w:pPr>
                  <w:r>
                    <w:rPr>
                      <w:rFonts w:hint="eastAsia"/>
                      <w:szCs w:val="21"/>
                      <w:u w:val="none" w:color="auto"/>
                      <w:lang w:val="en-US" w:eastAsia="zh-CN"/>
                    </w:rPr>
                    <w:t>3</w:t>
                  </w:r>
                  <w:r>
                    <w:rPr>
                      <w:szCs w:val="21"/>
                      <w:u w:val="none" w:color="auto"/>
                    </w:rPr>
                    <w:t>类（dB(A)）</w:t>
                  </w:r>
                </w:p>
              </w:tc>
              <w:tc>
                <w:tcPr>
                  <w:tcW w:w="2806" w:type="dxa"/>
                  <w:vAlign w:val="center"/>
                </w:tcPr>
                <w:p>
                  <w:pPr>
                    <w:pStyle w:val="34"/>
                    <w:ind w:left="0" w:leftChars="0" w:firstLine="460"/>
                    <w:jc w:val="center"/>
                    <w:rPr>
                      <w:rFonts w:hint="eastAsia" w:eastAsia="宋体"/>
                      <w:szCs w:val="21"/>
                      <w:u w:val="none" w:color="auto"/>
                      <w:lang w:eastAsia="zh-CN"/>
                    </w:rPr>
                  </w:pPr>
                  <w:r>
                    <w:rPr>
                      <w:szCs w:val="21"/>
                      <w:u w:val="none" w:color="auto"/>
                    </w:rPr>
                    <w:t>6</w:t>
                  </w:r>
                  <w:r>
                    <w:rPr>
                      <w:rFonts w:hint="eastAsia"/>
                      <w:szCs w:val="21"/>
                      <w:u w:val="none" w:color="auto"/>
                      <w:lang w:val="en-US" w:eastAsia="zh-CN"/>
                    </w:rPr>
                    <w:t>5</w:t>
                  </w:r>
                </w:p>
              </w:tc>
              <w:tc>
                <w:tcPr>
                  <w:tcW w:w="2812" w:type="dxa"/>
                  <w:vAlign w:val="center"/>
                </w:tcPr>
                <w:p>
                  <w:pPr>
                    <w:pStyle w:val="34"/>
                    <w:ind w:left="0" w:leftChars="0" w:firstLine="460"/>
                    <w:jc w:val="center"/>
                    <w:rPr>
                      <w:rFonts w:hint="eastAsia" w:eastAsia="宋体"/>
                      <w:szCs w:val="21"/>
                      <w:u w:val="none" w:color="auto"/>
                      <w:lang w:val="en-US" w:eastAsia="zh-CN"/>
                    </w:rPr>
                  </w:pPr>
                  <w:r>
                    <w:rPr>
                      <w:szCs w:val="21"/>
                      <w:u w:val="none" w:color="auto"/>
                    </w:rPr>
                    <w:t>5</w:t>
                  </w:r>
                  <w:r>
                    <w:rPr>
                      <w:rFonts w:hint="eastAsia"/>
                      <w:szCs w:val="21"/>
                      <w:u w:val="none" w:color="auto"/>
                      <w:lang w:val="en-US" w:eastAsia="zh-CN"/>
                    </w:rPr>
                    <w:t>5</w:t>
                  </w:r>
                </w:p>
              </w:tc>
            </w:tr>
          </w:tbl>
          <w:p>
            <w:pPr>
              <w:pStyle w:val="167"/>
              <w:ind w:left="360" w:firstLine="0" w:firstLineChars="0"/>
              <w:rPr>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592" w:type="dxa"/>
            <w:vAlign w:val="center"/>
          </w:tcPr>
          <w:p>
            <w:pPr>
              <w:jc w:val="center"/>
              <w:rPr>
                <w:b/>
                <w:bCs/>
                <w:sz w:val="24"/>
                <w:szCs w:val="24"/>
                <w:u w:val="none" w:color="auto"/>
              </w:rPr>
            </w:pPr>
            <w:r>
              <w:rPr>
                <w:b/>
                <w:bCs/>
                <w:sz w:val="24"/>
                <w:szCs w:val="24"/>
                <w:u w:val="none" w:color="auto"/>
              </w:rPr>
              <w:t>污染物排放标准</w:t>
            </w:r>
          </w:p>
        </w:tc>
        <w:tc>
          <w:tcPr>
            <w:tcW w:w="8676" w:type="dxa"/>
            <w:vAlign w:val="center"/>
          </w:tcPr>
          <w:p>
            <w:pPr>
              <w:pStyle w:val="4"/>
              <w:adjustRightInd w:val="0"/>
              <w:snapToGrid w:val="0"/>
              <w:spacing w:line="360" w:lineRule="auto"/>
              <w:ind w:firstLineChars="175"/>
              <w:rPr>
                <w:sz w:val="24"/>
                <w:u w:val="none" w:color="auto"/>
              </w:rPr>
            </w:pPr>
            <w:r>
              <w:rPr>
                <w:rFonts w:hint="eastAsia"/>
                <w:kern w:val="0"/>
                <w:sz w:val="24"/>
                <w:szCs w:val="24"/>
                <w:u w:val="none" w:color="auto"/>
              </w:rPr>
              <w:t>1、</w:t>
            </w:r>
            <w:r>
              <w:rPr>
                <w:kern w:val="0"/>
                <w:sz w:val="24"/>
                <w:szCs w:val="24"/>
                <w:u w:val="none" w:color="auto"/>
              </w:rPr>
              <w:t>废水</w:t>
            </w:r>
            <w:r>
              <w:rPr>
                <w:sz w:val="24"/>
                <w:u w:val="none" w:color="auto"/>
              </w:rPr>
              <w:t>：</w:t>
            </w:r>
            <w:r>
              <w:rPr>
                <w:rFonts w:hint="eastAsia"/>
                <w:sz w:val="24"/>
                <w:szCs w:val="24"/>
                <w:u w:val="none" w:color="auto"/>
                <w:lang w:val="en-US" w:eastAsia="zh-CN"/>
              </w:rPr>
              <w:t>湘阴县第三污水处理厂建成且接通前：</w:t>
            </w:r>
            <w:r>
              <w:rPr>
                <w:sz w:val="24"/>
                <w:szCs w:val="24"/>
                <w:u w:val="none" w:color="auto"/>
              </w:rPr>
              <w:t>项目</w:t>
            </w:r>
            <w:r>
              <w:rPr>
                <w:rFonts w:hint="eastAsia"/>
                <w:sz w:val="24"/>
                <w:szCs w:val="24"/>
                <w:u w:val="none" w:color="auto"/>
                <w:lang w:val="en-US" w:eastAsia="zh-CN"/>
              </w:rPr>
              <w:t>生活</w:t>
            </w:r>
            <w:r>
              <w:rPr>
                <w:sz w:val="24"/>
                <w:szCs w:val="24"/>
                <w:u w:val="none" w:color="auto"/>
              </w:rPr>
              <w:t>污水通过化粪池处理后排入园区污水管网再进入</w:t>
            </w:r>
            <w:r>
              <w:rPr>
                <w:rFonts w:hint="eastAsia"/>
                <w:sz w:val="24"/>
                <w:szCs w:val="24"/>
                <w:u w:val="none" w:color="auto"/>
                <w:lang w:eastAsia="zh-CN"/>
              </w:rPr>
              <w:t>卓达金谷创业园自建的污水处理站</w:t>
            </w:r>
            <w:r>
              <w:rPr>
                <w:sz w:val="24"/>
                <w:szCs w:val="24"/>
                <w:u w:val="none" w:color="auto"/>
              </w:rPr>
              <w:t>处理</w:t>
            </w:r>
            <w:r>
              <w:rPr>
                <w:rFonts w:hAnsi="宋体"/>
                <w:sz w:val="24"/>
                <w:szCs w:val="24"/>
                <w:u w:val="none" w:color="auto"/>
              </w:rPr>
              <w:t>达</w:t>
            </w:r>
            <w:r>
              <w:rPr>
                <w:rFonts w:hint="eastAsia" w:hAnsi="宋体"/>
                <w:sz w:val="24"/>
                <w:szCs w:val="24"/>
                <w:u w:val="none" w:color="auto"/>
                <w:lang w:eastAsia="zh-CN"/>
              </w:rPr>
              <w:t>到</w:t>
            </w:r>
            <w:r>
              <w:rPr>
                <w:sz w:val="24"/>
                <w:szCs w:val="24"/>
                <w:u w:val="none" w:color="auto"/>
              </w:rPr>
              <w:t>《城镇污水处理厂污染物排放标准（GB18918—2002）》中一级标准的A类标准后</w:t>
            </w:r>
            <w:r>
              <w:rPr>
                <w:rFonts w:hint="eastAsia"/>
                <w:sz w:val="24"/>
                <w:szCs w:val="24"/>
                <w:u w:val="none" w:color="auto"/>
                <w:lang w:eastAsia="zh-CN"/>
              </w:rPr>
              <w:t>进入洋沙河</w:t>
            </w:r>
            <w:r>
              <w:rPr>
                <w:rFonts w:hint="eastAsia"/>
                <w:sz w:val="24"/>
                <w:szCs w:val="24"/>
                <w:u w:val="none" w:color="auto"/>
                <w:lang w:val="en-US" w:eastAsia="zh-CN"/>
              </w:rPr>
              <w:t>流入洋沙湖</w:t>
            </w:r>
            <w:r>
              <w:rPr>
                <w:sz w:val="24"/>
                <w:szCs w:val="24"/>
                <w:u w:val="none" w:color="auto"/>
              </w:rPr>
              <w:t>，最终汇入湘江</w:t>
            </w:r>
            <w:r>
              <w:rPr>
                <w:rFonts w:hint="eastAsia"/>
                <w:sz w:val="24"/>
                <w:szCs w:val="24"/>
                <w:u w:val="none" w:color="auto"/>
                <w:lang w:eastAsia="zh-CN"/>
              </w:rPr>
              <w:t>。</w:t>
            </w:r>
            <w:r>
              <w:rPr>
                <w:rFonts w:hint="eastAsia"/>
                <w:sz w:val="24"/>
                <w:szCs w:val="24"/>
                <w:u w:val="none" w:color="auto"/>
                <w:lang w:val="en-US" w:eastAsia="zh-CN"/>
              </w:rPr>
              <w:t>湘阴县第三污水处理厂建成且接通后：</w:t>
            </w:r>
            <w:r>
              <w:rPr>
                <w:sz w:val="24"/>
                <w:szCs w:val="24"/>
                <w:u w:val="none" w:color="auto"/>
              </w:rPr>
              <w:t>项目</w:t>
            </w:r>
            <w:r>
              <w:rPr>
                <w:rFonts w:hint="eastAsia"/>
                <w:sz w:val="24"/>
                <w:szCs w:val="24"/>
                <w:u w:val="none" w:color="auto"/>
                <w:lang w:val="en-US" w:eastAsia="zh-CN"/>
              </w:rPr>
              <w:t>生活</w:t>
            </w:r>
            <w:r>
              <w:rPr>
                <w:sz w:val="24"/>
                <w:szCs w:val="24"/>
                <w:u w:val="none" w:color="auto"/>
              </w:rPr>
              <w:t>污水通过化粪池处理后排入园区污水管网</w:t>
            </w:r>
            <w:r>
              <w:rPr>
                <w:rFonts w:hint="eastAsia"/>
                <w:sz w:val="24"/>
                <w:szCs w:val="24"/>
                <w:u w:val="none" w:color="auto"/>
                <w:lang w:val="en-US" w:eastAsia="zh-CN"/>
              </w:rPr>
              <w:t>进入湘阴县第三污水处理厂处理后排入洋沙河流入洋沙湖，最终进入湘江</w:t>
            </w:r>
            <w:r>
              <w:rPr>
                <w:sz w:val="24"/>
                <w:u w:val="none" w:color="auto"/>
              </w:rPr>
              <w:t>。</w:t>
            </w:r>
          </w:p>
          <w:p>
            <w:pPr>
              <w:widowControl/>
              <w:snapToGrid w:val="0"/>
              <w:jc w:val="center"/>
              <w:rPr>
                <w:b/>
                <w:bCs/>
                <w:kern w:val="0"/>
                <w:sz w:val="24"/>
                <w:u w:val="none" w:color="auto"/>
              </w:rPr>
            </w:pPr>
            <w:r>
              <w:rPr>
                <w:b/>
                <w:bCs/>
                <w:kern w:val="0"/>
                <w:sz w:val="24"/>
                <w:u w:val="none" w:color="auto"/>
              </w:rPr>
              <w:t>表4-</w:t>
            </w:r>
            <w:r>
              <w:rPr>
                <w:rFonts w:hint="eastAsia"/>
                <w:b/>
                <w:bCs/>
                <w:kern w:val="0"/>
                <w:sz w:val="24"/>
                <w:u w:val="none" w:color="auto"/>
                <w:lang w:val="en-US" w:eastAsia="zh-CN"/>
              </w:rPr>
              <w:t>5</w:t>
            </w:r>
            <w:r>
              <w:rPr>
                <w:b/>
                <w:bCs/>
                <w:kern w:val="0"/>
                <w:sz w:val="24"/>
                <w:u w:val="none" w:color="auto"/>
              </w:rPr>
              <w:t xml:space="preserve"> 废水排放标准 （单位：mg/L，除pH外）</w:t>
            </w:r>
          </w:p>
          <w:tbl>
            <w:tblPr>
              <w:tblStyle w:val="40"/>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61"/>
              <w:gridCol w:w="1610"/>
              <w:gridCol w:w="55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748" w:type="pct"/>
                  <w:vMerge w:val="restar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序号</w:t>
                  </w:r>
                </w:p>
              </w:tc>
              <w:tc>
                <w:tcPr>
                  <w:tcW w:w="955" w:type="pct"/>
                  <w:vMerge w:val="restar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项目</w:t>
                  </w:r>
                </w:p>
              </w:tc>
              <w:tc>
                <w:tcPr>
                  <w:tcW w:w="3296" w:type="pc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最高允许浓度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748" w:type="pct"/>
                  <w:vMerge w:val="continue"/>
                  <w:noWrap w:val="0"/>
                  <w:vAlign w:val="center"/>
                </w:tcPr>
                <w:p>
                  <w:pPr>
                    <w:pStyle w:val="5"/>
                    <w:adjustRightInd w:val="0"/>
                    <w:snapToGrid w:val="0"/>
                    <w:spacing w:after="0" w:line="360" w:lineRule="auto"/>
                    <w:jc w:val="center"/>
                    <w:rPr>
                      <w:sz w:val="22"/>
                      <w:szCs w:val="22"/>
                      <w:u w:val="none" w:color="auto"/>
                    </w:rPr>
                  </w:pPr>
                </w:p>
              </w:tc>
              <w:tc>
                <w:tcPr>
                  <w:tcW w:w="955" w:type="pct"/>
                  <w:vMerge w:val="continue"/>
                  <w:noWrap w:val="0"/>
                  <w:vAlign w:val="center"/>
                </w:tcPr>
                <w:p>
                  <w:pPr>
                    <w:pStyle w:val="5"/>
                    <w:adjustRightInd w:val="0"/>
                    <w:snapToGrid w:val="0"/>
                    <w:spacing w:after="0" w:line="360" w:lineRule="auto"/>
                    <w:jc w:val="center"/>
                    <w:rPr>
                      <w:sz w:val="22"/>
                      <w:szCs w:val="22"/>
                      <w:u w:val="none" w:color="auto"/>
                    </w:rPr>
                  </w:pPr>
                </w:p>
              </w:tc>
              <w:tc>
                <w:tcPr>
                  <w:tcW w:w="3296" w:type="pct"/>
                  <w:noWrap w:val="0"/>
                  <w:vAlign w:val="center"/>
                </w:tcPr>
                <w:p>
                  <w:pPr>
                    <w:pStyle w:val="5"/>
                    <w:adjustRightInd w:val="0"/>
                    <w:snapToGrid w:val="0"/>
                    <w:spacing w:after="0" w:line="360" w:lineRule="auto"/>
                    <w:jc w:val="center"/>
                    <w:rPr>
                      <w:sz w:val="22"/>
                      <w:szCs w:val="22"/>
                      <w:u w:val="none" w:color="auto"/>
                    </w:rPr>
                  </w:pPr>
                  <w:r>
                    <w:rPr>
                      <w:bCs/>
                      <w:sz w:val="22"/>
                      <w:szCs w:val="22"/>
                      <w:u w:val="none" w:color="auto"/>
                    </w:rPr>
                    <w:t>《城镇污水处理厂污染物排放标准（GB18918—2002）》中一级标准的A类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748" w:type="pc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1</w:t>
                  </w:r>
                </w:p>
              </w:tc>
              <w:tc>
                <w:tcPr>
                  <w:tcW w:w="955" w:type="pct"/>
                  <w:noWrap w:val="0"/>
                  <w:vAlign w:val="center"/>
                </w:tcPr>
                <w:p>
                  <w:pPr>
                    <w:pStyle w:val="5"/>
                    <w:adjustRightInd w:val="0"/>
                    <w:snapToGrid w:val="0"/>
                    <w:spacing w:after="0" w:line="360" w:lineRule="auto"/>
                    <w:jc w:val="center"/>
                    <w:rPr>
                      <w:rFonts w:hint="eastAsia" w:eastAsia="宋体"/>
                      <w:sz w:val="22"/>
                      <w:szCs w:val="22"/>
                      <w:u w:val="none" w:color="auto"/>
                      <w:lang w:val="en-US" w:eastAsia="zh-CN"/>
                    </w:rPr>
                  </w:pPr>
                  <w:r>
                    <w:rPr>
                      <w:sz w:val="22"/>
                      <w:szCs w:val="22"/>
                      <w:u w:val="none" w:color="auto"/>
                    </w:rPr>
                    <w:t>pH</w:t>
                  </w:r>
                  <w:r>
                    <w:rPr>
                      <w:rFonts w:hint="eastAsia"/>
                      <w:sz w:val="22"/>
                      <w:szCs w:val="22"/>
                      <w:u w:val="none" w:color="auto"/>
                      <w:lang w:val="en-US" w:eastAsia="zh-CN"/>
                    </w:rPr>
                    <w:t>值</w:t>
                  </w:r>
                </w:p>
              </w:tc>
              <w:tc>
                <w:tcPr>
                  <w:tcW w:w="3296" w:type="pc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748" w:type="pc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2</w:t>
                  </w:r>
                </w:p>
              </w:tc>
              <w:tc>
                <w:tcPr>
                  <w:tcW w:w="955" w:type="pc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COD</w:t>
                  </w:r>
                </w:p>
              </w:tc>
              <w:tc>
                <w:tcPr>
                  <w:tcW w:w="3296" w:type="pc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748" w:type="pc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3</w:t>
                  </w:r>
                </w:p>
              </w:tc>
              <w:tc>
                <w:tcPr>
                  <w:tcW w:w="955" w:type="pct"/>
                  <w:noWrap w:val="0"/>
                  <w:vAlign w:val="center"/>
                </w:tcPr>
                <w:p>
                  <w:pPr>
                    <w:pStyle w:val="5"/>
                    <w:adjustRightInd w:val="0"/>
                    <w:snapToGrid w:val="0"/>
                    <w:spacing w:after="0" w:line="360" w:lineRule="auto"/>
                    <w:jc w:val="center"/>
                    <w:rPr>
                      <w:sz w:val="22"/>
                      <w:szCs w:val="22"/>
                      <w:u w:val="none" w:color="auto"/>
                      <w:vertAlign w:val="subscript"/>
                    </w:rPr>
                  </w:pPr>
                  <w:r>
                    <w:rPr>
                      <w:sz w:val="22"/>
                      <w:szCs w:val="22"/>
                      <w:u w:val="none" w:color="auto"/>
                    </w:rPr>
                    <w:t>BOD</w:t>
                  </w:r>
                  <w:r>
                    <w:rPr>
                      <w:sz w:val="22"/>
                      <w:szCs w:val="22"/>
                      <w:u w:val="none" w:color="auto"/>
                      <w:vertAlign w:val="subscript"/>
                    </w:rPr>
                    <w:t>5</w:t>
                  </w:r>
                </w:p>
              </w:tc>
              <w:tc>
                <w:tcPr>
                  <w:tcW w:w="3296" w:type="pc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748" w:type="pc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4</w:t>
                  </w:r>
                </w:p>
              </w:tc>
              <w:tc>
                <w:tcPr>
                  <w:tcW w:w="955" w:type="pc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氨氮</w:t>
                  </w:r>
                </w:p>
              </w:tc>
              <w:tc>
                <w:tcPr>
                  <w:tcW w:w="3296" w:type="pc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748" w:type="pc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5</w:t>
                  </w:r>
                </w:p>
              </w:tc>
              <w:tc>
                <w:tcPr>
                  <w:tcW w:w="955" w:type="pc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SS</w:t>
                  </w:r>
                </w:p>
              </w:tc>
              <w:tc>
                <w:tcPr>
                  <w:tcW w:w="3296" w:type="pc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748" w:type="pc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6</w:t>
                  </w:r>
                </w:p>
              </w:tc>
              <w:tc>
                <w:tcPr>
                  <w:tcW w:w="955" w:type="pc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石油类</w:t>
                  </w:r>
                </w:p>
              </w:tc>
              <w:tc>
                <w:tcPr>
                  <w:tcW w:w="3296" w:type="pc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748" w:type="pc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7</w:t>
                  </w:r>
                </w:p>
              </w:tc>
              <w:tc>
                <w:tcPr>
                  <w:tcW w:w="955" w:type="pc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TP</w:t>
                  </w:r>
                </w:p>
              </w:tc>
              <w:tc>
                <w:tcPr>
                  <w:tcW w:w="3296" w:type="pc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0.5</w:t>
                  </w:r>
                </w:p>
              </w:tc>
            </w:tr>
          </w:tbl>
          <w:p>
            <w:pPr>
              <w:keepNext w:val="0"/>
              <w:keepLines w:val="0"/>
              <w:widowControl/>
              <w:numPr>
                <w:ilvl w:val="0"/>
                <w:numId w:val="0"/>
              </w:numPr>
              <w:suppressLineNumbers w:val="0"/>
              <w:spacing w:line="360" w:lineRule="auto"/>
              <w:jc w:val="left"/>
              <w:rPr>
                <w:rFonts w:hint="default" w:ascii="Times New Roman" w:hAnsi="Times New Roman" w:eastAsia="宋体" w:cs="Times New Roman"/>
                <w:color w:val="auto"/>
                <w:kern w:val="0"/>
                <w:sz w:val="24"/>
                <w:szCs w:val="24"/>
                <w:u w:val="none" w:color="auto"/>
                <w:lang w:val="en-US" w:eastAsia="zh-CN" w:bidi="ar"/>
              </w:rPr>
            </w:pPr>
            <w:r>
              <w:rPr>
                <w:rFonts w:hint="eastAsia"/>
                <w:sz w:val="24"/>
                <w:szCs w:val="24"/>
                <w:u w:val="none" w:color="auto"/>
              </w:rPr>
              <w:t>2</w:t>
            </w:r>
            <w:r>
              <w:rPr>
                <w:kern w:val="0"/>
                <w:sz w:val="24"/>
                <w:szCs w:val="24"/>
                <w:u w:val="none" w:color="auto"/>
              </w:rPr>
              <w:t>、废气：</w:t>
            </w:r>
            <w:r>
              <w:rPr>
                <w:rFonts w:hint="eastAsia" w:cs="Times New Roman"/>
                <w:color w:val="auto"/>
                <w:kern w:val="0"/>
                <w:sz w:val="24"/>
                <w:szCs w:val="24"/>
                <w:u w:val="none" w:color="auto"/>
                <w:lang w:val="en-US" w:eastAsia="zh-CN" w:bidi="ar"/>
              </w:rPr>
              <w:t>印刷废气执行《印刷业挥发性有机物排放标准》（DB43/1357-2017）中排放标准</w:t>
            </w:r>
            <w:r>
              <w:rPr>
                <w:rFonts w:hint="eastAsia"/>
                <w:sz w:val="24"/>
                <w:szCs w:val="24"/>
                <w:u w:val="none" w:color="auto"/>
              </w:rPr>
              <w:t>。</w:t>
            </w:r>
            <w:r>
              <w:rPr>
                <w:rFonts w:hint="default" w:ascii="Times New Roman" w:hAnsi="Times New Roman" w:eastAsia="宋体" w:cs="Times New Roman"/>
                <w:color w:val="auto"/>
                <w:kern w:val="0"/>
                <w:sz w:val="24"/>
                <w:szCs w:val="24"/>
                <w:u w:val="none" w:color="auto"/>
                <w:lang w:val="en-US" w:eastAsia="zh-CN" w:bidi="ar"/>
              </w:rPr>
              <w:t>颗粒物执行《大气污染物综合排放标准》（GB16297-1996）表2的二级</w:t>
            </w:r>
            <w:r>
              <w:rPr>
                <w:rFonts w:hint="eastAsia" w:cs="Times New Roman"/>
                <w:color w:val="auto"/>
                <w:kern w:val="0"/>
                <w:sz w:val="24"/>
                <w:szCs w:val="24"/>
                <w:u w:val="none" w:color="auto"/>
                <w:lang w:val="en-US" w:eastAsia="zh-CN" w:bidi="ar"/>
              </w:rPr>
              <w:t>排放</w:t>
            </w:r>
            <w:r>
              <w:rPr>
                <w:rFonts w:hint="default" w:ascii="Times New Roman" w:hAnsi="Times New Roman" w:eastAsia="宋体" w:cs="Times New Roman"/>
                <w:color w:val="auto"/>
                <w:kern w:val="0"/>
                <w:sz w:val="24"/>
                <w:szCs w:val="24"/>
                <w:u w:val="none" w:color="auto"/>
                <w:lang w:val="en-US" w:eastAsia="zh-CN" w:bidi="ar"/>
              </w:rPr>
              <w:t>标准</w:t>
            </w:r>
            <w:r>
              <w:rPr>
                <w:rFonts w:hint="default" w:ascii="Times New Roman" w:hAnsi="Times New Roman" w:cs="Times New Roman"/>
                <w:color w:val="auto"/>
                <w:kern w:val="0"/>
                <w:sz w:val="24"/>
                <w:szCs w:val="24"/>
                <w:u w:val="none" w:color="auto"/>
                <w:lang w:val="en-US" w:eastAsia="zh-CN" w:bidi="ar"/>
              </w:rPr>
              <w:t>和无组织排放标准。</w:t>
            </w:r>
          </w:p>
          <w:p>
            <w:pPr>
              <w:pStyle w:val="39"/>
              <w:adjustRightInd w:val="0"/>
              <w:snapToGrid w:val="0"/>
              <w:spacing w:after="0" w:line="360" w:lineRule="auto"/>
              <w:ind w:left="0" w:leftChars="0" w:firstLine="0" w:firstLineChars="0"/>
              <w:jc w:val="center"/>
              <w:rPr>
                <w:rFonts w:hint="default" w:ascii="Times New Roman" w:hAnsi="Times New Roman" w:eastAsia="宋体" w:cs="Times New Roman"/>
                <w:b w:val="0"/>
                <w:bCs/>
                <w:color w:val="auto"/>
                <w:kern w:val="2"/>
                <w:sz w:val="24"/>
                <w:szCs w:val="24"/>
                <w:u w:val="none" w:color="auto"/>
                <w:lang w:val="en-US" w:eastAsia="zh-CN" w:bidi="ar-SA"/>
              </w:rPr>
            </w:pPr>
            <w:r>
              <w:rPr>
                <w:rFonts w:hint="default" w:ascii="Times New Roman" w:hAnsi="Times New Roman" w:eastAsia="宋体" w:cs="Times New Roman"/>
                <w:b w:val="0"/>
                <w:bCs/>
                <w:color w:val="auto"/>
                <w:kern w:val="2"/>
                <w:sz w:val="24"/>
                <w:szCs w:val="24"/>
                <w:u w:val="none" w:color="auto"/>
                <w:lang w:val="en-US" w:eastAsia="zh-CN" w:bidi="ar-SA"/>
              </w:rPr>
              <w:t>表4-</w:t>
            </w:r>
            <w:r>
              <w:rPr>
                <w:rFonts w:hint="default" w:ascii="Times New Roman" w:hAnsi="Times New Roman" w:cs="Times New Roman"/>
                <w:b w:val="0"/>
                <w:bCs/>
                <w:color w:val="auto"/>
                <w:kern w:val="2"/>
                <w:sz w:val="24"/>
                <w:szCs w:val="24"/>
                <w:u w:val="none" w:color="auto"/>
                <w:lang w:val="en-US" w:eastAsia="zh-CN" w:bidi="ar-SA"/>
              </w:rPr>
              <w:t>6</w:t>
            </w:r>
            <w:r>
              <w:rPr>
                <w:rFonts w:hint="default" w:ascii="Times New Roman" w:hAnsi="Times New Roman" w:eastAsia="宋体" w:cs="Times New Roman"/>
                <w:b w:val="0"/>
                <w:bCs/>
                <w:color w:val="auto"/>
                <w:kern w:val="2"/>
                <w:sz w:val="24"/>
                <w:szCs w:val="24"/>
                <w:u w:val="none" w:color="auto"/>
                <w:lang w:val="en-US" w:eastAsia="zh-CN" w:bidi="ar-SA"/>
              </w:rPr>
              <w:t xml:space="preserve"> 《大气污染物综合排放标准》（GB16297-1996）</w:t>
            </w:r>
          </w:p>
          <w:tbl>
            <w:tblPr>
              <w:tblStyle w:val="40"/>
              <w:tblW w:w="838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36"/>
              <w:gridCol w:w="1700"/>
              <w:gridCol w:w="1843"/>
              <w:gridCol w:w="2126"/>
              <w:gridCol w:w="14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1236" w:type="dxa"/>
                  <w:vMerge w:val="restart"/>
                  <w:vAlign w:val="center"/>
                </w:tcPr>
                <w:p>
                  <w:pPr>
                    <w:adjustRightInd w:val="0"/>
                    <w:snapToGrid w:val="0"/>
                    <w:spacing w:line="360" w:lineRule="auto"/>
                    <w:jc w:val="center"/>
                    <w:rPr>
                      <w:rFonts w:hint="default" w:ascii="Times New Roman" w:hAnsi="Times New Roman" w:cs="Times New Roman"/>
                      <w:b/>
                      <w:color w:val="auto"/>
                      <w:sz w:val="22"/>
                      <w:szCs w:val="22"/>
                      <w:u w:val="none" w:color="auto"/>
                    </w:rPr>
                  </w:pPr>
                  <w:r>
                    <w:rPr>
                      <w:rFonts w:hint="default" w:ascii="Times New Roman" w:hAnsi="Times New Roman" w:cs="Times New Roman"/>
                      <w:b/>
                      <w:color w:val="auto"/>
                      <w:sz w:val="22"/>
                      <w:szCs w:val="22"/>
                      <w:u w:val="none" w:color="auto"/>
                    </w:rPr>
                    <w:t>污染物</w:t>
                  </w:r>
                </w:p>
              </w:tc>
              <w:tc>
                <w:tcPr>
                  <w:tcW w:w="1700" w:type="dxa"/>
                  <w:vMerge w:val="restart"/>
                  <w:vAlign w:val="center"/>
                </w:tcPr>
                <w:p>
                  <w:pPr>
                    <w:adjustRightInd w:val="0"/>
                    <w:snapToGrid w:val="0"/>
                    <w:spacing w:line="360" w:lineRule="auto"/>
                    <w:jc w:val="center"/>
                    <w:rPr>
                      <w:rFonts w:hint="default" w:ascii="Times New Roman" w:hAnsi="Times New Roman" w:cs="Times New Roman"/>
                      <w:b/>
                      <w:color w:val="auto"/>
                      <w:sz w:val="22"/>
                      <w:szCs w:val="22"/>
                      <w:u w:val="none" w:color="auto"/>
                    </w:rPr>
                  </w:pPr>
                  <w:r>
                    <w:rPr>
                      <w:rFonts w:hint="default" w:ascii="Times New Roman" w:hAnsi="Times New Roman" w:cs="Times New Roman"/>
                      <w:b/>
                      <w:color w:val="auto"/>
                      <w:sz w:val="22"/>
                      <w:szCs w:val="22"/>
                      <w:u w:val="none" w:color="auto"/>
                    </w:rPr>
                    <w:t>最高允许排放浓度(mg/m</w:t>
                  </w:r>
                  <w:r>
                    <w:rPr>
                      <w:rFonts w:hint="default" w:ascii="Times New Roman" w:hAnsi="Times New Roman" w:cs="Times New Roman"/>
                      <w:b/>
                      <w:color w:val="auto"/>
                      <w:sz w:val="22"/>
                      <w:szCs w:val="22"/>
                      <w:u w:val="none" w:color="auto"/>
                      <w:vertAlign w:val="superscript"/>
                    </w:rPr>
                    <w:t>3</w:t>
                  </w:r>
                  <w:r>
                    <w:rPr>
                      <w:rFonts w:hint="default" w:ascii="Times New Roman" w:hAnsi="Times New Roman" w:cs="Times New Roman"/>
                      <w:b/>
                      <w:color w:val="auto"/>
                      <w:sz w:val="22"/>
                      <w:szCs w:val="22"/>
                      <w:u w:val="none" w:color="auto"/>
                    </w:rPr>
                    <w:t>)</w:t>
                  </w:r>
                </w:p>
              </w:tc>
              <w:tc>
                <w:tcPr>
                  <w:tcW w:w="1843" w:type="dxa"/>
                  <w:vMerge w:val="restart"/>
                  <w:vAlign w:val="center"/>
                </w:tcPr>
                <w:p>
                  <w:pPr>
                    <w:adjustRightInd w:val="0"/>
                    <w:snapToGrid w:val="0"/>
                    <w:spacing w:line="360" w:lineRule="auto"/>
                    <w:jc w:val="center"/>
                    <w:rPr>
                      <w:rFonts w:hint="default" w:ascii="Times New Roman" w:hAnsi="Times New Roman" w:cs="Times New Roman"/>
                      <w:b/>
                      <w:color w:val="auto"/>
                      <w:sz w:val="22"/>
                      <w:szCs w:val="22"/>
                      <w:u w:val="none" w:color="auto"/>
                    </w:rPr>
                  </w:pPr>
                  <w:r>
                    <w:rPr>
                      <w:rFonts w:hint="default" w:ascii="Times New Roman" w:hAnsi="Times New Roman" w:cs="Times New Roman"/>
                      <w:b/>
                      <w:color w:val="auto"/>
                      <w:sz w:val="22"/>
                      <w:szCs w:val="22"/>
                      <w:u w:val="none" w:color="auto"/>
                    </w:rPr>
                    <w:t>最高允许排放速率（kg/h）</w:t>
                  </w:r>
                </w:p>
              </w:tc>
              <w:tc>
                <w:tcPr>
                  <w:tcW w:w="3605" w:type="dxa"/>
                  <w:gridSpan w:val="2"/>
                  <w:vAlign w:val="center"/>
                </w:tcPr>
                <w:p>
                  <w:pPr>
                    <w:adjustRightInd w:val="0"/>
                    <w:snapToGrid w:val="0"/>
                    <w:spacing w:line="360" w:lineRule="auto"/>
                    <w:jc w:val="center"/>
                    <w:rPr>
                      <w:rFonts w:hint="default" w:ascii="Times New Roman" w:hAnsi="Times New Roman" w:cs="Times New Roman"/>
                      <w:b/>
                      <w:color w:val="auto"/>
                      <w:sz w:val="22"/>
                      <w:szCs w:val="22"/>
                      <w:u w:val="none" w:color="auto"/>
                    </w:rPr>
                  </w:pPr>
                  <w:r>
                    <w:rPr>
                      <w:rFonts w:hint="default" w:ascii="Times New Roman" w:hAnsi="Times New Roman" w:cs="Times New Roman"/>
                      <w:b/>
                      <w:color w:val="auto"/>
                      <w:sz w:val="22"/>
                      <w:szCs w:val="22"/>
                      <w:u w:val="none" w:color="auto"/>
                    </w:rPr>
                    <w:t xml:space="preserve">无组织排放监测浓度限值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1236" w:type="dxa"/>
                  <w:vMerge w:val="continue"/>
                  <w:vAlign w:val="center"/>
                </w:tcPr>
                <w:p>
                  <w:pPr>
                    <w:adjustRightInd w:val="0"/>
                    <w:snapToGrid w:val="0"/>
                    <w:spacing w:line="360" w:lineRule="auto"/>
                    <w:jc w:val="center"/>
                    <w:rPr>
                      <w:rFonts w:hint="default" w:ascii="Times New Roman" w:hAnsi="Times New Roman" w:cs="Times New Roman"/>
                      <w:b/>
                      <w:color w:val="auto"/>
                      <w:sz w:val="22"/>
                      <w:szCs w:val="22"/>
                      <w:u w:val="none" w:color="auto"/>
                    </w:rPr>
                  </w:pPr>
                </w:p>
              </w:tc>
              <w:tc>
                <w:tcPr>
                  <w:tcW w:w="1700" w:type="dxa"/>
                  <w:vMerge w:val="continue"/>
                  <w:vAlign w:val="center"/>
                </w:tcPr>
                <w:p>
                  <w:pPr>
                    <w:adjustRightInd w:val="0"/>
                    <w:snapToGrid w:val="0"/>
                    <w:spacing w:line="360" w:lineRule="auto"/>
                    <w:jc w:val="center"/>
                    <w:rPr>
                      <w:rFonts w:hint="default" w:ascii="Times New Roman" w:hAnsi="Times New Roman" w:cs="Times New Roman"/>
                      <w:b/>
                      <w:color w:val="auto"/>
                      <w:sz w:val="22"/>
                      <w:szCs w:val="22"/>
                      <w:u w:val="none" w:color="auto"/>
                    </w:rPr>
                  </w:pPr>
                </w:p>
              </w:tc>
              <w:tc>
                <w:tcPr>
                  <w:tcW w:w="1843" w:type="dxa"/>
                  <w:vMerge w:val="continue"/>
                </w:tcPr>
                <w:p>
                  <w:pPr>
                    <w:adjustRightInd w:val="0"/>
                    <w:snapToGrid w:val="0"/>
                    <w:spacing w:line="360" w:lineRule="auto"/>
                    <w:jc w:val="center"/>
                    <w:rPr>
                      <w:rFonts w:hint="default" w:ascii="Times New Roman" w:hAnsi="Times New Roman" w:cs="Times New Roman"/>
                      <w:b/>
                      <w:color w:val="auto"/>
                      <w:sz w:val="22"/>
                      <w:szCs w:val="22"/>
                      <w:u w:val="none" w:color="auto"/>
                    </w:rPr>
                  </w:pPr>
                </w:p>
              </w:tc>
              <w:tc>
                <w:tcPr>
                  <w:tcW w:w="2126" w:type="dxa"/>
                  <w:vAlign w:val="center"/>
                </w:tcPr>
                <w:p>
                  <w:pPr>
                    <w:adjustRightInd w:val="0"/>
                    <w:snapToGrid w:val="0"/>
                    <w:spacing w:line="360" w:lineRule="auto"/>
                    <w:jc w:val="center"/>
                    <w:rPr>
                      <w:rFonts w:hint="default" w:ascii="Times New Roman" w:hAnsi="Times New Roman" w:cs="Times New Roman"/>
                      <w:b/>
                      <w:color w:val="auto"/>
                      <w:sz w:val="22"/>
                      <w:szCs w:val="22"/>
                      <w:u w:val="none" w:color="auto"/>
                    </w:rPr>
                  </w:pPr>
                  <w:r>
                    <w:rPr>
                      <w:rFonts w:hint="default" w:ascii="Times New Roman" w:hAnsi="Times New Roman" w:cs="Times New Roman"/>
                      <w:b/>
                      <w:color w:val="auto"/>
                      <w:sz w:val="22"/>
                      <w:szCs w:val="22"/>
                      <w:u w:val="none" w:color="auto"/>
                    </w:rPr>
                    <w:t>监控点</w:t>
                  </w:r>
                </w:p>
              </w:tc>
              <w:tc>
                <w:tcPr>
                  <w:tcW w:w="1479" w:type="dxa"/>
                  <w:vAlign w:val="center"/>
                </w:tcPr>
                <w:p>
                  <w:pPr>
                    <w:adjustRightInd w:val="0"/>
                    <w:snapToGrid w:val="0"/>
                    <w:spacing w:line="360" w:lineRule="auto"/>
                    <w:jc w:val="center"/>
                    <w:rPr>
                      <w:rFonts w:hint="default" w:ascii="Times New Roman" w:hAnsi="Times New Roman" w:cs="Times New Roman"/>
                      <w:b/>
                      <w:color w:val="auto"/>
                      <w:sz w:val="22"/>
                      <w:szCs w:val="22"/>
                      <w:u w:val="none" w:color="auto"/>
                    </w:rPr>
                  </w:pPr>
                  <w:r>
                    <w:rPr>
                      <w:rFonts w:hint="default" w:ascii="Times New Roman" w:hAnsi="Times New Roman" w:cs="Times New Roman"/>
                      <w:b/>
                      <w:color w:val="auto"/>
                      <w:sz w:val="22"/>
                      <w:szCs w:val="22"/>
                      <w:u w:val="none" w:color="auto"/>
                    </w:rPr>
                    <w:t>浓度(mg/m</w:t>
                  </w:r>
                  <w:r>
                    <w:rPr>
                      <w:rFonts w:hint="default" w:ascii="Times New Roman" w:hAnsi="Times New Roman" w:cs="Times New Roman"/>
                      <w:b/>
                      <w:color w:val="auto"/>
                      <w:sz w:val="22"/>
                      <w:szCs w:val="22"/>
                      <w:u w:val="none" w:color="auto"/>
                      <w:vertAlign w:val="superscript"/>
                    </w:rPr>
                    <w:t>3</w:t>
                  </w:r>
                  <w:r>
                    <w:rPr>
                      <w:rFonts w:hint="default" w:ascii="Times New Roman" w:hAnsi="Times New Roman" w:cs="Times New Roman"/>
                      <w:b/>
                      <w:color w:val="auto"/>
                      <w:sz w:val="22"/>
                      <w:szCs w:val="22"/>
                      <w:u w:val="none" w:color="auto"/>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atLeast"/>
                <w:jc w:val="center"/>
              </w:trPr>
              <w:tc>
                <w:tcPr>
                  <w:tcW w:w="1236" w:type="dxa"/>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颗粒物</w:t>
                  </w:r>
                </w:p>
              </w:tc>
              <w:tc>
                <w:tcPr>
                  <w:tcW w:w="1700" w:type="dxa"/>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120</w:t>
                  </w:r>
                </w:p>
              </w:tc>
              <w:tc>
                <w:tcPr>
                  <w:tcW w:w="1843" w:type="dxa"/>
                  <w:vAlign w:val="center"/>
                </w:tcPr>
                <w:p>
                  <w:pPr>
                    <w:adjustRightInd w:val="0"/>
                    <w:snapToGrid w:val="0"/>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5.9</w:t>
                  </w:r>
                </w:p>
              </w:tc>
              <w:tc>
                <w:tcPr>
                  <w:tcW w:w="2126" w:type="dxa"/>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周界外浓度最高点</w:t>
                  </w:r>
                </w:p>
              </w:tc>
              <w:tc>
                <w:tcPr>
                  <w:tcW w:w="1479" w:type="dxa"/>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1.0</w:t>
                  </w:r>
                </w:p>
              </w:tc>
            </w:tr>
          </w:tbl>
          <w:p>
            <w:pPr>
              <w:pStyle w:val="39"/>
              <w:adjustRightInd w:val="0"/>
              <w:snapToGrid w:val="0"/>
              <w:spacing w:after="0"/>
              <w:ind w:left="0" w:leftChars="0" w:firstLine="0" w:firstLineChars="0"/>
              <w:jc w:val="center"/>
              <w:rPr>
                <w:rFonts w:hint="eastAsia"/>
                <w:b/>
                <w:bCs w:val="0"/>
                <w:kern w:val="0"/>
                <w:sz w:val="24"/>
                <w:szCs w:val="24"/>
                <w:u w:val="none" w:color="auto"/>
              </w:rPr>
            </w:pPr>
          </w:p>
          <w:p>
            <w:pPr>
              <w:pStyle w:val="39"/>
              <w:adjustRightInd w:val="0"/>
              <w:snapToGrid w:val="0"/>
              <w:spacing w:after="0"/>
              <w:ind w:left="0" w:leftChars="0" w:firstLine="0" w:firstLineChars="0"/>
              <w:jc w:val="center"/>
              <w:rPr>
                <w:rFonts w:hint="eastAsia"/>
                <w:b/>
                <w:bCs w:val="0"/>
                <w:kern w:val="0"/>
                <w:sz w:val="24"/>
                <w:szCs w:val="24"/>
                <w:u w:val="none" w:color="auto"/>
              </w:rPr>
            </w:pPr>
          </w:p>
          <w:p>
            <w:pPr>
              <w:pStyle w:val="39"/>
              <w:adjustRightInd w:val="0"/>
              <w:snapToGrid w:val="0"/>
              <w:spacing w:after="0"/>
              <w:ind w:left="0" w:leftChars="0" w:firstLine="0" w:firstLineChars="0"/>
              <w:jc w:val="center"/>
              <w:rPr>
                <w:rFonts w:hint="eastAsia"/>
                <w:b/>
                <w:bCs w:val="0"/>
                <w:kern w:val="0"/>
                <w:sz w:val="24"/>
                <w:szCs w:val="24"/>
                <w:u w:val="none" w:color="auto"/>
              </w:rPr>
            </w:pPr>
          </w:p>
          <w:p>
            <w:pPr>
              <w:pStyle w:val="39"/>
              <w:adjustRightInd w:val="0"/>
              <w:snapToGrid w:val="0"/>
              <w:spacing w:after="0"/>
              <w:ind w:left="0" w:leftChars="0" w:firstLine="0" w:firstLineChars="0"/>
              <w:jc w:val="center"/>
              <w:rPr>
                <w:rFonts w:hint="eastAsia"/>
                <w:b/>
                <w:bCs w:val="0"/>
                <w:kern w:val="0"/>
                <w:sz w:val="24"/>
                <w:szCs w:val="24"/>
                <w:u w:val="none" w:color="auto"/>
              </w:rPr>
            </w:pPr>
          </w:p>
          <w:p>
            <w:pPr>
              <w:pStyle w:val="39"/>
              <w:adjustRightInd w:val="0"/>
              <w:snapToGrid w:val="0"/>
              <w:spacing w:after="0"/>
              <w:ind w:left="0" w:leftChars="0" w:firstLine="0" w:firstLineChars="0"/>
              <w:jc w:val="center"/>
              <w:rPr>
                <w:rFonts w:hint="eastAsia"/>
                <w:b/>
                <w:bCs w:val="0"/>
                <w:kern w:val="0"/>
                <w:sz w:val="24"/>
                <w:szCs w:val="24"/>
                <w:u w:val="none" w:color="auto"/>
              </w:rPr>
            </w:pPr>
          </w:p>
          <w:p>
            <w:pPr>
              <w:pStyle w:val="39"/>
              <w:adjustRightInd w:val="0"/>
              <w:snapToGrid w:val="0"/>
              <w:spacing w:after="0"/>
              <w:ind w:left="0" w:leftChars="0" w:firstLine="0" w:firstLineChars="0"/>
              <w:jc w:val="center"/>
              <w:rPr>
                <w:rFonts w:hint="eastAsia"/>
                <w:b/>
                <w:bCs w:val="0"/>
                <w:kern w:val="0"/>
                <w:sz w:val="24"/>
                <w:szCs w:val="24"/>
                <w:u w:val="none" w:color="auto"/>
              </w:rPr>
            </w:pPr>
          </w:p>
          <w:p>
            <w:pPr>
              <w:pStyle w:val="39"/>
              <w:adjustRightInd w:val="0"/>
              <w:snapToGrid w:val="0"/>
              <w:spacing w:after="0"/>
              <w:ind w:left="0" w:leftChars="0" w:firstLine="0" w:firstLineChars="0"/>
              <w:jc w:val="center"/>
              <w:rPr>
                <w:rFonts w:hint="eastAsia"/>
                <w:b/>
                <w:bCs w:val="0"/>
                <w:kern w:val="0"/>
                <w:sz w:val="24"/>
                <w:szCs w:val="24"/>
                <w:u w:val="none" w:color="auto"/>
              </w:rPr>
            </w:pPr>
          </w:p>
          <w:p>
            <w:pPr>
              <w:pStyle w:val="39"/>
              <w:adjustRightInd w:val="0"/>
              <w:snapToGrid w:val="0"/>
              <w:spacing w:after="0"/>
              <w:ind w:left="0" w:leftChars="0" w:firstLine="0" w:firstLineChars="0"/>
              <w:jc w:val="center"/>
              <w:rPr>
                <w:b/>
                <w:bCs w:val="0"/>
                <w:kern w:val="0"/>
                <w:sz w:val="24"/>
                <w:szCs w:val="24"/>
                <w:u w:val="none" w:color="auto"/>
              </w:rPr>
            </w:pPr>
            <w:r>
              <w:rPr>
                <w:rFonts w:hint="eastAsia"/>
                <w:b/>
                <w:bCs w:val="0"/>
                <w:kern w:val="0"/>
                <w:sz w:val="24"/>
                <w:szCs w:val="24"/>
                <w:u w:val="none" w:color="auto"/>
              </w:rPr>
              <w:t>表4</w:t>
            </w:r>
            <w:r>
              <w:rPr>
                <w:b/>
                <w:bCs w:val="0"/>
                <w:kern w:val="0"/>
                <w:sz w:val="24"/>
                <w:szCs w:val="24"/>
                <w:u w:val="none" w:color="auto"/>
              </w:rPr>
              <w:t>-</w:t>
            </w:r>
            <w:r>
              <w:rPr>
                <w:rFonts w:hint="eastAsia"/>
                <w:b/>
                <w:bCs w:val="0"/>
                <w:kern w:val="0"/>
                <w:sz w:val="24"/>
                <w:szCs w:val="24"/>
                <w:u w:val="none" w:color="auto"/>
                <w:lang w:val="en-US" w:eastAsia="zh-CN"/>
              </w:rPr>
              <w:t>7</w:t>
            </w:r>
            <w:r>
              <w:rPr>
                <w:b/>
                <w:bCs w:val="0"/>
                <w:kern w:val="0"/>
                <w:sz w:val="24"/>
                <w:szCs w:val="24"/>
                <w:u w:val="none" w:color="auto"/>
              </w:rPr>
              <w:t xml:space="preserve">   </w:t>
            </w:r>
            <w:r>
              <w:rPr>
                <w:rFonts w:hint="eastAsia" w:cs="Times New Roman"/>
                <w:b/>
                <w:bCs w:val="0"/>
                <w:color w:val="auto"/>
                <w:kern w:val="0"/>
                <w:sz w:val="24"/>
                <w:szCs w:val="24"/>
                <w:u w:val="none" w:color="auto"/>
                <w:lang w:val="en-US" w:eastAsia="zh-CN" w:bidi="ar"/>
              </w:rPr>
              <w:t>《印刷业挥发性有机物排放标准》（DB43/1357-2017）</w:t>
            </w:r>
          </w:p>
          <w:tbl>
            <w:tblPr>
              <w:tblStyle w:val="40"/>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24"/>
              <w:gridCol w:w="1835"/>
              <w:gridCol w:w="1541"/>
              <w:gridCol w:w="2170"/>
              <w:gridCol w:w="18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607" w:type="pct"/>
                  <w:vMerge w:val="restart"/>
                  <w:vAlign w:val="center"/>
                </w:tcPr>
                <w:p>
                  <w:pPr>
                    <w:adjustRightInd w:val="0"/>
                    <w:snapToGrid w:val="0"/>
                    <w:spacing w:line="360" w:lineRule="auto"/>
                    <w:jc w:val="center"/>
                    <w:rPr>
                      <w:b/>
                      <w:sz w:val="22"/>
                      <w:szCs w:val="22"/>
                      <w:u w:val="none" w:color="auto"/>
                    </w:rPr>
                  </w:pPr>
                  <w:r>
                    <w:rPr>
                      <w:b/>
                      <w:sz w:val="22"/>
                      <w:szCs w:val="22"/>
                      <w:u w:val="none" w:color="auto"/>
                    </w:rPr>
                    <w:t>污染物</w:t>
                  </w:r>
                </w:p>
              </w:tc>
              <w:tc>
                <w:tcPr>
                  <w:tcW w:w="1088" w:type="pct"/>
                  <w:vMerge w:val="restart"/>
                  <w:vAlign w:val="center"/>
                </w:tcPr>
                <w:p>
                  <w:pPr>
                    <w:adjustRightInd w:val="0"/>
                    <w:snapToGrid w:val="0"/>
                    <w:spacing w:line="360" w:lineRule="auto"/>
                    <w:jc w:val="center"/>
                    <w:rPr>
                      <w:b/>
                      <w:sz w:val="22"/>
                      <w:szCs w:val="22"/>
                      <w:u w:val="none" w:color="auto"/>
                    </w:rPr>
                  </w:pPr>
                  <w:r>
                    <w:rPr>
                      <w:b/>
                      <w:sz w:val="22"/>
                      <w:szCs w:val="22"/>
                      <w:u w:val="none" w:color="auto"/>
                    </w:rPr>
                    <w:t>最高允许排放浓度(mg/m</w:t>
                  </w:r>
                  <w:r>
                    <w:rPr>
                      <w:b/>
                      <w:sz w:val="22"/>
                      <w:szCs w:val="22"/>
                      <w:u w:val="none" w:color="auto"/>
                      <w:vertAlign w:val="superscript"/>
                    </w:rPr>
                    <w:t>3</w:t>
                  </w:r>
                  <w:r>
                    <w:rPr>
                      <w:rFonts w:hint="eastAsia"/>
                      <w:b/>
                      <w:sz w:val="22"/>
                      <w:szCs w:val="22"/>
                      <w:u w:val="none" w:color="auto"/>
                    </w:rPr>
                    <w:t>)</w:t>
                  </w:r>
                </w:p>
              </w:tc>
              <w:tc>
                <w:tcPr>
                  <w:tcW w:w="914" w:type="pct"/>
                  <w:vMerge w:val="restart"/>
                  <w:vAlign w:val="center"/>
                </w:tcPr>
                <w:p>
                  <w:pPr>
                    <w:adjustRightInd w:val="0"/>
                    <w:snapToGrid w:val="0"/>
                    <w:spacing w:line="360" w:lineRule="auto"/>
                    <w:jc w:val="center"/>
                    <w:rPr>
                      <w:b/>
                      <w:sz w:val="22"/>
                      <w:szCs w:val="22"/>
                      <w:u w:val="none" w:color="auto"/>
                    </w:rPr>
                  </w:pPr>
                  <w:r>
                    <w:rPr>
                      <w:b/>
                      <w:sz w:val="22"/>
                      <w:szCs w:val="22"/>
                      <w:u w:val="none" w:color="auto"/>
                    </w:rPr>
                    <w:t>最高允许排放</w:t>
                  </w:r>
                  <w:r>
                    <w:rPr>
                      <w:rFonts w:hint="eastAsia"/>
                      <w:b/>
                      <w:sz w:val="22"/>
                      <w:szCs w:val="22"/>
                      <w:u w:val="none" w:color="auto"/>
                    </w:rPr>
                    <w:t>速率（k</w:t>
                  </w:r>
                  <w:r>
                    <w:rPr>
                      <w:b/>
                      <w:sz w:val="22"/>
                      <w:szCs w:val="22"/>
                      <w:u w:val="none" w:color="auto"/>
                    </w:rPr>
                    <w:t>g/h</w:t>
                  </w:r>
                  <w:r>
                    <w:rPr>
                      <w:rFonts w:hint="eastAsia"/>
                      <w:b/>
                      <w:sz w:val="22"/>
                      <w:szCs w:val="22"/>
                      <w:u w:val="none" w:color="auto"/>
                    </w:rPr>
                    <w:t>）</w:t>
                  </w:r>
                </w:p>
              </w:tc>
              <w:tc>
                <w:tcPr>
                  <w:tcW w:w="2389" w:type="pct"/>
                  <w:gridSpan w:val="2"/>
                  <w:vAlign w:val="center"/>
                </w:tcPr>
                <w:p>
                  <w:pPr>
                    <w:adjustRightInd w:val="0"/>
                    <w:snapToGrid w:val="0"/>
                    <w:spacing w:line="360" w:lineRule="auto"/>
                    <w:jc w:val="center"/>
                    <w:rPr>
                      <w:b/>
                      <w:sz w:val="22"/>
                      <w:szCs w:val="22"/>
                      <w:u w:val="none" w:color="auto"/>
                    </w:rPr>
                  </w:pPr>
                  <w:r>
                    <w:rPr>
                      <w:b/>
                      <w:sz w:val="22"/>
                      <w:szCs w:val="22"/>
                      <w:u w:val="none" w:color="auto"/>
                    </w:rPr>
                    <w:t xml:space="preserve">无组织排放监测浓度限值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607" w:type="pct"/>
                  <w:vMerge w:val="continue"/>
                  <w:vAlign w:val="center"/>
                </w:tcPr>
                <w:p>
                  <w:pPr>
                    <w:adjustRightInd w:val="0"/>
                    <w:snapToGrid w:val="0"/>
                    <w:spacing w:line="360" w:lineRule="auto"/>
                    <w:jc w:val="center"/>
                    <w:rPr>
                      <w:b/>
                      <w:sz w:val="22"/>
                      <w:szCs w:val="22"/>
                      <w:u w:val="none" w:color="auto"/>
                    </w:rPr>
                  </w:pPr>
                </w:p>
              </w:tc>
              <w:tc>
                <w:tcPr>
                  <w:tcW w:w="1088" w:type="pct"/>
                  <w:vMerge w:val="continue"/>
                  <w:vAlign w:val="center"/>
                </w:tcPr>
                <w:p>
                  <w:pPr>
                    <w:adjustRightInd w:val="0"/>
                    <w:snapToGrid w:val="0"/>
                    <w:spacing w:line="360" w:lineRule="auto"/>
                    <w:jc w:val="center"/>
                    <w:rPr>
                      <w:b/>
                      <w:sz w:val="22"/>
                      <w:szCs w:val="22"/>
                      <w:u w:val="none" w:color="auto"/>
                    </w:rPr>
                  </w:pPr>
                </w:p>
              </w:tc>
              <w:tc>
                <w:tcPr>
                  <w:tcW w:w="914" w:type="pct"/>
                  <w:vMerge w:val="continue"/>
                </w:tcPr>
                <w:p>
                  <w:pPr>
                    <w:adjustRightInd w:val="0"/>
                    <w:snapToGrid w:val="0"/>
                    <w:spacing w:line="360" w:lineRule="auto"/>
                    <w:jc w:val="center"/>
                    <w:rPr>
                      <w:b/>
                      <w:sz w:val="22"/>
                      <w:szCs w:val="22"/>
                      <w:u w:val="none" w:color="auto"/>
                    </w:rPr>
                  </w:pPr>
                </w:p>
              </w:tc>
              <w:tc>
                <w:tcPr>
                  <w:tcW w:w="1287" w:type="pct"/>
                  <w:vAlign w:val="center"/>
                </w:tcPr>
                <w:p>
                  <w:pPr>
                    <w:adjustRightInd w:val="0"/>
                    <w:snapToGrid w:val="0"/>
                    <w:spacing w:line="360" w:lineRule="auto"/>
                    <w:jc w:val="center"/>
                    <w:rPr>
                      <w:b/>
                      <w:sz w:val="22"/>
                      <w:szCs w:val="22"/>
                      <w:u w:val="none" w:color="auto"/>
                    </w:rPr>
                  </w:pPr>
                  <w:r>
                    <w:rPr>
                      <w:rFonts w:hint="eastAsia"/>
                      <w:b/>
                      <w:sz w:val="22"/>
                      <w:szCs w:val="22"/>
                      <w:u w:val="none" w:color="auto"/>
                    </w:rPr>
                    <w:t>监控点</w:t>
                  </w:r>
                </w:p>
              </w:tc>
              <w:tc>
                <w:tcPr>
                  <w:tcW w:w="1102" w:type="pct"/>
                  <w:vAlign w:val="center"/>
                </w:tcPr>
                <w:p>
                  <w:pPr>
                    <w:adjustRightInd w:val="0"/>
                    <w:snapToGrid w:val="0"/>
                    <w:spacing w:line="360" w:lineRule="auto"/>
                    <w:jc w:val="center"/>
                    <w:rPr>
                      <w:b/>
                      <w:sz w:val="22"/>
                      <w:szCs w:val="22"/>
                      <w:u w:val="none" w:color="auto"/>
                    </w:rPr>
                  </w:pPr>
                  <w:r>
                    <w:rPr>
                      <w:rFonts w:hint="eastAsia"/>
                      <w:b/>
                      <w:sz w:val="22"/>
                      <w:szCs w:val="22"/>
                      <w:u w:val="none" w:color="auto"/>
                    </w:rPr>
                    <w:t>浓度</w:t>
                  </w:r>
                  <w:r>
                    <w:rPr>
                      <w:b/>
                      <w:sz w:val="22"/>
                      <w:szCs w:val="22"/>
                      <w:u w:val="none" w:color="auto"/>
                    </w:rPr>
                    <w:t>(mg/m</w:t>
                  </w:r>
                  <w:r>
                    <w:rPr>
                      <w:b/>
                      <w:sz w:val="22"/>
                      <w:szCs w:val="22"/>
                      <w:u w:val="none" w:color="auto"/>
                      <w:vertAlign w:val="superscript"/>
                    </w:rPr>
                    <w:t>3</w:t>
                  </w:r>
                  <w:r>
                    <w:rPr>
                      <w:b/>
                      <w:sz w:val="22"/>
                      <w:szCs w:val="22"/>
                      <w:u w:val="none" w:color="auto"/>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07" w:type="pct"/>
                  <w:vMerge w:val="restart"/>
                  <w:vAlign w:val="center"/>
                </w:tcPr>
                <w:p>
                  <w:pPr>
                    <w:adjustRightInd w:val="0"/>
                    <w:snapToGrid w:val="0"/>
                    <w:spacing w:line="360" w:lineRule="auto"/>
                    <w:jc w:val="center"/>
                    <w:rPr>
                      <w:rFonts w:hint="eastAsia" w:eastAsia="宋体"/>
                      <w:sz w:val="22"/>
                      <w:szCs w:val="22"/>
                      <w:u w:val="none" w:color="auto"/>
                      <w:lang w:eastAsia="zh-CN"/>
                    </w:rPr>
                  </w:pPr>
                  <w:r>
                    <w:rPr>
                      <w:rFonts w:hint="eastAsia"/>
                      <w:sz w:val="22"/>
                      <w:szCs w:val="22"/>
                      <w:u w:val="none" w:color="auto"/>
                      <w:lang w:val="en-US" w:eastAsia="zh-CN"/>
                    </w:rPr>
                    <w:t>VOC</w:t>
                  </w:r>
                  <w:r>
                    <w:rPr>
                      <w:rFonts w:hint="eastAsia"/>
                      <w:sz w:val="22"/>
                      <w:szCs w:val="22"/>
                      <w:u w:val="none" w:color="auto"/>
                      <w:vertAlign w:val="subscript"/>
                      <w:lang w:val="en-US" w:eastAsia="zh-CN"/>
                    </w:rPr>
                    <w:t>S</w:t>
                  </w:r>
                </w:p>
              </w:tc>
              <w:tc>
                <w:tcPr>
                  <w:tcW w:w="1088" w:type="pct"/>
                  <w:vMerge w:val="restart"/>
                  <w:vAlign w:val="center"/>
                </w:tcPr>
                <w:p>
                  <w:pPr>
                    <w:adjustRightInd w:val="0"/>
                    <w:snapToGrid w:val="0"/>
                    <w:spacing w:line="360" w:lineRule="auto"/>
                    <w:jc w:val="center"/>
                    <w:rPr>
                      <w:rFonts w:hint="default" w:eastAsia="宋体"/>
                      <w:sz w:val="22"/>
                      <w:szCs w:val="22"/>
                      <w:u w:val="none" w:color="auto"/>
                      <w:lang w:val="en-US" w:eastAsia="zh-CN"/>
                    </w:rPr>
                  </w:pPr>
                  <w:r>
                    <w:rPr>
                      <w:rFonts w:hint="eastAsia"/>
                      <w:sz w:val="22"/>
                      <w:szCs w:val="22"/>
                      <w:u w:val="none" w:color="auto"/>
                      <w:lang w:val="en-US" w:eastAsia="zh-CN"/>
                    </w:rPr>
                    <w:t>100</w:t>
                  </w:r>
                </w:p>
              </w:tc>
              <w:tc>
                <w:tcPr>
                  <w:tcW w:w="914" w:type="pct"/>
                  <w:vMerge w:val="restart"/>
                  <w:vAlign w:val="center"/>
                </w:tcPr>
                <w:p>
                  <w:pPr>
                    <w:adjustRightInd w:val="0"/>
                    <w:snapToGrid w:val="0"/>
                    <w:spacing w:line="360" w:lineRule="auto"/>
                    <w:jc w:val="center"/>
                    <w:rPr>
                      <w:rFonts w:hint="default" w:eastAsia="宋体"/>
                      <w:sz w:val="22"/>
                      <w:szCs w:val="22"/>
                      <w:u w:val="none" w:color="auto"/>
                      <w:lang w:val="en-US" w:eastAsia="zh-CN"/>
                    </w:rPr>
                  </w:pPr>
                  <w:r>
                    <w:rPr>
                      <w:rFonts w:hint="eastAsia"/>
                      <w:sz w:val="22"/>
                      <w:szCs w:val="22"/>
                      <w:u w:val="none" w:color="auto"/>
                      <w:lang w:val="en-US" w:eastAsia="zh-CN"/>
                    </w:rPr>
                    <w:t>4.0</w:t>
                  </w:r>
                </w:p>
              </w:tc>
              <w:tc>
                <w:tcPr>
                  <w:tcW w:w="1287" w:type="pct"/>
                  <w:vAlign w:val="center"/>
                </w:tcPr>
                <w:p>
                  <w:pPr>
                    <w:adjustRightInd w:val="0"/>
                    <w:snapToGrid w:val="0"/>
                    <w:spacing w:line="360" w:lineRule="auto"/>
                    <w:jc w:val="center"/>
                    <w:rPr>
                      <w:sz w:val="22"/>
                      <w:szCs w:val="22"/>
                      <w:u w:val="none" w:color="auto"/>
                    </w:rPr>
                  </w:pPr>
                  <w:r>
                    <w:rPr>
                      <w:rFonts w:hint="eastAsia"/>
                      <w:sz w:val="22"/>
                      <w:szCs w:val="22"/>
                      <w:u w:val="none" w:color="auto"/>
                      <w:lang w:val="en-US" w:eastAsia="zh-CN"/>
                    </w:rPr>
                    <w:t>厂界</w:t>
                  </w:r>
                </w:p>
              </w:tc>
              <w:tc>
                <w:tcPr>
                  <w:tcW w:w="1102" w:type="pct"/>
                  <w:vAlign w:val="center"/>
                </w:tcPr>
                <w:p>
                  <w:pPr>
                    <w:adjustRightInd w:val="0"/>
                    <w:snapToGrid w:val="0"/>
                    <w:spacing w:line="360" w:lineRule="auto"/>
                    <w:jc w:val="center"/>
                    <w:rPr>
                      <w:rFonts w:hint="default" w:eastAsia="宋体"/>
                      <w:sz w:val="22"/>
                      <w:szCs w:val="22"/>
                      <w:u w:val="none" w:color="auto"/>
                      <w:lang w:val="en-US" w:eastAsia="zh-CN"/>
                    </w:rPr>
                  </w:pPr>
                  <w:r>
                    <w:rPr>
                      <w:rFonts w:hint="eastAsia"/>
                      <w:sz w:val="22"/>
                      <w:szCs w:val="22"/>
                      <w:u w:val="none" w:color="auto"/>
                      <w:lang w:val="en-US" w:eastAsia="zh-CN"/>
                    </w:rPr>
                    <w:t>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07" w:type="pct"/>
                  <w:vMerge w:val="continue"/>
                  <w:vAlign w:val="center"/>
                </w:tcPr>
                <w:p>
                  <w:pPr>
                    <w:adjustRightInd w:val="0"/>
                    <w:snapToGrid w:val="0"/>
                    <w:spacing w:line="360" w:lineRule="auto"/>
                    <w:jc w:val="center"/>
                    <w:rPr>
                      <w:rFonts w:hint="eastAsia"/>
                      <w:sz w:val="22"/>
                      <w:szCs w:val="22"/>
                      <w:u w:val="none" w:color="auto"/>
                      <w:lang w:eastAsia="zh-CN"/>
                    </w:rPr>
                  </w:pPr>
                </w:p>
              </w:tc>
              <w:tc>
                <w:tcPr>
                  <w:tcW w:w="1088" w:type="pct"/>
                  <w:vMerge w:val="continue"/>
                  <w:vAlign w:val="center"/>
                </w:tcPr>
                <w:p>
                  <w:pPr>
                    <w:adjustRightInd w:val="0"/>
                    <w:snapToGrid w:val="0"/>
                    <w:spacing w:line="360" w:lineRule="auto"/>
                    <w:jc w:val="center"/>
                    <w:rPr>
                      <w:rFonts w:hint="eastAsia"/>
                      <w:sz w:val="22"/>
                      <w:szCs w:val="22"/>
                      <w:u w:val="none" w:color="auto"/>
                      <w:lang w:val="en-US" w:eastAsia="zh-CN"/>
                    </w:rPr>
                  </w:pPr>
                </w:p>
              </w:tc>
              <w:tc>
                <w:tcPr>
                  <w:tcW w:w="914" w:type="pct"/>
                  <w:vMerge w:val="continue"/>
                  <w:vAlign w:val="center"/>
                </w:tcPr>
                <w:p>
                  <w:pPr>
                    <w:adjustRightInd w:val="0"/>
                    <w:snapToGrid w:val="0"/>
                    <w:spacing w:line="360" w:lineRule="auto"/>
                    <w:jc w:val="center"/>
                    <w:rPr>
                      <w:rFonts w:hint="eastAsia"/>
                      <w:sz w:val="22"/>
                      <w:szCs w:val="22"/>
                      <w:u w:val="none" w:color="auto"/>
                      <w:lang w:val="en-US" w:eastAsia="zh-CN"/>
                    </w:rPr>
                  </w:pPr>
                </w:p>
              </w:tc>
              <w:tc>
                <w:tcPr>
                  <w:tcW w:w="1287" w:type="pct"/>
                  <w:vAlign w:val="center"/>
                </w:tcPr>
                <w:p>
                  <w:pPr>
                    <w:adjustRightInd w:val="0"/>
                    <w:snapToGrid w:val="0"/>
                    <w:spacing w:line="360" w:lineRule="auto"/>
                    <w:jc w:val="center"/>
                    <w:rPr>
                      <w:rFonts w:hint="eastAsia"/>
                      <w:sz w:val="22"/>
                      <w:szCs w:val="22"/>
                      <w:u w:val="none" w:color="auto"/>
                    </w:rPr>
                  </w:pPr>
                  <w:r>
                    <w:rPr>
                      <w:rFonts w:hint="eastAsia"/>
                      <w:sz w:val="22"/>
                      <w:szCs w:val="22"/>
                      <w:u w:val="none" w:color="auto"/>
                      <w:lang w:val="en-US" w:eastAsia="zh-CN"/>
                    </w:rPr>
                    <w:t>厂区</w:t>
                  </w:r>
                </w:p>
              </w:tc>
              <w:tc>
                <w:tcPr>
                  <w:tcW w:w="1102" w:type="pct"/>
                  <w:vAlign w:val="center"/>
                </w:tcPr>
                <w:p>
                  <w:pPr>
                    <w:adjustRightInd w:val="0"/>
                    <w:snapToGrid w:val="0"/>
                    <w:spacing w:line="360" w:lineRule="auto"/>
                    <w:jc w:val="center"/>
                    <w:rPr>
                      <w:rFonts w:hint="default"/>
                      <w:sz w:val="22"/>
                      <w:szCs w:val="22"/>
                      <w:u w:val="none" w:color="auto"/>
                      <w:lang w:val="en-US" w:eastAsia="zh-CN"/>
                    </w:rPr>
                  </w:pPr>
                  <w:r>
                    <w:rPr>
                      <w:rFonts w:hint="eastAsia"/>
                      <w:sz w:val="22"/>
                      <w:szCs w:val="22"/>
                      <w:u w:val="none" w:color="auto"/>
                      <w:lang w:val="en-US" w:eastAsia="zh-CN"/>
                    </w:rPr>
                    <w:t>10.0</w:t>
                  </w:r>
                </w:p>
              </w:tc>
            </w:tr>
          </w:tbl>
          <w:p>
            <w:pPr>
              <w:pStyle w:val="39"/>
              <w:adjustRightInd w:val="0"/>
              <w:snapToGrid w:val="0"/>
              <w:spacing w:after="0" w:line="360" w:lineRule="auto"/>
              <w:ind w:left="0" w:leftChars="0" w:firstLine="0" w:firstLineChars="0"/>
              <w:rPr>
                <w:sz w:val="24"/>
                <w:szCs w:val="24"/>
                <w:u w:val="none" w:color="auto"/>
              </w:rPr>
            </w:pPr>
            <w:r>
              <w:rPr>
                <w:kern w:val="0"/>
                <w:sz w:val="24"/>
                <w:szCs w:val="24"/>
                <w:u w:val="none" w:color="auto"/>
              </w:rPr>
              <w:t>3、噪声</w:t>
            </w:r>
            <w:r>
              <w:rPr>
                <w:rFonts w:hint="eastAsia"/>
                <w:kern w:val="0"/>
                <w:sz w:val="24"/>
                <w:szCs w:val="24"/>
                <w:u w:val="none" w:color="auto"/>
              </w:rPr>
              <w:t>：</w:t>
            </w:r>
            <w:r>
              <w:rPr>
                <w:sz w:val="24"/>
                <w:szCs w:val="24"/>
                <w:u w:val="none" w:color="auto"/>
              </w:rPr>
              <w:t>噪声执行《工业企业厂界环境噪声排放标准》（GB12348-2008）</w:t>
            </w:r>
            <w:r>
              <w:rPr>
                <w:rFonts w:hint="eastAsia"/>
                <w:sz w:val="24"/>
                <w:szCs w:val="24"/>
                <w:u w:val="none" w:color="auto"/>
                <w:lang w:val="en-US" w:eastAsia="zh-CN"/>
              </w:rPr>
              <w:t>3</w:t>
            </w:r>
            <w:r>
              <w:rPr>
                <w:sz w:val="24"/>
                <w:szCs w:val="24"/>
                <w:u w:val="none" w:color="auto"/>
              </w:rPr>
              <w:t>类标准。</w:t>
            </w:r>
          </w:p>
          <w:p>
            <w:pPr>
              <w:pStyle w:val="39"/>
              <w:adjustRightInd w:val="0"/>
              <w:snapToGrid w:val="0"/>
              <w:spacing w:after="0"/>
              <w:ind w:left="0" w:leftChars="0" w:firstLine="0" w:firstLineChars="0"/>
              <w:jc w:val="center"/>
              <w:rPr>
                <w:b/>
                <w:bCs/>
                <w:sz w:val="24"/>
                <w:szCs w:val="24"/>
                <w:u w:val="none" w:color="auto"/>
              </w:rPr>
            </w:pPr>
            <w:r>
              <w:rPr>
                <w:b/>
                <w:bCs/>
                <w:sz w:val="24"/>
                <w:szCs w:val="24"/>
                <w:u w:val="none" w:color="auto"/>
              </w:rPr>
              <w:t>表4-</w:t>
            </w:r>
            <w:r>
              <w:rPr>
                <w:rFonts w:hint="eastAsia"/>
                <w:b/>
                <w:bCs/>
                <w:sz w:val="24"/>
                <w:szCs w:val="24"/>
                <w:u w:val="none" w:color="auto"/>
                <w:lang w:val="en-US" w:eastAsia="zh-CN"/>
              </w:rPr>
              <w:t>8</w:t>
            </w:r>
            <w:r>
              <w:rPr>
                <w:b/>
                <w:bCs/>
                <w:sz w:val="24"/>
                <w:szCs w:val="24"/>
                <w:u w:val="none" w:color="auto"/>
              </w:rPr>
              <w:t xml:space="preserve">  </w:t>
            </w:r>
            <w:r>
              <w:rPr>
                <w:b/>
                <w:sz w:val="24"/>
                <w:szCs w:val="24"/>
                <w:u w:val="none" w:color="auto"/>
              </w:rPr>
              <w:t>工业企业厂界环境噪声排放标准</w:t>
            </w:r>
            <w:r>
              <w:rPr>
                <w:b/>
                <w:bCs/>
                <w:sz w:val="24"/>
                <w:szCs w:val="24"/>
                <w:u w:val="none" w:color="auto"/>
              </w:rPr>
              <w:t xml:space="preserve">  单位dB(A)</w:t>
            </w:r>
          </w:p>
          <w:tbl>
            <w:tblPr>
              <w:tblStyle w:val="40"/>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814"/>
              <w:gridCol w:w="2803"/>
              <w:gridCol w:w="28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69" w:type="pct"/>
                  <w:vMerge w:val="restart"/>
                  <w:vAlign w:val="center"/>
                </w:tcPr>
                <w:p>
                  <w:pPr>
                    <w:pStyle w:val="34"/>
                    <w:spacing w:line="360" w:lineRule="auto"/>
                    <w:ind w:left="0" w:leftChars="0"/>
                    <w:jc w:val="center"/>
                    <w:rPr>
                      <w:sz w:val="22"/>
                      <w:szCs w:val="22"/>
                      <w:u w:val="none" w:color="auto"/>
                    </w:rPr>
                  </w:pPr>
                  <w:r>
                    <w:rPr>
                      <w:b/>
                      <w:bCs/>
                      <w:sz w:val="22"/>
                      <w:szCs w:val="22"/>
                      <w:u w:val="none" w:color="auto"/>
                    </w:rPr>
                    <w:t>功能区类别</w:t>
                  </w:r>
                </w:p>
              </w:tc>
              <w:tc>
                <w:tcPr>
                  <w:tcW w:w="3330" w:type="pct"/>
                  <w:gridSpan w:val="2"/>
                  <w:vAlign w:val="center"/>
                </w:tcPr>
                <w:p>
                  <w:pPr>
                    <w:pStyle w:val="34"/>
                    <w:spacing w:line="360" w:lineRule="auto"/>
                    <w:ind w:left="0" w:leftChars="0"/>
                    <w:jc w:val="center"/>
                    <w:rPr>
                      <w:sz w:val="22"/>
                      <w:szCs w:val="22"/>
                      <w:u w:val="none" w:color="auto"/>
                    </w:rPr>
                  </w:pPr>
                  <w:r>
                    <w:rPr>
                      <w:b/>
                      <w:bCs/>
                      <w:sz w:val="22"/>
                      <w:szCs w:val="22"/>
                      <w:u w:val="none" w:color="auto"/>
                    </w:rPr>
                    <w:t>时段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69" w:type="pct"/>
                  <w:vMerge w:val="continue"/>
                  <w:vAlign w:val="center"/>
                </w:tcPr>
                <w:p>
                  <w:pPr>
                    <w:pStyle w:val="34"/>
                    <w:spacing w:line="360" w:lineRule="auto"/>
                    <w:ind w:left="0" w:leftChars="0"/>
                    <w:jc w:val="center"/>
                    <w:rPr>
                      <w:sz w:val="22"/>
                      <w:szCs w:val="22"/>
                      <w:u w:val="none" w:color="auto"/>
                    </w:rPr>
                  </w:pPr>
                </w:p>
              </w:tc>
              <w:tc>
                <w:tcPr>
                  <w:tcW w:w="1662" w:type="pct"/>
                  <w:vAlign w:val="center"/>
                </w:tcPr>
                <w:p>
                  <w:pPr>
                    <w:pStyle w:val="34"/>
                    <w:spacing w:line="360" w:lineRule="auto"/>
                    <w:ind w:left="0" w:leftChars="0"/>
                    <w:jc w:val="center"/>
                    <w:rPr>
                      <w:sz w:val="22"/>
                      <w:szCs w:val="22"/>
                      <w:u w:val="none" w:color="auto"/>
                    </w:rPr>
                  </w:pPr>
                  <w:r>
                    <w:rPr>
                      <w:b/>
                      <w:bCs/>
                      <w:sz w:val="22"/>
                      <w:szCs w:val="22"/>
                      <w:u w:val="none" w:color="auto"/>
                    </w:rPr>
                    <w:t>昼间</w:t>
                  </w:r>
                </w:p>
              </w:tc>
              <w:tc>
                <w:tcPr>
                  <w:tcW w:w="1667" w:type="pct"/>
                  <w:vAlign w:val="center"/>
                </w:tcPr>
                <w:p>
                  <w:pPr>
                    <w:pStyle w:val="34"/>
                    <w:spacing w:line="360" w:lineRule="auto"/>
                    <w:ind w:left="0" w:leftChars="0"/>
                    <w:jc w:val="center"/>
                    <w:rPr>
                      <w:sz w:val="22"/>
                      <w:szCs w:val="22"/>
                      <w:u w:val="none" w:color="auto"/>
                    </w:rPr>
                  </w:pPr>
                  <w:r>
                    <w:rPr>
                      <w:b/>
                      <w:bCs/>
                      <w:sz w:val="22"/>
                      <w:szCs w:val="22"/>
                      <w:u w:val="none" w:color="auto"/>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69" w:type="pct"/>
                  <w:vAlign w:val="center"/>
                </w:tcPr>
                <w:p>
                  <w:pPr>
                    <w:pStyle w:val="34"/>
                    <w:spacing w:line="360" w:lineRule="auto"/>
                    <w:ind w:left="0" w:leftChars="0"/>
                    <w:jc w:val="center"/>
                    <w:rPr>
                      <w:sz w:val="22"/>
                      <w:szCs w:val="22"/>
                      <w:u w:val="none" w:color="auto"/>
                    </w:rPr>
                  </w:pPr>
                  <w:r>
                    <w:rPr>
                      <w:rFonts w:hint="eastAsia"/>
                      <w:sz w:val="22"/>
                      <w:szCs w:val="22"/>
                      <w:u w:val="none" w:color="auto"/>
                      <w:lang w:val="en-US" w:eastAsia="zh-CN"/>
                    </w:rPr>
                    <w:t>3</w:t>
                  </w:r>
                  <w:r>
                    <w:rPr>
                      <w:sz w:val="22"/>
                      <w:szCs w:val="22"/>
                      <w:u w:val="none" w:color="auto"/>
                    </w:rPr>
                    <w:t>类（dB(A)）</w:t>
                  </w:r>
                </w:p>
              </w:tc>
              <w:tc>
                <w:tcPr>
                  <w:tcW w:w="1662" w:type="pct"/>
                  <w:vAlign w:val="center"/>
                </w:tcPr>
                <w:p>
                  <w:pPr>
                    <w:pStyle w:val="34"/>
                    <w:spacing w:line="360" w:lineRule="auto"/>
                    <w:ind w:left="0" w:leftChars="0"/>
                    <w:jc w:val="center"/>
                    <w:rPr>
                      <w:rFonts w:hint="eastAsia" w:eastAsia="宋体"/>
                      <w:sz w:val="22"/>
                      <w:szCs w:val="22"/>
                      <w:u w:val="none" w:color="auto"/>
                      <w:lang w:val="en-US" w:eastAsia="zh-CN"/>
                    </w:rPr>
                  </w:pPr>
                  <w:r>
                    <w:rPr>
                      <w:sz w:val="22"/>
                      <w:szCs w:val="22"/>
                      <w:u w:val="none" w:color="auto"/>
                    </w:rPr>
                    <w:t>6</w:t>
                  </w:r>
                  <w:r>
                    <w:rPr>
                      <w:rFonts w:hint="eastAsia"/>
                      <w:sz w:val="22"/>
                      <w:szCs w:val="22"/>
                      <w:u w:val="none" w:color="auto"/>
                      <w:lang w:val="en-US" w:eastAsia="zh-CN"/>
                    </w:rPr>
                    <w:t>5</w:t>
                  </w:r>
                </w:p>
              </w:tc>
              <w:tc>
                <w:tcPr>
                  <w:tcW w:w="1667" w:type="pct"/>
                  <w:vAlign w:val="center"/>
                </w:tcPr>
                <w:p>
                  <w:pPr>
                    <w:pStyle w:val="34"/>
                    <w:spacing w:line="360" w:lineRule="auto"/>
                    <w:ind w:left="0" w:leftChars="0"/>
                    <w:jc w:val="center"/>
                    <w:rPr>
                      <w:rFonts w:hint="eastAsia" w:eastAsia="宋体"/>
                      <w:sz w:val="22"/>
                      <w:szCs w:val="22"/>
                      <w:u w:val="none" w:color="auto"/>
                      <w:lang w:val="en-US" w:eastAsia="zh-CN"/>
                    </w:rPr>
                  </w:pPr>
                  <w:r>
                    <w:rPr>
                      <w:sz w:val="22"/>
                      <w:szCs w:val="22"/>
                      <w:u w:val="none" w:color="auto"/>
                    </w:rPr>
                    <w:t>5</w:t>
                  </w:r>
                  <w:r>
                    <w:rPr>
                      <w:rFonts w:hint="eastAsia"/>
                      <w:sz w:val="22"/>
                      <w:szCs w:val="22"/>
                      <w:u w:val="none" w:color="auto"/>
                      <w:lang w:val="en-US" w:eastAsia="zh-CN"/>
                    </w:rPr>
                    <w:t>5</w:t>
                  </w:r>
                </w:p>
              </w:tc>
            </w:tr>
          </w:tbl>
          <w:p>
            <w:pPr>
              <w:adjustRightInd w:val="0"/>
              <w:snapToGrid w:val="0"/>
              <w:spacing w:line="360" w:lineRule="auto"/>
              <w:rPr>
                <w:sz w:val="24"/>
                <w:szCs w:val="24"/>
                <w:u w:val="none" w:color="auto"/>
              </w:rPr>
            </w:pPr>
            <w:r>
              <w:rPr>
                <w:kern w:val="0"/>
                <w:sz w:val="24"/>
                <w:szCs w:val="24"/>
                <w:u w:val="none" w:color="auto"/>
              </w:rPr>
              <w:t>4、固体废物：</w:t>
            </w:r>
            <w:r>
              <w:rPr>
                <w:sz w:val="24"/>
                <w:szCs w:val="24"/>
                <w:u w:val="none" w:color="auto"/>
              </w:rPr>
              <w:t>一般固体废物处置执行《一般工业固体废物贮存、处置场污染控制标准》（GB18599-2001）及其2013年修改单中的要求；生活垃圾执行《生活垃圾填埋污染控制标准》（GB16889-2008）。</w:t>
            </w:r>
            <w:r>
              <w:rPr>
                <w:rFonts w:hint="eastAsia"/>
                <w:sz w:val="24"/>
                <w:szCs w:val="24"/>
                <w:u w:val="none" w:color="auto"/>
              </w:rPr>
              <w:t>危险废物执行《危险废物贮存污染控制标准》（GB18597－2001）及其修改单。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Align w:val="center"/>
          </w:tcPr>
          <w:p>
            <w:pPr>
              <w:jc w:val="center"/>
              <w:rPr>
                <w:b/>
                <w:bCs/>
                <w:sz w:val="24"/>
                <w:szCs w:val="24"/>
                <w:u w:val="none" w:color="auto"/>
              </w:rPr>
            </w:pPr>
            <w:r>
              <w:rPr>
                <w:b/>
                <w:bCs/>
                <w:sz w:val="24"/>
                <w:szCs w:val="24"/>
                <w:u w:val="none" w:color="auto"/>
              </w:rPr>
              <w:t>总量控制指标</w:t>
            </w:r>
          </w:p>
        </w:tc>
        <w:tc>
          <w:tcPr>
            <w:tcW w:w="8676" w:type="dxa"/>
            <w:vAlign w:val="center"/>
          </w:tcPr>
          <w:p>
            <w:pPr>
              <w:spacing w:line="520" w:lineRule="exact"/>
              <w:ind w:firstLine="466" w:firstLineChars="200"/>
              <w:rPr>
                <w:color w:val="auto"/>
                <w:sz w:val="24"/>
                <w:szCs w:val="24"/>
                <w:u w:val="none" w:color="auto"/>
              </w:rPr>
            </w:pPr>
            <w:r>
              <w:rPr>
                <w:rFonts w:hint="eastAsia"/>
                <w:sz w:val="24"/>
                <w:szCs w:val="24"/>
                <w:u w:val="none" w:color="auto"/>
              </w:rPr>
              <w:t>根据《湖南省“十三五”主要污染物减排规划》，湖南省约束性总量控制指标为二氧化硫（S</w:t>
            </w:r>
            <w:r>
              <w:rPr>
                <w:rFonts w:hint="eastAsia"/>
                <w:color w:val="auto"/>
                <w:sz w:val="24"/>
                <w:szCs w:val="24"/>
                <w:u w:val="none" w:color="auto"/>
              </w:rPr>
              <w:t>O</w:t>
            </w:r>
            <w:r>
              <w:rPr>
                <w:rFonts w:hint="eastAsia"/>
                <w:color w:val="auto"/>
                <w:sz w:val="24"/>
                <w:szCs w:val="24"/>
                <w:u w:val="none" w:color="auto"/>
                <w:vertAlign w:val="subscript"/>
              </w:rPr>
              <w:t>2</w:t>
            </w:r>
            <w:r>
              <w:rPr>
                <w:rFonts w:hint="eastAsia"/>
                <w:color w:val="auto"/>
                <w:sz w:val="24"/>
                <w:szCs w:val="24"/>
                <w:u w:val="none" w:color="auto"/>
              </w:rPr>
              <w:t>）、氮氧化物（NOx）、化学需氧量（COD）和氨氮（NH</w:t>
            </w:r>
            <w:r>
              <w:rPr>
                <w:rFonts w:hint="eastAsia"/>
                <w:color w:val="auto"/>
                <w:sz w:val="24"/>
                <w:szCs w:val="24"/>
                <w:u w:val="none" w:color="auto"/>
                <w:vertAlign w:val="subscript"/>
              </w:rPr>
              <w:t>3</w:t>
            </w:r>
            <w:r>
              <w:rPr>
                <w:rFonts w:hint="eastAsia"/>
                <w:color w:val="auto"/>
                <w:sz w:val="24"/>
                <w:szCs w:val="24"/>
                <w:u w:val="none" w:color="auto"/>
              </w:rPr>
              <w:t>-N），推荐性总量控制指标为VOCs。</w:t>
            </w:r>
          </w:p>
          <w:p>
            <w:pPr>
              <w:spacing w:line="520" w:lineRule="exact"/>
              <w:ind w:firstLine="466" w:firstLineChars="200"/>
              <w:rPr>
                <w:color w:val="auto"/>
                <w:sz w:val="24"/>
                <w:u w:val="none" w:color="auto"/>
              </w:rPr>
            </w:pPr>
            <w:r>
              <w:rPr>
                <w:rFonts w:hint="eastAsia"/>
                <w:color w:val="auto"/>
                <w:sz w:val="24"/>
                <w:u w:val="none" w:color="auto"/>
              </w:rPr>
              <w:t>因此，结合本项目污染物排放因子，确定本项目的总量控制因子为V</w:t>
            </w:r>
            <w:r>
              <w:rPr>
                <w:color w:val="auto"/>
                <w:sz w:val="24"/>
                <w:u w:val="none" w:color="auto"/>
              </w:rPr>
              <w:t>OCs。</w:t>
            </w:r>
          </w:p>
          <w:p>
            <w:pPr>
              <w:spacing w:line="520" w:lineRule="exact"/>
              <w:ind w:firstLine="457" w:firstLineChars="196"/>
              <w:jc w:val="left"/>
              <w:rPr>
                <w:rFonts w:hint="eastAsia"/>
                <w:color w:val="auto"/>
                <w:sz w:val="24"/>
                <w:u w:val="none" w:color="auto"/>
                <w:lang w:eastAsia="zh-CN"/>
              </w:rPr>
            </w:pPr>
            <w:r>
              <w:rPr>
                <w:rFonts w:hint="eastAsia"/>
                <w:color w:val="auto"/>
                <w:sz w:val="24"/>
                <w:u w:val="none" w:color="auto"/>
              </w:rPr>
              <w:t>本项目外排废气中V</w:t>
            </w:r>
            <w:r>
              <w:rPr>
                <w:color w:val="auto"/>
                <w:sz w:val="24"/>
                <w:u w:val="none" w:color="auto"/>
              </w:rPr>
              <w:t>OCs</w:t>
            </w:r>
            <w:r>
              <w:rPr>
                <w:rFonts w:hint="eastAsia"/>
                <w:color w:val="auto"/>
                <w:sz w:val="24"/>
                <w:u w:val="none" w:color="auto"/>
                <w:lang w:eastAsia="zh-CN"/>
              </w:rPr>
              <w:t>为</w:t>
            </w:r>
            <w:r>
              <w:rPr>
                <w:rFonts w:hint="eastAsia"/>
                <w:color w:val="auto"/>
                <w:sz w:val="24"/>
                <w:u w:val="none" w:color="auto"/>
              </w:rPr>
              <w:t>：</w:t>
            </w:r>
            <w:r>
              <w:rPr>
                <w:rFonts w:hint="eastAsia"/>
                <w:color w:val="auto"/>
                <w:sz w:val="24"/>
                <w:u w:val="none" w:color="auto"/>
                <w:lang w:val="en-US" w:eastAsia="zh-CN"/>
              </w:rPr>
              <w:t>0.032</w:t>
            </w:r>
            <w:r>
              <w:rPr>
                <w:color w:val="auto"/>
                <w:sz w:val="24"/>
                <w:u w:val="none" w:color="auto"/>
              </w:rPr>
              <w:t>t/a</w:t>
            </w:r>
            <w:r>
              <w:rPr>
                <w:rFonts w:hint="eastAsia"/>
                <w:color w:val="auto"/>
                <w:sz w:val="24"/>
                <w:u w:val="none" w:color="auto"/>
                <w:lang w:eastAsia="zh-CN"/>
              </w:rPr>
              <w:t>，建议总量指标为</w:t>
            </w:r>
            <w:r>
              <w:rPr>
                <w:rFonts w:hint="eastAsia"/>
                <w:color w:val="auto"/>
                <w:sz w:val="24"/>
                <w:u w:val="none" w:color="auto"/>
                <w:lang w:val="en-US" w:eastAsia="zh-CN"/>
              </w:rPr>
              <w:t>0.1t/a</w:t>
            </w:r>
            <w:r>
              <w:rPr>
                <w:rFonts w:hint="eastAsia"/>
                <w:color w:val="auto"/>
                <w:sz w:val="24"/>
                <w:u w:val="none" w:color="auto"/>
              </w:rPr>
              <w:t>，为推荐性总量控制指标</w:t>
            </w:r>
            <w:r>
              <w:rPr>
                <w:rFonts w:hint="eastAsia"/>
                <w:color w:val="auto"/>
                <w:sz w:val="24"/>
                <w:u w:val="none" w:color="auto"/>
                <w:lang w:eastAsia="zh-CN"/>
              </w:rPr>
              <w:t>。</w:t>
            </w:r>
          </w:p>
          <w:p>
            <w:pPr>
              <w:spacing w:line="520" w:lineRule="exact"/>
              <w:ind w:firstLine="457" w:firstLineChars="196"/>
              <w:jc w:val="left"/>
              <w:rPr>
                <w:rFonts w:hint="eastAsia"/>
                <w:color w:val="auto"/>
                <w:sz w:val="24"/>
                <w:u w:val="none" w:color="auto"/>
                <w:lang w:eastAsia="zh-CN"/>
              </w:rPr>
            </w:pPr>
          </w:p>
          <w:p>
            <w:pPr>
              <w:spacing w:line="520" w:lineRule="exact"/>
              <w:ind w:firstLine="457" w:firstLineChars="196"/>
              <w:jc w:val="left"/>
              <w:rPr>
                <w:rFonts w:hint="eastAsia"/>
                <w:color w:val="auto"/>
                <w:sz w:val="24"/>
                <w:u w:val="none" w:color="auto"/>
                <w:lang w:eastAsia="zh-CN"/>
              </w:rPr>
            </w:pPr>
          </w:p>
          <w:p>
            <w:pPr>
              <w:spacing w:line="520" w:lineRule="exact"/>
              <w:ind w:firstLine="457" w:firstLineChars="196"/>
              <w:jc w:val="left"/>
              <w:rPr>
                <w:rFonts w:hint="eastAsia"/>
                <w:color w:val="auto"/>
                <w:sz w:val="24"/>
                <w:u w:val="none" w:color="auto"/>
                <w:lang w:eastAsia="zh-CN"/>
              </w:rPr>
            </w:pPr>
          </w:p>
          <w:p>
            <w:pPr>
              <w:spacing w:line="520" w:lineRule="exact"/>
              <w:ind w:firstLine="457" w:firstLineChars="196"/>
              <w:jc w:val="left"/>
              <w:rPr>
                <w:rFonts w:hint="eastAsia"/>
                <w:color w:val="auto"/>
                <w:sz w:val="24"/>
                <w:u w:val="none" w:color="auto"/>
                <w:lang w:eastAsia="zh-CN"/>
              </w:rPr>
            </w:pPr>
          </w:p>
          <w:p>
            <w:pPr>
              <w:spacing w:line="520" w:lineRule="exact"/>
              <w:ind w:firstLine="457" w:firstLineChars="196"/>
              <w:jc w:val="left"/>
              <w:rPr>
                <w:rFonts w:hint="eastAsia"/>
                <w:color w:val="auto"/>
                <w:sz w:val="24"/>
                <w:u w:val="none" w:color="auto"/>
                <w:lang w:eastAsia="zh-CN"/>
              </w:rPr>
            </w:pPr>
          </w:p>
          <w:p>
            <w:pPr>
              <w:pStyle w:val="34"/>
              <w:ind w:left="0" w:leftChars="0"/>
              <w:rPr>
                <w:u w:val="none" w:color="auto"/>
              </w:rPr>
            </w:pPr>
          </w:p>
        </w:tc>
      </w:tr>
    </w:tbl>
    <w:p>
      <w:pPr>
        <w:snapToGrid w:val="0"/>
        <w:textAlignment w:val="baseline"/>
        <w:outlineLvl w:val="0"/>
        <w:rPr>
          <w:rFonts w:eastAsia="黑体"/>
          <w:kern w:val="24"/>
          <w:sz w:val="32"/>
          <w:u w:val="none" w:color="auto"/>
        </w:rPr>
      </w:pPr>
      <w:r>
        <w:rPr>
          <w:rFonts w:eastAsia="黑体"/>
          <w:sz w:val="32"/>
          <w:u w:val="none" w:color="auto"/>
        </w:rPr>
        <w:br w:type="page"/>
      </w:r>
      <w:bookmarkStart w:id="4" w:name="_Toc31996"/>
      <w:r>
        <w:rPr>
          <w:rFonts w:hint="eastAsia" w:eastAsia="黑体"/>
          <w:sz w:val="32"/>
          <w:u w:val="none" w:color="auto"/>
        </w:rPr>
        <w:t>五、</w:t>
      </w:r>
      <w:r>
        <w:rPr>
          <w:rFonts w:eastAsia="黑体"/>
          <w:sz w:val="32"/>
          <w:u w:val="none" w:color="auto"/>
        </w:rPr>
        <w:t>建设项目工程分析</w:t>
      </w:r>
      <w:bookmarkEnd w:id="4"/>
    </w:p>
    <w:tbl>
      <w:tblPr>
        <w:tblStyle w:val="40"/>
        <w:tblW w:w="92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Layout w:type="autofit"/>
        <w:tblCellMar>
          <w:top w:w="0" w:type="dxa"/>
          <w:left w:w="85" w:type="dxa"/>
          <w:bottom w:w="0" w:type="dxa"/>
          <w:right w:w="85" w:type="dxa"/>
        </w:tblCellMar>
      </w:tblPr>
      <w:tblGrid>
        <w:gridCol w:w="926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CellMar>
            <w:top w:w="0" w:type="dxa"/>
            <w:left w:w="85" w:type="dxa"/>
            <w:bottom w:w="0" w:type="dxa"/>
            <w:right w:w="85" w:type="dxa"/>
          </w:tblCellMar>
        </w:tblPrEx>
        <w:trPr>
          <w:trHeight w:val="13289" w:hRule="atLeast"/>
          <w:jc w:val="center"/>
        </w:trPr>
        <w:tc>
          <w:tcPr>
            <w:tcW w:w="9268" w:type="dxa"/>
          </w:tcPr>
          <w:p>
            <w:pPr>
              <w:numPr>
                <w:ilvl w:val="0"/>
                <w:numId w:val="6"/>
              </w:numPr>
              <w:snapToGrid w:val="0"/>
              <w:spacing w:line="360" w:lineRule="auto"/>
              <w:rPr>
                <w:rFonts w:hAnsi="宋体"/>
                <w:b/>
                <w:sz w:val="24"/>
                <w:u w:val="none" w:color="auto"/>
              </w:rPr>
            </w:pPr>
            <w:r>
              <w:rPr>
                <w:rFonts w:hint="eastAsia" w:hAnsi="宋体"/>
                <w:b/>
                <w:sz w:val="24"/>
                <w:u w:val="none" w:color="auto"/>
              </w:rPr>
              <w:t>施工期</w:t>
            </w:r>
          </w:p>
          <w:p>
            <w:pPr>
              <w:snapToGrid w:val="0"/>
              <w:spacing w:line="360" w:lineRule="auto"/>
              <w:ind w:firstLine="466" w:firstLineChars="200"/>
              <w:rPr>
                <w:rFonts w:hint="eastAsia"/>
                <w:b/>
                <w:bCs w:val="0"/>
                <w:color w:val="auto"/>
                <w:sz w:val="24"/>
                <w:szCs w:val="22"/>
                <w:u w:val="none" w:color="auto"/>
              </w:rPr>
            </w:pPr>
            <w:r>
              <w:rPr>
                <w:rFonts w:hint="eastAsia"/>
                <w:b/>
                <w:bCs w:val="0"/>
                <w:color w:val="auto"/>
                <w:sz w:val="24"/>
                <w:szCs w:val="22"/>
                <w:u w:val="none" w:color="auto"/>
                <w:lang w:val="en-US" w:eastAsia="zh-CN"/>
              </w:rPr>
              <w:t xml:space="preserve">施工期工艺流程及主要污染工序 </w:t>
            </w:r>
          </w:p>
          <w:p>
            <w:pPr>
              <w:snapToGrid w:val="0"/>
              <w:spacing w:line="360" w:lineRule="auto"/>
              <w:ind w:firstLine="466" w:firstLineChars="200"/>
              <w:rPr>
                <w:rFonts w:hint="eastAsia"/>
                <w:bCs/>
                <w:color w:val="auto"/>
                <w:sz w:val="24"/>
                <w:szCs w:val="22"/>
                <w:u w:val="none" w:color="auto"/>
              </w:rPr>
            </w:pPr>
            <w:r>
              <w:rPr>
                <w:rFonts w:hint="eastAsia"/>
                <w:bCs/>
                <w:color w:val="auto"/>
                <w:sz w:val="24"/>
                <w:szCs w:val="22"/>
                <w:u w:val="none" w:color="auto"/>
                <w:lang w:val="en-US" w:eastAsia="zh-CN"/>
              </w:rPr>
              <w:t xml:space="preserve">本项目购买已有厂房进行建设，施工期主要为各区建设，设备安装以及少量的装饰工程，因此，项目施工期产生的污染较少，主要为少量施工粉尘、施工噪声、建筑垃圾，以及施工人员生活垃圾和生活污水等，仅作简要分析。项目施工期产生的环境影响因素主要有：施工机械设备的噪声、装修材料、运输车辆尾气、扬尘及施工人员生活污水等。 </w:t>
            </w:r>
          </w:p>
          <w:p>
            <w:pPr>
              <w:snapToGrid w:val="0"/>
              <w:spacing w:line="360" w:lineRule="auto"/>
              <w:ind w:firstLine="457" w:firstLineChars="196"/>
              <w:rPr>
                <w:rFonts w:hint="eastAsia"/>
                <w:bCs/>
                <w:color w:val="auto"/>
                <w:sz w:val="24"/>
                <w:szCs w:val="22"/>
                <w:u w:val="none" w:color="auto"/>
              </w:rPr>
            </w:pPr>
            <w:r>
              <w:rPr>
                <w:rFonts w:hint="eastAsia"/>
                <w:bCs/>
                <w:color w:val="auto"/>
                <w:sz w:val="24"/>
                <w:szCs w:val="22"/>
                <w:u w:val="none" w:color="auto"/>
                <w:lang w:val="en-US" w:eastAsia="zh-CN"/>
              </w:rPr>
              <w:t xml:space="preserve">①水污染物 </w:t>
            </w:r>
          </w:p>
          <w:p>
            <w:pPr>
              <w:snapToGrid w:val="0"/>
              <w:spacing w:line="360" w:lineRule="auto"/>
              <w:ind w:firstLine="457" w:firstLineChars="196"/>
              <w:rPr>
                <w:rFonts w:hint="eastAsia"/>
                <w:bCs/>
                <w:color w:val="auto"/>
                <w:sz w:val="24"/>
                <w:szCs w:val="22"/>
                <w:u w:val="none" w:color="auto"/>
              </w:rPr>
            </w:pPr>
            <w:r>
              <w:rPr>
                <w:rFonts w:hint="eastAsia"/>
                <w:bCs/>
                <w:color w:val="auto"/>
                <w:sz w:val="24"/>
                <w:szCs w:val="22"/>
                <w:u w:val="none" w:color="auto"/>
                <w:lang w:val="en-US" w:eastAsia="zh-CN"/>
              </w:rPr>
              <w:t xml:space="preserve">建设时期的废水主要来自于施工人员的生活污水，依托卓达园区现有化粪池及污水处理、排放系统。 </w:t>
            </w:r>
          </w:p>
          <w:p>
            <w:pPr>
              <w:snapToGrid w:val="0"/>
              <w:spacing w:line="360" w:lineRule="auto"/>
              <w:ind w:firstLine="457" w:firstLineChars="196"/>
              <w:rPr>
                <w:rFonts w:hint="eastAsia"/>
                <w:bCs/>
                <w:color w:val="auto"/>
                <w:sz w:val="24"/>
                <w:szCs w:val="22"/>
                <w:u w:val="none" w:color="auto"/>
              </w:rPr>
            </w:pPr>
            <w:r>
              <w:rPr>
                <w:rFonts w:hint="eastAsia"/>
                <w:bCs/>
                <w:color w:val="auto"/>
                <w:sz w:val="24"/>
                <w:szCs w:val="22"/>
                <w:u w:val="none" w:color="auto"/>
                <w:lang w:val="en-US" w:eastAsia="zh-CN"/>
              </w:rPr>
              <w:t xml:space="preserve">②噪声污染物 </w:t>
            </w:r>
          </w:p>
          <w:p>
            <w:pPr>
              <w:snapToGrid w:val="0"/>
              <w:spacing w:line="360" w:lineRule="auto"/>
              <w:ind w:firstLine="457" w:firstLineChars="196"/>
              <w:rPr>
                <w:rFonts w:hint="eastAsia"/>
                <w:bCs/>
                <w:color w:val="auto"/>
                <w:sz w:val="24"/>
                <w:szCs w:val="22"/>
                <w:u w:val="none" w:color="auto"/>
              </w:rPr>
            </w:pPr>
            <w:r>
              <w:rPr>
                <w:rFonts w:hint="eastAsia"/>
                <w:bCs/>
                <w:color w:val="auto"/>
                <w:sz w:val="24"/>
                <w:szCs w:val="22"/>
                <w:u w:val="none" w:color="auto"/>
                <w:lang w:val="en-US" w:eastAsia="zh-CN"/>
              </w:rPr>
              <w:t xml:space="preserve">项目购买现有厂房，因此噪声主要来自于房屋改造过程中电钻。墙体敲打等过程中产生的机械噪声，其噪声源强在 70~95dB 之间，具有间歇性。 </w:t>
            </w:r>
          </w:p>
          <w:p>
            <w:pPr>
              <w:snapToGrid w:val="0"/>
              <w:spacing w:line="360" w:lineRule="auto"/>
              <w:ind w:firstLine="457" w:firstLineChars="196"/>
              <w:rPr>
                <w:rFonts w:hint="eastAsia"/>
                <w:bCs/>
                <w:color w:val="auto"/>
                <w:sz w:val="24"/>
                <w:szCs w:val="22"/>
                <w:u w:val="none" w:color="auto"/>
              </w:rPr>
            </w:pPr>
            <w:r>
              <w:rPr>
                <w:rFonts w:hint="eastAsia"/>
                <w:bCs/>
                <w:color w:val="auto"/>
                <w:sz w:val="24"/>
                <w:szCs w:val="22"/>
                <w:u w:val="none" w:color="auto"/>
                <w:lang w:val="en-US" w:eastAsia="zh-CN"/>
              </w:rPr>
              <w:t xml:space="preserve">③大气污染物 </w:t>
            </w:r>
          </w:p>
          <w:p>
            <w:pPr>
              <w:snapToGrid w:val="0"/>
              <w:spacing w:line="360" w:lineRule="auto"/>
              <w:ind w:firstLine="457" w:firstLineChars="196"/>
              <w:rPr>
                <w:rFonts w:hint="eastAsia"/>
                <w:bCs/>
                <w:color w:val="auto"/>
                <w:sz w:val="24"/>
                <w:szCs w:val="22"/>
                <w:u w:val="none" w:color="auto"/>
              </w:rPr>
            </w:pPr>
            <w:r>
              <w:rPr>
                <w:rFonts w:hint="eastAsia"/>
                <w:bCs/>
                <w:color w:val="auto"/>
                <w:sz w:val="24"/>
                <w:szCs w:val="22"/>
                <w:u w:val="none" w:color="auto"/>
                <w:lang w:val="en-US" w:eastAsia="zh-CN"/>
              </w:rPr>
              <w:t xml:space="preserve">项目施工过程中造成大气污染的主要产生源有：施工机械设备燃油产生的废气；施工建筑材料的装卸、运输、堆砌过程以及运输过程中造成扬尘等。 </w:t>
            </w:r>
          </w:p>
          <w:p>
            <w:pPr>
              <w:snapToGrid w:val="0"/>
              <w:spacing w:line="360" w:lineRule="auto"/>
              <w:ind w:firstLine="457" w:firstLineChars="196"/>
              <w:rPr>
                <w:rFonts w:hint="eastAsia"/>
                <w:bCs/>
                <w:color w:val="auto"/>
                <w:sz w:val="24"/>
                <w:szCs w:val="22"/>
                <w:u w:val="none" w:color="auto"/>
              </w:rPr>
            </w:pPr>
            <w:r>
              <w:rPr>
                <w:rFonts w:hint="eastAsia"/>
                <w:bCs/>
                <w:color w:val="auto"/>
                <w:sz w:val="24"/>
                <w:szCs w:val="22"/>
                <w:u w:val="none" w:color="auto"/>
                <w:lang w:val="en-US" w:eastAsia="zh-CN"/>
              </w:rPr>
              <w:t xml:space="preserve">④固废产生物 </w:t>
            </w:r>
          </w:p>
          <w:p>
            <w:pPr>
              <w:snapToGrid w:val="0"/>
              <w:spacing w:line="360" w:lineRule="auto"/>
              <w:ind w:firstLine="457" w:firstLineChars="196"/>
              <w:rPr>
                <w:rFonts w:hint="eastAsia"/>
                <w:bCs/>
                <w:color w:val="auto"/>
                <w:sz w:val="24"/>
                <w:szCs w:val="22"/>
                <w:u w:val="none" w:color="auto"/>
              </w:rPr>
            </w:pPr>
            <w:r>
              <w:rPr>
                <w:rFonts w:hint="eastAsia"/>
                <w:bCs/>
                <w:color w:val="auto"/>
                <w:sz w:val="24"/>
                <w:szCs w:val="22"/>
                <w:u w:val="none" w:color="auto"/>
                <w:lang w:val="en-US" w:eastAsia="zh-CN"/>
              </w:rPr>
              <w:t xml:space="preserve">项目施工过程中产生的固体废物主要是施工人员的生活垃圾和建筑垃圾等，均依托园区现有环卫设施，由当地环卫部门清运。 </w:t>
            </w:r>
          </w:p>
          <w:p>
            <w:pPr>
              <w:snapToGrid w:val="0"/>
              <w:spacing w:line="360" w:lineRule="auto"/>
              <w:ind w:firstLine="466" w:firstLineChars="200"/>
              <w:rPr>
                <w:rFonts w:hAnsi="宋体"/>
                <w:sz w:val="24"/>
                <w:szCs w:val="24"/>
                <w:u w:val="none" w:color="auto"/>
              </w:rPr>
            </w:pPr>
            <w:r>
              <w:rPr>
                <w:rFonts w:hint="eastAsia"/>
                <w:bCs/>
                <w:color w:val="auto"/>
                <w:sz w:val="24"/>
                <w:szCs w:val="22"/>
                <w:u w:val="none" w:color="auto"/>
                <w:lang w:val="en-US" w:eastAsia="zh-CN"/>
              </w:rPr>
              <w:t>根据项目实际情况，施工期产生的污染物量小，对外环境影响较小</w:t>
            </w:r>
            <w:r>
              <w:rPr>
                <w:rFonts w:hint="eastAsia"/>
                <w:sz w:val="24"/>
                <w:szCs w:val="24"/>
                <w:u w:val="none" w:color="auto"/>
              </w:rPr>
              <w:t>。</w:t>
            </w:r>
          </w:p>
          <w:p>
            <w:pPr>
              <w:snapToGrid w:val="0"/>
              <w:spacing w:line="360" w:lineRule="auto"/>
              <w:ind w:firstLine="457" w:firstLineChars="196"/>
              <w:rPr>
                <w:rFonts w:hint="eastAsia" w:hAnsi="宋体"/>
                <w:b/>
                <w:sz w:val="24"/>
                <w:u w:val="none" w:color="auto"/>
              </w:rPr>
            </w:pPr>
          </w:p>
          <w:p>
            <w:pPr>
              <w:snapToGrid w:val="0"/>
              <w:spacing w:line="360" w:lineRule="auto"/>
              <w:ind w:firstLine="457" w:firstLineChars="196"/>
              <w:rPr>
                <w:rFonts w:hint="eastAsia" w:hAnsi="宋体"/>
                <w:b/>
                <w:sz w:val="24"/>
                <w:u w:val="none" w:color="auto"/>
              </w:rPr>
            </w:pPr>
          </w:p>
          <w:p>
            <w:pPr>
              <w:snapToGrid w:val="0"/>
              <w:spacing w:line="360" w:lineRule="auto"/>
              <w:ind w:firstLine="457" w:firstLineChars="196"/>
              <w:rPr>
                <w:rFonts w:hint="eastAsia" w:hAnsi="宋体"/>
                <w:b/>
                <w:sz w:val="24"/>
                <w:u w:val="none" w:color="auto"/>
              </w:rPr>
            </w:pPr>
          </w:p>
          <w:p>
            <w:pPr>
              <w:snapToGrid w:val="0"/>
              <w:spacing w:line="360" w:lineRule="auto"/>
              <w:ind w:firstLine="457" w:firstLineChars="196"/>
              <w:rPr>
                <w:rFonts w:hint="eastAsia" w:hAnsi="宋体"/>
                <w:b/>
                <w:sz w:val="24"/>
                <w:u w:val="none" w:color="auto"/>
              </w:rPr>
            </w:pPr>
          </w:p>
          <w:p>
            <w:pPr>
              <w:snapToGrid w:val="0"/>
              <w:spacing w:line="360" w:lineRule="auto"/>
              <w:ind w:firstLine="457" w:firstLineChars="196"/>
              <w:rPr>
                <w:rFonts w:hint="eastAsia" w:hAnsi="宋体"/>
                <w:b/>
                <w:sz w:val="24"/>
                <w:u w:val="none" w:color="auto"/>
              </w:rPr>
            </w:pPr>
          </w:p>
          <w:p>
            <w:pPr>
              <w:snapToGrid w:val="0"/>
              <w:spacing w:line="360" w:lineRule="auto"/>
              <w:ind w:firstLine="457" w:firstLineChars="196"/>
              <w:rPr>
                <w:rFonts w:hint="eastAsia" w:hAnsi="宋体"/>
                <w:b/>
                <w:sz w:val="24"/>
                <w:u w:val="none" w:color="auto"/>
              </w:rPr>
            </w:pPr>
          </w:p>
          <w:p>
            <w:pPr>
              <w:snapToGrid w:val="0"/>
              <w:spacing w:line="360" w:lineRule="auto"/>
              <w:ind w:firstLine="457" w:firstLineChars="196"/>
              <w:rPr>
                <w:rFonts w:hint="eastAsia" w:hAnsi="宋体"/>
                <w:b/>
                <w:sz w:val="24"/>
                <w:u w:val="none" w:color="auto"/>
              </w:rPr>
            </w:pPr>
          </w:p>
          <w:p>
            <w:pPr>
              <w:snapToGrid w:val="0"/>
              <w:spacing w:line="360" w:lineRule="auto"/>
              <w:ind w:firstLine="457" w:firstLineChars="196"/>
              <w:rPr>
                <w:rFonts w:hint="eastAsia" w:hAnsi="宋体"/>
                <w:b/>
                <w:sz w:val="24"/>
                <w:u w:val="none" w:color="auto"/>
              </w:rPr>
            </w:pPr>
          </w:p>
          <w:p>
            <w:pPr>
              <w:snapToGrid w:val="0"/>
              <w:spacing w:line="360" w:lineRule="auto"/>
              <w:ind w:firstLine="457" w:firstLineChars="196"/>
              <w:rPr>
                <w:rFonts w:hint="eastAsia" w:hAnsi="宋体"/>
                <w:b/>
                <w:sz w:val="24"/>
                <w:u w:val="none" w:color="auto"/>
              </w:rPr>
            </w:pPr>
          </w:p>
          <w:p>
            <w:pPr>
              <w:snapToGrid w:val="0"/>
              <w:spacing w:line="360" w:lineRule="auto"/>
              <w:ind w:firstLine="457" w:firstLineChars="196"/>
              <w:rPr>
                <w:rFonts w:hint="eastAsia" w:hAnsi="宋体"/>
                <w:b/>
                <w:sz w:val="24"/>
                <w:u w:val="none" w:color="auto"/>
              </w:rPr>
            </w:pPr>
          </w:p>
          <w:p>
            <w:pPr>
              <w:snapToGrid w:val="0"/>
              <w:spacing w:line="360" w:lineRule="auto"/>
              <w:ind w:firstLine="457" w:firstLineChars="196"/>
              <w:rPr>
                <w:rFonts w:hint="eastAsia" w:hAnsi="宋体"/>
                <w:b/>
                <w:sz w:val="24"/>
                <w:u w:val="none" w:color="auto"/>
              </w:rPr>
            </w:pPr>
          </w:p>
          <w:p>
            <w:pPr>
              <w:snapToGrid w:val="0"/>
              <w:spacing w:line="360" w:lineRule="auto"/>
              <w:ind w:firstLine="457" w:firstLineChars="196"/>
              <w:rPr>
                <w:rFonts w:hAnsi="宋体"/>
                <w:b/>
                <w:sz w:val="24"/>
                <w:u w:val="single" w:color="auto"/>
              </w:rPr>
            </w:pPr>
            <w:r>
              <w:rPr>
                <w:rFonts w:hint="eastAsia" w:hAnsi="宋体"/>
                <w:b/>
                <w:sz w:val="24"/>
                <w:u w:val="single" w:color="auto"/>
              </w:rPr>
              <w:t>二、营运期</w:t>
            </w:r>
          </w:p>
          <w:p>
            <w:pPr>
              <w:pStyle w:val="34"/>
              <w:ind w:leftChars="0"/>
              <w:rPr>
                <w:sz w:val="24"/>
                <w:u w:val="single" w:color="auto"/>
              </w:rPr>
            </w:pPr>
            <w:r>
              <w:rPr>
                <w:rFonts w:hint="eastAsia"/>
                <w:sz w:val="24"/>
                <w:u w:val="single" w:color="auto"/>
              </w:rPr>
              <w:t>（1）</w:t>
            </w:r>
            <w:r>
              <w:rPr>
                <w:rFonts w:hint="eastAsia"/>
                <w:sz w:val="24"/>
                <w:u w:val="single" w:color="auto"/>
                <w:lang w:val="en-US" w:eastAsia="zh-CN"/>
              </w:rPr>
              <w:t>卫生卷纸</w:t>
            </w:r>
            <w:r>
              <w:rPr>
                <w:rFonts w:hint="eastAsia"/>
                <w:sz w:val="24"/>
                <w:u w:val="single" w:color="auto"/>
              </w:rPr>
              <w:t>生产工艺流程及产污环节见图5</w:t>
            </w:r>
            <w:r>
              <w:rPr>
                <w:sz w:val="24"/>
                <w:u w:val="single" w:color="auto"/>
              </w:rPr>
              <w:t>-1</w:t>
            </w:r>
            <w:r>
              <w:rPr>
                <w:rFonts w:hint="eastAsia"/>
                <w:sz w:val="24"/>
                <w:u w:val="single" w:color="auto"/>
              </w:rPr>
              <w:t>所示：</w:t>
            </w:r>
          </w:p>
          <w:p>
            <w:pPr>
              <w:jc w:val="center"/>
              <w:rPr>
                <w:u w:val="single" w:color="auto"/>
              </w:rPr>
            </w:pPr>
          </w:p>
          <w:p>
            <w:pPr>
              <w:jc w:val="center"/>
              <w:rPr>
                <w:b/>
                <w:sz w:val="24"/>
                <w:szCs w:val="24"/>
                <w:u w:val="single" w:color="auto"/>
              </w:rPr>
            </w:pPr>
            <w:r>
              <w:rPr>
                <w:b/>
                <w:sz w:val="24"/>
                <w:szCs w:val="24"/>
                <w:u w:val="single" w:color="auto"/>
              </w:rPr>
              <w:pict>
                <v:shape id="_x0000_s1028" o:spid="_x0000_s1028" o:spt="75" type="#_x0000_t75" style="position:absolute;left:0pt;margin-left:71.7pt;margin-top:2.4pt;height:373.55pt;width:296.1pt;z-index:264474624;mso-width-relative:page;mso-height-relative:page;" o:ole="t" filled="f" o:preferrelative="t" stroked="f" coordsize="21600,21600">
                  <v:path/>
                  <v:fill on="f" focussize="0,0"/>
                  <v:stroke on="f"/>
                  <v:imagedata r:id="rId13" o:title=""/>
                  <o:lock v:ext="edit" aspectratio="f"/>
                </v:shape>
                <o:OLEObject Type="Embed" ProgID="Visio.Drawing.11" ShapeID="_x0000_s1028" DrawAspect="Content" ObjectID="_1468075726" r:id="rId12">
                  <o:LockedField>false</o:LockedField>
                </o:OLEObject>
              </w:pict>
            </w: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both"/>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rFonts w:hint="eastAsia"/>
                <w:sz w:val="24"/>
                <w:u w:val="single" w:color="auto"/>
              </w:rPr>
            </w:pPr>
            <w:r>
              <w:rPr>
                <w:b/>
                <w:sz w:val="24"/>
                <w:szCs w:val="24"/>
                <w:u w:val="single" w:color="auto"/>
              </w:rPr>
              <w:t xml:space="preserve">图5-1   </w:t>
            </w:r>
            <w:r>
              <w:rPr>
                <w:rFonts w:hint="eastAsia"/>
                <w:b/>
                <w:sz w:val="24"/>
                <w:szCs w:val="24"/>
                <w:u w:val="single" w:color="auto"/>
                <w:lang w:val="en-US" w:eastAsia="zh-CN"/>
              </w:rPr>
              <w:t>卫生卷纸</w:t>
            </w:r>
            <w:r>
              <w:rPr>
                <w:b/>
                <w:sz w:val="24"/>
                <w:szCs w:val="24"/>
                <w:u w:val="single" w:color="auto"/>
              </w:rPr>
              <w:t>生产工艺流程图及产污环节</w:t>
            </w:r>
            <w:r>
              <w:rPr>
                <w:rFonts w:hint="eastAsia"/>
                <w:b/>
                <w:sz w:val="24"/>
                <w:szCs w:val="24"/>
                <w:u w:val="single" w:color="auto"/>
              </w:rPr>
              <w:t>图</w:t>
            </w:r>
          </w:p>
          <w:p>
            <w:pPr>
              <w:pStyle w:val="34"/>
              <w:spacing w:line="360" w:lineRule="auto"/>
              <w:ind w:left="400"/>
              <w:rPr>
                <w:color w:val="auto"/>
                <w:sz w:val="24"/>
                <w:u w:val="single" w:color="auto"/>
              </w:rPr>
            </w:pPr>
            <w:r>
              <w:rPr>
                <w:rFonts w:hint="eastAsia"/>
                <w:color w:val="auto"/>
                <w:sz w:val="24"/>
                <w:u w:val="single" w:color="auto"/>
              </w:rPr>
              <w:t>工艺流程简述：</w:t>
            </w:r>
          </w:p>
          <w:p>
            <w:pPr>
              <w:keepNext w:val="0"/>
              <w:keepLines w:val="0"/>
              <w:pageBreakBefore w:val="0"/>
              <w:widowControl w:val="0"/>
              <w:kinsoku/>
              <w:wordWrap/>
              <w:overflowPunct/>
              <w:topLinePunct w:val="0"/>
              <w:autoSpaceDE/>
              <w:autoSpaceDN/>
              <w:bidi w:val="0"/>
              <w:adjustRightInd/>
              <w:snapToGrid/>
              <w:spacing w:line="360" w:lineRule="auto"/>
              <w:ind w:left="0" w:firstLine="466" w:firstLineChars="200"/>
              <w:textAlignment w:val="auto"/>
              <w:rPr>
                <w:color w:val="auto"/>
                <w:sz w:val="24"/>
                <w:u w:val="single" w:color="auto"/>
              </w:rPr>
            </w:pPr>
            <w:r>
              <w:rPr>
                <w:rFonts w:hint="eastAsia"/>
                <w:color w:val="auto"/>
                <w:sz w:val="24"/>
                <w:u w:val="single" w:color="auto"/>
                <w:lang w:val="en-US" w:eastAsia="zh-CN"/>
              </w:rPr>
              <w:t>分切</w:t>
            </w:r>
            <w:r>
              <w:rPr>
                <w:rFonts w:hint="eastAsia"/>
                <w:color w:val="auto"/>
                <w:sz w:val="24"/>
                <w:u w:val="single" w:color="auto"/>
              </w:rPr>
              <w:t>：</w:t>
            </w:r>
            <w:r>
              <w:rPr>
                <w:rFonts w:hint="eastAsia"/>
                <w:color w:val="auto"/>
                <w:sz w:val="24"/>
                <w:u w:val="single" w:color="auto"/>
                <w:lang w:val="en-US" w:eastAsia="zh-CN"/>
              </w:rPr>
              <w:t>购买已经加工好的卫生原纸，根据客户规格要求对其进行分切，期间会产生废气、噪声、固废</w:t>
            </w:r>
            <w:r>
              <w:rPr>
                <w:rFonts w:hint="eastAsia"/>
                <w:color w:val="auto"/>
                <w:sz w:val="24"/>
                <w:u w:val="single" w:color="auto"/>
              </w:rPr>
              <w:t>；</w:t>
            </w:r>
          </w:p>
          <w:p>
            <w:pPr>
              <w:pStyle w:val="16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6" w:firstLineChars="200"/>
              <w:textAlignment w:val="auto"/>
              <w:rPr>
                <w:rFonts w:hint="eastAsia" w:ascii="Times New Roman" w:hAnsi="Times New Roman" w:eastAsia="宋体" w:cs="Times New Roman"/>
                <w:color w:val="auto"/>
                <w:sz w:val="24"/>
                <w:u w:val="single" w:color="auto"/>
              </w:rPr>
            </w:pPr>
            <w:r>
              <w:rPr>
                <w:rFonts w:hint="eastAsia" w:cs="Times New Roman"/>
                <w:color w:val="auto"/>
                <w:sz w:val="24"/>
                <w:u w:val="single" w:color="auto"/>
                <w:lang w:val="en-US" w:eastAsia="zh-CN"/>
              </w:rPr>
              <w:t>复卷</w:t>
            </w:r>
            <w:r>
              <w:rPr>
                <w:rFonts w:hint="eastAsia" w:ascii="Times New Roman" w:hAnsi="Times New Roman" w:eastAsia="宋体" w:cs="Times New Roman"/>
                <w:color w:val="auto"/>
                <w:sz w:val="24"/>
                <w:u w:val="single" w:color="auto"/>
              </w:rPr>
              <w:t>：</w:t>
            </w:r>
            <w:r>
              <w:rPr>
                <w:rFonts w:hint="eastAsia" w:cs="Times New Roman"/>
                <w:color w:val="auto"/>
                <w:sz w:val="24"/>
                <w:u w:val="single" w:color="auto"/>
                <w:lang w:val="en-US" w:eastAsia="zh-CN"/>
              </w:rPr>
              <w:t>将分切后的卫生原纸进行复卷，形成成品卷纸，期间会产生噪声</w:t>
            </w:r>
            <w:r>
              <w:rPr>
                <w:rFonts w:hint="eastAsia" w:cs="Times New Roman"/>
                <w:color w:val="auto"/>
                <w:sz w:val="24"/>
                <w:u w:val="single" w:color="auto"/>
                <w:lang w:eastAsia="zh-CN"/>
              </w:rPr>
              <w:t>；</w:t>
            </w:r>
          </w:p>
          <w:p>
            <w:pPr>
              <w:pStyle w:val="16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6" w:firstLineChars="200"/>
              <w:textAlignment w:val="auto"/>
              <w:rPr>
                <w:rFonts w:hint="eastAsia"/>
                <w:color w:val="auto"/>
                <w:sz w:val="24"/>
                <w:u w:val="single" w:color="auto"/>
                <w:lang w:val="en-US" w:eastAsia="zh-CN"/>
              </w:rPr>
            </w:pPr>
            <w:r>
              <w:rPr>
                <w:rFonts w:hint="eastAsia" w:cs="Times New Roman"/>
                <w:color w:val="auto"/>
                <w:sz w:val="24"/>
                <w:u w:val="single" w:color="auto"/>
                <w:lang w:val="en-US" w:eastAsia="zh-CN"/>
              </w:rPr>
              <w:t>包装、检验</w:t>
            </w:r>
            <w:r>
              <w:rPr>
                <w:rFonts w:hint="eastAsia" w:ascii="Times New Roman" w:hAnsi="Times New Roman" w:eastAsia="宋体" w:cs="Times New Roman"/>
                <w:color w:val="auto"/>
                <w:sz w:val="24"/>
                <w:u w:val="single" w:color="auto"/>
              </w:rPr>
              <w:t>：</w:t>
            </w:r>
            <w:r>
              <w:rPr>
                <w:rFonts w:hint="eastAsia"/>
                <w:color w:val="auto"/>
                <w:sz w:val="24"/>
                <w:u w:val="single" w:color="auto"/>
                <w:lang w:val="en-US" w:eastAsia="zh-CN"/>
              </w:rPr>
              <w:t>复卷后的成品使用包装机对其进行包装，包装完成和检验合格后即可入库储存、出售。</w:t>
            </w:r>
          </w:p>
          <w:p>
            <w:pPr>
              <w:pStyle w:val="34"/>
              <w:ind w:leftChars="0"/>
              <w:rPr>
                <w:rFonts w:hint="eastAsia"/>
                <w:sz w:val="24"/>
                <w:u w:val="single" w:color="auto"/>
              </w:rPr>
            </w:pPr>
          </w:p>
          <w:p>
            <w:pPr>
              <w:pStyle w:val="34"/>
              <w:ind w:leftChars="0"/>
              <w:rPr>
                <w:rFonts w:hint="eastAsia"/>
                <w:sz w:val="24"/>
                <w:u w:val="single" w:color="auto"/>
              </w:rPr>
            </w:pPr>
          </w:p>
          <w:p>
            <w:pPr>
              <w:pStyle w:val="34"/>
              <w:ind w:leftChars="0"/>
              <w:rPr>
                <w:rFonts w:hint="eastAsia"/>
                <w:sz w:val="24"/>
                <w:u w:val="single" w:color="auto"/>
              </w:rPr>
            </w:pPr>
          </w:p>
          <w:p>
            <w:pPr>
              <w:pStyle w:val="34"/>
              <w:ind w:leftChars="0"/>
              <w:rPr>
                <w:rFonts w:hint="eastAsia"/>
                <w:sz w:val="24"/>
                <w:u w:val="single" w:color="auto"/>
              </w:rPr>
            </w:pPr>
          </w:p>
          <w:p>
            <w:pPr>
              <w:pStyle w:val="34"/>
              <w:ind w:leftChars="0"/>
              <w:rPr>
                <w:sz w:val="24"/>
                <w:u w:val="single" w:color="auto"/>
              </w:rPr>
            </w:pPr>
            <w:r>
              <w:rPr>
                <w:rFonts w:hint="eastAsia"/>
                <w:sz w:val="24"/>
                <w:u w:val="single" w:color="auto"/>
              </w:rPr>
              <w:t>（</w:t>
            </w:r>
            <w:r>
              <w:rPr>
                <w:rFonts w:hint="eastAsia"/>
                <w:sz w:val="24"/>
                <w:u w:val="single" w:color="auto"/>
                <w:lang w:val="en-US" w:eastAsia="zh-CN"/>
              </w:rPr>
              <w:t>2</w:t>
            </w:r>
            <w:r>
              <w:rPr>
                <w:rFonts w:hint="eastAsia"/>
                <w:sz w:val="24"/>
                <w:u w:val="single" w:color="auto"/>
              </w:rPr>
              <w:t>）</w:t>
            </w:r>
            <w:r>
              <w:rPr>
                <w:rFonts w:hint="eastAsia"/>
                <w:sz w:val="24"/>
                <w:u w:val="single" w:color="auto"/>
                <w:lang w:val="en-US" w:eastAsia="zh-CN"/>
              </w:rPr>
              <w:t>卫生抽纸、擦手纸</w:t>
            </w:r>
            <w:r>
              <w:rPr>
                <w:rFonts w:hint="eastAsia"/>
                <w:sz w:val="24"/>
                <w:u w:val="single" w:color="auto"/>
              </w:rPr>
              <w:t>生产工艺流程及产污环节见图5</w:t>
            </w:r>
            <w:r>
              <w:rPr>
                <w:rFonts w:hint="eastAsia"/>
                <w:sz w:val="24"/>
                <w:u w:val="single" w:color="auto"/>
                <w:lang w:val="en-US" w:eastAsia="zh-CN"/>
              </w:rPr>
              <w:t>-2</w:t>
            </w:r>
            <w:r>
              <w:rPr>
                <w:rFonts w:hint="eastAsia"/>
                <w:sz w:val="24"/>
                <w:u w:val="single" w:color="auto"/>
              </w:rPr>
              <w:t>所示：</w:t>
            </w:r>
          </w:p>
          <w:p>
            <w:pPr>
              <w:jc w:val="center"/>
              <w:rPr>
                <w:u w:val="single" w:color="auto"/>
              </w:rPr>
            </w:pPr>
            <w:r>
              <w:rPr>
                <w:b/>
                <w:sz w:val="24"/>
                <w:szCs w:val="24"/>
                <w:u w:val="single" w:color="auto"/>
              </w:rPr>
              <w:pict>
                <v:shape id="_x0000_s1029" o:spid="_x0000_s1029" o:spt="75" type="#_x0000_t75" style="position:absolute;left:0pt;margin-left:67.95pt;margin-top:3.45pt;height:355.6pt;width:329.05pt;z-index:1875257344;mso-width-relative:page;mso-height-relative:page;" o:ole="t" filled="f" o:preferrelative="t" stroked="f" coordsize="21600,21600">
                  <v:path/>
                  <v:fill on="f" focussize="0,0"/>
                  <v:stroke on="f"/>
                  <v:imagedata r:id="rId15" o:title=""/>
                  <o:lock v:ext="edit" aspectratio="f"/>
                </v:shape>
                <o:OLEObject Type="Embed" ProgID="Visio.Drawing.11" ShapeID="_x0000_s1029" DrawAspect="Content" ObjectID="_1468075727" r:id="rId14">
                  <o:LockedField>false</o:LockedField>
                </o:OLEObject>
              </w:pict>
            </w: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both"/>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rFonts w:hint="eastAsia"/>
                <w:sz w:val="24"/>
                <w:u w:val="single" w:color="auto"/>
              </w:rPr>
            </w:pPr>
            <w:r>
              <w:rPr>
                <w:b/>
                <w:sz w:val="24"/>
                <w:szCs w:val="24"/>
                <w:u w:val="single" w:color="auto"/>
              </w:rPr>
              <w:t>图5-</w:t>
            </w:r>
            <w:r>
              <w:rPr>
                <w:rFonts w:hint="eastAsia"/>
                <w:b/>
                <w:sz w:val="24"/>
                <w:szCs w:val="24"/>
                <w:u w:val="single" w:color="auto"/>
                <w:lang w:val="en-US" w:eastAsia="zh-CN"/>
              </w:rPr>
              <w:t>2</w:t>
            </w:r>
            <w:r>
              <w:rPr>
                <w:b/>
                <w:sz w:val="24"/>
                <w:szCs w:val="24"/>
                <w:u w:val="single" w:color="auto"/>
              </w:rPr>
              <w:t xml:space="preserve">  </w:t>
            </w:r>
            <w:r>
              <w:rPr>
                <w:rFonts w:hint="eastAsia"/>
                <w:b/>
                <w:sz w:val="24"/>
                <w:szCs w:val="24"/>
                <w:u w:val="single" w:color="auto"/>
                <w:lang w:val="en-US" w:eastAsia="zh-CN"/>
              </w:rPr>
              <w:t>卫生抽纸、擦手纸</w:t>
            </w:r>
            <w:r>
              <w:rPr>
                <w:b/>
                <w:sz w:val="24"/>
                <w:szCs w:val="24"/>
                <w:u w:val="single" w:color="auto"/>
              </w:rPr>
              <w:t>生产工艺流程图及产污环节</w:t>
            </w:r>
            <w:r>
              <w:rPr>
                <w:rFonts w:hint="eastAsia"/>
                <w:b/>
                <w:sz w:val="24"/>
                <w:szCs w:val="24"/>
                <w:u w:val="single" w:color="auto"/>
              </w:rPr>
              <w:t>图</w:t>
            </w:r>
          </w:p>
          <w:p>
            <w:pPr>
              <w:pStyle w:val="34"/>
              <w:spacing w:line="360" w:lineRule="auto"/>
              <w:ind w:left="400"/>
              <w:rPr>
                <w:color w:val="auto"/>
                <w:sz w:val="24"/>
                <w:u w:val="single" w:color="auto"/>
              </w:rPr>
            </w:pPr>
            <w:r>
              <w:rPr>
                <w:rFonts w:hint="eastAsia"/>
                <w:color w:val="auto"/>
                <w:sz w:val="24"/>
                <w:u w:val="single" w:color="auto"/>
              </w:rPr>
              <w:t>工艺流程简述：</w:t>
            </w:r>
          </w:p>
          <w:p>
            <w:pPr>
              <w:keepNext w:val="0"/>
              <w:keepLines w:val="0"/>
              <w:pageBreakBefore w:val="0"/>
              <w:widowControl w:val="0"/>
              <w:kinsoku/>
              <w:wordWrap/>
              <w:overflowPunct/>
              <w:topLinePunct w:val="0"/>
              <w:autoSpaceDE/>
              <w:autoSpaceDN/>
              <w:bidi w:val="0"/>
              <w:adjustRightInd/>
              <w:snapToGrid/>
              <w:spacing w:line="360" w:lineRule="auto"/>
              <w:ind w:left="0" w:firstLine="466" w:firstLineChars="200"/>
              <w:textAlignment w:val="auto"/>
              <w:rPr>
                <w:color w:val="auto"/>
                <w:sz w:val="24"/>
                <w:u w:val="single" w:color="auto"/>
              </w:rPr>
            </w:pPr>
            <w:r>
              <w:rPr>
                <w:rFonts w:hint="eastAsia"/>
                <w:color w:val="auto"/>
                <w:sz w:val="24"/>
                <w:u w:val="single" w:color="auto"/>
                <w:lang w:val="en-US" w:eastAsia="zh-CN"/>
              </w:rPr>
              <w:t>分切</w:t>
            </w:r>
            <w:r>
              <w:rPr>
                <w:rFonts w:hint="eastAsia"/>
                <w:color w:val="auto"/>
                <w:sz w:val="24"/>
                <w:u w:val="single" w:color="auto"/>
              </w:rPr>
              <w:t>：</w:t>
            </w:r>
            <w:r>
              <w:rPr>
                <w:rFonts w:hint="eastAsia"/>
                <w:color w:val="auto"/>
                <w:sz w:val="24"/>
                <w:u w:val="single" w:color="auto"/>
                <w:lang w:val="en-US" w:eastAsia="zh-CN"/>
              </w:rPr>
              <w:t>购买已经加工好的卫生原纸，根据客户规格要求对其进行分切，期间会产生废气、噪声、固废</w:t>
            </w:r>
            <w:r>
              <w:rPr>
                <w:rFonts w:hint="eastAsia"/>
                <w:color w:val="auto"/>
                <w:sz w:val="24"/>
                <w:u w:val="single" w:color="auto"/>
              </w:rPr>
              <w:t>；</w:t>
            </w:r>
          </w:p>
          <w:p>
            <w:pPr>
              <w:pStyle w:val="16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6" w:firstLineChars="200"/>
              <w:textAlignment w:val="auto"/>
              <w:rPr>
                <w:rFonts w:hint="eastAsia" w:ascii="Times New Roman" w:hAnsi="Times New Roman" w:eastAsia="宋体" w:cs="Times New Roman"/>
                <w:color w:val="auto"/>
                <w:sz w:val="24"/>
                <w:u w:val="single" w:color="auto"/>
              </w:rPr>
            </w:pPr>
            <w:r>
              <w:rPr>
                <w:rFonts w:hint="eastAsia" w:cs="Times New Roman"/>
                <w:color w:val="auto"/>
                <w:sz w:val="24"/>
                <w:u w:val="single" w:color="auto"/>
                <w:lang w:val="en-US" w:eastAsia="zh-CN"/>
              </w:rPr>
              <w:t>折叠</w:t>
            </w:r>
            <w:r>
              <w:rPr>
                <w:rFonts w:hint="eastAsia" w:ascii="Times New Roman" w:hAnsi="Times New Roman" w:eastAsia="宋体" w:cs="Times New Roman"/>
                <w:color w:val="auto"/>
                <w:sz w:val="24"/>
                <w:u w:val="single" w:color="auto"/>
              </w:rPr>
              <w:t>：</w:t>
            </w:r>
            <w:r>
              <w:rPr>
                <w:rFonts w:hint="eastAsia" w:cs="Times New Roman"/>
                <w:color w:val="auto"/>
                <w:sz w:val="24"/>
                <w:u w:val="single" w:color="auto"/>
                <w:lang w:val="en-US" w:eastAsia="zh-CN"/>
              </w:rPr>
              <w:t>将分切后的卫生原纸进行折叠，期间会产生噪声</w:t>
            </w:r>
            <w:r>
              <w:rPr>
                <w:rFonts w:hint="eastAsia" w:cs="Times New Roman"/>
                <w:color w:val="auto"/>
                <w:sz w:val="24"/>
                <w:u w:val="single" w:color="auto"/>
                <w:lang w:eastAsia="zh-CN"/>
              </w:rPr>
              <w:t>；</w:t>
            </w:r>
          </w:p>
          <w:p>
            <w:pPr>
              <w:pStyle w:val="16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6" w:firstLineChars="200"/>
              <w:textAlignment w:val="auto"/>
              <w:rPr>
                <w:rFonts w:hint="eastAsia"/>
                <w:color w:val="auto"/>
                <w:sz w:val="24"/>
                <w:u w:val="single" w:color="auto"/>
                <w:lang w:val="en-US" w:eastAsia="zh-CN"/>
              </w:rPr>
            </w:pPr>
            <w:r>
              <w:rPr>
                <w:rFonts w:hint="eastAsia" w:cs="Times New Roman"/>
                <w:color w:val="auto"/>
                <w:sz w:val="24"/>
                <w:u w:val="single" w:color="auto"/>
                <w:lang w:val="en-US" w:eastAsia="zh-CN"/>
              </w:rPr>
              <w:t>包装、检验</w:t>
            </w:r>
            <w:r>
              <w:rPr>
                <w:rFonts w:hint="eastAsia" w:ascii="Times New Roman" w:hAnsi="Times New Roman" w:eastAsia="宋体" w:cs="Times New Roman"/>
                <w:color w:val="auto"/>
                <w:sz w:val="24"/>
                <w:u w:val="single" w:color="auto"/>
              </w:rPr>
              <w:t>：</w:t>
            </w:r>
            <w:r>
              <w:rPr>
                <w:rFonts w:hint="eastAsia"/>
                <w:color w:val="auto"/>
                <w:sz w:val="24"/>
                <w:u w:val="single" w:color="auto"/>
                <w:lang w:val="en-US" w:eastAsia="zh-CN"/>
              </w:rPr>
              <w:t>复卷后的成品使用包装机对其进行包装，包装完成和检验合格后即可入库储存、出售。</w:t>
            </w:r>
          </w:p>
          <w:p>
            <w:pPr>
              <w:pStyle w:val="16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6" w:firstLineChars="200"/>
              <w:textAlignment w:val="auto"/>
              <w:rPr>
                <w:rFonts w:hint="eastAsia"/>
                <w:color w:val="auto"/>
                <w:sz w:val="24"/>
                <w:u w:val="single" w:color="auto"/>
                <w:lang w:val="en-US" w:eastAsia="zh-CN"/>
              </w:rPr>
            </w:pPr>
          </w:p>
          <w:p>
            <w:pPr>
              <w:pStyle w:val="16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6" w:firstLineChars="200"/>
              <w:textAlignment w:val="auto"/>
              <w:rPr>
                <w:rFonts w:hint="eastAsia"/>
                <w:color w:val="auto"/>
                <w:sz w:val="24"/>
                <w:u w:val="single" w:color="auto"/>
                <w:lang w:val="en-US" w:eastAsia="zh-CN"/>
              </w:rPr>
            </w:pPr>
          </w:p>
          <w:p>
            <w:pPr>
              <w:pStyle w:val="16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6" w:firstLineChars="200"/>
              <w:textAlignment w:val="auto"/>
              <w:rPr>
                <w:rFonts w:hint="eastAsia"/>
                <w:color w:val="auto"/>
                <w:sz w:val="24"/>
                <w:u w:val="single" w:color="auto"/>
                <w:lang w:val="en-US" w:eastAsia="zh-CN"/>
              </w:rPr>
            </w:pPr>
          </w:p>
          <w:p>
            <w:pPr>
              <w:pStyle w:val="16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6" w:firstLineChars="200"/>
              <w:textAlignment w:val="auto"/>
              <w:rPr>
                <w:rFonts w:hint="eastAsia"/>
                <w:color w:val="auto"/>
                <w:sz w:val="24"/>
                <w:u w:val="single" w:color="auto"/>
                <w:lang w:val="en-US" w:eastAsia="zh-CN"/>
              </w:rPr>
            </w:pPr>
          </w:p>
          <w:p>
            <w:pPr>
              <w:pStyle w:val="16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6" w:firstLineChars="200"/>
              <w:textAlignment w:val="auto"/>
              <w:rPr>
                <w:rFonts w:hint="eastAsia"/>
                <w:color w:val="auto"/>
                <w:sz w:val="24"/>
                <w:u w:val="single" w:color="auto"/>
                <w:lang w:val="en-US" w:eastAsia="zh-CN"/>
              </w:rPr>
            </w:pPr>
          </w:p>
          <w:p>
            <w:pPr>
              <w:pStyle w:val="16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6" w:firstLineChars="200"/>
              <w:textAlignment w:val="auto"/>
              <w:rPr>
                <w:rFonts w:hint="eastAsia"/>
                <w:color w:val="auto"/>
                <w:sz w:val="24"/>
                <w:u w:val="single" w:color="auto"/>
                <w:lang w:val="en-US" w:eastAsia="zh-CN"/>
              </w:rPr>
            </w:pPr>
          </w:p>
          <w:p>
            <w:pPr>
              <w:pStyle w:val="34"/>
              <w:ind w:leftChars="0"/>
              <w:rPr>
                <w:sz w:val="24"/>
                <w:u w:val="single" w:color="auto"/>
              </w:rPr>
            </w:pPr>
            <w:r>
              <w:rPr>
                <w:b/>
                <w:sz w:val="24"/>
                <w:szCs w:val="24"/>
                <w:u w:val="single" w:color="auto"/>
              </w:rPr>
              <w:pict>
                <v:shape id="_x0000_s1033" o:spid="_x0000_s1033" o:spt="75" type="#_x0000_t75" style="position:absolute;left:0pt;margin-left:57.45pt;margin-top:13.6pt;height:373.55pt;width:347.85pt;z-index:853125120;mso-width-relative:page;mso-height-relative:page;" o:ole="t" filled="f" o:preferrelative="t" stroked="f" coordsize="21600,21600">
                  <v:path/>
                  <v:fill on="f" focussize="0,0"/>
                  <v:stroke on="f"/>
                  <v:imagedata r:id="rId17" o:title=""/>
                  <o:lock v:ext="edit" aspectratio="f"/>
                </v:shape>
                <o:OLEObject Type="Embed" ProgID="Visio.Drawing.11" ShapeID="_x0000_s1033" DrawAspect="Content" ObjectID="_1468075728" r:id="rId16">
                  <o:LockedField>false</o:LockedField>
                </o:OLEObject>
              </w:pict>
            </w:r>
            <w:r>
              <w:rPr>
                <w:rFonts w:hint="eastAsia"/>
                <w:sz w:val="24"/>
                <w:u w:val="single" w:color="auto"/>
              </w:rPr>
              <w:t>（</w:t>
            </w:r>
            <w:r>
              <w:rPr>
                <w:rFonts w:hint="eastAsia"/>
                <w:sz w:val="24"/>
                <w:u w:val="single" w:color="auto"/>
                <w:lang w:val="en-US" w:eastAsia="zh-CN"/>
              </w:rPr>
              <w:t>3</w:t>
            </w:r>
            <w:r>
              <w:rPr>
                <w:rFonts w:hint="eastAsia"/>
                <w:sz w:val="24"/>
                <w:u w:val="single" w:color="auto"/>
              </w:rPr>
              <w:t>）</w:t>
            </w:r>
            <w:r>
              <w:rPr>
                <w:rFonts w:hint="eastAsia"/>
                <w:sz w:val="24"/>
                <w:u w:val="single" w:color="auto"/>
                <w:lang w:val="en-US" w:eastAsia="zh-CN"/>
              </w:rPr>
              <w:t>双胶卷纸、热敏卷纸</w:t>
            </w:r>
            <w:r>
              <w:rPr>
                <w:rFonts w:hint="eastAsia"/>
                <w:sz w:val="24"/>
                <w:u w:val="single" w:color="auto"/>
              </w:rPr>
              <w:t>生产工艺流程及产污环节见图5</w:t>
            </w:r>
            <w:r>
              <w:rPr>
                <w:rFonts w:hint="eastAsia"/>
                <w:sz w:val="24"/>
                <w:u w:val="single" w:color="auto"/>
                <w:lang w:val="en-US" w:eastAsia="zh-CN"/>
              </w:rPr>
              <w:t>-3</w:t>
            </w:r>
            <w:r>
              <w:rPr>
                <w:rFonts w:hint="eastAsia"/>
                <w:sz w:val="24"/>
                <w:u w:val="single" w:color="auto"/>
              </w:rPr>
              <w:t>所示：</w:t>
            </w:r>
          </w:p>
          <w:p>
            <w:pPr>
              <w:jc w:val="center"/>
              <w:rPr>
                <w:u w:val="single" w:color="auto"/>
              </w:rPr>
            </w:pPr>
          </w:p>
          <w:p>
            <w:pPr>
              <w:jc w:val="center"/>
              <w:rPr>
                <w:b/>
                <w:sz w:val="24"/>
                <w:szCs w:val="24"/>
                <w:u w:val="single" w:color="auto"/>
              </w:rPr>
            </w:pPr>
          </w:p>
          <w:p>
            <w:pPr>
              <w:jc w:val="center"/>
              <w:rPr>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both"/>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rFonts w:hint="eastAsia"/>
                <w:sz w:val="24"/>
                <w:u w:val="single" w:color="auto"/>
              </w:rPr>
            </w:pPr>
            <w:r>
              <w:rPr>
                <w:b/>
                <w:sz w:val="24"/>
                <w:szCs w:val="24"/>
                <w:u w:val="single" w:color="auto"/>
              </w:rPr>
              <w:t>图5-</w:t>
            </w:r>
            <w:r>
              <w:rPr>
                <w:rFonts w:hint="eastAsia"/>
                <w:b/>
                <w:sz w:val="24"/>
                <w:szCs w:val="24"/>
                <w:u w:val="single" w:color="auto"/>
                <w:lang w:val="en-US" w:eastAsia="zh-CN"/>
              </w:rPr>
              <w:t>3</w:t>
            </w:r>
            <w:r>
              <w:rPr>
                <w:b/>
                <w:sz w:val="24"/>
                <w:szCs w:val="24"/>
                <w:u w:val="single" w:color="auto"/>
              </w:rPr>
              <w:t xml:space="preserve">   </w:t>
            </w:r>
            <w:r>
              <w:rPr>
                <w:rFonts w:hint="eastAsia"/>
                <w:b/>
                <w:sz w:val="24"/>
                <w:szCs w:val="24"/>
                <w:u w:val="single" w:color="auto"/>
                <w:lang w:val="en-US" w:eastAsia="zh-CN"/>
              </w:rPr>
              <w:t>双胶卷纸、热敏卷纸</w:t>
            </w:r>
            <w:r>
              <w:rPr>
                <w:b/>
                <w:sz w:val="24"/>
                <w:szCs w:val="24"/>
                <w:u w:val="single" w:color="auto"/>
              </w:rPr>
              <w:t>生产工艺流程图及产污环节</w:t>
            </w:r>
            <w:r>
              <w:rPr>
                <w:rFonts w:hint="eastAsia"/>
                <w:b/>
                <w:sz w:val="24"/>
                <w:szCs w:val="24"/>
                <w:u w:val="single" w:color="auto"/>
              </w:rPr>
              <w:t>图</w:t>
            </w:r>
          </w:p>
          <w:p>
            <w:pPr>
              <w:pStyle w:val="34"/>
              <w:spacing w:line="360" w:lineRule="auto"/>
              <w:ind w:left="400"/>
              <w:rPr>
                <w:color w:val="auto"/>
                <w:sz w:val="24"/>
                <w:u w:val="single" w:color="auto"/>
              </w:rPr>
            </w:pPr>
            <w:r>
              <w:rPr>
                <w:rFonts w:hint="eastAsia"/>
                <w:color w:val="auto"/>
                <w:sz w:val="24"/>
                <w:u w:val="single" w:color="auto"/>
              </w:rPr>
              <w:t>工艺流程简述：</w:t>
            </w:r>
          </w:p>
          <w:p>
            <w:pPr>
              <w:keepNext w:val="0"/>
              <w:keepLines w:val="0"/>
              <w:pageBreakBefore w:val="0"/>
              <w:widowControl w:val="0"/>
              <w:kinsoku/>
              <w:wordWrap/>
              <w:overflowPunct/>
              <w:topLinePunct w:val="0"/>
              <w:autoSpaceDE/>
              <w:autoSpaceDN/>
              <w:bidi w:val="0"/>
              <w:adjustRightInd/>
              <w:snapToGrid/>
              <w:spacing w:line="360" w:lineRule="auto"/>
              <w:ind w:left="0" w:firstLine="466" w:firstLineChars="200"/>
              <w:textAlignment w:val="auto"/>
              <w:rPr>
                <w:rFonts w:hint="default"/>
                <w:color w:val="auto"/>
                <w:sz w:val="24"/>
                <w:u w:val="single" w:color="auto"/>
                <w:lang w:val="en-US" w:eastAsia="zh-CN"/>
              </w:rPr>
            </w:pPr>
            <w:r>
              <w:rPr>
                <w:rFonts w:hint="eastAsia"/>
                <w:color w:val="auto"/>
                <w:sz w:val="24"/>
                <w:u w:val="single" w:color="auto"/>
                <w:lang w:val="en-US" w:eastAsia="zh-CN"/>
              </w:rPr>
              <w:t>印刷、固化：根据客户要求，需要进行印刷的先印刷和固化后再进行分切，不需要进行印刷的直接进入分切工序。印刷期间会产生废气、噪声、固废、废水；</w:t>
            </w:r>
          </w:p>
          <w:p>
            <w:pPr>
              <w:keepNext w:val="0"/>
              <w:keepLines w:val="0"/>
              <w:pageBreakBefore w:val="0"/>
              <w:widowControl w:val="0"/>
              <w:kinsoku/>
              <w:wordWrap/>
              <w:overflowPunct/>
              <w:topLinePunct w:val="0"/>
              <w:autoSpaceDE/>
              <w:autoSpaceDN/>
              <w:bidi w:val="0"/>
              <w:adjustRightInd/>
              <w:snapToGrid/>
              <w:spacing w:line="360" w:lineRule="auto"/>
              <w:ind w:left="0" w:firstLine="466" w:firstLineChars="200"/>
              <w:textAlignment w:val="auto"/>
              <w:rPr>
                <w:color w:val="auto"/>
                <w:sz w:val="24"/>
                <w:u w:val="single" w:color="auto"/>
              </w:rPr>
            </w:pPr>
            <w:r>
              <w:rPr>
                <w:rFonts w:hint="eastAsia"/>
                <w:color w:val="auto"/>
                <w:sz w:val="24"/>
                <w:u w:val="single" w:color="auto"/>
                <w:lang w:val="en-US" w:eastAsia="zh-CN"/>
              </w:rPr>
              <w:t>分切</w:t>
            </w:r>
            <w:r>
              <w:rPr>
                <w:rFonts w:hint="eastAsia"/>
                <w:color w:val="auto"/>
                <w:sz w:val="24"/>
                <w:u w:val="single" w:color="auto"/>
              </w:rPr>
              <w:t>：</w:t>
            </w:r>
            <w:r>
              <w:rPr>
                <w:rFonts w:hint="eastAsia"/>
                <w:color w:val="auto"/>
                <w:sz w:val="24"/>
                <w:u w:val="single" w:color="auto"/>
                <w:lang w:val="en-US" w:eastAsia="zh-CN"/>
              </w:rPr>
              <w:t>根据客户规格要求对原纸（部分印刷后的原纸）进行分切，期间会产生废气、噪声、固废</w:t>
            </w:r>
            <w:r>
              <w:rPr>
                <w:rFonts w:hint="eastAsia"/>
                <w:color w:val="auto"/>
                <w:sz w:val="24"/>
                <w:u w:val="single" w:color="auto"/>
              </w:rPr>
              <w:t>；</w:t>
            </w:r>
          </w:p>
          <w:p>
            <w:pPr>
              <w:pStyle w:val="16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6" w:firstLineChars="200"/>
              <w:textAlignment w:val="auto"/>
              <w:rPr>
                <w:rFonts w:hint="eastAsia" w:ascii="Times New Roman" w:hAnsi="Times New Roman" w:eastAsia="宋体" w:cs="Times New Roman"/>
                <w:color w:val="auto"/>
                <w:sz w:val="24"/>
                <w:u w:val="single" w:color="auto"/>
              </w:rPr>
            </w:pPr>
            <w:r>
              <w:rPr>
                <w:rFonts w:hint="eastAsia" w:cs="Times New Roman"/>
                <w:color w:val="auto"/>
                <w:sz w:val="24"/>
                <w:u w:val="single" w:color="auto"/>
                <w:lang w:val="en-US" w:eastAsia="zh-CN"/>
              </w:rPr>
              <w:t>复卷</w:t>
            </w:r>
            <w:r>
              <w:rPr>
                <w:rFonts w:hint="eastAsia" w:ascii="Times New Roman" w:hAnsi="Times New Roman" w:eastAsia="宋体" w:cs="Times New Roman"/>
                <w:color w:val="auto"/>
                <w:sz w:val="24"/>
                <w:u w:val="single" w:color="auto"/>
              </w:rPr>
              <w:t>：</w:t>
            </w:r>
            <w:r>
              <w:rPr>
                <w:rFonts w:hint="eastAsia" w:cs="Times New Roman"/>
                <w:color w:val="auto"/>
                <w:sz w:val="24"/>
                <w:u w:val="single" w:color="auto"/>
                <w:lang w:val="en-US" w:eastAsia="zh-CN"/>
              </w:rPr>
              <w:t>将分切后的原纸进行复卷，形成成品卷纸，期间会产生噪声</w:t>
            </w:r>
            <w:r>
              <w:rPr>
                <w:rFonts w:hint="eastAsia" w:cs="Times New Roman"/>
                <w:color w:val="auto"/>
                <w:sz w:val="24"/>
                <w:u w:val="single" w:color="auto"/>
                <w:lang w:eastAsia="zh-CN"/>
              </w:rPr>
              <w:t>；</w:t>
            </w:r>
          </w:p>
          <w:p>
            <w:pPr>
              <w:spacing w:line="360" w:lineRule="auto"/>
              <w:ind w:firstLine="466" w:firstLineChars="200"/>
              <w:jc w:val="both"/>
              <w:rPr>
                <w:b/>
                <w:sz w:val="24"/>
                <w:szCs w:val="24"/>
                <w:u w:val="single" w:color="auto"/>
              </w:rPr>
            </w:pPr>
            <w:r>
              <w:rPr>
                <w:rFonts w:hint="eastAsia" w:cs="Times New Roman"/>
                <w:color w:val="auto"/>
                <w:sz w:val="24"/>
                <w:u w:val="single" w:color="auto"/>
                <w:lang w:val="en-US" w:eastAsia="zh-CN"/>
              </w:rPr>
              <w:t>包装、检验</w:t>
            </w:r>
            <w:r>
              <w:rPr>
                <w:rFonts w:hint="eastAsia" w:ascii="Times New Roman" w:hAnsi="Times New Roman" w:eastAsia="宋体" w:cs="Times New Roman"/>
                <w:color w:val="auto"/>
                <w:sz w:val="24"/>
                <w:u w:val="single" w:color="auto"/>
              </w:rPr>
              <w:t>：</w:t>
            </w:r>
            <w:r>
              <w:rPr>
                <w:rFonts w:hint="eastAsia"/>
                <w:color w:val="auto"/>
                <w:sz w:val="24"/>
                <w:u w:val="single" w:color="auto"/>
                <w:lang w:val="en-US" w:eastAsia="zh-CN"/>
              </w:rPr>
              <w:t>复卷后的成品使用包装机对其进行包装，包装完成和检验合格后即可入库储存、出售。</w:t>
            </w:r>
          </w:p>
          <w:p>
            <w:pPr>
              <w:spacing w:line="360" w:lineRule="auto"/>
              <w:ind w:firstLine="466" w:firstLineChars="200"/>
              <w:jc w:val="both"/>
              <w:rPr>
                <w:rFonts w:hint="default" w:eastAsia="宋体"/>
                <w:b/>
                <w:sz w:val="24"/>
                <w:szCs w:val="24"/>
                <w:u w:val="single" w:color="auto"/>
                <w:lang w:val="en-US" w:eastAsia="zh-CN"/>
              </w:rPr>
            </w:pPr>
            <w:r>
              <w:rPr>
                <w:rFonts w:hint="eastAsia"/>
                <w:b/>
                <w:sz w:val="24"/>
                <w:szCs w:val="24"/>
                <w:u w:val="single" w:color="auto"/>
                <w:lang w:val="en-US" w:eastAsia="zh-CN"/>
              </w:rPr>
              <w:t>注：项目双胶卷纸和热敏卷纸的生产工艺基本一致，只有原料不一样。</w:t>
            </w:r>
          </w:p>
          <w:p>
            <w:pPr>
              <w:spacing w:line="360" w:lineRule="auto"/>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pStyle w:val="34"/>
              <w:ind w:leftChars="0"/>
              <w:rPr>
                <w:sz w:val="24"/>
                <w:u w:val="single" w:color="auto"/>
              </w:rPr>
            </w:pPr>
            <w:r>
              <w:rPr>
                <w:b/>
                <w:sz w:val="24"/>
                <w:szCs w:val="24"/>
                <w:u w:val="single" w:color="auto"/>
              </w:rPr>
              <w:pict>
                <v:shape id="_x0000_s1032" o:spid="_x0000_s1032" o:spt="75" type="#_x0000_t75" style="position:absolute;left:0pt;margin-left:75.45pt;margin-top:12.85pt;height:373.55pt;width:296.1pt;z-index:-770475008;mso-width-relative:page;mso-height-relative:page;" o:ole="t" filled="f" o:preferrelative="t" stroked="f" coordsize="21600,21600">
                  <v:path/>
                  <v:fill on="f" focussize="0,0"/>
                  <v:stroke on="f"/>
                  <v:imagedata r:id="rId19" o:title=""/>
                  <o:lock v:ext="edit" aspectratio="f"/>
                </v:shape>
                <o:OLEObject Type="Embed" ProgID="Visio.Drawing.11" ShapeID="_x0000_s1032" DrawAspect="Content" ObjectID="_1468075729" r:id="rId18">
                  <o:LockedField>false</o:LockedField>
                </o:OLEObject>
              </w:pict>
            </w:r>
            <w:r>
              <w:rPr>
                <w:rFonts w:hint="eastAsia"/>
                <w:sz w:val="24"/>
                <w:u w:val="single" w:color="auto"/>
              </w:rPr>
              <w:t>（</w:t>
            </w:r>
            <w:r>
              <w:rPr>
                <w:rFonts w:hint="eastAsia"/>
                <w:sz w:val="24"/>
                <w:u w:val="single" w:color="auto"/>
                <w:lang w:val="en-US" w:eastAsia="zh-CN"/>
              </w:rPr>
              <w:t>4</w:t>
            </w:r>
            <w:r>
              <w:rPr>
                <w:rFonts w:hint="eastAsia"/>
                <w:sz w:val="24"/>
                <w:u w:val="single" w:color="auto"/>
              </w:rPr>
              <w:t>）</w:t>
            </w:r>
            <w:r>
              <w:rPr>
                <w:rFonts w:hint="eastAsia"/>
                <w:sz w:val="24"/>
                <w:u w:val="single" w:color="auto"/>
                <w:lang w:val="en-US" w:eastAsia="zh-CN"/>
              </w:rPr>
              <w:t>复印纸</w:t>
            </w:r>
            <w:r>
              <w:rPr>
                <w:rFonts w:hint="eastAsia"/>
                <w:sz w:val="24"/>
                <w:u w:val="single" w:color="auto"/>
              </w:rPr>
              <w:t>生产工艺流程及产污环节见图5</w:t>
            </w:r>
            <w:r>
              <w:rPr>
                <w:rFonts w:hint="eastAsia"/>
                <w:sz w:val="24"/>
                <w:u w:val="single" w:color="auto"/>
                <w:lang w:val="en-US" w:eastAsia="zh-CN"/>
              </w:rPr>
              <w:t>-4</w:t>
            </w:r>
            <w:r>
              <w:rPr>
                <w:rFonts w:hint="eastAsia"/>
                <w:sz w:val="24"/>
                <w:u w:val="single" w:color="auto"/>
              </w:rPr>
              <w:t>所示：</w:t>
            </w:r>
          </w:p>
          <w:p>
            <w:pPr>
              <w:jc w:val="center"/>
              <w:rPr>
                <w:u w:val="single" w:color="auto"/>
              </w:rPr>
            </w:pPr>
          </w:p>
          <w:p>
            <w:pPr>
              <w:jc w:val="center"/>
              <w:rPr>
                <w:b/>
                <w:sz w:val="24"/>
                <w:szCs w:val="24"/>
                <w:u w:val="single" w:color="auto"/>
              </w:rPr>
            </w:pPr>
          </w:p>
          <w:p>
            <w:pPr>
              <w:jc w:val="center"/>
              <w:rPr>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both"/>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rFonts w:hint="eastAsia"/>
                <w:sz w:val="24"/>
                <w:u w:val="single" w:color="auto"/>
              </w:rPr>
            </w:pPr>
            <w:r>
              <w:rPr>
                <w:b/>
                <w:sz w:val="24"/>
                <w:szCs w:val="24"/>
                <w:u w:val="single" w:color="auto"/>
              </w:rPr>
              <w:t>图5-</w:t>
            </w:r>
            <w:r>
              <w:rPr>
                <w:rFonts w:hint="eastAsia"/>
                <w:b/>
                <w:sz w:val="24"/>
                <w:szCs w:val="24"/>
                <w:u w:val="single" w:color="auto"/>
                <w:lang w:val="en-US" w:eastAsia="zh-CN"/>
              </w:rPr>
              <w:t>4</w:t>
            </w:r>
            <w:r>
              <w:rPr>
                <w:b/>
                <w:sz w:val="24"/>
                <w:szCs w:val="24"/>
                <w:u w:val="single" w:color="auto"/>
              </w:rPr>
              <w:t xml:space="preserve">   </w:t>
            </w:r>
            <w:r>
              <w:rPr>
                <w:rFonts w:hint="eastAsia"/>
                <w:b/>
                <w:sz w:val="24"/>
                <w:szCs w:val="24"/>
                <w:u w:val="single" w:color="auto"/>
                <w:lang w:val="en-US" w:eastAsia="zh-CN"/>
              </w:rPr>
              <w:t>复印纸</w:t>
            </w:r>
            <w:r>
              <w:rPr>
                <w:b/>
                <w:sz w:val="24"/>
                <w:szCs w:val="24"/>
                <w:u w:val="single" w:color="auto"/>
              </w:rPr>
              <w:t>生产工艺流程图及产污环节</w:t>
            </w:r>
            <w:r>
              <w:rPr>
                <w:rFonts w:hint="eastAsia"/>
                <w:b/>
                <w:sz w:val="24"/>
                <w:szCs w:val="24"/>
                <w:u w:val="single" w:color="auto"/>
              </w:rPr>
              <w:t>图</w:t>
            </w:r>
          </w:p>
          <w:p>
            <w:pPr>
              <w:pStyle w:val="34"/>
              <w:spacing w:line="360" w:lineRule="auto"/>
              <w:ind w:left="400"/>
              <w:rPr>
                <w:color w:val="auto"/>
                <w:sz w:val="24"/>
                <w:u w:val="single" w:color="auto"/>
              </w:rPr>
            </w:pPr>
            <w:r>
              <w:rPr>
                <w:rFonts w:hint="eastAsia"/>
                <w:color w:val="auto"/>
                <w:sz w:val="24"/>
                <w:u w:val="single" w:color="auto"/>
              </w:rPr>
              <w:t>工艺流程简述：</w:t>
            </w:r>
          </w:p>
          <w:p>
            <w:pPr>
              <w:keepNext w:val="0"/>
              <w:keepLines w:val="0"/>
              <w:pageBreakBefore w:val="0"/>
              <w:widowControl w:val="0"/>
              <w:kinsoku/>
              <w:wordWrap/>
              <w:overflowPunct/>
              <w:topLinePunct w:val="0"/>
              <w:autoSpaceDE/>
              <w:autoSpaceDN/>
              <w:bidi w:val="0"/>
              <w:adjustRightInd/>
              <w:snapToGrid/>
              <w:spacing w:line="360" w:lineRule="auto"/>
              <w:ind w:left="0" w:firstLine="466" w:firstLineChars="200"/>
              <w:textAlignment w:val="auto"/>
              <w:rPr>
                <w:color w:val="auto"/>
                <w:sz w:val="24"/>
                <w:u w:val="single" w:color="auto"/>
              </w:rPr>
            </w:pPr>
            <w:r>
              <w:rPr>
                <w:rFonts w:hint="eastAsia"/>
                <w:color w:val="auto"/>
                <w:sz w:val="24"/>
                <w:u w:val="single" w:color="auto"/>
                <w:lang w:val="en-US" w:eastAsia="zh-CN"/>
              </w:rPr>
              <w:t>印刷、固化</w:t>
            </w:r>
            <w:r>
              <w:rPr>
                <w:rFonts w:hint="eastAsia"/>
                <w:color w:val="auto"/>
                <w:sz w:val="24"/>
                <w:u w:val="single" w:color="auto"/>
              </w:rPr>
              <w:t>：</w:t>
            </w:r>
            <w:r>
              <w:rPr>
                <w:rFonts w:hint="eastAsia"/>
                <w:color w:val="auto"/>
                <w:sz w:val="24"/>
                <w:u w:val="single" w:color="auto"/>
                <w:lang w:val="en-US" w:eastAsia="zh-CN"/>
              </w:rPr>
              <w:t>购买已经加工好的复印原纸，对其进行水性油墨印刷，印刷完成后使用紫外灯进行加热固化，期间会产生废气、噪声、固废、废水</w:t>
            </w:r>
            <w:r>
              <w:rPr>
                <w:rFonts w:hint="eastAsia"/>
                <w:color w:val="auto"/>
                <w:sz w:val="24"/>
                <w:u w:val="single" w:color="auto"/>
              </w:rPr>
              <w:t>；</w:t>
            </w:r>
          </w:p>
          <w:p>
            <w:pPr>
              <w:pStyle w:val="16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6" w:firstLineChars="200"/>
              <w:textAlignment w:val="auto"/>
              <w:rPr>
                <w:rFonts w:hint="eastAsia" w:ascii="Times New Roman" w:hAnsi="Times New Roman" w:eastAsia="宋体" w:cs="Times New Roman"/>
                <w:color w:val="auto"/>
                <w:sz w:val="24"/>
                <w:u w:val="single" w:color="auto"/>
              </w:rPr>
            </w:pPr>
            <w:r>
              <w:rPr>
                <w:rFonts w:hint="eastAsia" w:cs="Times New Roman"/>
                <w:color w:val="auto"/>
                <w:sz w:val="24"/>
                <w:u w:val="single" w:color="auto"/>
                <w:lang w:val="en-US" w:eastAsia="zh-CN"/>
              </w:rPr>
              <w:t>分切、复卷</w:t>
            </w:r>
            <w:r>
              <w:rPr>
                <w:rFonts w:hint="eastAsia" w:ascii="Times New Roman" w:hAnsi="Times New Roman" w:eastAsia="宋体" w:cs="Times New Roman"/>
                <w:color w:val="auto"/>
                <w:sz w:val="24"/>
                <w:u w:val="single" w:color="auto"/>
              </w:rPr>
              <w:t>：</w:t>
            </w:r>
            <w:r>
              <w:rPr>
                <w:rFonts w:hint="eastAsia" w:cs="Times New Roman"/>
                <w:color w:val="auto"/>
                <w:sz w:val="24"/>
                <w:u w:val="single" w:color="auto"/>
                <w:lang w:val="en-US" w:eastAsia="zh-CN"/>
              </w:rPr>
              <w:t>将印刷固化后的复印纸按照规定的规格进行分切、复卷，期间会产生废气、噪声、固废</w:t>
            </w:r>
            <w:r>
              <w:rPr>
                <w:rFonts w:hint="eastAsia" w:cs="Times New Roman"/>
                <w:color w:val="auto"/>
                <w:sz w:val="24"/>
                <w:u w:val="single" w:color="auto"/>
                <w:lang w:eastAsia="zh-CN"/>
              </w:rPr>
              <w:t>；</w:t>
            </w:r>
          </w:p>
          <w:p>
            <w:pPr>
              <w:spacing w:line="360" w:lineRule="auto"/>
              <w:ind w:firstLine="466" w:firstLineChars="200"/>
              <w:jc w:val="both"/>
              <w:rPr>
                <w:b/>
                <w:sz w:val="24"/>
                <w:szCs w:val="24"/>
                <w:u w:val="single" w:color="auto"/>
              </w:rPr>
            </w:pPr>
            <w:r>
              <w:rPr>
                <w:rFonts w:hint="eastAsia" w:cs="Times New Roman"/>
                <w:color w:val="auto"/>
                <w:sz w:val="24"/>
                <w:u w:val="single" w:color="auto"/>
                <w:lang w:val="en-US" w:eastAsia="zh-CN"/>
              </w:rPr>
              <w:t>包装、检验</w:t>
            </w:r>
            <w:r>
              <w:rPr>
                <w:rFonts w:hint="eastAsia" w:ascii="Times New Roman" w:hAnsi="Times New Roman" w:eastAsia="宋体" w:cs="Times New Roman"/>
                <w:color w:val="auto"/>
                <w:sz w:val="24"/>
                <w:u w:val="single" w:color="auto"/>
              </w:rPr>
              <w:t>：</w:t>
            </w:r>
            <w:r>
              <w:rPr>
                <w:rFonts w:hint="eastAsia"/>
                <w:color w:val="auto"/>
                <w:sz w:val="24"/>
                <w:u w:val="single" w:color="auto"/>
                <w:lang w:val="en-US" w:eastAsia="zh-CN"/>
              </w:rPr>
              <w:t>复卷后的成品使用包装机对其进行包装，包装完成和检验合格后即可入库储存、出售。</w:t>
            </w:r>
          </w:p>
          <w:p>
            <w:pPr>
              <w:spacing w:line="360" w:lineRule="auto"/>
              <w:ind w:firstLine="466" w:firstLineChars="200"/>
              <w:jc w:val="both"/>
              <w:rPr>
                <w:b/>
                <w:sz w:val="24"/>
                <w:szCs w:val="24"/>
                <w:u w:val="single" w:color="auto"/>
              </w:rPr>
            </w:pPr>
            <w:r>
              <w:rPr>
                <w:rFonts w:hint="eastAsia"/>
                <w:b/>
                <w:sz w:val="24"/>
                <w:szCs w:val="24"/>
                <w:u w:val="single" w:color="auto"/>
                <w:lang w:val="en-US" w:eastAsia="zh-CN"/>
              </w:rPr>
              <w:t>注：</w:t>
            </w:r>
            <w:r>
              <w:rPr>
                <w:rFonts w:hint="eastAsia"/>
                <w:b/>
                <w:sz w:val="24"/>
                <w:szCs w:val="24"/>
                <w:u w:val="single" w:color="auto"/>
              </w:rPr>
              <w:t>本项目采用凸版印刷机进行印刷。凸版印刷机主要包括着墨辊、印版滚筒、压印滚简三部分构成。本项目印刷在常温下进行，不需进行加热处理。本项目所购买的油墨均可直接用于印刷，不需进行调墨。</w:t>
            </w:r>
          </w:p>
          <w:p>
            <w:pPr>
              <w:jc w:val="center"/>
              <w:rPr>
                <w:b/>
                <w:sz w:val="24"/>
                <w:szCs w:val="24"/>
                <w:u w:val="none" w:color="auto"/>
              </w:rPr>
            </w:pPr>
          </w:p>
          <w:p>
            <w:pPr>
              <w:jc w:val="center"/>
              <w:rPr>
                <w:b/>
                <w:sz w:val="24"/>
                <w:szCs w:val="24"/>
                <w:u w:val="none" w:color="auto"/>
              </w:rPr>
            </w:pPr>
          </w:p>
          <w:p>
            <w:pPr>
              <w:adjustRightInd w:val="0"/>
              <w:snapToGrid w:val="0"/>
              <w:spacing w:line="360" w:lineRule="auto"/>
              <w:ind w:right="113"/>
              <w:rPr>
                <w:b/>
                <w:kern w:val="0"/>
                <w:sz w:val="30"/>
                <w:szCs w:val="30"/>
                <w:u w:val="none" w:color="auto"/>
              </w:rPr>
            </w:pPr>
            <w:r>
              <w:rPr>
                <w:rFonts w:hint="eastAsia"/>
                <w:b/>
                <w:kern w:val="0"/>
                <w:sz w:val="30"/>
                <w:szCs w:val="30"/>
                <w:u w:val="none" w:color="auto"/>
              </w:rPr>
              <w:t>运营期</w:t>
            </w:r>
            <w:r>
              <w:rPr>
                <w:b/>
                <w:kern w:val="0"/>
                <w:sz w:val="30"/>
                <w:szCs w:val="30"/>
                <w:u w:val="none" w:color="auto"/>
              </w:rPr>
              <w:t>：</w:t>
            </w:r>
          </w:p>
          <w:p>
            <w:pPr>
              <w:snapToGrid w:val="0"/>
              <w:spacing w:line="360" w:lineRule="auto"/>
              <w:ind w:firstLine="457" w:firstLineChars="196"/>
              <w:rPr>
                <w:sz w:val="24"/>
                <w:szCs w:val="24"/>
                <w:u w:val="none" w:color="auto"/>
              </w:rPr>
            </w:pPr>
            <w:r>
              <w:rPr>
                <w:sz w:val="24"/>
                <w:szCs w:val="24"/>
                <w:u w:val="none" w:color="auto"/>
              </w:rPr>
              <w:t>1、废水</w:t>
            </w:r>
          </w:p>
          <w:p>
            <w:pPr>
              <w:snapToGrid w:val="0"/>
              <w:spacing w:line="360" w:lineRule="auto"/>
              <w:ind w:firstLine="457" w:firstLineChars="196"/>
              <w:rPr>
                <w:bCs/>
                <w:sz w:val="24"/>
                <w:szCs w:val="24"/>
                <w:u w:val="none" w:color="auto"/>
              </w:rPr>
            </w:pPr>
            <w:r>
              <w:rPr>
                <w:rFonts w:hint="eastAsia"/>
                <w:bCs/>
                <w:sz w:val="24"/>
                <w:szCs w:val="24"/>
                <w:u w:val="none" w:color="auto"/>
              </w:rPr>
              <w:t>本项目车间地面基本以干式打扫为主，故无车间清洁废水</w:t>
            </w:r>
            <w:r>
              <w:rPr>
                <w:rFonts w:hint="eastAsia"/>
                <w:bCs/>
                <w:sz w:val="24"/>
                <w:szCs w:val="24"/>
                <w:u w:val="none" w:color="auto"/>
                <w:lang w:eastAsia="zh-CN"/>
              </w:rPr>
              <w:t>，生产用水主要为</w:t>
            </w:r>
            <w:r>
              <w:rPr>
                <w:rFonts w:hint="eastAsia"/>
                <w:bCs/>
                <w:sz w:val="24"/>
                <w:szCs w:val="24"/>
                <w:u w:val="none" w:color="auto"/>
                <w:lang w:val="en-US" w:eastAsia="zh-CN"/>
              </w:rPr>
              <w:t>印刷工序擦洗废水</w:t>
            </w:r>
            <w:r>
              <w:rPr>
                <w:rFonts w:hint="eastAsia"/>
                <w:bCs/>
                <w:sz w:val="24"/>
                <w:szCs w:val="24"/>
                <w:u w:val="none" w:color="auto"/>
              </w:rPr>
              <w:t>。</w:t>
            </w:r>
            <w:r>
              <w:rPr>
                <w:rFonts w:hint="eastAsia"/>
                <w:bCs/>
                <w:sz w:val="24"/>
                <w:szCs w:val="24"/>
                <w:u w:val="none" w:color="auto"/>
                <w:lang w:eastAsia="zh-CN"/>
              </w:rPr>
              <w:t>生活</w:t>
            </w:r>
            <w:r>
              <w:rPr>
                <w:rFonts w:hint="eastAsia"/>
                <w:bCs/>
                <w:sz w:val="24"/>
                <w:szCs w:val="24"/>
                <w:u w:val="none" w:color="auto"/>
                <w:lang w:val="en-US" w:eastAsia="zh-CN"/>
              </w:rPr>
              <w:t>污</w:t>
            </w:r>
            <w:r>
              <w:rPr>
                <w:rFonts w:hint="eastAsia"/>
                <w:bCs/>
                <w:sz w:val="24"/>
                <w:szCs w:val="24"/>
                <w:u w:val="none" w:color="auto"/>
              </w:rPr>
              <w:t>水主要来自于员工的生活污水。</w:t>
            </w:r>
          </w:p>
          <w:p>
            <w:pPr>
              <w:snapToGrid w:val="0"/>
              <w:spacing w:line="360" w:lineRule="auto"/>
              <w:ind w:firstLine="457" w:firstLineChars="196"/>
              <w:rPr>
                <w:bCs/>
                <w:sz w:val="24"/>
                <w:u w:val="none" w:color="auto"/>
              </w:rPr>
            </w:pPr>
            <w:r>
              <w:rPr>
                <w:rFonts w:hint="eastAsia"/>
                <w:bCs/>
                <w:sz w:val="24"/>
                <w:u w:val="none" w:color="auto"/>
              </w:rPr>
              <w:t>（1）生活污水</w:t>
            </w:r>
          </w:p>
          <w:p>
            <w:pPr>
              <w:snapToGrid w:val="0"/>
              <w:spacing w:line="360" w:lineRule="auto"/>
              <w:ind w:firstLine="457" w:firstLineChars="196"/>
              <w:rPr>
                <w:sz w:val="24"/>
                <w:szCs w:val="24"/>
                <w:u w:val="none" w:color="auto"/>
              </w:rPr>
            </w:pPr>
            <w:r>
              <w:rPr>
                <w:rFonts w:hint="eastAsia"/>
                <w:bCs/>
                <w:sz w:val="24"/>
                <w:u w:val="none" w:color="auto"/>
              </w:rPr>
              <w:t>本项目营运期生活污水产生量为</w:t>
            </w:r>
            <w:r>
              <w:rPr>
                <w:rFonts w:hint="eastAsia"/>
                <w:sz w:val="24"/>
                <w:szCs w:val="24"/>
                <w:u w:val="none" w:color="auto"/>
                <w:lang w:val="en-US" w:eastAsia="zh-CN"/>
              </w:rPr>
              <w:t>2</w:t>
            </w:r>
            <w:r>
              <w:rPr>
                <w:rFonts w:hint="eastAsia"/>
                <w:bCs/>
                <w:sz w:val="24"/>
                <w:u w:val="none" w:color="auto"/>
              </w:rPr>
              <w:t>m</w:t>
            </w:r>
            <w:r>
              <w:rPr>
                <w:rFonts w:hint="eastAsia"/>
                <w:bCs/>
                <w:sz w:val="24"/>
                <w:u w:val="none" w:color="auto"/>
                <w:vertAlign w:val="superscript"/>
              </w:rPr>
              <w:t>3</w:t>
            </w:r>
            <w:r>
              <w:rPr>
                <w:rFonts w:hint="eastAsia"/>
                <w:bCs/>
                <w:sz w:val="24"/>
                <w:u w:val="none" w:color="auto"/>
              </w:rPr>
              <w:t>/d、</w:t>
            </w:r>
            <w:r>
              <w:rPr>
                <w:rFonts w:hint="eastAsia"/>
                <w:bCs/>
                <w:sz w:val="24"/>
                <w:u w:val="none" w:color="auto"/>
                <w:lang w:val="en-US" w:eastAsia="zh-CN"/>
              </w:rPr>
              <w:t>600</w:t>
            </w:r>
            <w:r>
              <w:rPr>
                <w:rFonts w:hint="eastAsia"/>
                <w:bCs/>
                <w:sz w:val="24"/>
                <w:u w:val="none" w:color="auto"/>
              </w:rPr>
              <w:t>m</w:t>
            </w:r>
            <w:r>
              <w:rPr>
                <w:rFonts w:hint="eastAsia"/>
                <w:bCs/>
                <w:sz w:val="24"/>
                <w:u w:val="none" w:color="auto"/>
                <w:vertAlign w:val="superscript"/>
              </w:rPr>
              <w:t>3</w:t>
            </w:r>
            <w:r>
              <w:rPr>
                <w:rFonts w:hint="eastAsia"/>
                <w:bCs/>
                <w:sz w:val="24"/>
                <w:u w:val="none" w:color="auto"/>
              </w:rPr>
              <w:t>/a，其主要污染因子为 COD、BOD</w:t>
            </w:r>
            <w:r>
              <w:rPr>
                <w:rFonts w:hint="eastAsia"/>
                <w:bCs/>
                <w:sz w:val="24"/>
                <w:u w:val="none" w:color="auto"/>
                <w:vertAlign w:val="subscript"/>
              </w:rPr>
              <w:t>5</w:t>
            </w:r>
            <w:r>
              <w:rPr>
                <w:rFonts w:hint="eastAsia"/>
                <w:bCs/>
                <w:sz w:val="24"/>
                <w:u w:val="none" w:color="auto"/>
              </w:rPr>
              <w:t>、SS、NH</w:t>
            </w:r>
            <w:r>
              <w:rPr>
                <w:rFonts w:hint="eastAsia"/>
                <w:bCs/>
                <w:sz w:val="24"/>
                <w:u w:val="none" w:color="auto"/>
                <w:vertAlign w:val="subscript"/>
              </w:rPr>
              <w:t>3</w:t>
            </w:r>
            <w:r>
              <w:rPr>
                <w:rFonts w:hint="eastAsia"/>
                <w:bCs/>
                <w:sz w:val="24"/>
                <w:u w:val="none" w:color="auto"/>
              </w:rPr>
              <w:t>-N。</w:t>
            </w:r>
            <w:r>
              <w:rPr>
                <w:rFonts w:hint="eastAsia"/>
                <w:bCs/>
                <w:sz w:val="24"/>
                <w:u w:val="none" w:color="auto"/>
                <w:lang w:eastAsia="zh-CN"/>
              </w:rPr>
              <w:t>其中</w:t>
            </w:r>
            <w:r>
              <w:rPr>
                <w:sz w:val="24"/>
                <w:szCs w:val="24"/>
                <w:u w:val="none" w:color="auto"/>
                <w:lang w:bidi="ar"/>
              </w:rPr>
              <w:t>生活废水中COD300mg/L、BOD</w:t>
            </w:r>
            <w:r>
              <w:rPr>
                <w:sz w:val="24"/>
                <w:szCs w:val="24"/>
                <w:u w:val="none" w:color="auto"/>
                <w:vertAlign w:val="subscript"/>
                <w:lang w:bidi="ar"/>
              </w:rPr>
              <w:t>5</w:t>
            </w:r>
            <w:r>
              <w:rPr>
                <w:sz w:val="24"/>
                <w:szCs w:val="24"/>
                <w:u w:val="none" w:color="auto"/>
                <w:lang w:bidi="ar"/>
              </w:rPr>
              <w:t>200mg/L、氨氮30mg/L、SS250mg/L</w:t>
            </w:r>
            <w:r>
              <w:rPr>
                <w:rFonts w:hint="eastAsia"/>
                <w:sz w:val="24"/>
                <w:szCs w:val="24"/>
                <w:u w:val="none" w:color="auto"/>
                <w:lang w:bidi="ar"/>
              </w:rPr>
              <w:t>。</w:t>
            </w:r>
            <w:r>
              <w:rPr>
                <w:rFonts w:hint="eastAsia"/>
                <w:sz w:val="24"/>
                <w:szCs w:val="24"/>
                <w:u w:val="none" w:color="auto"/>
                <w:lang w:val="en-US" w:eastAsia="zh-CN"/>
              </w:rPr>
              <w:t>湘阴县第三污水处理厂建成且接通前：</w:t>
            </w:r>
            <w:r>
              <w:rPr>
                <w:sz w:val="24"/>
                <w:szCs w:val="24"/>
                <w:u w:val="none" w:color="auto"/>
              </w:rPr>
              <w:t>项目</w:t>
            </w:r>
            <w:r>
              <w:rPr>
                <w:rFonts w:hint="eastAsia"/>
                <w:sz w:val="24"/>
                <w:szCs w:val="24"/>
                <w:u w:val="none" w:color="auto"/>
                <w:lang w:val="en-US" w:eastAsia="zh-CN"/>
              </w:rPr>
              <w:t>生活</w:t>
            </w:r>
            <w:r>
              <w:rPr>
                <w:sz w:val="24"/>
                <w:szCs w:val="24"/>
                <w:u w:val="none" w:color="auto"/>
              </w:rPr>
              <w:t>污水通过化粪池处理后排入园区污水管网</w:t>
            </w:r>
            <w:r>
              <w:rPr>
                <w:rFonts w:hint="eastAsia"/>
                <w:sz w:val="24"/>
                <w:szCs w:val="24"/>
                <w:u w:val="none" w:color="auto"/>
                <w:lang w:eastAsia="zh-CN"/>
              </w:rPr>
              <w:t>，</w:t>
            </w:r>
            <w:r>
              <w:rPr>
                <w:sz w:val="24"/>
                <w:szCs w:val="24"/>
                <w:u w:val="none" w:color="auto"/>
              </w:rPr>
              <w:t>再进入</w:t>
            </w:r>
            <w:r>
              <w:rPr>
                <w:rFonts w:hint="eastAsia"/>
                <w:sz w:val="24"/>
                <w:szCs w:val="24"/>
                <w:u w:val="none" w:color="auto"/>
                <w:lang w:eastAsia="zh-CN"/>
              </w:rPr>
              <w:t>卓达金谷创业园自建的污水处理站</w:t>
            </w:r>
            <w:r>
              <w:rPr>
                <w:sz w:val="24"/>
                <w:szCs w:val="24"/>
                <w:u w:val="none" w:color="auto"/>
              </w:rPr>
              <w:t>处理</w:t>
            </w:r>
            <w:r>
              <w:rPr>
                <w:rFonts w:hAnsi="宋体"/>
                <w:sz w:val="24"/>
                <w:szCs w:val="24"/>
                <w:u w:val="none" w:color="auto"/>
              </w:rPr>
              <w:t>达</w:t>
            </w:r>
            <w:r>
              <w:rPr>
                <w:rFonts w:hint="eastAsia" w:hAnsi="宋体"/>
                <w:sz w:val="24"/>
                <w:szCs w:val="24"/>
                <w:u w:val="none" w:color="auto"/>
                <w:lang w:eastAsia="zh-CN"/>
              </w:rPr>
              <w:t>到</w:t>
            </w:r>
            <w:r>
              <w:rPr>
                <w:sz w:val="24"/>
                <w:szCs w:val="24"/>
                <w:u w:val="none" w:color="auto"/>
              </w:rPr>
              <w:t>《城镇污水处理厂污染物排放标准（GB18918—2002）》中一级标准的A类标准后</w:t>
            </w:r>
            <w:r>
              <w:rPr>
                <w:rFonts w:hint="eastAsia"/>
                <w:sz w:val="24"/>
                <w:szCs w:val="24"/>
                <w:u w:val="none" w:color="auto"/>
                <w:lang w:eastAsia="zh-CN"/>
              </w:rPr>
              <w:t>进入洋沙河</w:t>
            </w:r>
            <w:r>
              <w:rPr>
                <w:rFonts w:hint="eastAsia"/>
                <w:sz w:val="24"/>
                <w:szCs w:val="24"/>
                <w:u w:val="none" w:color="auto"/>
                <w:lang w:val="en-US" w:eastAsia="zh-CN"/>
              </w:rPr>
              <w:t>排入洋沙湖</w:t>
            </w:r>
            <w:r>
              <w:rPr>
                <w:sz w:val="24"/>
                <w:szCs w:val="24"/>
                <w:u w:val="none" w:color="auto"/>
              </w:rPr>
              <w:t>，最终汇入湘江</w:t>
            </w:r>
            <w:r>
              <w:rPr>
                <w:rFonts w:hint="eastAsia"/>
                <w:sz w:val="24"/>
                <w:szCs w:val="24"/>
                <w:u w:val="none" w:color="auto"/>
                <w:lang w:eastAsia="zh-CN"/>
              </w:rPr>
              <w:t>。</w:t>
            </w:r>
            <w:r>
              <w:rPr>
                <w:rFonts w:hint="eastAsia"/>
                <w:sz w:val="24"/>
                <w:szCs w:val="24"/>
                <w:u w:val="none" w:color="auto"/>
                <w:lang w:val="en-US" w:eastAsia="zh-CN"/>
              </w:rPr>
              <w:t>湘阴县第三污水处理厂建成且接通后：</w:t>
            </w:r>
            <w:r>
              <w:rPr>
                <w:sz w:val="24"/>
                <w:szCs w:val="24"/>
                <w:u w:val="none" w:color="auto"/>
              </w:rPr>
              <w:t>项目</w:t>
            </w:r>
            <w:r>
              <w:rPr>
                <w:rFonts w:hint="eastAsia"/>
                <w:sz w:val="24"/>
                <w:szCs w:val="24"/>
                <w:u w:val="none" w:color="auto"/>
                <w:lang w:val="en-US" w:eastAsia="zh-CN"/>
              </w:rPr>
              <w:t>生活</w:t>
            </w:r>
            <w:r>
              <w:rPr>
                <w:sz w:val="24"/>
                <w:szCs w:val="24"/>
                <w:u w:val="none" w:color="auto"/>
              </w:rPr>
              <w:t>污水通过化粪池处理后排入园区污水管网</w:t>
            </w:r>
            <w:r>
              <w:rPr>
                <w:rFonts w:hint="eastAsia"/>
                <w:sz w:val="24"/>
                <w:szCs w:val="24"/>
                <w:u w:val="none" w:color="auto"/>
                <w:lang w:val="en-US" w:eastAsia="zh-CN"/>
              </w:rPr>
              <w:t>进入湘阴县第三污水处理厂处理后排入洋沙河流入洋沙湖，最终进入湘江</w:t>
            </w:r>
            <w:r>
              <w:rPr>
                <w:sz w:val="24"/>
                <w:szCs w:val="24"/>
                <w:u w:val="none" w:color="auto"/>
              </w:rPr>
              <w:t>。</w:t>
            </w:r>
          </w:p>
          <w:p>
            <w:pPr>
              <w:ind w:firstLine="466" w:firstLineChars="200"/>
              <w:jc w:val="center"/>
              <w:rPr>
                <w:b/>
                <w:sz w:val="24"/>
                <w:u w:val="none" w:color="auto"/>
              </w:rPr>
            </w:pPr>
            <w:r>
              <w:rPr>
                <w:b/>
                <w:sz w:val="24"/>
                <w:u w:val="none" w:color="auto"/>
              </w:rPr>
              <w:t>表5-1  生活污水产生情况</w:t>
            </w:r>
          </w:p>
          <w:tbl>
            <w:tblPr>
              <w:tblStyle w:val="40"/>
              <w:tblW w:w="4999"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177"/>
              <w:gridCol w:w="2280"/>
              <w:gridCol w:w="2280"/>
              <w:gridCol w:w="232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1" w:hRule="atLeast"/>
                <w:jc w:val="center"/>
              </w:trPr>
              <w:tc>
                <w:tcPr>
                  <w:tcW w:w="1200" w:type="pct"/>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Lines="0" w:line="360" w:lineRule="auto"/>
                    <w:ind w:firstLine="210"/>
                    <w:jc w:val="center"/>
                    <w:rPr>
                      <w:rFonts w:hint="default" w:ascii="Times New Roman" w:hAnsi="Times New Roman" w:eastAsia="宋体" w:cs="Times New Roman"/>
                      <w:kern w:val="2"/>
                      <w:sz w:val="22"/>
                      <w:szCs w:val="22"/>
                      <w:u w:val="none" w:color="auto"/>
                      <w:lang w:val="en-US" w:eastAsia="zh-CN" w:bidi="ar-SA"/>
                    </w:rPr>
                  </w:pPr>
                  <w:r>
                    <w:rPr>
                      <w:rFonts w:hint="default" w:ascii="Times New Roman" w:hAnsi="Times New Roman" w:eastAsia="宋体" w:cs="Times New Roman"/>
                      <w:kern w:val="2"/>
                      <w:sz w:val="22"/>
                      <w:szCs w:val="22"/>
                      <w:u w:val="none" w:color="auto"/>
                      <w:lang w:val="en-US" w:eastAsia="zh-CN" w:bidi="ar-SA"/>
                    </w:rPr>
                    <w:t>产生环节</w:t>
                  </w:r>
                </w:p>
              </w:tc>
              <w:tc>
                <w:tcPr>
                  <w:tcW w:w="1257" w:type="pct"/>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Lines="0" w:line="360" w:lineRule="auto"/>
                    <w:ind w:firstLine="210"/>
                    <w:jc w:val="center"/>
                    <w:rPr>
                      <w:rFonts w:hint="default" w:ascii="Times New Roman" w:hAnsi="Times New Roman" w:eastAsia="宋体" w:cs="Times New Roman"/>
                      <w:kern w:val="2"/>
                      <w:sz w:val="22"/>
                      <w:szCs w:val="22"/>
                      <w:u w:val="none" w:color="auto"/>
                      <w:lang w:val="en-US" w:eastAsia="zh-CN" w:bidi="ar-SA"/>
                    </w:rPr>
                  </w:pPr>
                  <w:r>
                    <w:rPr>
                      <w:rFonts w:hint="default" w:ascii="Times New Roman" w:hAnsi="Times New Roman" w:eastAsia="宋体" w:cs="Times New Roman"/>
                      <w:kern w:val="2"/>
                      <w:sz w:val="22"/>
                      <w:szCs w:val="22"/>
                      <w:u w:val="none" w:color="auto"/>
                      <w:lang w:val="en-US" w:eastAsia="zh-CN" w:bidi="ar-SA"/>
                    </w:rPr>
                    <w:t>指标</w:t>
                  </w:r>
                </w:p>
              </w:tc>
              <w:tc>
                <w:tcPr>
                  <w:tcW w:w="1257" w:type="pct"/>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Lines="0" w:line="360" w:lineRule="auto"/>
                    <w:ind w:firstLine="210"/>
                    <w:jc w:val="center"/>
                    <w:rPr>
                      <w:rFonts w:hint="default" w:ascii="Times New Roman" w:hAnsi="Times New Roman" w:eastAsia="宋体" w:cs="Times New Roman"/>
                      <w:kern w:val="2"/>
                      <w:sz w:val="22"/>
                      <w:szCs w:val="22"/>
                      <w:u w:val="none" w:color="auto"/>
                      <w:lang w:val="en-US" w:eastAsia="zh-CN" w:bidi="ar-SA"/>
                    </w:rPr>
                  </w:pPr>
                  <w:r>
                    <w:rPr>
                      <w:rFonts w:hint="default" w:ascii="Times New Roman" w:hAnsi="Times New Roman" w:eastAsia="宋体" w:cs="Times New Roman"/>
                      <w:kern w:val="2"/>
                      <w:sz w:val="22"/>
                      <w:szCs w:val="22"/>
                      <w:u w:val="none" w:color="auto"/>
                      <w:lang w:val="en-US" w:eastAsia="zh-CN" w:bidi="ar-SA"/>
                    </w:rPr>
                    <w:t>水质(mg/L)</w:t>
                  </w:r>
                </w:p>
              </w:tc>
              <w:tc>
                <w:tcPr>
                  <w:tcW w:w="1284" w:type="pct"/>
                  <w:noWrap w:val="0"/>
                  <w:vAlign w:val="center"/>
                </w:tcPr>
                <w:p>
                  <w:pPr>
                    <w:pStyle w:val="149"/>
                    <w:keepNext w:val="0"/>
                    <w:keepLines w:val="0"/>
                    <w:pageBreakBefore w:val="0"/>
                    <w:widowControl w:val="0"/>
                    <w:kinsoku/>
                    <w:wordWrap/>
                    <w:overflowPunct/>
                    <w:topLinePunct w:val="0"/>
                    <w:autoSpaceDE/>
                    <w:autoSpaceDN/>
                    <w:bidi w:val="0"/>
                    <w:adjustRightInd w:val="0"/>
                    <w:snapToGrid w:val="0"/>
                    <w:spacing w:line="360" w:lineRule="auto"/>
                    <w:rPr>
                      <w:rFonts w:hint="default" w:ascii="Times New Roman" w:hAnsi="Times New Roman" w:eastAsia="宋体" w:cs="Times New Roman"/>
                      <w:kern w:val="2"/>
                      <w:sz w:val="22"/>
                      <w:szCs w:val="22"/>
                      <w:u w:val="none" w:color="auto"/>
                      <w:lang w:val="en-US" w:eastAsia="zh-CN" w:bidi="ar-SA"/>
                    </w:rPr>
                  </w:pPr>
                  <w:r>
                    <w:rPr>
                      <w:rFonts w:hint="default" w:ascii="Times New Roman" w:hAnsi="Times New Roman" w:eastAsia="宋体" w:cs="Times New Roman"/>
                      <w:kern w:val="2"/>
                      <w:sz w:val="22"/>
                      <w:szCs w:val="22"/>
                      <w:u w:val="none" w:color="auto"/>
                      <w:lang w:val="en-US" w:eastAsia="zh-CN" w:bidi="ar-SA"/>
                    </w:rPr>
                    <w:t>年排放量（t/a）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06" w:hRule="atLeast"/>
                <w:jc w:val="center"/>
              </w:trPr>
              <w:tc>
                <w:tcPr>
                  <w:tcW w:w="1200" w:type="pct"/>
                  <w:vMerge w:val="restart"/>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Lines="0" w:line="360" w:lineRule="auto"/>
                    <w:ind w:firstLine="210"/>
                    <w:jc w:val="center"/>
                    <w:rPr>
                      <w:rFonts w:hint="default" w:ascii="Times New Roman" w:hAnsi="Times New Roman" w:eastAsia="宋体" w:cs="Times New Roman"/>
                      <w:kern w:val="2"/>
                      <w:sz w:val="22"/>
                      <w:szCs w:val="22"/>
                      <w:u w:val="none" w:color="auto"/>
                      <w:lang w:val="en-US" w:eastAsia="zh-CN" w:bidi="ar-SA"/>
                    </w:rPr>
                  </w:pPr>
                  <w:r>
                    <w:rPr>
                      <w:rFonts w:hint="default" w:ascii="Times New Roman" w:hAnsi="Times New Roman" w:eastAsia="宋体" w:cs="Times New Roman"/>
                      <w:kern w:val="2"/>
                      <w:sz w:val="22"/>
                      <w:szCs w:val="22"/>
                      <w:u w:val="none" w:color="auto"/>
                      <w:lang w:val="en-US" w:eastAsia="zh-CN" w:bidi="ar-SA"/>
                    </w:rPr>
                    <w:t>生活污水</w:t>
                  </w:r>
                </w:p>
              </w:tc>
              <w:tc>
                <w:tcPr>
                  <w:tcW w:w="1257" w:type="pct"/>
                  <w:noWrap w:val="0"/>
                  <w:vAlign w:val="center"/>
                </w:tcPr>
                <w:p>
                  <w:pPr>
                    <w:pStyle w:val="149"/>
                    <w:keepNext w:val="0"/>
                    <w:keepLines w:val="0"/>
                    <w:pageBreakBefore w:val="0"/>
                    <w:widowControl w:val="0"/>
                    <w:kinsoku/>
                    <w:wordWrap/>
                    <w:overflowPunct/>
                    <w:topLinePunct w:val="0"/>
                    <w:autoSpaceDE/>
                    <w:autoSpaceDN/>
                    <w:bidi w:val="0"/>
                    <w:adjustRightInd w:val="0"/>
                    <w:snapToGrid w:val="0"/>
                    <w:spacing w:line="360" w:lineRule="auto"/>
                    <w:rPr>
                      <w:rFonts w:hint="default" w:ascii="Times New Roman" w:hAnsi="Times New Roman" w:eastAsia="宋体" w:cs="Times New Roman"/>
                      <w:kern w:val="2"/>
                      <w:sz w:val="22"/>
                      <w:szCs w:val="22"/>
                      <w:u w:val="none" w:color="auto"/>
                      <w:lang w:val="en-US" w:eastAsia="zh-CN" w:bidi="ar-SA"/>
                    </w:rPr>
                  </w:pPr>
                  <w:r>
                    <w:rPr>
                      <w:rFonts w:hint="default" w:ascii="Times New Roman" w:hAnsi="Times New Roman" w:eastAsia="宋体" w:cs="Times New Roman"/>
                      <w:kern w:val="2"/>
                      <w:sz w:val="22"/>
                      <w:szCs w:val="22"/>
                      <w:u w:val="none" w:color="auto"/>
                      <w:lang w:val="en-US" w:eastAsia="zh-CN" w:bidi="ar-SA"/>
                    </w:rPr>
                    <w:t>水量</w:t>
                  </w:r>
                </w:p>
              </w:tc>
              <w:tc>
                <w:tcPr>
                  <w:tcW w:w="1257" w:type="pct"/>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Lines="0" w:line="360" w:lineRule="auto"/>
                    <w:ind w:firstLine="210"/>
                    <w:jc w:val="center"/>
                    <w:rPr>
                      <w:rFonts w:hint="default" w:ascii="Times New Roman" w:hAnsi="Times New Roman" w:eastAsia="宋体" w:cs="Times New Roman"/>
                      <w:kern w:val="2"/>
                      <w:sz w:val="22"/>
                      <w:szCs w:val="22"/>
                      <w:u w:val="none" w:color="auto"/>
                      <w:lang w:val="en-US" w:eastAsia="zh-CN" w:bidi="ar-SA"/>
                    </w:rPr>
                  </w:pPr>
                  <w:r>
                    <w:rPr>
                      <w:rFonts w:hint="default" w:ascii="Times New Roman" w:hAnsi="Times New Roman" w:eastAsia="宋体" w:cs="Times New Roman"/>
                      <w:kern w:val="2"/>
                      <w:sz w:val="22"/>
                      <w:szCs w:val="22"/>
                      <w:u w:val="none" w:color="auto"/>
                      <w:lang w:val="en-US" w:eastAsia="zh-CN" w:bidi="ar-SA"/>
                    </w:rPr>
                    <w:t>——</w:t>
                  </w:r>
                </w:p>
              </w:tc>
              <w:tc>
                <w:tcPr>
                  <w:tcW w:w="1284" w:type="pct"/>
                  <w:noWrap w:val="0"/>
                  <w:vAlign w:val="center"/>
                </w:tcPr>
                <w:p>
                  <w:pPr>
                    <w:pStyle w:val="149"/>
                    <w:keepNext w:val="0"/>
                    <w:keepLines w:val="0"/>
                    <w:pageBreakBefore w:val="0"/>
                    <w:widowControl w:val="0"/>
                    <w:kinsoku/>
                    <w:wordWrap/>
                    <w:overflowPunct/>
                    <w:topLinePunct w:val="0"/>
                    <w:autoSpaceDE/>
                    <w:autoSpaceDN/>
                    <w:bidi w:val="0"/>
                    <w:adjustRightInd w:val="0"/>
                    <w:snapToGrid w:val="0"/>
                    <w:spacing w:line="360" w:lineRule="auto"/>
                    <w:rPr>
                      <w:rFonts w:hint="default" w:ascii="Times New Roman" w:hAnsi="Times New Roman" w:eastAsia="宋体" w:cs="Times New Roman"/>
                      <w:kern w:val="2"/>
                      <w:sz w:val="22"/>
                      <w:szCs w:val="22"/>
                      <w:u w:val="none" w:color="auto"/>
                      <w:lang w:val="en-US" w:eastAsia="zh-CN" w:bidi="ar-SA"/>
                    </w:rPr>
                  </w:pPr>
                  <w:r>
                    <w:rPr>
                      <w:rFonts w:hint="eastAsia" w:ascii="Times New Roman" w:hAnsi="Times New Roman" w:cs="Times New Roman"/>
                      <w:kern w:val="2"/>
                      <w:sz w:val="22"/>
                      <w:szCs w:val="22"/>
                      <w:u w:val="none" w:color="auto"/>
                      <w:lang w:val="en-US" w:eastAsia="zh-CN" w:bidi="ar-SA"/>
                    </w:rPr>
                    <w:t>6</w:t>
                  </w:r>
                  <w:r>
                    <w:rPr>
                      <w:rFonts w:hint="default" w:ascii="Times New Roman" w:hAnsi="Times New Roman" w:eastAsia="宋体" w:cs="Times New Roman"/>
                      <w:kern w:val="2"/>
                      <w:sz w:val="22"/>
                      <w:szCs w:val="22"/>
                      <w:u w:val="none" w:color="auto"/>
                      <w:lang w:val="en-US" w:eastAsia="zh-CN" w:bidi="ar-SA"/>
                    </w:rPr>
                    <w:t>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1200" w:type="pct"/>
                  <w:vMerge w:val="continue"/>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Lines="0" w:line="360" w:lineRule="auto"/>
                    <w:ind w:firstLine="210"/>
                    <w:jc w:val="center"/>
                    <w:rPr>
                      <w:rFonts w:hint="default" w:ascii="Times New Roman" w:hAnsi="Times New Roman" w:eastAsia="宋体" w:cs="Times New Roman"/>
                      <w:kern w:val="2"/>
                      <w:sz w:val="22"/>
                      <w:szCs w:val="22"/>
                      <w:u w:val="none" w:color="auto"/>
                      <w:lang w:val="en-US" w:eastAsia="zh-CN" w:bidi="ar-SA"/>
                    </w:rPr>
                  </w:pPr>
                </w:p>
              </w:tc>
              <w:tc>
                <w:tcPr>
                  <w:tcW w:w="1257" w:type="pct"/>
                  <w:noWrap w:val="0"/>
                  <w:vAlign w:val="center"/>
                </w:tcPr>
                <w:p>
                  <w:pPr>
                    <w:pStyle w:val="149"/>
                    <w:keepNext w:val="0"/>
                    <w:keepLines w:val="0"/>
                    <w:pageBreakBefore w:val="0"/>
                    <w:widowControl w:val="0"/>
                    <w:kinsoku/>
                    <w:wordWrap/>
                    <w:overflowPunct/>
                    <w:topLinePunct w:val="0"/>
                    <w:autoSpaceDE/>
                    <w:autoSpaceDN/>
                    <w:bidi w:val="0"/>
                    <w:adjustRightInd w:val="0"/>
                    <w:snapToGrid w:val="0"/>
                    <w:spacing w:line="360" w:lineRule="auto"/>
                    <w:rPr>
                      <w:rFonts w:hint="default" w:ascii="Times New Roman" w:hAnsi="Times New Roman" w:eastAsia="宋体" w:cs="Times New Roman"/>
                      <w:kern w:val="2"/>
                      <w:sz w:val="22"/>
                      <w:szCs w:val="22"/>
                      <w:u w:val="none" w:color="auto"/>
                      <w:lang w:val="en-US" w:eastAsia="zh-CN" w:bidi="ar-SA"/>
                    </w:rPr>
                  </w:pPr>
                  <w:r>
                    <w:rPr>
                      <w:rFonts w:hint="default" w:ascii="Times New Roman" w:hAnsi="Times New Roman" w:eastAsia="宋体" w:cs="Times New Roman"/>
                      <w:kern w:val="2"/>
                      <w:sz w:val="22"/>
                      <w:szCs w:val="22"/>
                      <w:u w:val="none" w:color="auto"/>
                      <w:lang w:val="en-US" w:eastAsia="zh-CN" w:bidi="ar-SA"/>
                    </w:rPr>
                    <w:t xml:space="preserve">COD                             </w:t>
                  </w:r>
                </w:p>
              </w:tc>
              <w:tc>
                <w:tcPr>
                  <w:tcW w:w="1257" w:type="pct"/>
                  <w:noWrap w:val="0"/>
                  <w:vAlign w:val="center"/>
                </w:tcPr>
                <w:p>
                  <w:pPr>
                    <w:pStyle w:val="149"/>
                    <w:keepNext w:val="0"/>
                    <w:keepLines w:val="0"/>
                    <w:pageBreakBefore w:val="0"/>
                    <w:widowControl w:val="0"/>
                    <w:kinsoku/>
                    <w:wordWrap/>
                    <w:overflowPunct/>
                    <w:topLinePunct w:val="0"/>
                    <w:autoSpaceDE/>
                    <w:autoSpaceDN/>
                    <w:bidi w:val="0"/>
                    <w:adjustRightInd w:val="0"/>
                    <w:snapToGrid w:val="0"/>
                    <w:spacing w:line="360" w:lineRule="auto"/>
                    <w:rPr>
                      <w:rFonts w:hint="default" w:ascii="Times New Roman" w:hAnsi="Times New Roman" w:eastAsia="宋体" w:cs="Times New Roman"/>
                      <w:kern w:val="2"/>
                      <w:sz w:val="22"/>
                      <w:szCs w:val="22"/>
                      <w:u w:val="none" w:color="auto"/>
                      <w:lang w:val="en-US" w:eastAsia="zh-CN" w:bidi="ar-SA"/>
                    </w:rPr>
                  </w:pPr>
                  <w:r>
                    <w:rPr>
                      <w:rFonts w:hint="default" w:ascii="Times New Roman" w:hAnsi="Times New Roman" w:eastAsia="宋体" w:cs="Times New Roman"/>
                      <w:kern w:val="2"/>
                      <w:sz w:val="22"/>
                      <w:szCs w:val="22"/>
                      <w:u w:val="none" w:color="auto"/>
                      <w:lang w:val="en-US" w:eastAsia="zh-CN" w:bidi="ar-SA"/>
                    </w:rPr>
                    <w:t>300</w:t>
                  </w:r>
                </w:p>
              </w:tc>
              <w:tc>
                <w:tcPr>
                  <w:tcW w:w="1284" w:type="pct"/>
                  <w:noWrap w:val="0"/>
                  <w:vAlign w:val="center"/>
                </w:tcPr>
                <w:p>
                  <w:pPr>
                    <w:pStyle w:val="149"/>
                    <w:keepNext w:val="0"/>
                    <w:keepLines w:val="0"/>
                    <w:pageBreakBefore w:val="0"/>
                    <w:widowControl w:val="0"/>
                    <w:kinsoku/>
                    <w:wordWrap/>
                    <w:overflowPunct/>
                    <w:topLinePunct w:val="0"/>
                    <w:autoSpaceDE/>
                    <w:autoSpaceDN/>
                    <w:bidi w:val="0"/>
                    <w:adjustRightInd w:val="0"/>
                    <w:snapToGrid w:val="0"/>
                    <w:spacing w:line="360" w:lineRule="auto"/>
                    <w:rPr>
                      <w:rFonts w:hint="default" w:ascii="Times New Roman" w:hAnsi="Times New Roman" w:eastAsia="宋体" w:cs="Times New Roman"/>
                      <w:kern w:val="2"/>
                      <w:sz w:val="22"/>
                      <w:szCs w:val="22"/>
                      <w:u w:val="none" w:color="auto"/>
                      <w:lang w:val="en-US" w:eastAsia="zh-CN" w:bidi="ar-SA"/>
                    </w:rPr>
                  </w:pPr>
                  <w:r>
                    <w:rPr>
                      <w:rFonts w:hint="default" w:ascii="Times New Roman" w:hAnsi="Times New Roman" w:eastAsia="宋体" w:cs="Times New Roman"/>
                      <w:kern w:val="2"/>
                      <w:sz w:val="22"/>
                      <w:szCs w:val="22"/>
                      <w:u w:val="none" w:color="auto"/>
                      <w:lang w:val="en-US" w:eastAsia="zh-CN" w:bidi="ar-SA"/>
                    </w:rPr>
                    <w:t>0.</w:t>
                  </w:r>
                  <w:r>
                    <w:rPr>
                      <w:rFonts w:hint="eastAsia" w:ascii="Times New Roman" w:hAnsi="Times New Roman" w:cs="Times New Roman"/>
                      <w:kern w:val="2"/>
                      <w:sz w:val="22"/>
                      <w:szCs w:val="22"/>
                      <w:u w:val="none" w:color="auto"/>
                      <w:lang w:val="en-US" w:eastAsia="zh-CN" w:bidi="ar-SA"/>
                    </w:rPr>
                    <w:t>18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1200" w:type="pct"/>
                  <w:vMerge w:val="continue"/>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Lines="0" w:line="360" w:lineRule="auto"/>
                    <w:ind w:firstLine="210"/>
                    <w:jc w:val="center"/>
                    <w:rPr>
                      <w:rFonts w:hint="default" w:ascii="Times New Roman" w:hAnsi="Times New Roman" w:eastAsia="宋体" w:cs="Times New Roman"/>
                      <w:kern w:val="2"/>
                      <w:sz w:val="22"/>
                      <w:szCs w:val="22"/>
                      <w:u w:val="none" w:color="auto"/>
                      <w:lang w:val="en-US" w:eastAsia="zh-CN" w:bidi="ar-SA"/>
                    </w:rPr>
                  </w:pPr>
                </w:p>
              </w:tc>
              <w:tc>
                <w:tcPr>
                  <w:tcW w:w="1257" w:type="pct"/>
                  <w:noWrap w:val="0"/>
                  <w:vAlign w:val="center"/>
                </w:tcPr>
                <w:p>
                  <w:pPr>
                    <w:pStyle w:val="149"/>
                    <w:keepNext w:val="0"/>
                    <w:keepLines w:val="0"/>
                    <w:pageBreakBefore w:val="0"/>
                    <w:widowControl w:val="0"/>
                    <w:kinsoku/>
                    <w:wordWrap/>
                    <w:overflowPunct/>
                    <w:topLinePunct w:val="0"/>
                    <w:autoSpaceDE/>
                    <w:autoSpaceDN/>
                    <w:bidi w:val="0"/>
                    <w:adjustRightInd w:val="0"/>
                    <w:snapToGrid w:val="0"/>
                    <w:spacing w:line="360" w:lineRule="auto"/>
                    <w:rPr>
                      <w:rFonts w:hint="default" w:ascii="Times New Roman" w:hAnsi="Times New Roman" w:eastAsia="宋体" w:cs="Times New Roman"/>
                      <w:kern w:val="2"/>
                      <w:sz w:val="22"/>
                      <w:szCs w:val="22"/>
                      <w:u w:val="none" w:color="auto"/>
                      <w:lang w:val="en-US" w:eastAsia="zh-CN" w:bidi="ar-SA"/>
                    </w:rPr>
                  </w:pPr>
                  <w:r>
                    <w:rPr>
                      <w:rFonts w:hint="default" w:ascii="Times New Roman" w:hAnsi="Times New Roman" w:eastAsia="宋体" w:cs="Times New Roman"/>
                      <w:kern w:val="2"/>
                      <w:sz w:val="22"/>
                      <w:szCs w:val="22"/>
                      <w:u w:val="none" w:color="auto"/>
                      <w:vertAlign w:val="baseline"/>
                      <w:lang w:val="en-US" w:eastAsia="zh-CN" w:bidi="ar-SA"/>
                    </w:rPr>
                    <w:t>BOD</w:t>
                  </w:r>
                  <w:r>
                    <w:rPr>
                      <w:rFonts w:hint="eastAsia" w:ascii="Times New Roman" w:hAnsi="Times New Roman" w:cs="Times New Roman"/>
                      <w:kern w:val="2"/>
                      <w:sz w:val="22"/>
                      <w:szCs w:val="22"/>
                      <w:u w:val="none" w:color="auto"/>
                      <w:vertAlign w:val="subscript"/>
                      <w:lang w:val="en-US" w:eastAsia="zh-CN" w:bidi="ar-SA"/>
                    </w:rPr>
                    <w:t>5</w:t>
                  </w:r>
                </w:p>
              </w:tc>
              <w:tc>
                <w:tcPr>
                  <w:tcW w:w="1257" w:type="pct"/>
                  <w:noWrap w:val="0"/>
                  <w:vAlign w:val="center"/>
                </w:tcPr>
                <w:p>
                  <w:pPr>
                    <w:pStyle w:val="149"/>
                    <w:keepNext w:val="0"/>
                    <w:keepLines w:val="0"/>
                    <w:pageBreakBefore w:val="0"/>
                    <w:widowControl w:val="0"/>
                    <w:kinsoku/>
                    <w:wordWrap/>
                    <w:overflowPunct/>
                    <w:topLinePunct w:val="0"/>
                    <w:autoSpaceDE/>
                    <w:autoSpaceDN/>
                    <w:bidi w:val="0"/>
                    <w:adjustRightInd w:val="0"/>
                    <w:snapToGrid w:val="0"/>
                    <w:spacing w:line="360" w:lineRule="auto"/>
                    <w:rPr>
                      <w:rFonts w:hint="default" w:ascii="Times New Roman" w:hAnsi="Times New Roman" w:eastAsia="宋体" w:cs="Times New Roman"/>
                      <w:kern w:val="2"/>
                      <w:sz w:val="22"/>
                      <w:szCs w:val="22"/>
                      <w:u w:val="none" w:color="auto"/>
                      <w:lang w:val="en-US" w:eastAsia="zh-CN" w:bidi="ar-SA"/>
                    </w:rPr>
                  </w:pPr>
                  <w:r>
                    <w:rPr>
                      <w:rFonts w:hint="default" w:ascii="Times New Roman" w:hAnsi="Times New Roman" w:eastAsia="宋体" w:cs="Times New Roman"/>
                      <w:kern w:val="2"/>
                      <w:sz w:val="22"/>
                      <w:szCs w:val="22"/>
                      <w:u w:val="none" w:color="auto"/>
                      <w:lang w:val="en-US" w:eastAsia="zh-CN" w:bidi="ar-SA"/>
                    </w:rPr>
                    <w:t>200</w:t>
                  </w:r>
                </w:p>
              </w:tc>
              <w:tc>
                <w:tcPr>
                  <w:tcW w:w="1284" w:type="pct"/>
                  <w:noWrap w:val="0"/>
                  <w:vAlign w:val="center"/>
                </w:tcPr>
                <w:p>
                  <w:pPr>
                    <w:pStyle w:val="149"/>
                    <w:keepNext w:val="0"/>
                    <w:keepLines w:val="0"/>
                    <w:pageBreakBefore w:val="0"/>
                    <w:widowControl w:val="0"/>
                    <w:kinsoku/>
                    <w:wordWrap/>
                    <w:overflowPunct/>
                    <w:topLinePunct w:val="0"/>
                    <w:autoSpaceDE/>
                    <w:autoSpaceDN/>
                    <w:bidi w:val="0"/>
                    <w:adjustRightInd w:val="0"/>
                    <w:snapToGrid w:val="0"/>
                    <w:spacing w:line="360" w:lineRule="auto"/>
                    <w:rPr>
                      <w:rFonts w:hint="default" w:ascii="Times New Roman" w:hAnsi="Times New Roman" w:eastAsia="宋体" w:cs="Times New Roman"/>
                      <w:kern w:val="2"/>
                      <w:sz w:val="22"/>
                      <w:szCs w:val="22"/>
                      <w:u w:val="none" w:color="auto"/>
                      <w:lang w:val="en-US" w:eastAsia="zh-CN" w:bidi="ar-SA"/>
                    </w:rPr>
                  </w:pPr>
                  <w:r>
                    <w:rPr>
                      <w:rFonts w:hint="default" w:ascii="Times New Roman" w:hAnsi="Times New Roman" w:eastAsia="宋体" w:cs="Times New Roman"/>
                      <w:kern w:val="2"/>
                      <w:sz w:val="22"/>
                      <w:szCs w:val="22"/>
                      <w:u w:val="none" w:color="auto"/>
                      <w:lang w:val="en-US" w:eastAsia="zh-CN" w:bidi="ar-SA"/>
                    </w:rPr>
                    <w:t>0.</w:t>
                  </w:r>
                  <w:r>
                    <w:rPr>
                      <w:rFonts w:hint="eastAsia" w:ascii="Times New Roman" w:hAnsi="Times New Roman" w:cs="Times New Roman"/>
                      <w:kern w:val="2"/>
                      <w:sz w:val="22"/>
                      <w:szCs w:val="22"/>
                      <w:u w:val="none" w:color="auto"/>
                      <w:lang w:val="en-US" w:eastAsia="zh-CN" w:bidi="ar-SA"/>
                    </w:rPr>
                    <w:t>12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1200" w:type="pct"/>
                  <w:vMerge w:val="continue"/>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Lines="0" w:line="360" w:lineRule="auto"/>
                    <w:ind w:firstLine="210"/>
                    <w:jc w:val="center"/>
                    <w:rPr>
                      <w:rFonts w:hint="default" w:ascii="Times New Roman" w:hAnsi="Times New Roman" w:eastAsia="宋体" w:cs="Times New Roman"/>
                      <w:kern w:val="2"/>
                      <w:sz w:val="22"/>
                      <w:szCs w:val="22"/>
                      <w:u w:val="none" w:color="auto"/>
                      <w:lang w:val="en-US" w:eastAsia="zh-CN" w:bidi="ar-SA"/>
                    </w:rPr>
                  </w:pPr>
                </w:p>
              </w:tc>
              <w:tc>
                <w:tcPr>
                  <w:tcW w:w="1257" w:type="pct"/>
                  <w:noWrap w:val="0"/>
                  <w:vAlign w:val="center"/>
                </w:tcPr>
                <w:p>
                  <w:pPr>
                    <w:pStyle w:val="149"/>
                    <w:keepNext w:val="0"/>
                    <w:keepLines w:val="0"/>
                    <w:pageBreakBefore w:val="0"/>
                    <w:widowControl w:val="0"/>
                    <w:kinsoku/>
                    <w:wordWrap/>
                    <w:overflowPunct/>
                    <w:topLinePunct w:val="0"/>
                    <w:autoSpaceDE/>
                    <w:autoSpaceDN/>
                    <w:bidi w:val="0"/>
                    <w:adjustRightInd w:val="0"/>
                    <w:snapToGrid w:val="0"/>
                    <w:spacing w:line="360" w:lineRule="auto"/>
                    <w:rPr>
                      <w:rFonts w:hint="default" w:ascii="Times New Roman" w:hAnsi="Times New Roman" w:eastAsia="宋体" w:cs="Times New Roman"/>
                      <w:kern w:val="2"/>
                      <w:sz w:val="22"/>
                      <w:szCs w:val="22"/>
                      <w:u w:val="none" w:color="auto"/>
                      <w:lang w:val="en-US" w:eastAsia="zh-CN" w:bidi="ar-SA"/>
                    </w:rPr>
                  </w:pPr>
                  <w:r>
                    <w:rPr>
                      <w:rFonts w:hint="default" w:ascii="Times New Roman" w:hAnsi="Times New Roman" w:eastAsia="宋体" w:cs="Times New Roman"/>
                      <w:kern w:val="2"/>
                      <w:sz w:val="22"/>
                      <w:szCs w:val="22"/>
                      <w:u w:val="none" w:color="auto"/>
                      <w:lang w:val="en-US" w:eastAsia="zh-CN" w:bidi="ar-SA"/>
                    </w:rPr>
                    <w:t>SS</w:t>
                  </w:r>
                </w:p>
              </w:tc>
              <w:tc>
                <w:tcPr>
                  <w:tcW w:w="1257" w:type="pct"/>
                  <w:noWrap w:val="0"/>
                  <w:vAlign w:val="center"/>
                </w:tcPr>
                <w:p>
                  <w:pPr>
                    <w:pStyle w:val="149"/>
                    <w:keepNext w:val="0"/>
                    <w:keepLines w:val="0"/>
                    <w:pageBreakBefore w:val="0"/>
                    <w:widowControl w:val="0"/>
                    <w:kinsoku/>
                    <w:wordWrap/>
                    <w:overflowPunct/>
                    <w:topLinePunct w:val="0"/>
                    <w:autoSpaceDE/>
                    <w:autoSpaceDN/>
                    <w:bidi w:val="0"/>
                    <w:adjustRightInd w:val="0"/>
                    <w:snapToGrid w:val="0"/>
                    <w:spacing w:line="360" w:lineRule="auto"/>
                    <w:rPr>
                      <w:rFonts w:hint="default" w:ascii="Times New Roman" w:hAnsi="Times New Roman" w:eastAsia="宋体" w:cs="Times New Roman"/>
                      <w:kern w:val="2"/>
                      <w:sz w:val="22"/>
                      <w:szCs w:val="22"/>
                      <w:u w:val="none" w:color="auto"/>
                      <w:lang w:val="en-US" w:eastAsia="zh-CN" w:bidi="ar-SA"/>
                    </w:rPr>
                  </w:pPr>
                  <w:r>
                    <w:rPr>
                      <w:rFonts w:hint="default" w:ascii="Times New Roman" w:hAnsi="Times New Roman" w:eastAsia="宋体" w:cs="Times New Roman"/>
                      <w:kern w:val="2"/>
                      <w:sz w:val="22"/>
                      <w:szCs w:val="22"/>
                      <w:u w:val="none" w:color="auto"/>
                      <w:lang w:val="en-US" w:eastAsia="zh-CN" w:bidi="ar-SA"/>
                    </w:rPr>
                    <w:t>200</w:t>
                  </w:r>
                </w:p>
              </w:tc>
              <w:tc>
                <w:tcPr>
                  <w:tcW w:w="1284" w:type="pct"/>
                  <w:noWrap w:val="0"/>
                  <w:vAlign w:val="center"/>
                </w:tcPr>
                <w:p>
                  <w:pPr>
                    <w:pStyle w:val="149"/>
                    <w:keepNext w:val="0"/>
                    <w:keepLines w:val="0"/>
                    <w:pageBreakBefore w:val="0"/>
                    <w:widowControl w:val="0"/>
                    <w:kinsoku/>
                    <w:wordWrap/>
                    <w:overflowPunct/>
                    <w:topLinePunct w:val="0"/>
                    <w:autoSpaceDE/>
                    <w:autoSpaceDN/>
                    <w:bidi w:val="0"/>
                    <w:adjustRightInd w:val="0"/>
                    <w:snapToGrid w:val="0"/>
                    <w:spacing w:line="360" w:lineRule="auto"/>
                    <w:rPr>
                      <w:rFonts w:hint="default" w:ascii="Times New Roman" w:hAnsi="Times New Roman" w:eastAsia="宋体" w:cs="Times New Roman"/>
                      <w:kern w:val="2"/>
                      <w:sz w:val="22"/>
                      <w:szCs w:val="22"/>
                      <w:u w:val="none" w:color="auto"/>
                      <w:lang w:val="en-US" w:eastAsia="zh-CN" w:bidi="ar-SA"/>
                    </w:rPr>
                  </w:pPr>
                  <w:r>
                    <w:rPr>
                      <w:rFonts w:hint="default" w:ascii="Times New Roman" w:hAnsi="Times New Roman" w:eastAsia="宋体" w:cs="Times New Roman"/>
                      <w:kern w:val="2"/>
                      <w:sz w:val="22"/>
                      <w:szCs w:val="22"/>
                      <w:u w:val="none" w:color="auto"/>
                      <w:lang w:val="en-US" w:eastAsia="zh-CN" w:bidi="ar-SA"/>
                    </w:rPr>
                    <w:t>0.</w:t>
                  </w:r>
                  <w:r>
                    <w:rPr>
                      <w:rFonts w:hint="eastAsia" w:ascii="Times New Roman" w:hAnsi="Times New Roman" w:cs="Times New Roman"/>
                      <w:kern w:val="2"/>
                      <w:sz w:val="22"/>
                      <w:szCs w:val="22"/>
                      <w:u w:val="none" w:color="auto"/>
                      <w:lang w:val="en-US" w:eastAsia="zh-CN" w:bidi="ar-SA"/>
                    </w:rPr>
                    <w:t>12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70" w:hRule="atLeast"/>
                <w:jc w:val="center"/>
              </w:trPr>
              <w:tc>
                <w:tcPr>
                  <w:tcW w:w="1200" w:type="pct"/>
                  <w:vMerge w:val="continue"/>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Lines="0" w:line="360" w:lineRule="auto"/>
                    <w:ind w:firstLine="210"/>
                    <w:jc w:val="center"/>
                    <w:rPr>
                      <w:rFonts w:hint="default" w:ascii="Times New Roman" w:hAnsi="Times New Roman" w:eastAsia="宋体" w:cs="Times New Roman"/>
                      <w:kern w:val="2"/>
                      <w:sz w:val="22"/>
                      <w:szCs w:val="22"/>
                      <w:u w:val="none" w:color="auto"/>
                      <w:lang w:val="en-US" w:eastAsia="zh-CN" w:bidi="ar-SA"/>
                    </w:rPr>
                  </w:pPr>
                </w:p>
              </w:tc>
              <w:tc>
                <w:tcPr>
                  <w:tcW w:w="1257" w:type="pct"/>
                  <w:noWrap w:val="0"/>
                  <w:vAlign w:val="center"/>
                </w:tcPr>
                <w:p>
                  <w:pPr>
                    <w:pStyle w:val="149"/>
                    <w:keepNext w:val="0"/>
                    <w:keepLines w:val="0"/>
                    <w:pageBreakBefore w:val="0"/>
                    <w:widowControl w:val="0"/>
                    <w:kinsoku/>
                    <w:wordWrap/>
                    <w:overflowPunct/>
                    <w:topLinePunct w:val="0"/>
                    <w:autoSpaceDE/>
                    <w:autoSpaceDN/>
                    <w:bidi w:val="0"/>
                    <w:adjustRightInd w:val="0"/>
                    <w:snapToGrid w:val="0"/>
                    <w:spacing w:line="360" w:lineRule="auto"/>
                    <w:rPr>
                      <w:rFonts w:hint="default" w:ascii="Times New Roman" w:hAnsi="Times New Roman" w:eastAsia="宋体" w:cs="Times New Roman"/>
                      <w:kern w:val="2"/>
                      <w:sz w:val="22"/>
                      <w:szCs w:val="22"/>
                      <w:u w:val="none" w:color="auto"/>
                      <w:lang w:val="en-US" w:eastAsia="zh-CN" w:bidi="ar-SA"/>
                    </w:rPr>
                  </w:pPr>
                  <w:r>
                    <w:rPr>
                      <w:rFonts w:hint="default" w:ascii="Times New Roman" w:hAnsi="Times New Roman" w:eastAsia="宋体" w:cs="Times New Roman"/>
                      <w:kern w:val="2"/>
                      <w:sz w:val="22"/>
                      <w:szCs w:val="22"/>
                      <w:u w:val="none" w:color="auto"/>
                      <w:lang w:val="en-US" w:eastAsia="zh-CN" w:bidi="ar-SA"/>
                    </w:rPr>
                    <w:t>NH</w:t>
                  </w:r>
                  <w:r>
                    <w:rPr>
                      <w:rFonts w:hint="default" w:ascii="Times New Roman" w:hAnsi="Times New Roman" w:eastAsia="宋体" w:cs="Times New Roman"/>
                      <w:kern w:val="2"/>
                      <w:sz w:val="22"/>
                      <w:szCs w:val="22"/>
                      <w:u w:val="none" w:color="auto"/>
                      <w:vertAlign w:val="subscript"/>
                      <w:lang w:val="en-US" w:eastAsia="zh-CN" w:bidi="ar-SA"/>
                    </w:rPr>
                    <w:t>3</w:t>
                  </w:r>
                  <w:r>
                    <w:rPr>
                      <w:rFonts w:hint="default" w:ascii="Times New Roman" w:hAnsi="Times New Roman" w:eastAsia="宋体" w:cs="Times New Roman"/>
                      <w:kern w:val="2"/>
                      <w:sz w:val="22"/>
                      <w:szCs w:val="22"/>
                      <w:u w:val="none" w:color="auto"/>
                      <w:lang w:val="en-US" w:eastAsia="zh-CN" w:bidi="ar-SA"/>
                    </w:rPr>
                    <w:t>-N</w:t>
                  </w:r>
                </w:p>
              </w:tc>
              <w:tc>
                <w:tcPr>
                  <w:tcW w:w="1257" w:type="pct"/>
                  <w:noWrap w:val="0"/>
                  <w:vAlign w:val="center"/>
                </w:tcPr>
                <w:p>
                  <w:pPr>
                    <w:pStyle w:val="149"/>
                    <w:keepNext w:val="0"/>
                    <w:keepLines w:val="0"/>
                    <w:pageBreakBefore w:val="0"/>
                    <w:widowControl w:val="0"/>
                    <w:kinsoku/>
                    <w:wordWrap/>
                    <w:overflowPunct/>
                    <w:topLinePunct w:val="0"/>
                    <w:autoSpaceDE/>
                    <w:autoSpaceDN/>
                    <w:bidi w:val="0"/>
                    <w:adjustRightInd w:val="0"/>
                    <w:snapToGrid w:val="0"/>
                    <w:spacing w:line="360" w:lineRule="auto"/>
                    <w:rPr>
                      <w:rFonts w:hint="default" w:ascii="Times New Roman" w:hAnsi="Times New Roman" w:eastAsia="宋体" w:cs="Times New Roman"/>
                      <w:kern w:val="2"/>
                      <w:sz w:val="22"/>
                      <w:szCs w:val="22"/>
                      <w:u w:val="none" w:color="auto"/>
                      <w:lang w:val="en-US" w:eastAsia="zh-CN" w:bidi="ar-SA"/>
                    </w:rPr>
                  </w:pPr>
                  <w:r>
                    <w:rPr>
                      <w:rFonts w:hint="default" w:ascii="Times New Roman" w:hAnsi="Times New Roman" w:eastAsia="宋体" w:cs="Times New Roman"/>
                      <w:kern w:val="2"/>
                      <w:sz w:val="22"/>
                      <w:szCs w:val="22"/>
                      <w:u w:val="none" w:color="auto"/>
                      <w:lang w:val="en-US" w:eastAsia="zh-CN" w:bidi="ar-SA"/>
                    </w:rPr>
                    <w:t>30</w:t>
                  </w:r>
                </w:p>
              </w:tc>
              <w:tc>
                <w:tcPr>
                  <w:tcW w:w="1284" w:type="pct"/>
                  <w:noWrap w:val="0"/>
                  <w:vAlign w:val="center"/>
                </w:tcPr>
                <w:p>
                  <w:pPr>
                    <w:pStyle w:val="149"/>
                    <w:keepNext w:val="0"/>
                    <w:keepLines w:val="0"/>
                    <w:pageBreakBefore w:val="0"/>
                    <w:widowControl w:val="0"/>
                    <w:kinsoku/>
                    <w:wordWrap/>
                    <w:overflowPunct/>
                    <w:topLinePunct w:val="0"/>
                    <w:autoSpaceDE/>
                    <w:autoSpaceDN/>
                    <w:bidi w:val="0"/>
                    <w:adjustRightInd w:val="0"/>
                    <w:snapToGrid w:val="0"/>
                    <w:spacing w:line="360" w:lineRule="auto"/>
                    <w:rPr>
                      <w:rFonts w:hint="default" w:ascii="Times New Roman" w:hAnsi="Times New Roman" w:eastAsia="宋体" w:cs="Times New Roman"/>
                      <w:kern w:val="2"/>
                      <w:sz w:val="22"/>
                      <w:szCs w:val="22"/>
                      <w:u w:val="none" w:color="auto"/>
                      <w:lang w:val="en-US" w:eastAsia="zh-CN" w:bidi="ar-SA"/>
                    </w:rPr>
                  </w:pPr>
                  <w:r>
                    <w:rPr>
                      <w:rFonts w:hint="default" w:ascii="Times New Roman" w:hAnsi="Times New Roman" w:eastAsia="宋体" w:cs="Times New Roman"/>
                      <w:kern w:val="2"/>
                      <w:sz w:val="22"/>
                      <w:szCs w:val="22"/>
                      <w:u w:val="none" w:color="auto"/>
                      <w:lang w:val="en-US" w:eastAsia="zh-CN" w:bidi="ar-SA"/>
                    </w:rPr>
                    <w:t>0.0</w:t>
                  </w:r>
                  <w:r>
                    <w:rPr>
                      <w:rFonts w:hint="eastAsia" w:ascii="Times New Roman" w:hAnsi="Times New Roman" w:cs="Times New Roman"/>
                      <w:kern w:val="2"/>
                      <w:sz w:val="22"/>
                      <w:szCs w:val="22"/>
                      <w:u w:val="none" w:color="auto"/>
                      <w:lang w:val="en-US" w:eastAsia="zh-CN" w:bidi="ar-SA"/>
                    </w:rPr>
                    <w:t>18</w:t>
                  </w:r>
                </w:p>
              </w:tc>
            </w:tr>
          </w:tbl>
          <w:p>
            <w:pPr>
              <w:spacing w:line="360" w:lineRule="auto"/>
              <w:ind w:firstLine="466" w:firstLineChars="200"/>
              <w:rPr>
                <w:rFonts w:hint="default" w:eastAsia="宋体"/>
                <w:sz w:val="24"/>
                <w:szCs w:val="24"/>
                <w:u w:val="single" w:color="auto"/>
                <w:lang w:val="en-US" w:eastAsia="zh-CN"/>
              </w:rPr>
            </w:pPr>
            <w:r>
              <w:rPr>
                <w:rFonts w:hint="eastAsia"/>
                <w:sz w:val="24"/>
                <w:szCs w:val="24"/>
                <w:u w:val="single" w:color="auto"/>
                <w:lang w:eastAsia="zh-CN"/>
              </w:rPr>
              <w:t>（</w:t>
            </w:r>
            <w:r>
              <w:rPr>
                <w:rFonts w:hint="eastAsia"/>
                <w:sz w:val="24"/>
                <w:szCs w:val="24"/>
                <w:u w:val="single" w:color="auto"/>
                <w:lang w:val="en-US" w:eastAsia="zh-CN"/>
              </w:rPr>
              <w:t>2</w:t>
            </w:r>
            <w:r>
              <w:rPr>
                <w:rFonts w:hint="eastAsia"/>
                <w:sz w:val="24"/>
                <w:szCs w:val="24"/>
                <w:u w:val="single" w:color="auto"/>
                <w:lang w:eastAsia="zh-CN"/>
              </w:rPr>
              <w:t>）</w:t>
            </w:r>
            <w:r>
              <w:rPr>
                <w:rFonts w:hint="eastAsia"/>
                <w:sz w:val="24"/>
                <w:szCs w:val="24"/>
                <w:u w:val="single" w:color="auto"/>
                <w:lang w:val="en-US" w:eastAsia="zh-CN"/>
              </w:rPr>
              <w:t>印刷工序擦洗废水</w:t>
            </w:r>
          </w:p>
          <w:p>
            <w:pPr>
              <w:spacing w:line="360" w:lineRule="auto"/>
              <w:ind w:firstLine="466" w:firstLineChars="200"/>
              <w:rPr>
                <w:rFonts w:hint="default" w:ascii="Times New Roman" w:hAnsi="Times New Roman" w:cs="Times New Roman"/>
                <w:sz w:val="24"/>
                <w:szCs w:val="24"/>
                <w:u w:val="single" w:color="auto"/>
                <w:lang w:val="en-US"/>
              </w:rPr>
            </w:pPr>
            <w:r>
              <w:rPr>
                <w:rFonts w:hint="eastAsia" w:cs="Times New Roman"/>
                <w:bCs/>
                <w:sz w:val="24"/>
                <w:u w:val="single" w:color="auto"/>
                <w:lang w:val="en-US" w:eastAsia="zh-CN"/>
              </w:rPr>
              <w:t>项目在印刷工序</w:t>
            </w:r>
            <w:r>
              <w:rPr>
                <w:rFonts w:hint="default" w:ascii="Times New Roman" w:hAnsi="Times New Roman" w:cs="Times New Roman"/>
                <w:bCs/>
                <w:sz w:val="24"/>
                <w:szCs w:val="24"/>
                <w:u w:val="single" w:color="auto"/>
                <w:lang w:val="en-US" w:eastAsia="zh-CN"/>
              </w:rPr>
              <w:t>完成后，需要对墨辊进行擦洗，根据业主提供的资料可知，项目每天进行擦洗，擦洗废水量为0.07m</w:t>
            </w:r>
            <w:r>
              <w:rPr>
                <w:rFonts w:hint="default" w:ascii="Times New Roman" w:hAnsi="Times New Roman" w:cs="Times New Roman"/>
                <w:bCs/>
                <w:sz w:val="24"/>
                <w:szCs w:val="24"/>
                <w:u w:val="single" w:color="auto"/>
                <w:vertAlign w:val="superscript"/>
                <w:lang w:val="en-US" w:eastAsia="zh-CN"/>
              </w:rPr>
              <w:t>3</w:t>
            </w:r>
            <w:r>
              <w:rPr>
                <w:rFonts w:hint="default" w:ascii="Times New Roman" w:hAnsi="Times New Roman" w:cs="Times New Roman"/>
                <w:bCs/>
                <w:sz w:val="24"/>
                <w:szCs w:val="24"/>
                <w:u w:val="single" w:color="auto"/>
                <w:lang w:val="en-US" w:eastAsia="zh-CN"/>
              </w:rPr>
              <w:t>/d，故擦洗废水量为21t/a，废水中主要污染物及产生浓度为CODcr</w:t>
            </w:r>
            <w:r>
              <w:rPr>
                <w:rFonts w:hint="default" w:ascii="Times New Roman" w:hAnsi="Times New Roman" w:eastAsia="宋体" w:cs="Times New Roman"/>
                <w:bCs/>
                <w:sz w:val="24"/>
                <w:szCs w:val="24"/>
                <w:u w:val="single" w:color="auto"/>
                <w:lang w:val="en-US" w:eastAsia="zh-CN"/>
              </w:rPr>
              <w:t>≦600mg/L，</w:t>
            </w:r>
            <w:r>
              <w:rPr>
                <w:rFonts w:hint="default" w:ascii="Times New Roman" w:hAnsi="Times New Roman" w:eastAsia="宋体" w:cs="Times New Roman"/>
                <w:kern w:val="2"/>
                <w:sz w:val="24"/>
                <w:szCs w:val="24"/>
                <w:u w:val="single" w:color="auto"/>
                <w:vertAlign w:val="baseline"/>
                <w:lang w:val="en-US" w:eastAsia="zh-CN" w:bidi="ar-SA"/>
              </w:rPr>
              <w:t>BOD</w:t>
            </w:r>
            <w:r>
              <w:rPr>
                <w:rFonts w:hint="default" w:ascii="Times New Roman" w:hAnsi="Times New Roman" w:cs="Times New Roman"/>
                <w:kern w:val="2"/>
                <w:sz w:val="24"/>
                <w:szCs w:val="24"/>
                <w:u w:val="single" w:color="auto"/>
                <w:vertAlign w:val="subscript"/>
                <w:lang w:val="en-US" w:eastAsia="zh-CN" w:bidi="ar-SA"/>
              </w:rPr>
              <w:t>5</w:t>
            </w:r>
            <w:r>
              <w:rPr>
                <w:rFonts w:hint="default" w:ascii="Times New Roman" w:hAnsi="Times New Roman" w:eastAsia="宋体" w:cs="Times New Roman"/>
                <w:bCs/>
                <w:sz w:val="24"/>
                <w:szCs w:val="24"/>
                <w:u w:val="single" w:color="auto"/>
                <w:lang w:val="en-US" w:eastAsia="zh-CN"/>
              </w:rPr>
              <w:t>≦400mg/L，</w:t>
            </w:r>
            <w:r>
              <w:rPr>
                <w:rFonts w:hint="default" w:ascii="Times New Roman" w:hAnsi="Times New Roman" w:eastAsia="宋体" w:cs="Times New Roman"/>
                <w:kern w:val="2"/>
                <w:sz w:val="24"/>
                <w:szCs w:val="24"/>
                <w:u w:val="single" w:color="auto"/>
                <w:lang w:val="en-US" w:eastAsia="zh-CN" w:bidi="ar-SA"/>
              </w:rPr>
              <w:t>SS</w:t>
            </w:r>
            <w:r>
              <w:rPr>
                <w:rFonts w:hint="default" w:ascii="Times New Roman" w:hAnsi="Times New Roman" w:eastAsia="宋体" w:cs="Times New Roman"/>
                <w:bCs/>
                <w:sz w:val="24"/>
                <w:szCs w:val="24"/>
                <w:u w:val="single" w:color="auto"/>
                <w:lang w:val="en-US" w:eastAsia="zh-CN"/>
              </w:rPr>
              <w:t>≦100mg/L，色度约为400。</w:t>
            </w:r>
            <w:r>
              <w:rPr>
                <w:rFonts w:hint="default" w:ascii="Times New Roman" w:hAnsi="Times New Roman" w:cs="Times New Roman"/>
                <w:bCs/>
                <w:sz w:val="24"/>
                <w:szCs w:val="24"/>
                <w:u w:val="single" w:color="auto"/>
                <w:lang w:val="en-US" w:eastAsia="zh-CN"/>
              </w:rPr>
              <w:t>该部分废水收集于废水罐内</w:t>
            </w:r>
            <w:r>
              <w:rPr>
                <w:rFonts w:hint="eastAsia" w:cs="Times New Roman"/>
                <w:bCs/>
                <w:sz w:val="24"/>
                <w:szCs w:val="24"/>
                <w:u w:val="single" w:color="auto"/>
                <w:lang w:val="en-US" w:eastAsia="zh-CN"/>
              </w:rPr>
              <w:t>（废水罐拟建于项目一楼地面处，本环评建议地面需进行硬化处理，周围设置围堰）</w:t>
            </w:r>
            <w:r>
              <w:rPr>
                <w:rFonts w:hint="default" w:ascii="Times New Roman" w:hAnsi="Times New Roman" w:cs="Times New Roman"/>
                <w:bCs/>
                <w:sz w:val="24"/>
                <w:szCs w:val="24"/>
                <w:u w:val="single" w:color="auto"/>
                <w:lang w:val="en-US" w:eastAsia="zh-CN"/>
              </w:rPr>
              <w:t>，再</w:t>
            </w:r>
            <w:r>
              <w:rPr>
                <w:rFonts w:hint="eastAsia"/>
                <w:color w:val="auto"/>
                <w:sz w:val="24"/>
                <w:szCs w:val="24"/>
                <w:u w:val="single" w:color="auto"/>
                <w:lang w:val="en-US" w:eastAsia="zh-CN"/>
              </w:rPr>
              <w:t>交由湖南洋沙湖危险废物治理有限公司进行托运和处置（处理协议详见附件8）</w:t>
            </w:r>
            <w:r>
              <w:rPr>
                <w:rFonts w:hint="default" w:ascii="Times New Roman" w:hAnsi="Times New Roman" w:cs="Times New Roman"/>
                <w:sz w:val="24"/>
                <w:szCs w:val="24"/>
                <w:u w:val="single" w:color="auto"/>
                <w:lang w:val="en-US" w:eastAsia="zh-CN"/>
              </w:rPr>
              <w:t>。</w:t>
            </w:r>
          </w:p>
          <w:p>
            <w:pPr>
              <w:spacing w:line="360" w:lineRule="auto"/>
              <w:ind w:firstLine="466" w:firstLineChars="200"/>
              <w:rPr>
                <w:sz w:val="24"/>
                <w:szCs w:val="24"/>
                <w:u w:val="single" w:color="auto"/>
              </w:rPr>
            </w:pPr>
            <w:r>
              <w:rPr>
                <w:sz w:val="24"/>
                <w:szCs w:val="24"/>
                <w:u w:val="single" w:color="auto"/>
              </w:rPr>
              <w:t>2、废气</w:t>
            </w:r>
          </w:p>
          <w:p>
            <w:pPr>
              <w:pStyle w:val="34"/>
              <w:spacing w:line="360" w:lineRule="auto"/>
              <w:ind w:left="0" w:leftChars="0" w:firstLine="466" w:firstLineChars="200"/>
              <w:jc w:val="left"/>
              <w:rPr>
                <w:sz w:val="24"/>
                <w:u w:val="single" w:color="auto"/>
              </w:rPr>
            </w:pPr>
            <w:r>
              <w:rPr>
                <w:sz w:val="24"/>
                <w:u w:val="single" w:color="auto"/>
              </w:rPr>
              <w:t>本项目运营过程中产生的废气有</w:t>
            </w:r>
            <w:r>
              <w:rPr>
                <w:rFonts w:hint="eastAsia"/>
                <w:sz w:val="24"/>
                <w:u w:val="single" w:color="auto"/>
                <w:lang w:val="en-US" w:eastAsia="zh-CN"/>
              </w:rPr>
              <w:t>印刷、固化废气、分切工序废气</w:t>
            </w:r>
            <w:r>
              <w:rPr>
                <w:rFonts w:hint="eastAsia"/>
                <w:sz w:val="24"/>
                <w:u w:val="single" w:color="auto"/>
              </w:rPr>
              <w:t>。</w:t>
            </w:r>
          </w:p>
          <w:p>
            <w:pPr>
              <w:pStyle w:val="34"/>
              <w:spacing w:line="360" w:lineRule="auto"/>
              <w:ind w:left="400"/>
              <w:jc w:val="left"/>
              <w:rPr>
                <w:rFonts w:hint="default" w:eastAsia="宋体"/>
                <w:sz w:val="24"/>
                <w:u w:val="single" w:color="auto"/>
                <w:lang w:val="en-US" w:eastAsia="zh-CN"/>
              </w:rPr>
            </w:pPr>
            <w:r>
              <w:rPr>
                <w:rFonts w:hint="eastAsia"/>
                <w:sz w:val="24"/>
                <w:u w:val="single" w:color="auto"/>
              </w:rPr>
              <w:t>（1）</w:t>
            </w:r>
            <w:r>
              <w:rPr>
                <w:rFonts w:hint="eastAsia"/>
                <w:sz w:val="24"/>
                <w:u w:val="single" w:color="auto"/>
                <w:lang w:eastAsia="zh-CN"/>
              </w:rPr>
              <w:t>印刷、</w:t>
            </w:r>
            <w:r>
              <w:rPr>
                <w:rFonts w:hint="eastAsia"/>
                <w:sz w:val="24"/>
                <w:u w:val="single" w:color="auto"/>
                <w:lang w:val="en-US" w:eastAsia="zh-CN"/>
              </w:rPr>
              <w:t>固化</w:t>
            </w:r>
            <w:r>
              <w:rPr>
                <w:rFonts w:hint="eastAsia"/>
                <w:sz w:val="24"/>
                <w:u w:val="single" w:color="auto"/>
                <w:lang w:eastAsia="zh-CN"/>
              </w:rPr>
              <w:t>废气</w:t>
            </w:r>
          </w:p>
          <w:p>
            <w:pPr>
              <w:pStyle w:val="34"/>
              <w:spacing w:line="360" w:lineRule="auto"/>
              <w:ind w:left="0" w:leftChars="0" w:firstLine="466" w:firstLineChars="200"/>
              <w:jc w:val="left"/>
              <w:rPr>
                <w:rFonts w:hint="default" w:eastAsia="宋体"/>
                <w:sz w:val="24"/>
                <w:u w:val="single" w:color="auto"/>
                <w:lang w:val="en-US" w:eastAsia="zh-CN"/>
              </w:rPr>
            </w:pPr>
            <w:r>
              <w:rPr>
                <w:rFonts w:hint="eastAsia"/>
                <w:sz w:val="24"/>
                <w:u w:val="single" w:color="auto"/>
                <w:lang w:val="en-US" w:eastAsia="zh-CN"/>
              </w:rPr>
              <w:t>本项目在生产过程中，需要对部分原纸进行印刷及固化，根据业主提供的相关资料可知，项目年使用水性油墨量为2t/a，根据《印刷工业污染防治可行技术指南中的“附录B”》，（2020年1月8日由生态环境部发布的文件）可知，项目水性凸印油墨中VOC</w:t>
            </w:r>
            <w:r>
              <w:rPr>
                <w:rFonts w:hint="eastAsia"/>
                <w:sz w:val="24"/>
                <w:u w:val="single" w:color="auto"/>
                <w:vertAlign w:val="subscript"/>
                <w:lang w:val="en-US" w:eastAsia="zh-CN"/>
              </w:rPr>
              <w:t>S</w:t>
            </w:r>
            <w:r>
              <w:rPr>
                <w:rFonts w:hint="eastAsia"/>
                <w:sz w:val="24"/>
                <w:u w:val="single" w:color="auto"/>
                <w:lang w:val="en-US" w:eastAsia="zh-CN"/>
              </w:rPr>
              <w:t>质量占比小于等于10%，故本次环评取10%计算，可知项目印刷、固化废气量为0.2t/a，根据指南可知，本环评建议在印刷工序及固化工序设置集气罩（收集效率需达到80%）收集后再通过UV光解设施+活性炭吸附（处理效率需为80%以上）+24m高排气筒排放，建议设置风量为3000m</w:t>
            </w:r>
            <w:r>
              <w:rPr>
                <w:rFonts w:hint="eastAsia"/>
                <w:sz w:val="24"/>
                <w:u w:val="single" w:color="auto"/>
                <w:vertAlign w:val="superscript"/>
                <w:lang w:val="en-US" w:eastAsia="zh-CN"/>
              </w:rPr>
              <w:t>3</w:t>
            </w:r>
            <w:r>
              <w:rPr>
                <w:rFonts w:hint="eastAsia"/>
                <w:sz w:val="24"/>
                <w:u w:val="single" w:color="auto"/>
                <w:lang w:val="en-US" w:eastAsia="zh-CN"/>
              </w:rPr>
              <w:t>/h，</w:t>
            </w:r>
            <w:r>
              <w:rPr>
                <w:rFonts w:hint="eastAsia" w:ascii="Times New Roman" w:hAnsi="Times New Roman" w:cs="Times New Roman"/>
                <w:color w:val="auto"/>
                <w:sz w:val="24"/>
                <w:szCs w:val="24"/>
                <w:u w:val="single" w:color="auto"/>
                <w:lang w:val="en-US" w:eastAsia="zh-CN"/>
              </w:rPr>
              <w:t>印刷固化</w:t>
            </w:r>
            <w:r>
              <w:rPr>
                <w:rFonts w:hint="default" w:ascii="Times New Roman" w:hAnsi="Times New Roman" w:cs="Times New Roman"/>
                <w:color w:val="auto"/>
                <w:sz w:val="24"/>
                <w:szCs w:val="24"/>
                <w:u w:val="single" w:color="auto"/>
                <w:lang w:val="en-US" w:eastAsia="zh-CN"/>
              </w:rPr>
              <w:t>年工作时间为</w:t>
            </w:r>
            <w:r>
              <w:rPr>
                <w:rFonts w:hint="eastAsia" w:ascii="Times New Roman" w:hAnsi="Times New Roman" w:cs="Times New Roman"/>
                <w:color w:val="auto"/>
                <w:sz w:val="24"/>
                <w:szCs w:val="24"/>
                <w:u w:val="single" w:color="auto"/>
                <w:lang w:val="en-US" w:eastAsia="zh-CN"/>
              </w:rPr>
              <w:t>24</w:t>
            </w:r>
            <w:r>
              <w:rPr>
                <w:rFonts w:hint="default" w:ascii="Times New Roman" w:hAnsi="Times New Roman" w:cs="Times New Roman"/>
                <w:color w:val="auto"/>
                <w:sz w:val="24"/>
                <w:szCs w:val="24"/>
                <w:u w:val="single" w:color="auto"/>
                <w:lang w:val="en-US" w:eastAsia="zh-CN"/>
              </w:rPr>
              <w:t>00h/a</w:t>
            </w:r>
            <w:r>
              <w:rPr>
                <w:rFonts w:hint="default" w:ascii="Times New Roman" w:hAnsi="Times New Roman" w:cs="Times New Roman"/>
                <w:color w:val="auto"/>
                <w:sz w:val="24"/>
                <w:szCs w:val="24"/>
                <w:u w:val="single" w:color="auto"/>
                <w:lang w:eastAsia="zh-CN"/>
              </w:rPr>
              <w:t>，经处理后本排气筒中</w:t>
            </w:r>
            <w:r>
              <w:rPr>
                <w:rFonts w:hint="default" w:ascii="Times New Roman" w:hAnsi="Times New Roman" w:eastAsia="宋体" w:cs="Times New Roman"/>
                <w:color w:val="auto"/>
                <w:sz w:val="24"/>
                <w:szCs w:val="24"/>
                <w:u w:val="single" w:color="auto"/>
              </w:rPr>
              <w:t>VOCs有组织排放量为</w:t>
            </w:r>
            <w:r>
              <w:rPr>
                <w:rFonts w:hint="eastAsia" w:cs="Times New Roman"/>
                <w:color w:val="auto"/>
                <w:sz w:val="24"/>
                <w:szCs w:val="24"/>
                <w:u w:val="single" w:color="auto"/>
                <w:lang w:val="en-US" w:eastAsia="zh-CN"/>
              </w:rPr>
              <w:t>0.032</w:t>
            </w:r>
            <w:r>
              <w:rPr>
                <w:rFonts w:hint="default" w:ascii="Times New Roman" w:hAnsi="Times New Roman" w:eastAsia="宋体" w:cs="Times New Roman"/>
                <w:color w:val="auto"/>
                <w:sz w:val="24"/>
                <w:szCs w:val="24"/>
                <w:u w:val="single" w:color="auto"/>
              </w:rPr>
              <w:t>t/a（</w:t>
            </w:r>
            <w:r>
              <w:rPr>
                <w:rFonts w:hint="eastAsia" w:cs="Times New Roman"/>
                <w:color w:val="auto"/>
                <w:sz w:val="24"/>
                <w:szCs w:val="24"/>
                <w:u w:val="single" w:color="auto"/>
                <w:lang w:val="en-US" w:eastAsia="zh-CN"/>
              </w:rPr>
              <w:t>0.0133</w:t>
            </w:r>
            <w:r>
              <w:rPr>
                <w:rFonts w:hint="default" w:ascii="Times New Roman" w:hAnsi="Times New Roman" w:eastAsia="宋体" w:cs="Times New Roman"/>
                <w:color w:val="auto"/>
                <w:sz w:val="24"/>
                <w:szCs w:val="24"/>
                <w:u w:val="single" w:color="auto"/>
              </w:rPr>
              <w:t>kg/h，</w:t>
            </w:r>
            <w:r>
              <w:rPr>
                <w:rFonts w:hint="eastAsia" w:cs="Times New Roman"/>
                <w:color w:val="auto"/>
                <w:sz w:val="24"/>
                <w:szCs w:val="24"/>
                <w:u w:val="single" w:color="auto"/>
                <w:lang w:val="en-US" w:eastAsia="zh-CN"/>
              </w:rPr>
              <w:t>4.43</w:t>
            </w:r>
            <w:r>
              <w:rPr>
                <w:rFonts w:hint="default" w:ascii="Times New Roman" w:hAnsi="Times New Roman" w:eastAsia="宋体" w:cs="Times New Roman"/>
                <w:color w:val="auto"/>
                <w:sz w:val="24"/>
                <w:szCs w:val="24"/>
                <w:u w:val="single" w:color="auto"/>
              </w:rPr>
              <w:t>mg/m</w:t>
            </w:r>
            <w:r>
              <w:rPr>
                <w:rFonts w:hint="default" w:ascii="Times New Roman" w:hAnsi="Times New Roman" w:eastAsia="宋体" w:cs="Times New Roman"/>
                <w:color w:val="auto"/>
                <w:sz w:val="24"/>
                <w:szCs w:val="24"/>
                <w:u w:val="single" w:color="auto"/>
                <w:vertAlign w:val="superscript"/>
              </w:rPr>
              <w:t>3</w:t>
            </w:r>
            <w:r>
              <w:rPr>
                <w:rFonts w:hint="default" w:ascii="Times New Roman" w:hAnsi="Times New Roman" w:eastAsia="宋体" w:cs="Times New Roman"/>
                <w:color w:val="auto"/>
                <w:sz w:val="24"/>
                <w:szCs w:val="24"/>
                <w:u w:val="single" w:color="auto"/>
              </w:rPr>
              <w:t>）</w:t>
            </w:r>
            <w:r>
              <w:rPr>
                <w:rFonts w:hint="default" w:ascii="Times New Roman" w:hAnsi="Times New Roman" w:cs="Times New Roman"/>
                <w:color w:val="auto"/>
                <w:sz w:val="24"/>
                <w:szCs w:val="24"/>
                <w:u w:val="single" w:color="auto"/>
                <w:lang w:eastAsia="zh-CN"/>
              </w:rPr>
              <w:t>、</w:t>
            </w:r>
            <w:r>
              <w:rPr>
                <w:rFonts w:hint="default" w:ascii="Times New Roman" w:hAnsi="Times New Roman" w:eastAsia="宋体" w:cs="Times New Roman"/>
                <w:color w:val="auto"/>
                <w:sz w:val="24"/>
                <w:szCs w:val="24"/>
                <w:u w:val="single" w:color="auto"/>
              </w:rPr>
              <w:t>VOCs无组织排放量为</w:t>
            </w:r>
            <w:r>
              <w:rPr>
                <w:rFonts w:hint="eastAsia" w:cs="Times New Roman"/>
                <w:color w:val="auto"/>
                <w:sz w:val="24"/>
                <w:szCs w:val="24"/>
                <w:u w:val="single" w:color="auto"/>
                <w:lang w:val="en-US" w:eastAsia="zh-CN"/>
              </w:rPr>
              <w:t>0.04</w:t>
            </w:r>
            <w:r>
              <w:rPr>
                <w:rFonts w:hint="default" w:ascii="Times New Roman" w:hAnsi="Times New Roman" w:eastAsia="宋体" w:cs="Times New Roman"/>
                <w:color w:val="auto"/>
                <w:sz w:val="24"/>
                <w:szCs w:val="24"/>
                <w:u w:val="single" w:color="auto"/>
              </w:rPr>
              <w:t>t/a（</w:t>
            </w:r>
            <w:r>
              <w:rPr>
                <w:rFonts w:hint="eastAsia" w:cs="Times New Roman"/>
                <w:color w:val="auto"/>
                <w:sz w:val="24"/>
                <w:szCs w:val="24"/>
                <w:u w:val="single" w:color="auto"/>
                <w:lang w:val="en-US" w:eastAsia="zh-CN"/>
              </w:rPr>
              <w:t>0.0167</w:t>
            </w:r>
            <w:r>
              <w:rPr>
                <w:rFonts w:hint="default" w:ascii="Times New Roman" w:hAnsi="Times New Roman" w:eastAsia="宋体" w:cs="Times New Roman"/>
                <w:color w:val="auto"/>
                <w:sz w:val="24"/>
                <w:szCs w:val="24"/>
                <w:u w:val="single" w:color="auto"/>
              </w:rPr>
              <w:t>kg/h）</w:t>
            </w:r>
            <w:r>
              <w:rPr>
                <w:rFonts w:hint="default" w:ascii="Times New Roman" w:hAnsi="Times New Roman" w:cs="Times New Roman"/>
                <w:color w:val="auto"/>
                <w:sz w:val="24"/>
                <w:szCs w:val="24"/>
                <w:u w:val="single" w:color="auto"/>
                <w:lang w:eastAsia="zh-CN"/>
              </w:rPr>
              <w:t>。</w:t>
            </w:r>
            <w:r>
              <w:rPr>
                <w:rFonts w:hint="eastAsia" w:ascii="Times New Roman" w:hAnsi="Times New Roman" w:cs="Times New Roman"/>
                <w:color w:val="auto"/>
                <w:sz w:val="24"/>
                <w:szCs w:val="24"/>
                <w:u w:val="single" w:color="auto"/>
                <w:lang w:val="en-US" w:eastAsia="zh-CN"/>
              </w:rPr>
              <w:t>经处理后废气中有机废气</w:t>
            </w:r>
            <w:r>
              <w:rPr>
                <w:rFonts w:hint="eastAsia" w:cs="Times New Roman"/>
                <w:color w:val="auto"/>
                <w:sz w:val="24"/>
                <w:szCs w:val="24"/>
                <w:u w:val="single" w:color="auto"/>
                <w:lang w:val="en-US" w:eastAsia="zh-CN"/>
              </w:rPr>
              <w:t>排放浓度</w:t>
            </w:r>
            <w:r>
              <w:rPr>
                <w:rFonts w:hint="eastAsia" w:ascii="Times New Roman" w:hAnsi="Times New Roman" w:cs="Times New Roman"/>
                <w:color w:val="auto"/>
                <w:sz w:val="24"/>
                <w:szCs w:val="24"/>
                <w:u w:val="single" w:color="auto"/>
                <w:lang w:val="en-US" w:eastAsia="zh-CN"/>
              </w:rPr>
              <w:t>可达到</w:t>
            </w:r>
            <w:r>
              <w:rPr>
                <w:rFonts w:hint="eastAsia" w:cs="Times New Roman"/>
                <w:color w:val="auto"/>
                <w:kern w:val="0"/>
                <w:sz w:val="24"/>
                <w:szCs w:val="24"/>
                <w:u w:val="single" w:color="auto"/>
                <w:lang w:val="en-US" w:eastAsia="zh-CN" w:bidi="ar"/>
              </w:rPr>
              <w:t>《印刷业挥发性有机物排放标准》（DB43/1357-2017）中排放标准限值要求。</w:t>
            </w:r>
          </w:p>
          <w:p>
            <w:pPr>
              <w:pStyle w:val="34"/>
              <w:spacing w:line="360" w:lineRule="auto"/>
              <w:ind w:left="400"/>
              <w:jc w:val="left"/>
              <w:rPr>
                <w:sz w:val="24"/>
                <w:u w:val="single" w:color="auto"/>
              </w:rPr>
            </w:pPr>
            <w:r>
              <w:rPr>
                <w:rFonts w:hint="eastAsia"/>
                <w:sz w:val="24"/>
                <w:u w:val="single" w:color="auto"/>
                <w:lang w:eastAsia="zh-CN"/>
              </w:rPr>
              <w:t>（</w:t>
            </w:r>
            <w:r>
              <w:rPr>
                <w:rFonts w:hint="eastAsia"/>
                <w:sz w:val="24"/>
                <w:u w:val="single" w:color="auto"/>
                <w:lang w:val="en-US" w:eastAsia="zh-CN"/>
              </w:rPr>
              <w:t>2</w:t>
            </w:r>
            <w:r>
              <w:rPr>
                <w:rFonts w:hint="eastAsia"/>
                <w:sz w:val="24"/>
                <w:u w:val="single" w:color="auto"/>
                <w:lang w:eastAsia="zh-CN"/>
              </w:rPr>
              <w:t>）</w:t>
            </w:r>
            <w:r>
              <w:rPr>
                <w:rFonts w:hint="eastAsia"/>
                <w:sz w:val="24"/>
                <w:u w:val="single" w:color="auto"/>
                <w:lang w:val="en-US" w:eastAsia="zh-CN"/>
              </w:rPr>
              <w:t>分切工序</w:t>
            </w:r>
            <w:r>
              <w:rPr>
                <w:rFonts w:hint="eastAsia"/>
                <w:sz w:val="24"/>
                <w:u w:val="single" w:color="auto"/>
                <w:lang w:eastAsia="zh-CN"/>
              </w:rPr>
              <w:t>废气</w:t>
            </w:r>
          </w:p>
          <w:p>
            <w:pPr>
              <w:spacing w:line="360" w:lineRule="auto"/>
              <w:ind w:firstLine="466" w:firstLineChars="200"/>
              <w:rPr>
                <w:rFonts w:hint="default" w:eastAsia="宋体"/>
                <w:color w:val="auto"/>
                <w:sz w:val="24"/>
                <w:szCs w:val="24"/>
                <w:u w:val="single" w:color="auto"/>
                <w:lang w:val="en-US" w:eastAsia="zh-CN"/>
              </w:rPr>
            </w:pPr>
            <w:r>
              <w:rPr>
                <w:rFonts w:hint="eastAsia" w:ascii="宋体" w:hAnsi="宋体" w:eastAsia="宋体" w:cs="宋体"/>
                <w:color w:val="333333"/>
                <w:sz w:val="24"/>
                <w:szCs w:val="24"/>
                <w:u w:val="single" w:color="auto"/>
              </w:rPr>
              <w:t>本项目</w:t>
            </w:r>
            <w:r>
              <w:rPr>
                <w:rFonts w:hint="eastAsia" w:ascii="宋体" w:hAnsi="宋体" w:cs="宋体"/>
                <w:color w:val="333333"/>
                <w:sz w:val="24"/>
                <w:szCs w:val="24"/>
                <w:u w:val="single" w:color="auto"/>
                <w:lang w:val="en-US" w:eastAsia="zh-CN"/>
              </w:rPr>
              <w:t>原纸在加工过程中需要对其进行分切，根据类比同类项目可知，项目在分切过程中粉尘产</w:t>
            </w:r>
            <w:r>
              <w:rPr>
                <w:rFonts w:hint="default" w:ascii="Times New Roman" w:hAnsi="Times New Roman" w:cs="Times New Roman"/>
                <w:color w:val="333333"/>
                <w:sz w:val="24"/>
                <w:szCs w:val="24"/>
                <w:u w:val="single" w:color="auto"/>
                <w:lang w:val="en-US" w:eastAsia="zh-CN"/>
              </w:rPr>
              <w:t>生量为原纸使用量的0.0</w:t>
            </w:r>
            <w:r>
              <w:rPr>
                <w:rFonts w:hint="eastAsia" w:ascii="Times New Roman" w:hAnsi="Times New Roman" w:cs="Times New Roman"/>
                <w:color w:val="333333"/>
                <w:sz w:val="24"/>
                <w:szCs w:val="24"/>
                <w:u w:val="single" w:color="auto"/>
                <w:lang w:val="en-US" w:eastAsia="zh-CN"/>
              </w:rPr>
              <w:t>3</w:t>
            </w:r>
            <w:r>
              <w:rPr>
                <w:rFonts w:hint="default" w:ascii="Times New Roman" w:hAnsi="Times New Roman" w:cs="Times New Roman"/>
                <w:color w:val="333333"/>
                <w:sz w:val="24"/>
                <w:szCs w:val="24"/>
                <w:u w:val="single" w:color="auto"/>
                <w:lang w:val="en-US" w:eastAsia="zh-CN"/>
              </w:rPr>
              <w:t>%计，根据业主提供的资料可知，项目成品原纸使用量为4886t/a，</w:t>
            </w:r>
            <w:r>
              <w:rPr>
                <w:rFonts w:hint="eastAsia" w:ascii="Times New Roman" w:hAnsi="Times New Roman" w:cs="Times New Roman"/>
                <w:color w:val="333333"/>
                <w:sz w:val="24"/>
                <w:szCs w:val="24"/>
                <w:u w:val="single" w:color="auto"/>
                <w:lang w:val="en-US" w:eastAsia="zh-CN"/>
              </w:rPr>
              <w:t>故本项目在分切工序产生的粉尘量为1.4658t/a，本环评建议在分切工序设置集气罩（收集效率需达到</w:t>
            </w:r>
            <w:r>
              <w:rPr>
                <w:rFonts w:hint="eastAsia" w:cs="Times New Roman"/>
                <w:color w:val="333333"/>
                <w:sz w:val="24"/>
                <w:szCs w:val="24"/>
                <w:u w:val="single" w:color="auto"/>
                <w:lang w:val="en-US" w:eastAsia="zh-CN"/>
              </w:rPr>
              <w:t>8</w:t>
            </w:r>
            <w:r>
              <w:rPr>
                <w:rFonts w:hint="eastAsia" w:ascii="Times New Roman" w:hAnsi="Times New Roman" w:cs="Times New Roman"/>
                <w:color w:val="333333"/>
                <w:sz w:val="24"/>
                <w:szCs w:val="24"/>
                <w:u w:val="single" w:color="auto"/>
                <w:lang w:val="en-US" w:eastAsia="zh-CN"/>
              </w:rPr>
              <w:t>0%）收集后通过布袋除尘器（处理效率为90%）处理后和印刷废气一同经同一根排气筒高空排放排放，项目分切工序年工作时间为2400h</w:t>
            </w:r>
            <w:r>
              <w:rPr>
                <w:rFonts w:hint="default" w:ascii="Times New Roman" w:hAnsi="Times New Roman" w:eastAsia="宋体" w:cs="Times New Roman"/>
                <w:color w:val="333333"/>
                <w:sz w:val="24"/>
                <w:szCs w:val="24"/>
                <w:u w:val="single" w:color="auto"/>
                <w:lang w:eastAsia="zh-CN"/>
              </w:rPr>
              <w:t>，</w:t>
            </w:r>
            <w:r>
              <w:rPr>
                <w:rFonts w:hint="eastAsia"/>
                <w:sz w:val="24"/>
                <w:u w:val="single" w:color="auto"/>
                <w:lang w:val="en-US" w:eastAsia="zh-CN"/>
              </w:rPr>
              <w:t>建议设置风量为3000m</w:t>
            </w:r>
            <w:r>
              <w:rPr>
                <w:rFonts w:hint="eastAsia"/>
                <w:sz w:val="24"/>
                <w:u w:val="single" w:color="auto"/>
                <w:vertAlign w:val="superscript"/>
                <w:lang w:val="en-US" w:eastAsia="zh-CN"/>
              </w:rPr>
              <w:t>3</w:t>
            </w:r>
            <w:r>
              <w:rPr>
                <w:rFonts w:hint="eastAsia"/>
                <w:sz w:val="24"/>
                <w:u w:val="single" w:color="auto"/>
                <w:lang w:val="en-US" w:eastAsia="zh-CN"/>
              </w:rPr>
              <w:t>/h，</w:t>
            </w:r>
            <w:r>
              <w:rPr>
                <w:rFonts w:hint="eastAsia" w:cs="Times New Roman"/>
                <w:color w:val="333333"/>
                <w:sz w:val="24"/>
                <w:szCs w:val="24"/>
                <w:u w:val="single" w:color="auto"/>
                <w:lang w:val="en-US" w:eastAsia="zh-CN"/>
              </w:rPr>
              <w:t>经计算分切工序</w:t>
            </w:r>
            <w:r>
              <w:rPr>
                <w:rFonts w:hint="default" w:ascii="Times New Roman" w:hAnsi="Times New Roman" w:eastAsia="宋体" w:cs="Times New Roman"/>
                <w:color w:val="auto"/>
                <w:sz w:val="24"/>
                <w:szCs w:val="24"/>
                <w:u w:val="single" w:color="auto"/>
              </w:rPr>
              <w:t>颗粒物有组织排放量为</w:t>
            </w:r>
            <w:r>
              <w:rPr>
                <w:rFonts w:hint="eastAsia" w:cs="Times New Roman"/>
                <w:color w:val="auto"/>
                <w:sz w:val="24"/>
                <w:szCs w:val="24"/>
                <w:u w:val="single" w:color="auto"/>
                <w:lang w:val="en-US" w:eastAsia="zh-CN"/>
              </w:rPr>
              <w:t>0.117</w:t>
            </w:r>
            <w:r>
              <w:rPr>
                <w:rFonts w:hint="default" w:ascii="Times New Roman" w:hAnsi="Times New Roman" w:eastAsia="宋体" w:cs="Times New Roman"/>
                <w:color w:val="auto"/>
                <w:sz w:val="24"/>
                <w:szCs w:val="24"/>
                <w:u w:val="single" w:color="auto"/>
              </w:rPr>
              <w:t>t/a（</w:t>
            </w:r>
            <w:r>
              <w:rPr>
                <w:rFonts w:hint="eastAsia" w:cs="Times New Roman"/>
                <w:color w:val="auto"/>
                <w:sz w:val="24"/>
                <w:szCs w:val="24"/>
                <w:u w:val="single" w:color="auto"/>
                <w:lang w:val="en-US" w:eastAsia="zh-CN"/>
              </w:rPr>
              <w:t>0.04875</w:t>
            </w:r>
            <w:r>
              <w:rPr>
                <w:rFonts w:hint="default" w:ascii="Times New Roman" w:hAnsi="Times New Roman" w:eastAsia="宋体" w:cs="Times New Roman"/>
                <w:color w:val="auto"/>
                <w:sz w:val="24"/>
                <w:szCs w:val="24"/>
                <w:u w:val="single" w:color="auto"/>
              </w:rPr>
              <w:t>kg/h，</w:t>
            </w:r>
            <w:r>
              <w:rPr>
                <w:rFonts w:hint="eastAsia" w:cs="Times New Roman"/>
                <w:color w:val="auto"/>
                <w:sz w:val="24"/>
                <w:szCs w:val="24"/>
                <w:u w:val="single" w:color="auto"/>
                <w:lang w:val="en-US" w:eastAsia="zh-CN"/>
              </w:rPr>
              <w:t>16.25</w:t>
            </w:r>
            <w:r>
              <w:rPr>
                <w:rFonts w:hint="default" w:ascii="Times New Roman" w:hAnsi="Times New Roman" w:eastAsia="宋体" w:cs="Times New Roman"/>
                <w:color w:val="auto"/>
                <w:sz w:val="24"/>
                <w:szCs w:val="24"/>
                <w:u w:val="single" w:color="auto"/>
              </w:rPr>
              <w:t>mg/m</w:t>
            </w:r>
            <w:r>
              <w:rPr>
                <w:rFonts w:hint="default" w:ascii="Times New Roman" w:hAnsi="Times New Roman" w:eastAsia="宋体" w:cs="Times New Roman"/>
                <w:color w:val="auto"/>
                <w:sz w:val="24"/>
                <w:szCs w:val="24"/>
                <w:u w:val="single" w:color="auto"/>
                <w:vertAlign w:val="superscript"/>
              </w:rPr>
              <w:t>3</w:t>
            </w:r>
            <w:r>
              <w:rPr>
                <w:rFonts w:hint="default" w:ascii="Times New Roman" w:hAnsi="Times New Roman" w:eastAsia="宋体" w:cs="Times New Roman"/>
                <w:color w:val="auto"/>
                <w:sz w:val="24"/>
                <w:szCs w:val="24"/>
                <w:u w:val="single" w:color="auto"/>
              </w:rPr>
              <w:t>）</w:t>
            </w:r>
            <w:r>
              <w:rPr>
                <w:rFonts w:hint="default" w:ascii="Times New Roman" w:hAnsi="Times New Roman" w:cs="Times New Roman"/>
                <w:color w:val="auto"/>
                <w:sz w:val="24"/>
                <w:szCs w:val="24"/>
                <w:u w:val="single" w:color="auto"/>
                <w:lang w:eastAsia="zh-CN"/>
              </w:rPr>
              <w:t>、颗粒物</w:t>
            </w:r>
            <w:r>
              <w:rPr>
                <w:rFonts w:hint="default" w:ascii="Times New Roman" w:hAnsi="Times New Roman" w:eastAsia="宋体" w:cs="Times New Roman"/>
                <w:color w:val="auto"/>
                <w:sz w:val="24"/>
                <w:szCs w:val="24"/>
                <w:u w:val="single" w:color="auto"/>
              </w:rPr>
              <w:t>无组织排放量</w:t>
            </w:r>
            <w:r>
              <w:rPr>
                <w:rFonts w:hint="eastAsia" w:cs="Times New Roman"/>
                <w:color w:val="auto"/>
                <w:sz w:val="24"/>
                <w:szCs w:val="24"/>
                <w:u w:val="single" w:color="auto"/>
                <w:lang w:val="en-US" w:eastAsia="zh-CN"/>
              </w:rPr>
              <w:t>0.2958</w:t>
            </w:r>
            <w:r>
              <w:rPr>
                <w:rFonts w:hint="default" w:ascii="Times New Roman" w:hAnsi="Times New Roman" w:eastAsia="宋体" w:cs="Times New Roman"/>
                <w:color w:val="auto"/>
                <w:sz w:val="24"/>
                <w:szCs w:val="24"/>
                <w:u w:val="single" w:color="auto"/>
              </w:rPr>
              <w:t>t/a（</w:t>
            </w:r>
            <w:r>
              <w:rPr>
                <w:rFonts w:hint="eastAsia" w:cs="Times New Roman"/>
                <w:color w:val="auto"/>
                <w:sz w:val="24"/>
                <w:szCs w:val="24"/>
                <w:u w:val="single" w:color="auto"/>
                <w:lang w:eastAsia="zh-CN"/>
              </w:rPr>
              <w:t>0.123</w:t>
            </w:r>
            <w:r>
              <w:rPr>
                <w:rFonts w:hint="default" w:ascii="Times New Roman" w:hAnsi="Times New Roman" w:eastAsia="宋体" w:cs="Times New Roman"/>
                <w:color w:val="auto"/>
                <w:sz w:val="24"/>
                <w:szCs w:val="24"/>
                <w:u w:val="single" w:color="auto"/>
              </w:rPr>
              <w:t>kg/h）</w:t>
            </w:r>
            <w:r>
              <w:rPr>
                <w:rFonts w:hint="eastAsia"/>
                <w:color w:val="auto"/>
                <w:sz w:val="24"/>
                <w:szCs w:val="24"/>
                <w:u w:val="single" w:color="auto"/>
              </w:rPr>
              <w:t>。</w:t>
            </w:r>
            <w:r>
              <w:rPr>
                <w:rFonts w:hint="eastAsia"/>
                <w:color w:val="auto"/>
                <w:sz w:val="24"/>
                <w:szCs w:val="24"/>
                <w:u w:val="single" w:color="auto"/>
                <w:lang w:val="en-US" w:eastAsia="zh-CN"/>
              </w:rPr>
              <w:t>经处理后废气中颗粒物排放浓度可达到</w:t>
            </w:r>
            <w:r>
              <w:rPr>
                <w:rFonts w:hint="default" w:ascii="Times New Roman" w:hAnsi="Times New Roman" w:eastAsia="宋体" w:cs="Times New Roman"/>
                <w:color w:val="auto"/>
                <w:kern w:val="0"/>
                <w:sz w:val="24"/>
                <w:szCs w:val="24"/>
                <w:u w:val="single" w:color="auto"/>
                <w:lang w:val="en-US" w:eastAsia="zh-CN" w:bidi="ar"/>
              </w:rPr>
              <w:t>《大气污染物综合排放标准》（GB16297-1996）表2的二级标准</w:t>
            </w:r>
            <w:r>
              <w:rPr>
                <w:rFonts w:hint="default" w:ascii="Times New Roman" w:hAnsi="Times New Roman" w:cs="Times New Roman"/>
                <w:color w:val="auto"/>
                <w:kern w:val="0"/>
                <w:sz w:val="24"/>
                <w:szCs w:val="24"/>
                <w:u w:val="single" w:color="auto"/>
                <w:lang w:val="en-US" w:eastAsia="zh-CN" w:bidi="ar"/>
              </w:rPr>
              <w:t>和无组织排放标准</w:t>
            </w:r>
            <w:r>
              <w:rPr>
                <w:rFonts w:hint="eastAsia" w:cs="Times New Roman"/>
                <w:color w:val="auto"/>
                <w:kern w:val="0"/>
                <w:sz w:val="24"/>
                <w:szCs w:val="24"/>
                <w:u w:val="single" w:color="auto"/>
                <w:lang w:val="en-US" w:eastAsia="zh-CN" w:bidi="ar"/>
              </w:rPr>
              <w:t>限值要求</w:t>
            </w:r>
            <w:r>
              <w:rPr>
                <w:rFonts w:hint="eastAsia" w:ascii="Times New Roman" w:hAnsi="Times New Roman" w:cs="Times New Roman"/>
                <w:color w:val="auto"/>
                <w:kern w:val="0"/>
                <w:sz w:val="24"/>
                <w:szCs w:val="24"/>
                <w:u w:val="single" w:color="auto"/>
                <w:lang w:val="en-US" w:eastAsia="zh-CN" w:bidi="ar"/>
              </w:rPr>
              <w:t>。</w:t>
            </w:r>
          </w:p>
          <w:p>
            <w:pPr>
              <w:snapToGrid w:val="0"/>
              <w:spacing w:line="360" w:lineRule="auto"/>
              <w:ind w:firstLine="466" w:firstLineChars="200"/>
              <w:rPr>
                <w:color w:val="auto"/>
                <w:sz w:val="24"/>
                <w:u w:val="none" w:color="auto"/>
              </w:rPr>
            </w:pPr>
            <w:r>
              <w:rPr>
                <w:color w:val="auto"/>
                <w:sz w:val="24"/>
                <w:u w:val="none" w:color="auto"/>
              </w:rPr>
              <w:t>3、噪声</w:t>
            </w:r>
            <w:r>
              <w:rPr>
                <w:rFonts w:hint="eastAsia"/>
                <w:color w:val="auto"/>
                <w:sz w:val="24"/>
                <w:u w:val="none" w:color="auto"/>
              </w:rPr>
              <w:t xml:space="preserve"> </w:t>
            </w:r>
          </w:p>
          <w:p>
            <w:pPr>
              <w:snapToGrid w:val="0"/>
              <w:spacing w:line="360" w:lineRule="auto"/>
              <w:ind w:firstLine="470"/>
              <w:rPr>
                <w:sz w:val="24"/>
                <w:u w:val="none" w:color="auto"/>
              </w:rPr>
            </w:pPr>
            <w:r>
              <w:rPr>
                <w:sz w:val="24"/>
                <w:u w:val="none" w:color="auto"/>
              </w:rPr>
              <w:t>本项目营运期主要噪声源为车间中的生产设备，主要为</w:t>
            </w:r>
            <w:r>
              <w:rPr>
                <w:rFonts w:hint="eastAsia"/>
                <w:sz w:val="24"/>
                <w:u w:val="none" w:color="auto"/>
                <w:lang w:val="en-US" w:eastAsia="zh-CN"/>
              </w:rPr>
              <w:t>分切机、折叠机、空压机、输送机</w:t>
            </w:r>
            <w:r>
              <w:rPr>
                <w:sz w:val="24"/>
                <w:u w:val="none" w:color="auto"/>
              </w:rPr>
              <w:t>等运行过程所产生的噪声，噪声值为</w:t>
            </w:r>
            <w:r>
              <w:rPr>
                <w:rFonts w:hint="eastAsia"/>
                <w:sz w:val="24"/>
                <w:u w:val="none" w:color="auto"/>
                <w:lang w:val="en-US" w:eastAsia="zh-CN"/>
              </w:rPr>
              <w:t>6</w:t>
            </w:r>
            <w:r>
              <w:rPr>
                <w:sz w:val="24"/>
                <w:u w:val="none" w:color="auto"/>
              </w:rPr>
              <w:t>5~8</w:t>
            </w:r>
            <w:r>
              <w:rPr>
                <w:rFonts w:hint="eastAsia"/>
                <w:sz w:val="24"/>
                <w:u w:val="none" w:color="auto"/>
                <w:lang w:val="en-US" w:eastAsia="zh-CN"/>
              </w:rPr>
              <w:t>0</w:t>
            </w:r>
            <w:r>
              <w:rPr>
                <w:b/>
                <w:szCs w:val="21"/>
                <w:u w:val="none" w:color="auto"/>
              </w:rPr>
              <w:t xml:space="preserve"> </w:t>
            </w:r>
            <w:r>
              <w:rPr>
                <w:szCs w:val="21"/>
                <w:u w:val="none" w:color="auto"/>
              </w:rPr>
              <w:t>dB(A)。</w:t>
            </w:r>
          </w:p>
          <w:p>
            <w:pPr>
              <w:snapToGrid w:val="0"/>
              <w:spacing w:line="360" w:lineRule="auto"/>
              <w:ind w:firstLine="470"/>
              <w:rPr>
                <w:b/>
                <w:sz w:val="24"/>
                <w:szCs w:val="24"/>
                <w:u w:val="none" w:color="auto"/>
              </w:rPr>
            </w:pPr>
            <w:r>
              <w:rPr>
                <w:sz w:val="24"/>
                <w:u w:val="none" w:color="auto"/>
              </w:rPr>
              <w:t>本项目营运期噪声源及其噪声值见表5-</w:t>
            </w:r>
            <w:r>
              <w:rPr>
                <w:rFonts w:hint="eastAsia"/>
                <w:sz w:val="24"/>
                <w:u w:val="none" w:color="auto"/>
                <w:lang w:val="en-US" w:eastAsia="zh-CN"/>
              </w:rPr>
              <w:t>2</w:t>
            </w:r>
            <w:r>
              <w:rPr>
                <w:sz w:val="24"/>
                <w:u w:val="none" w:color="auto"/>
              </w:rPr>
              <w:t>示</w:t>
            </w:r>
            <w:r>
              <w:rPr>
                <w:rFonts w:hint="eastAsia"/>
                <w:sz w:val="24"/>
                <w:u w:val="none" w:color="auto"/>
              </w:rPr>
              <w:t>：</w:t>
            </w:r>
          </w:p>
          <w:p>
            <w:pPr>
              <w:adjustRightInd w:val="0"/>
              <w:snapToGrid w:val="0"/>
              <w:jc w:val="center"/>
              <w:rPr>
                <w:b/>
                <w:szCs w:val="21"/>
                <w:u w:val="none" w:color="auto"/>
              </w:rPr>
            </w:pPr>
            <w:r>
              <w:rPr>
                <w:b/>
                <w:sz w:val="24"/>
                <w:szCs w:val="24"/>
                <w:u w:val="none" w:color="auto"/>
              </w:rPr>
              <w:t>表5-</w:t>
            </w:r>
            <w:r>
              <w:rPr>
                <w:rFonts w:hint="eastAsia"/>
                <w:b/>
                <w:sz w:val="24"/>
                <w:szCs w:val="24"/>
                <w:u w:val="none" w:color="auto"/>
                <w:lang w:val="en-US" w:eastAsia="zh-CN"/>
              </w:rPr>
              <w:t>2</w:t>
            </w:r>
            <w:r>
              <w:rPr>
                <w:b/>
                <w:sz w:val="24"/>
                <w:szCs w:val="24"/>
                <w:u w:val="none" w:color="auto"/>
              </w:rPr>
              <w:t xml:space="preserve">  本项目营运期噪声源及噪声声级值一览表  </w:t>
            </w:r>
          </w:p>
          <w:tbl>
            <w:tblPr>
              <w:tblStyle w:val="40"/>
              <w:tblW w:w="906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880"/>
              <w:gridCol w:w="3570"/>
              <w:gridCol w:w="361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32" w:hRule="atLeast"/>
                <w:jc w:val="center"/>
              </w:trPr>
              <w:tc>
                <w:tcPr>
                  <w:tcW w:w="1880" w:type="dxa"/>
                  <w:vAlign w:val="center"/>
                </w:tcPr>
                <w:p>
                  <w:pPr>
                    <w:jc w:val="center"/>
                    <w:rPr>
                      <w:b/>
                      <w:szCs w:val="24"/>
                      <w:u w:val="none" w:color="auto"/>
                    </w:rPr>
                  </w:pPr>
                  <w:r>
                    <w:rPr>
                      <w:b/>
                      <w:szCs w:val="24"/>
                      <w:u w:val="none" w:color="auto"/>
                    </w:rPr>
                    <w:t>序号</w:t>
                  </w:r>
                </w:p>
              </w:tc>
              <w:tc>
                <w:tcPr>
                  <w:tcW w:w="3570" w:type="dxa"/>
                  <w:vAlign w:val="center"/>
                </w:tcPr>
                <w:p>
                  <w:pPr>
                    <w:jc w:val="center"/>
                    <w:rPr>
                      <w:b/>
                      <w:szCs w:val="24"/>
                      <w:u w:val="none" w:color="auto"/>
                    </w:rPr>
                  </w:pPr>
                  <w:r>
                    <w:rPr>
                      <w:b/>
                      <w:szCs w:val="24"/>
                      <w:u w:val="none" w:color="auto"/>
                    </w:rPr>
                    <w:t>主要产噪设备</w:t>
                  </w:r>
                </w:p>
              </w:tc>
              <w:tc>
                <w:tcPr>
                  <w:tcW w:w="3618" w:type="dxa"/>
                  <w:vAlign w:val="center"/>
                </w:tcPr>
                <w:p>
                  <w:pPr>
                    <w:jc w:val="center"/>
                    <w:rPr>
                      <w:b/>
                      <w:szCs w:val="24"/>
                      <w:u w:val="none" w:color="auto"/>
                    </w:rPr>
                  </w:pPr>
                  <w:r>
                    <w:rPr>
                      <w:b/>
                      <w:szCs w:val="24"/>
                      <w:u w:val="none" w:color="auto"/>
                    </w:rPr>
                    <w:t>噪声值dB(A)</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55" w:hRule="atLeast"/>
                <w:jc w:val="center"/>
              </w:trPr>
              <w:tc>
                <w:tcPr>
                  <w:tcW w:w="1880" w:type="dxa"/>
                  <w:vAlign w:val="center"/>
                </w:tcPr>
                <w:p>
                  <w:pPr>
                    <w:jc w:val="center"/>
                    <w:rPr>
                      <w:rFonts w:hint="default" w:eastAsia="宋体"/>
                      <w:szCs w:val="21"/>
                      <w:u w:val="none" w:color="auto"/>
                      <w:lang w:val="en-US" w:eastAsia="zh-CN"/>
                    </w:rPr>
                  </w:pPr>
                  <w:r>
                    <w:rPr>
                      <w:rFonts w:hint="eastAsia"/>
                      <w:szCs w:val="21"/>
                      <w:u w:val="none" w:color="auto"/>
                      <w:lang w:val="en-US" w:eastAsia="zh-CN"/>
                    </w:rPr>
                    <w:t>1</w:t>
                  </w:r>
                </w:p>
              </w:tc>
              <w:tc>
                <w:tcPr>
                  <w:tcW w:w="3570" w:type="dxa"/>
                  <w:vAlign w:val="center"/>
                </w:tcPr>
                <w:p>
                  <w:pPr>
                    <w:jc w:val="center"/>
                    <w:rPr>
                      <w:rFonts w:hint="default" w:eastAsia="宋体"/>
                      <w:szCs w:val="21"/>
                      <w:u w:val="none" w:color="auto"/>
                      <w:lang w:val="en-US" w:eastAsia="zh-CN"/>
                    </w:rPr>
                  </w:pPr>
                  <w:r>
                    <w:rPr>
                      <w:rFonts w:hint="eastAsia"/>
                      <w:szCs w:val="21"/>
                      <w:u w:val="none" w:color="auto"/>
                      <w:lang w:val="en-US" w:eastAsia="zh-CN"/>
                    </w:rPr>
                    <w:t>分切机</w:t>
                  </w:r>
                </w:p>
              </w:tc>
              <w:tc>
                <w:tcPr>
                  <w:tcW w:w="3618" w:type="dxa"/>
                  <w:vAlign w:val="center"/>
                </w:tcPr>
                <w:p>
                  <w:pPr>
                    <w:jc w:val="center"/>
                    <w:rPr>
                      <w:rFonts w:hint="default" w:eastAsia="宋体"/>
                      <w:szCs w:val="24"/>
                      <w:u w:val="none" w:color="auto"/>
                      <w:lang w:val="en-US" w:eastAsia="zh-CN"/>
                    </w:rPr>
                  </w:pPr>
                  <w:r>
                    <w:rPr>
                      <w:rFonts w:hint="eastAsia"/>
                      <w:szCs w:val="24"/>
                      <w:u w:val="none" w:color="auto"/>
                      <w:lang w:val="en-US" w:eastAsia="zh-CN"/>
                    </w:rPr>
                    <w:t>65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2" w:hRule="atLeast"/>
                <w:jc w:val="center"/>
              </w:trPr>
              <w:tc>
                <w:tcPr>
                  <w:tcW w:w="1880" w:type="dxa"/>
                  <w:vAlign w:val="center"/>
                </w:tcPr>
                <w:p>
                  <w:pPr>
                    <w:jc w:val="center"/>
                    <w:rPr>
                      <w:rFonts w:hint="default" w:eastAsia="宋体"/>
                      <w:szCs w:val="21"/>
                      <w:u w:val="none" w:color="auto"/>
                      <w:lang w:val="en-US" w:eastAsia="zh-CN"/>
                    </w:rPr>
                  </w:pPr>
                  <w:r>
                    <w:rPr>
                      <w:rFonts w:hint="eastAsia"/>
                      <w:szCs w:val="21"/>
                      <w:u w:val="none" w:color="auto"/>
                      <w:lang w:val="en-US" w:eastAsia="zh-CN"/>
                    </w:rPr>
                    <w:t>2</w:t>
                  </w:r>
                </w:p>
              </w:tc>
              <w:tc>
                <w:tcPr>
                  <w:tcW w:w="3570" w:type="dxa"/>
                  <w:vAlign w:val="center"/>
                </w:tcPr>
                <w:p>
                  <w:pPr>
                    <w:jc w:val="center"/>
                    <w:rPr>
                      <w:rFonts w:hint="default" w:eastAsia="宋体"/>
                      <w:szCs w:val="21"/>
                      <w:u w:val="none" w:color="auto"/>
                      <w:lang w:val="en-US" w:eastAsia="zh-CN"/>
                    </w:rPr>
                  </w:pPr>
                  <w:r>
                    <w:rPr>
                      <w:rFonts w:hint="eastAsia"/>
                      <w:szCs w:val="21"/>
                      <w:u w:val="none" w:color="auto"/>
                      <w:lang w:val="en-US" w:eastAsia="zh-CN"/>
                    </w:rPr>
                    <w:t>折叠机</w:t>
                  </w:r>
                </w:p>
              </w:tc>
              <w:tc>
                <w:tcPr>
                  <w:tcW w:w="3618" w:type="dxa"/>
                  <w:vAlign w:val="center"/>
                </w:tcPr>
                <w:p>
                  <w:pPr>
                    <w:jc w:val="center"/>
                    <w:rPr>
                      <w:rFonts w:hint="default" w:eastAsia="宋体"/>
                      <w:szCs w:val="24"/>
                      <w:u w:val="none" w:color="auto"/>
                      <w:lang w:val="en-US" w:eastAsia="zh-CN"/>
                    </w:rPr>
                  </w:pPr>
                  <w:r>
                    <w:rPr>
                      <w:rFonts w:hint="eastAsia"/>
                      <w:szCs w:val="24"/>
                      <w:u w:val="none" w:color="auto"/>
                      <w:lang w:val="en-US" w:eastAsia="zh-CN"/>
                    </w:rPr>
                    <w:t>70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jc w:val="center"/>
              </w:trPr>
              <w:tc>
                <w:tcPr>
                  <w:tcW w:w="1880" w:type="dxa"/>
                  <w:vAlign w:val="center"/>
                </w:tcPr>
                <w:p>
                  <w:pPr>
                    <w:jc w:val="center"/>
                    <w:rPr>
                      <w:rFonts w:hint="default" w:eastAsia="宋体"/>
                      <w:szCs w:val="21"/>
                      <w:u w:val="none" w:color="auto"/>
                      <w:lang w:val="en-US" w:eastAsia="zh-CN"/>
                    </w:rPr>
                  </w:pPr>
                  <w:r>
                    <w:rPr>
                      <w:rFonts w:hint="eastAsia"/>
                      <w:szCs w:val="21"/>
                      <w:u w:val="none" w:color="auto"/>
                      <w:lang w:val="en-US" w:eastAsia="zh-CN"/>
                    </w:rPr>
                    <w:t>3</w:t>
                  </w:r>
                </w:p>
              </w:tc>
              <w:tc>
                <w:tcPr>
                  <w:tcW w:w="3570" w:type="dxa"/>
                  <w:vAlign w:val="center"/>
                </w:tcPr>
                <w:p>
                  <w:pPr>
                    <w:jc w:val="center"/>
                    <w:rPr>
                      <w:rFonts w:hint="default" w:eastAsia="宋体"/>
                      <w:szCs w:val="21"/>
                      <w:u w:val="none" w:color="auto"/>
                      <w:lang w:val="en-US" w:eastAsia="zh-CN"/>
                    </w:rPr>
                  </w:pPr>
                  <w:r>
                    <w:rPr>
                      <w:rFonts w:hint="eastAsia"/>
                      <w:szCs w:val="21"/>
                      <w:u w:val="none" w:color="auto"/>
                      <w:lang w:val="en-US" w:eastAsia="zh-CN"/>
                    </w:rPr>
                    <w:t>输送机</w:t>
                  </w:r>
                </w:p>
              </w:tc>
              <w:tc>
                <w:tcPr>
                  <w:tcW w:w="3618" w:type="dxa"/>
                  <w:vAlign w:val="center"/>
                </w:tcPr>
                <w:p>
                  <w:pPr>
                    <w:jc w:val="center"/>
                    <w:rPr>
                      <w:rFonts w:hint="default" w:eastAsia="宋体"/>
                      <w:szCs w:val="24"/>
                      <w:u w:val="none" w:color="auto"/>
                      <w:lang w:val="en-US" w:eastAsia="zh-CN"/>
                    </w:rPr>
                  </w:pPr>
                  <w:r>
                    <w:rPr>
                      <w:rFonts w:hint="eastAsia"/>
                      <w:szCs w:val="24"/>
                      <w:u w:val="none" w:color="auto"/>
                      <w:lang w:val="en-US" w:eastAsia="zh-CN"/>
                    </w:rPr>
                    <w:t>78</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0" w:hRule="atLeast"/>
                <w:jc w:val="center"/>
              </w:trPr>
              <w:tc>
                <w:tcPr>
                  <w:tcW w:w="1880" w:type="dxa"/>
                  <w:vAlign w:val="center"/>
                </w:tcPr>
                <w:p>
                  <w:pPr>
                    <w:jc w:val="center"/>
                    <w:rPr>
                      <w:rFonts w:hint="default"/>
                      <w:szCs w:val="21"/>
                      <w:u w:val="none" w:color="auto"/>
                      <w:lang w:val="en-US" w:eastAsia="zh-CN"/>
                    </w:rPr>
                  </w:pPr>
                  <w:r>
                    <w:rPr>
                      <w:rFonts w:hint="eastAsia"/>
                      <w:szCs w:val="21"/>
                      <w:u w:val="none" w:color="auto"/>
                      <w:lang w:val="en-US" w:eastAsia="zh-CN"/>
                    </w:rPr>
                    <w:t>4</w:t>
                  </w:r>
                </w:p>
              </w:tc>
              <w:tc>
                <w:tcPr>
                  <w:tcW w:w="3570" w:type="dxa"/>
                  <w:vAlign w:val="center"/>
                </w:tcPr>
                <w:p>
                  <w:pPr>
                    <w:jc w:val="center"/>
                    <w:rPr>
                      <w:rFonts w:hint="eastAsia" w:eastAsia="宋体"/>
                      <w:szCs w:val="21"/>
                      <w:u w:val="none" w:color="auto"/>
                      <w:lang w:eastAsia="zh-CN"/>
                    </w:rPr>
                  </w:pPr>
                  <w:r>
                    <w:rPr>
                      <w:rFonts w:hint="eastAsia"/>
                      <w:szCs w:val="21"/>
                      <w:u w:val="none" w:color="auto"/>
                      <w:lang w:eastAsia="zh-CN"/>
                    </w:rPr>
                    <w:t>空压机</w:t>
                  </w:r>
                </w:p>
              </w:tc>
              <w:tc>
                <w:tcPr>
                  <w:tcW w:w="3618" w:type="dxa"/>
                  <w:vAlign w:val="center"/>
                </w:tcPr>
                <w:p>
                  <w:pPr>
                    <w:jc w:val="center"/>
                    <w:rPr>
                      <w:rFonts w:hint="default" w:eastAsia="宋体"/>
                      <w:szCs w:val="24"/>
                      <w:u w:val="none" w:color="auto"/>
                      <w:lang w:val="en-US" w:eastAsia="zh-CN"/>
                    </w:rPr>
                  </w:pPr>
                  <w:r>
                    <w:rPr>
                      <w:rFonts w:hint="eastAsia"/>
                      <w:szCs w:val="24"/>
                      <w:u w:val="none" w:color="auto"/>
                      <w:lang w:val="en-US" w:eastAsia="zh-CN"/>
                    </w:rPr>
                    <w:t>80</w:t>
                  </w:r>
                </w:p>
              </w:tc>
            </w:tr>
          </w:tbl>
          <w:p>
            <w:pPr>
              <w:rPr>
                <w:sz w:val="24"/>
                <w:szCs w:val="24"/>
                <w:u w:val="single" w:color="auto"/>
              </w:rPr>
            </w:pPr>
            <w:r>
              <w:rPr>
                <w:rFonts w:hint="eastAsia"/>
                <w:u w:val="none" w:color="auto"/>
              </w:rPr>
              <w:t xml:space="preserve"> </w:t>
            </w:r>
            <w:r>
              <w:rPr>
                <w:u w:val="none" w:color="auto"/>
              </w:rPr>
              <w:t xml:space="preserve"> </w:t>
            </w:r>
            <w:r>
              <w:rPr>
                <w:sz w:val="24"/>
                <w:szCs w:val="24"/>
                <w:u w:val="single" w:color="auto"/>
              </w:rPr>
              <w:t>4、固废</w:t>
            </w:r>
          </w:p>
          <w:p>
            <w:pPr>
              <w:pStyle w:val="34"/>
              <w:spacing w:line="360" w:lineRule="auto"/>
              <w:ind w:left="0" w:leftChars="0" w:firstLine="466" w:firstLineChars="200"/>
              <w:rPr>
                <w:rFonts w:ascii="宋体" w:hAnsi="宋体"/>
                <w:sz w:val="24"/>
                <w:szCs w:val="32"/>
                <w:u w:val="single" w:color="auto"/>
              </w:rPr>
            </w:pPr>
            <w:r>
              <w:rPr>
                <w:rFonts w:hint="eastAsia" w:ascii="宋体" w:hAnsi="宋体"/>
                <w:sz w:val="24"/>
                <w:szCs w:val="32"/>
                <w:u w:val="single" w:color="auto"/>
              </w:rPr>
              <w:t>本项目产生的固体废物有废</w:t>
            </w:r>
            <w:r>
              <w:rPr>
                <w:rFonts w:hint="eastAsia" w:ascii="宋体" w:hAnsi="宋体"/>
                <w:sz w:val="24"/>
                <w:szCs w:val="32"/>
                <w:u w:val="single" w:color="auto"/>
                <w:lang w:eastAsia="zh-CN"/>
              </w:rPr>
              <w:t>边角料、</w:t>
            </w:r>
            <w:r>
              <w:rPr>
                <w:rFonts w:hint="eastAsia" w:ascii="宋体" w:hAnsi="宋体"/>
                <w:sz w:val="24"/>
                <w:szCs w:val="32"/>
                <w:u w:val="single" w:color="auto"/>
                <w:lang w:val="en-US" w:eastAsia="zh-CN"/>
              </w:rPr>
              <w:t>不合格产品</w:t>
            </w:r>
            <w:r>
              <w:rPr>
                <w:rFonts w:hint="eastAsia" w:ascii="宋体" w:hAnsi="宋体"/>
                <w:sz w:val="24"/>
                <w:szCs w:val="32"/>
                <w:u w:val="single" w:color="auto"/>
              </w:rPr>
              <w:t>、生活垃圾</w:t>
            </w:r>
            <w:r>
              <w:rPr>
                <w:rFonts w:hint="eastAsia" w:ascii="宋体" w:hAnsi="宋体"/>
                <w:sz w:val="24"/>
                <w:szCs w:val="32"/>
                <w:u w:val="single" w:color="auto"/>
                <w:lang w:eastAsia="zh-CN"/>
              </w:rPr>
              <w:t>、废油墨桶、废活性炭</w:t>
            </w:r>
            <w:r>
              <w:rPr>
                <w:rFonts w:hint="default" w:ascii="Times New Roman" w:hAnsi="Times New Roman" w:cs="Times New Roman"/>
                <w:sz w:val="24"/>
                <w:szCs w:val="32"/>
                <w:u w:val="single" w:color="auto"/>
                <w:lang w:eastAsia="zh-CN"/>
              </w:rPr>
              <w:t>、</w:t>
            </w:r>
            <w:r>
              <w:rPr>
                <w:rFonts w:hint="default" w:ascii="Times New Roman" w:hAnsi="Times New Roman" w:cs="Times New Roman"/>
                <w:sz w:val="24"/>
                <w:szCs w:val="32"/>
                <w:u w:val="single" w:color="auto"/>
                <w:lang w:val="en-US" w:eastAsia="zh-CN"/>
              </w:rPr>
              <w:t>废UV灯管</w:t>
            </w:r>
            <w:r>
              <w:rPr>
                <w:rFonts w:hint="eastAsia" w:ascii="宋体" w:hAnsi="宋体"/>
                <w:sz w:val="24"/>
                <w:szCs w:val="32"/>
                <w:u w:val="single" w:color="auto"/>
                <w:lang w:val="en-US" w:eastAsia="zh-CN"/>
              </w:rPr>
              <w:t>、废包装袋、废印刷版、印刷工序擦洗的抹布手套、布袋除尘器收集的粉尘</w:t>
            </w:r>
            <w:r>
              <w:rPr>
                <w:rFonts w:hint="eastAsia" w:ascii="宋体" w:hAnsi="宋体"/>
                <w:sz w:val="24"/>
                <w:szCs w:val="32"/>
                <w:u w:val="single" w:color="auto"/>
              </w:rPr>
              <w:t>等。</w:t>
            </w:r>
          </w:p>
          <w:p>
            <w:pPr>
              <w:pStyle w:val="34"/>
              <w:spacing w:line="360" w:lineRule="auto"/>
              <w:ind w:left="400"/>
              <w:rPr>
                <w:rFonts w:hint="default" w:ascii="宋体" w:hAnsi="宋体" w:eastAsia="宋体"/>
                <w:sz w:val="24"/>
                <w:szCs w:val="32"/>
                <w:u w:val="single" w:color="auto"/>
                <w:lang w:val="en-US" w:eastAsia="zh-CN"/>
              </w:rPr>
            </w:pPr>
            <w:r>
              <w:rPr>
                <w:rFonts w:hint="eastAsia" w:ascii="宋体" w:hAnsi="宋体"/>
                <w:sz w:val="24"/>
                <w:szCs w:val="32"/>
                <w:u w:val="single" w:color="auto"/>
                <w:lang w:val="en-US" w:eastAsia="zh-CN"/>
              </w:rPr>
              <w:t>一般固废：</w:t>
            </w:r>
          </w:p>
          <w:p>
            <w:pPr>
              <w:pStyle w:val="34"/>
              <w:spacing w:line="360" w:lineRule="auto"/>
              <w:ind w:left="400"/>
              <w:rPr>
                <w:rFonts w:hint="default" w:ascii="Times New Roman" w:hAnsi="Times New Roman" w:eastAsia="宋体" w:cs="Times New Roman"/>
                <w:sz w:val="24"/>
                <w:szCs w:val="32"/>
                <w:u w:val="single" w:color="auto"/>
                <w:lang w:val="en-US" w:eastAsia="zh-CN"/>
              </w:rPr>
            </w:pPr>
            <w:r>
              <w:rPr>
                <w:rFonts w:hint="eastAsia" w:ascii="宋体" w:hAnsi="宋体"/>
                <w:sz w:val="24"/>
                <w:szCs w:val="32"/>
                <w:u w:val="single" w:color="auto"/>
              </w:rPr>
              <w:t>（1）</w:t>
            </w:r>
            <w:r>
              <w:rPr>
                <w:rFonts w:hint="eastAsia" w:ascii="宋体" w:hAnsi="宋体"/>
                <w:sz w:val="24"/>
                <w:szCs w:val="32"/>
                <w:u w:val="single" w:color="auto"/>
                <w:lang w:eastAsia="zh-CN"/>
              </w:rPr>
              <w:t>废边角料</w:t>
            </w:r>
            <w:r>
              <w:rPr>
                <w:rFonts w:hint="eastAsia" w:ascii="宋体" w:hAnsi="宋体"/>
                <w:sz w:val="24"/>
                <w:szCs w:val="32"/>
                <w:u w:val="single" w:color="auto"/>
                <w:lang w:val="en-US" w:eastAsia="zh-CN"/>
              </w:rPr>
              <w:t>和不合格产品</w:t>
            </w:r>
            <w:r>
              <w:rPr>
                <w:rFonts w:hint="eastAsia" w:ascii="宋体" w:hAnsi="宋体"/>
                <w:sz w:val="24"/>
                <w:szCs w:val="32"/>
                <w:u w:val="single" w:color="auto"/>
                <w:lang w:eastAsia="zh-CN"/>
              </w:rPr>
              <w:t>、</w:t>
            </w:r>
            <w:r>
              <w:rPr>
                <w:rFonts w:hint="eastAsia" w:ascii="宋体" w:hAnsi="宋体"/>
                <w:sz w:val="24"/>
                <w:szCs w:val="32"/>
                <w:u w:val="single" w:color="auto"/>
                <w:lang w:val="en-US" w:eastAsia="zh-CN"/>
              </w:rPr>
              <w:t>废包装袋</w:t>
            </w:r>
          </w:p>
          <w:p>
            <w:pPr>
              <w:pStyle w:val="34"/>
              <w:spacing w:line="360" w:lineRule="auto"/>
              <w:ind w:left="0" w:leftChars="0" w:firstLine="466" w:firstLineChars="200"/>
              <w:jc w:val="left"/>
              <w:rPr>
                <w:rFonts w:hint="default" w:ascii="Times New Roman" w:hAnsi="Times New Roman" w:cs="Times New Roman"/>
                <w:sz w:val="24"/>
                <w:szCs w:val="32"/>
                <w:u w:val="single" w:color="auto"/>
              </w:rPr>
            </w:pPr>
            <w:r>
              <w:rPr>
                <w:rFonts w:hint="default" w:ascii="Times New Roman" w:hAnsi="Times New Roman" w:cs="Times New Roman"/>
                <w:sz w:val="24"/>
                <w:szCs w:val="32"/>
                <w:u w:val="single" w:color="auto"/>
              </w:rPr>
              <w:t>据</w:t>
            </w:r>
            <w:r>
              <w:rPr>
                <w:rFonts w:hint="default" w:ascii="Times New Roman" w:hAnsi="Times New Roman" w:cs="Times New Roman"/>
                <w:sz w:val="24"/>
                <w:szCs w:val="32"/>
                <w:u w:val="single" w:color="auto"/>
                <w:lang w:eastAsia="zh-CN"/>
              </w:rPr>
              <w:t>业主提供的相关资料</w:t>
            </w:r>
            <w:r>
              <w:rPr>
                <w:rFonts w:hint="default" w:ascii="Times New Roman" w:hAnsi="Times New Roman" w:cs="Times New Roman"/>
                <w:sz w:val="24"/>
                <w:szCs w:val="32"/>
                <w:u w:val="single" w:color="auto"/>
              </w:rPr>
              <w:t>，本项目产品加工过程中产生的废</w:t>
            </w:r>
            <w:r>
              <w:rPr>
                <w:rFonts w:hint="eastAsia" w:cs="Times New Roman"/>
                <w:sz w:val="24"/>
                <w:szCs w:val="32"/>
                <w:u w:val="single" w:color="auto"/>
                <w:lang w:eastAsia="zh-CN"/>
              </w:rPr>
              <w:t>边角料、</w:t>
            </w:r>
            <w:r>
              <w:rPr>
                <w:rFonts w:hint="eastAsia" w:cs="Times New Roman"/>
                <w:sz w:val="24"/>
                <w:szCs w:val="32"/>
                <w:u w:val="single" w:color="auto"/>
                <w:lang w:val="en-US" w:eastAsia="zh-CN"/>
              </w:rPr>
              <w:t>不合格产品</w:t>
            </w:r>
            <w:r>
              <w:rPr>
                <w:rFonts w:hint="default" w:ascii="Times New Roman" w:hAnsi="Times New Roman" w:cs="Times New Roman"/>
                <w:sz w:val="24"/>
                <w:szCs w:val="32"/>
                <w:u w:val="single" w:color="auto"/>
              </w:rPr>
              <w:t>的产生量约</w:t>
            </w:r>
            <w:r>
              <w:rPr>
                <w:rFonts w:hint="eastAsia" w:cs="Times New Roman"/>
                <w:sz w:val="24"/>
                <w:szCs w:val="32"/>
                <w:u w:val="single" w:color="auto"/>
                <w:lang w:val="en-US" w:eastAsia="zh-CN"/>
              </w:rPr>
              <w:t>384.5</w:t>
            </w:r>
            <w:r>
              <w:rPr>
                <w:rFonts w:hint="default" w:ascii="Times New Roman" w:hAnsi="Times New Roman" w:cs="Times New Roman"/>
                <w:sz w:val="24"/>
                <w:szCs w:val="32"/>
                <w:u w:val="single" w:color="auto"/>
              </w:rPr>
              <w:t>t/a，</w:t>
            </w:r>
            <w:r>
              <w:rPr>
                <w:rFonts w:hint="eastAsia" w:cs="Times New Roman"/>
                <w:sz w:val="24"/>
                <w:szCs w:val="32"/>
                <w:u w:val="single" w:color="auto"/>
                <w:lang w:val="en-US" w:eastAsia="zh-CN"/>
              </w:rPr>
              <w:t>废包装材料产生量为0.2t/a，</w:t>
            </w:r>
            <w:r>
              <w:rPr>
                <w:rFonts w:hint="default" w:ascii="Times New Roman" w:hAnsi="Times New Roman" w:cs="Times New Roman"/>
                <w:sz w:val="24"/>
                <w:u w:val="single" w:color="auto"/>
              </w:rPr>
              <w:t>收集后均</w:t>
            </w:r>
            <w:r>
              <w:rPr>
                <w:rFonts w:hint="eastAsia" w:cs="Times New Roman"/>
                <w:sz w:val="24"/>
                <w:u w:val="single" w:color="auto"/>
                <w:lang w:val="en-US" w:eastAsia="zh-CN"/>
              </w:rPr>
              <w:t>外售废品回收站综合利用</w:t>
            </w:r>
            <w:r>
              <w:rPr>
                <w:rFonts w:hint="default" w:ascii="Times New Roman" w:hAnsi="Times New Roman" w:cs="Times New Roman"/>
                <w:sz w:val="24"/>
                <w:u w:val="single" w:color="auto"/>
              </w:rPr>
              <w:t>。</w:t>
            </w:r>
          </w:p>
          <w:p>
            <w:pPr>
              <w:pStyle w:val="34"/>
              <w:spacing w:line="360" w:lineRule="auto"/>
              <w:ind w:left="0" w:leftChars="0" w:firstLine="466" w:firstLineChars="200"/>
              <w:jc w:val="left"/>
              <w:rPr>
                <w:rFonts w:hint="default" w:ascii="Times New Roman" w:hAnsi="Times New Roman" w:cs="Times New Roman"/>
                <w:sz w:val="24"/>
                <w:u w:val="single" w:color="auto"/>
              </w:rPr>
            </w:pPr>
            <w:r>
              <w:rPr>
                <w:rFonts w:hint="default" w:ascii="Times New Roman" w:hAnsi="Times New Roman" w:cs="Times New Roman"/>
                <w:sz w:val="24"/>
                <w:u w:val="single" w:color="auto"/>
              </w:rPr>
              <w:t>（2）生活垃圾</w:t>
            </w:r>
          </w:p>
          <w:p>
            <w:pPr>
              <w:spacing w:line="360" w:lineRule="auto"/>
              <w:ind w:firstLine="466" w:firstLineChars="200"/>
              <w:jc w:val="left"/>
              <w:rPr>
                <w:rFonts w:hint="default" w:ascii="Times New Roman" w:hAnsi="Times New Roman" w:cs="Times New Roman"/>
                <w:sz w:val="24"/>
                <w:szCs w:val="24"/>
                <w:u w:val="single" w:color="auto"/>
              </w:rPr>
            </w:pPr>
            <w:r>
              <w:rPr>
                <w:sz w:val="24"/>
                <w:szCs w:val="24"/>
                <w:u w:val="single" w:color="auto"/>
              </w:rPr>
              <w:t>本项目生活垃圾按</w:t>
            </w:r>
            <w:r>
              <w:rPr>
                <w:rFonts w:hint="default" w:ascii="Times New Roman" w:hAnsi="Times New Roman" w:cs="Times New Roman"/>
                <w:sz w:val="24"/>
                <w:szCs w:val="24"/>
                <w:u w:val="single" w:color="auto"/>
              </w:rPr>
              <w:t>0.5kg/d计算，该项目工作人员</w:t>
            </w:r>
            <w:r>
              <w:rPr>
                <w:rFonts w:hint="eastAsia" w:cs="Times New Roman"/>
                <w:sz w:val="24"/>
                <w:szCs w:val="24"/>
                <w:u w:val="single" w:color="auto"/>
                <w:lang w:val="en-US" w:eastAsia="zh-CN"/>
              </w:rPr>
              <w:t>50</w:t>
            </w:r>
            <w:r>
              <w:rPr>
                <w:rFonts w:hint="default" w:ascii="Times New Roman" w:hAnsi="Times New Roman" w:cs="Times New Roman"/>
                <w:sz w:val="24"/>
                <w:szCs w:val="24"/>
                <w:u w:val="single" w:color="auto"/>
              </w:rPr>
              <w:t>人，年工作300天，生活垃圾产生量为</w:t>
            </w:r>
            <w:r>
              <w:rPr>
                <w:rFonts w:hint="eastAsia" w:cs="Times New Roman"/>
                <w:sz w:val="24"/>
                <w:szCs w:val="24"/>
                <w:u w:val="single" w:color="auto"/>
                <w:lang w:eastAsia="zh-CN"/>
              </w:rPr>
              <w:t>0.03</w:t>
            </w:r>
            <w:r>
              <w:rPr>
                <w:rFonts w:hint="eastAsia" w:cs="Times New Roman"/>
                <w:sz w:val="24"/>
                <w:szCs w:val="24"/>
                <w:u w:val="single" w:color="auto"/>
                <w:lang w:val="en-US" w:eastAsia="zh-CN"/>
              </w:rPr>
              <w:t>5</w:t>
            </w:r>
            <w:r>
              <w:rPr>
                <w:rFonts w:hint="default" w:ascii="Times New Roman" w:hAnsi="Times New Roman" w:cs="Times New Roman"/>
                <w:sz w:val="24"/>
                <w:szCs w:val="24"/>
                <w:u w:val="single" w:color="auto"/>
              </w:rPr>
              <w:t>t/d（</w:t>
            </w:r>
            <w:r>
              <w:rPr>
                <w:rFonts w:hint="eastAsia" w:cs="Times New Roman"/>
                <w:sz w:val="24"/>
                <w:szCs w:val="24"/>
                <w:u w:val="single" w:color="auto"/>
                <w:lang w:val="en-US" w:eastAsia="zh-CN"/>
              </w:rPr>
              <w:t>7.5</w:t>
            </w:r>
            <w:r>
              <w:rPr>
                <w:rFonts w:hint="default" w:ascii="Times New Roman" w:hAnsi="Times New Roman" w:cs="Times New Roman"/>
                <w:sz w:val="24"/>
                <w:szCs w:val="24"/>
                <w:u w:val="single" w:color="auto"/>
              </w:rPr>
              <w:t>t/a），生活垃圾集中收集后交环卫部门统一清运处理。</w:t>
            </w:r>
          </w:p>
          <w:p>
            <w:pPr>
              <w:pStyle w:val="34"/>
              <w:spacing w:line="360" w:lineRule="auto"/>
              <w:ind w:left="0" w:leftChars="0" w:firstLine="466" w:firstLineChars="200"/>
              <w:rPr>
                <w:rFonts w:hint="default" w:ascii="Times New Roman" w:hAnsi="Times New Roman" w:cs="Times New Roman"/>
                <w:sz w:val="24"/>
                <w:u w:val="single" w:color="auto"/>
                <w:lang w:val="en-US" w:eastAsia="zh-CN"/>
              </w:rPr>
            </w:pPr>
            <w:r>
              <w:rPr>
                <w:rFonts w:hint="default" w:ascii="Times New Roman" w:hAnsi="Times New Roman" w:cs="Times New Roman"/>
                <w:sz w:val="24"/>
                <w:u w:val="single" w:color="auto"/>
                <w:lang w:eastAsia="zh-CN"/>
              </w:rPr>
              <w:t>（</w:t>
            </w:r>
            <w:r>
              <w:rPr>
                <w:rFonts w:hint="default" w:ascii="Times New Roman" w:hAnsi="Times New Roman" w:cs="Times New Roman"/>
                <w:sz w:val="24"/>
                <w:u w:val="single" w:color="auto"/>
                <w:lang w:val="en-US" w:eastAsia="zh-CN"/>
              </w:rPr>
              <w:t>3</w:t>
            </w:r>
            <w:r>
              <w:rPr>
                <w:rFonts w:hint="default" w:ascii="Times New Roman" w:hAnsi="Times New Roman" w:cs="Times New Roman"/>
                <w:sz w:val="24"/>
                <w:u w:val="single" w:color="auto"/>
                <w:lang w:eastAsia="zh-CN"/>
              </w:rPr>
              <w:t>）</w:t>
            </w:r>
            <w:r>
              <w:rPr>
                <w:rFonts w:hint="eastAsia" w:cs="Times New Roman"/>
                <w:sz w:val="24"/>
                <w:u w:val="single" w:color="auto"/>
                <w:lang w:val="en-US" w:eastAsia="zh-CN"/>
              </w:rPr>
              <w:t>布袋除尘器收集的粉尘</w:t>
            </w:r>
          </w:p>
          <w:p>
            <w:pPr>
              <w:pStyle w:val="34"/>
              <w:spacing w:line="360" w:lineRule="auto"/>
              <w:ind w:left="0" w:leftChars="0" w:firstLine="466" w:firstLineChars="200"/>
              <w:rPr>
                <w:rFonts w:hint="default" w:ascii="Times New Roman" w:hAnsi="Times New Roman" w:cs="Times New Roman"/>
                <w:sz w:val="24"/>
                <w:u w:val="single" w:color="auto"/>
                <w:lang w:val="en-US" w:eastAsia="zh-CN"/>
              </w:rPr>
            </w:pPr>
            <w:r>
              <w:rPr>
                <w:rFonts w:hint="eastAsia" w:cs="Times New Roman"/>
                <w:sz w:val="24"/>
                <w:u w:val="single" w:color="auto"/>
                <w:lang w:val="en-US" w:eastAsia="zh-CN"/>
              </w:rPr>
              <w:t>项目在分切工序会产生少量粉尘，经布袋除尘器收集后排放，根据工程分析可知，项目布袋除尘器收集的粉尘量为1.1868t/a。收集后外售废品回收站综合利用。</w:t>
            </w:r>
          </w:p>
          <w:p>
            <w:pPr>
              <w:pStyle w:val="34"/>
              <w:spacing w:line="360" w:lineRule="auto"/>
              <w:ind w:left="0" w:leftChars="0" w:firstLine="466" w:firstLineChars="200"/>
              <w:rPr>
                <w:rFonts w:hint="eastAsia" w:cs="Times New Roman"/>
                <w:sz w:val="24"/>
                <w:szCs w:val="24"/>
                <w:u w:val="single" w:color="auto"/>
                <w:lang w:val="en-US" w:eastAsia="zh-CN"/>
              </w:rPr>
            </w:pPr>
            <w:r>
              <w:rPr>
                <w:rFonts w:hint="eastAsia"/>
                <w:sz w:val="24"/>
                <w:szCs w:val="24"/>
                <w:u w:val="single" w:color="auto"/>
                <w:lang w:eastAsia="zh-CN"/>
              </w:rPr>
              <w:t>危险废物</w:t>
            </w:r>
          </w:p>
          <w:p>
            <w:pPr>
              <w:spacing w:line="360" w:lineRule="auto"/>
              <w:ind w:firstLine="466" w:firstLineChars="200"/>
              <w:jc w:val="left"/>
              <w:rPr>
                <w:rFonts w:hint="default" w:hAnsi="宋体" w:eastAsia="宋体"/>
                <w:sz w:val="24"/>
                <w:u w:val="single" w:color="auto"/>
                <w:lang w:val="en-US" w:eastAsia="zh-CN"/>
              </w:rPr>
            </w:pPr>
            <w:r>
              <w:rPr>
                <w:rFonts w:hint="eastAsia" w:hAnsi="宋体"/>
                <w:sz w:val="24"/>
                <w:u w:val="single" w:color="auto"/>
                <w:lang w:eastAsia="zh-CN"/>
              </w:rPr>
              <w:t>（</w:t>
            </w:r>
            <w:r>
              <w:rPr>
                <w:rFonts w:hint="eastAsia" w:hAnsi="宋体"/>
                <w:sz w:val="24"/>
                <w:u w:val="single" w:color="auto"/>
                <w:lang w:val="en-US" w:eastAsia="zh-CN"/>
              </w:rPr>
              <w:t>1</w:t>
            </w:r>
            <w:r>
              <w:rPr>
                <w:rFonts w:hint="eastAsia" w:hAnsi="宋体"/>
                <w:sz w:val="24"/>
                <w:u w:val="single" w:color="auto"/>
                <w:lang w:eastAsia="zh-CN"/>
              </w:rPr>
              <w:t>）</w:t>
            </w:r>
            <w:r>
              <w:rPr>
                <w:rFonts w:hint="eastAsia" w:hAnsi="宋体"/>
                <w:sz w:val="24"/>
                <w:u w:val="single" w:color="auto"/>
                <w:lang w:val="en-US" w:eastAsia="zh-CN"/>
              </w:rPr>
              <w:t>废活性炭</w:t>
            </w:r>
          </w:p>
          <w:p>
            <w:pPr>
              <w:spacing w:line="360" w:lineRule="auto"/>
              <w:ind w:firstLine="466" w:firstLineChars="200"/>
              <w:jc w:val="left"/>
              <w:rPr>
                <w:rFonts w:hint="default"/>
                <w:sz w:val="24"/>
                <w:szCs w:val="24"/>
                <w:u w:val="single" w:color="auto"/>
                <w:lang w:val="en-US" w:eastAsia="zh-CN"/>
              </w:rPr>
            </w:pPr>
            <w:r>
              <w:rPr>
                <w:rFonts w:hint="eastAsia" w:hAnsi="宋体"/>
                <w:sz w:val="24"/>
                <w:u w:val="single" w:color="auto"/>
              </w:rPr>
              <w:t>项目在有机废气治理过程中，活性炭在有机废气饱和后，需要进行更换，</w:t>
            </w:r>
            <w:r>
              <w:rPr>
                <w:rFonts w:hint="eastAsia" w:hAnsi="宋体"/>
                <w:sz w:val="24"/>
                <w:u w:val="single" w:color="auto"/>
                <w:lang w:eastAsia="zh-CN"/>
              </w:rPr>
              <w:t>建议每</w:t>
            </w:r>
            <w:r>
              <w:rPr>
                <w:rFonts w:hint="eastAsia" w:hAnsi="宋体"/>
                <w:sz w:val="24"/>
                <w:u w:val="single" w:color="auto"/>
                <w:lang w:val="en-US" w:eastAsia="zh-CN"/>
              </w:rPr>
              <w:t>2个月进行更换一次，每次更换量为0.03t</w:t>
            </w:r>
            <w:r>
              <w:rPr>
                <w:rFonts w:hint="eastAsia" w:hAnsi="宋体"/>
                <w:sz w:val="24"/>
                <w:u w:val="single" w:color="auto"/>
              </w:rPr>
              <w:t>，</w:t>
            </w:r>
            <w:r>
              <w:rPr>
                <w:rFonts w:hint="eastAsia" w:hAnsi="宋体"/>
                <w:sz w:val="24"/>
                <w:u w:val="single" w:color="auto"/>
                <w:lang w:eastAsia="zh-CN"/>
              </w:rPr>
              <w:t>故废</w:t>
            </w:r>
            <w:r>
              <w:rPr>
                <w:rFonts w:hint="eastAsia" w:hAnsi="宋体"/>
                <w:sz w:val="24"/>
                <w:u w:val="single" w:color="auto"/>
              </w:rPr>
              <w:t>活性炭</w:t>
            </w:r>
            <w:r>
              <w:rPr>
                <w:rFonts w:hint="eastAsia" w:hAnsi="宋体"/>
                <w:sz w:val="24"/>
                <w:u w:val="single" w:color="auto"/>
                <w:lang w:eastAsia="zh-CN"/>
              </w:rPr>
              <w:t>产生量</w:t>
            </w:r>
            <w:r>
              <w:rPr>
                <w:rFonts w:hint="eastAsia" w:hAnsi="宋体"/>
                <w:sz w:val="24"/>
                <w:u w:val="single" w:color="auto"/>
              </w:rPr>
              <w:t>约为</w:t>
            </w:r>
            <w:r>
              <w:rPr>
                <w:rFonts w:hint="eastAsia" w:hAnsi="宋体"/>
                <w:sz w:val="24"/>
                <w:u w:val="single" w:color="auto"/>
                <w:lang w:val="en-US" w:eastAsia="zh-CN"/>
              </w:rPr>
              <w:t>0.12</w:t>
            </w:r>
            <w:r>
              <w:rPr>
                <w:rFonts w:hAnsi="宋体"/>
                <w:sz w:val="24"/>
                <w:u w:val="single" w:color="auto"/>
              </w:rPr>
              <w:t>t/a</w:t>
            </w:r>
            <w:r>
              <w:rPr>
                <w:rFonts w:hint="eastAsia" w:hAnsi="宋体"/>
                <w:sz w:val="24"/>
                <w:u w:val="single" w:color="auto"/>
              </w:rPr>
              <w:t>，废活性炭</w:t>
            </w:r>
            <w:r>
              <w:rPr>
                <w:rFonts w:hint="eastAsia" w:hAnsi="宋体"/>
                <w:sz w:val="24"/>
                <w:u w:val="single" w:color="auto"/>
                <w:lang w:eastAsia="zh-CN"/>
              </w:rPr>
              <w:t>（</w:t>
            </w:r>
            <w:r>
              <w:rPr>
                <w:rFonts w:hint="eastAsia" w:hAnsi="宋体"/>
                <w:sz w:val="24"/>
                <w:u w:val="single" w:color="auto"/>
                <w:lang w:val="en-US" w:eastAsia="zh-CN"/>
              </w:rPr>
              <w:t xml:space="preserve">根据《国家危险废物名录》可知，项目废活性炭属于危险废物（代码：HW49  900-039-49 </w:t>
            </w:r>
            <w:r>
              <w:rPr>
                <w:rFonts w:hint="eastAsia" w:hAnsi="宋体"/>
                <w:sz w:val="24"/>
                <w:u w:val="single" w:color="auto"/>
                <w:lang w:eastAsia="zh-CN"/>
              </w:rPr>
              <w:t>），收集于危险废物储存间内，再交由有资质单位进行处理</w:t>
            </w:r>
            <w:r>
              <w:rPr>
                <w:rFonts w:hint="eastAsia"/>
                <w:sz w:val="24"/>
                <w:szCs w:val="24"/>
                <w:u w:val="single" w:color="auto"/>
                <w:lang w:val="en-US" w:eastAsia="zh-CN"/>
              </w:rPr>
              <w:t>。</w:t>
            </w:r>
          </w:p>
          <w:p>
            <w:pPr>
              <w:keepNext w:val="0"/>
              <w:keepLines w:val="0"/>
              <w:pageBreakBefore w:val="0"/>
              <w:numPr>
                <w:ilvl w:val="0"/>
                <w:numId w:val="0"/>
              </w:numPr>
              <w:kinsoku/>
              <w:wordWrap/>
              <w:overflowPunct/>
              <w:topLinePunct w:val="0"/>
              <w:autoSpaceDE/>
              <w:autoSpaceDN/>
              <w:bidi w:val="0"/>
              <w:adjustRightInd/>
              <w:snapToGrid w:val="0"/>
              <w:spacing w:line="360" w:lineRule="auto"/>
              <w:ind w:firstLine="466" w:firstLineChars="200"/>
              <w:textAlignment w:val="auto"/>
              <w:rPr>
                <w:rFonts w:hint="default" w:ascii="Times New Roman" w:hAnsi="Times New Roman" w:eastAsia="宋体" w:cs="Times New Roman"/>
                <w:color w:val="auto"/>
                <w:kern w:val="2"/>
                <w:sz w:val="24"/>
                <w:szCs w:val="24"/>
                <w:u w:val="single" w:color="auto"/>
                <w:lang w:val="en-US" w:eastAsia="zh-CN" w:bidi="ar-SA"/>
              </w:rPr>
            </w:pPr>
            <w:r>
              <w:rPr>
                <w:rFonts w:hint="default" w:ascii="Times New Roman" w:hAnsi="Times New Roman" w:cs="Times New Roman"/>
                <w:color w:val="auto"/>
                <w:kern w:val="2"/>
                <w:sz w:val="24"/>
                <w:szCs w:val="24"/>
                <w:u w:val="single" w:color="auto"/>
                <w:lang w:val="en-US" w:eastAsia="zh-CN" w:bidi="ar-SA"/>
              </w:rPr>
              <w:t>（</w:t>
            </w:r>
            <w:r>
              <w:rPr>
                <w:rFonts w:hint="eastAsia" w:ascii="Times New Roman" w:hAnsi="Times New Roman" w:cs="Times New Roman"/>
                <w:color w:val="auto"/>
                <w:kern w:val="2"/>
                <w:sz w:val="24"/>
                <w:szCs w:val="24"/>
                <w:u w:val="single" w:color="auto"/>
                <w:lang w:val="en-US" w:eastAsia="zh-CN" w:bidi="ar-SA"/>
              </w:rPr>
              <w:t>2</w:t>
            </w:r>
            <w:r>
              <w:rPr>
                <w:rFonts w:hint="default" w:ascii="Times New Roman" w:hAnsi="Times New Roman" w:cs="Times New Roman"/>
                <w:color w:val="auto"/>
                <w:kern w:val="2"/>
                <w:sz w:val="24"/>
                <w:szCs w:val="24"/>
                <w:u w:val="single" w:color="auto"/>
                <w:lang w:val="en-US" w:eastAsia="zh-CN" w:bidi="ar-SA"/>
              </w:rPr>
              <w:t>）废灯管</w:t>
            </w:r>
          </w:p>
          <w:p>
            <w:pPr>
              <w:keepNext w:val="0"/>
              <w:keepLines w:val="0"/>
              <w:pageBreakBefore w:val="0"/>
              <w:numPr>
                <w:ilvl w:val="0"/>
                <w:numId w:val="0"/>
              </w:numPr>
              <w:kinsoku/>
              <w:wordWrap/>
              <w:overflowPunct/>
              <w:topLinePunct w:val="0"/>
              <w:autoSpaceDE/>
              <w:autoSpaceDN/>
              <w:bidi w:val="0"/>
              <w:adjustRightInd/>
              <w:snapToGrid w:val="0"/>
              <w:spacing w:line="360" w:lineRule="auto"/>
              <w:ind w:firstLine="466" w:firstLineChars="200"/>
              <w:textAlignment w:val="auto"/>
              <w:rPr>
                <w:rFonts w:hint="eastAsia" w:cs="Times New Roman"/>
                <w:color w:val="auto"/>
                <w:sz w:val="24"/>
                <w:szCs w:val="24"/>
                <w:u w:val="single" w:color="auto"/>
                <w:lang w:val="en-US" w:eastAsia="zh-CN"/>
              </w:rPr>
            </w:pPr>
            <w:r>
              <w:rPr>
                <w:rFonts w:hint="default" w:ascii="Times New Roman" w:hAnsi="Times New Roman" w:cs="Times New Roman"/>
                <w:color w:val="auto"/>
                <w:sz w:val="24"/>
                <w:szCs w:val="24"/>
                <w:u w:val="single" w:color="auto"/>
                <w:lang w:eastAsia="zh-CN"/>
              </w:rPr>
              <w:t>项目在处理有机废气过程中需要使用</w:t>
            </w:r>
            <w:r>
              <w:rPr>
                <w:rFonts w:hint="default" w:ascii="Times New Roman" w:hAnsi="Times New Roman" w:cs="Times New Roman"/>
                <w:color w:val="auto"/>
                <w:sz w:val="24"/>
                <w:szCs w:val="24"/>
                <w:u w:val="single" w:color="auto"/>
                <w:lang w:val="en-US" w:eastAsia="zh-CN"/>
              </w:rPr>
              <w:t>UV光解设备进行进一步处理有机废气，保证有机废气达标排放，根据业主提供的相关资料，灯管使用寿命为1000h，更换下来的灯管约0.01t/a，根据《国家危险废物名录》可知，项目废灯管属于危险废物</w:t>
            </w:r>
            <w:r>
              <w:rPr>
                <w:rFonts w:hint="eastAsia" w:hAnsi="宋体"/>
                <w:sz w:val="24"/>
                <w:u w:val="single" w:color="auto"/>
                <w:lang w:val="en-US" w:eastAsia="zh-CN"/>
              </w:rPr>
              <w:t xml:space="preserve">（代码：HW49  900-044-49 </w:t>
            </w:r>
            <w:r>
              <w:rPr>
                <w:rFonts w:hint="eastAsia" w:hAnsi="宋体"/>
                <w:sz w:val="24"/>
                <w:u w:val="single" w:color="auto"/>
                <w:lang w:eastAsia="zh-CN"/>
              </w:rPr>
              <w:t>）</w:t>
            </w:r>
            <w:r>
              <w:rPr>
                <w:rFonts w:hint="default" w:ascii="Times New Roman" w:hAnsi="Times New Roman" w:cs="Times New Roman"/>
                <w:color w:val="auto"/>
                <w:sz w:val="24"/>
                <w:szCs w:val="24"/>
                <w:u w:val="single" w:color="auto"/>
                <w:lang w:val="en-US" w:eastAsia="zh-CN"/>
              </w:rPr>
              <w:t>，需</w:t>
            </w:r>
            <w:r>
              <w:rPr>
                <w:rFonts w:hint="default" w:ascii="Times New Roman" w:hAnsi="Times New Roman" w:cs="Times New Roman"/>
                <w:color w:val="auto"/>
                <w:sz w:val="24"/>
                <w:szCs w:val="24"/>
                <w:u w:val="single" w:color="auto"/>
                <w:lang w:eastAsia="zh-CN"/>
              </w:rPr>
              <w:t>收集于危险废物储存间内，再交由有资质单位进行处理</w:t>
            </w:r>
            <w:r>
              <w:rPr>
                <w:rFonts w:hint="eastAsia" w:cs="Times New Roman"/>
                <w:color w:val="auto"/>
                <w:sz w:val="24"/>
                <w:szCs w:val="24"/>
                <w:u w:val="single" w:color="auto"/>
                <w:lang w:val="en-US" w:eastAsia="zh-CN"/>
              </w:rPr>
              <w:t>。</w:t>
            </w:r>
          </w:p>
          <w:p>
            <w:pPr>
              <w:snapToGrid w:val="0"/>
              <w:spacing w:line="360" w:lineRule="auto"/>
              <w:ind w:firstLine="466" w:firstLineChars="200"/>
              <w:rPr>
                <w:rFonts w:hint="default" w:hAnsi="宋体"/>
                <w:sz w:val="24"/>
                <w:u w:val="single" w:color="auto"/>
                <w:lang w:val="en-US" w:eastAsia="zh-CN"/>
              </w:rPr>
            </w:pPr>
            <w:r>
              <w:rPr>
                <w:rFonts w:hint="eastAsia" w:hAnsi="宋体"/>
                <w:sz w:val="24"/>
                <w:u w:val="single" w:color="auto"/>
                <w:lang w:eastAsia="zh-CN"/>
              </w:rPr>
              <w:t>（</w:t>
            </w:r>
            <w:r>
              <w:rPr>
                <w:rFonts w:hint="eastAsia" w:hAnsi="宋体"/>
                <w:sz w:val="24"/>
                <w:u w:val="single" w:color="auto"/>
                <w:lang w:val="en-US" w:eastAsia="zh-CN"/>
              </w:rPr>
              <w:t>3</w:t>
            </w:r>
            <w:r>
              <w:rPr>
                <w:rFonts w:hint="eastAsia" w:hAnsi="宋体"/>
                <w:sz w:val="24"/>
                <w:u w:val="single" w:color="auto"/>
                <w:lang w:eastAsia="zh-CN"/>
              </w:rPr>
              <w:t>）</w:t>
            </w:r>
            <w:r>
              <w:rPr>
                <w:rFonts w:hint="eastAsia" w:hAnsi="宋体"/>
                <w:sz w:val="24"/>
                <w:u w:val="single" w:color="auto"/>
                <w:lang w:val="en-US" w:eastAsia="zh-CN"/>
              </w:rPr>
              <w:t>废油墨桶</w:t>
            </w:r>
          </w:p>
          <w:p>
            <w:pPr>
              <w:snapToGrid w:val="0"/>
              <w:spacing w:line="360" w:lineRule="auto"/>
              <w:ind w:firstLine="466" w:firstLineChars="200"/>
              <w:rPr>
                <w:rFonts w:hint="eastAsia" w:hAnsi="宋体"/>
                <w:sz w:val="24"/>
                <w:u w:val="single" w:color="auto"/>
                <w:lang w:val="en-US" w:eastAsia="zh-CN"/>
              </w:rPr>
            </w:pPr>
            <w:r>
              <w:rPr>
                <w:rFonts w:hint="eastAsia" w:hAnsi="宋体"/>
                <w:sz w:val="24"/>
                <w:u w:val="single" w:color="auto"/>
                <w:lang w:val="en-US" w:eastAsia="zh-CN"/>
              </w:rPr>
              <w:t>项目在印刷过程中会使用到油墨进行印刷</w:t>
            </w:r>
            <w:r>
              <w:rPr>
                <w:rFonts w:hint="eastAsia" w:hAnsi="宋体"/>
                <w:sz w:val="24"/>
                <w:u w:val="single" w:color="auto"/>
                <w:lang w:eastAsia="zh-CN"/>
              </w:rPr>
              <w:t>，</w:t>
            </w:r>
            <w:r>
              <w:rPr>
                <w:rFonts w:hint="eastAsia" w:hAnsi="宋体"/>
                <w:sz w:val="24"/>
                <w:u w:val="single" w:color="auto"/>
                <w:lang w:val="en-US" w:eastAsia="zh-CN"/>
              </w:rPr>
              <w:t>根据油墨使用量可知，项目</w:t>
            </w:r>
            <w:r>
              <w:rPr>
                <w:rFonts w:hint="eastAsia" w:hAnsi="宋体"/>
                <w:sz w:val="24"/>
                <w:u w:val="single" w:color="auto"/>
                <w:lang w:eastAsia="zh-CN"/>
              </w:rPr>
              <w:t>废油墨桶产生量约为</w:t>
            </w:r>
            <w:r>
              <w:rPr>
                <w:rFonts w:hint="eastAsia" w:hAnsi="宋体"/>
                <w:sz w:val="24"/>
                <w:u w:val="single" w:color="auto"/>
                <w:lang w:val="en-US" w:eastAsia="zh-CN"/>
              </w:rPr>
              <w:t>0.03t/a，根据《国家危险废物名录》可知，项目废油墨桶属于危险废物（代码：HW49  900-041-49），需收集于危险废物储存间，再交由生产厂家回收或交由有资质单位进行处置。</w:t>
            </w:r>
          </w:p>
          <w:p>
            <w:pPr>
              <w:numPr>
                <w:ilvl w:val="0"/>
                <w:numId w:val="7"/>
              </w:numPr>
              <w:snapToGrid w:val="0"/>
              <w:spacing w:line="360" w:lineRule="auto"/>
              <w:ind w:firstLine="466" w:firstLineChars="200"/>
              <w:rPr>
                <w:rFonts w:hint="eastAsia" w:hAnsi="宋体"/>
                <w:sz w:val="24"/>
                <w:u w:val="single" w:color="auto"/>
                <w:lang w:val="en-US" w:eastAsia="zh-CN"/>
              </w:rPr>
            </w:pPr>
            <w:r>
              <w:rPr>
                <w:rFonts w:hint="eastAsia" w:hAnsi="宋体"/>
                <w:sz w:val="24"/>
                <w:u w:val="single" w:color="auto"/>
                <w:lang w:val="en-US" w:eastAsia="zh-CN"/>
              </w:rPr>
              <w:t>印刷工序擦洗的抹布手套</w:t>
            </w:r>
          </w:p>
          <w:p>
            <w:pPr>
              <w:numPr>
                <w:ilvl w:val="0"/>
                <w:numId w:val="0"/>
              </w:numPr>
              <w:snapToGrid w:val="0"/>
              <w:spacing w:line="360" w:lineRule="auto"/>
              <w:ind w:firstLine="466" w:firstLineChars="200"/>
              <w:rPr>
                <w:rFonts w:hint="eastAsia" w:hAnsi="宋体"/>
                <w:sz w:val="24"/>
                <w:u w:val="single" w:color="auto"/>
              </w:rPr>
            </w:pPr>
            <w:r>
              <w:rPr>
                <w:rFonts w:hint="eastAsia" w:cs="Times New Roman"/>
                <w:bCs/>
                <w:sz w:val="24"/>
                <w:u w:val="single" w:color="auto"/>
                <w:lang w:val="en-US" w:eastAsia="zh-CN"/>
              </w:rPr>
              <w:t>项目在印刷工序完成后，需要对墨辊进行擦洗，擦洗过程中产生的抹布及手套量为0.05t/a，该部分固废为危险废物，储存于危险废物储存间内，再交由有资质单位处理。</w:t>
            </w:r>
          </w:p>
          <w:p>
            <w:pPr>
              <w:numPr>
                <w:ilvl w:val="0"/>
                <w:numId w:val="7"/>
              </w:numPr>
              <w:snapToGrid w:val="0"/>
              <w:spacing w:line="360" w:lineRule="auto"/>
              <w:ind w:firstLine="466" w:firstLineChars="200"/>
              <w:rPr>
                <w:rFonts w:hint="eastAsia" w:hAnsi="宋体"/>
                <w:sz w:val="24"/>
                <w:u w:val="single" w:color="auto"/>
              </w:rPr>
            </w:pPr>
            <w:r>
              <w:rPr>
                <w:rFonts w:hint="eastAsia" w:hAnsi="宋体"/>
                <w:sz w:val="24"/>
                <w:u w:val="single" w:color="auto"/>
                <w:lang w:val="en-US" w:eastAsia="zh-CN"/>
              </w:rPr>
              <w:t>废印刷版</w:t>
            </w:r>
          </w:p>
          <w:p>
            <w:pPr>
              <w:numPr>
                <w:ilvl w:val="0"/>
                <w:numId w:val="0"/>
              </w:numPr>
              <w:snapToGrid w:val="0"/>
              <w:spacing w:line="360" w:lineRule="auto"/>
              <w:ind w:firstLine="466" w:firstLineChars="200"/>
              <w:rPr>
                <w:rFonts w:hint="default" w:hAnsi="宋体" w:eastAsia="宋体"/>
                <w:sz w:val="24"/>
                <w:u w:val="single" w:color="auto"/>
                <w:lang w:val="en-US" w:eastAsia="zh-CN"/>
              </w:rPr>
            </w:pPr>
            <w:r>
              <w:rPr>
                <w:rFonts w:hint="eastAsia" w:hAnsi="宋体"/>
                <w:sz w:val="24"/>
                <w:u w:val="single" w:color="auto"/>
                <w:lang w:val="en-US" w:eastAsia="zh-CN"/>
              </w:rPr>
              <w:t>项目在印刷过程中对印刷版会有一定的损耗，根据业主提供的资料可知，项目每年损坏的印刷版量为50张。根据《国家危险废物名录》可知，项目废印刷版属于危险废物（代码：HW49  900-041-49），需收集于危险废物储存间，再交由生产厂家回收或交由有资质单位进行处置。</w:t>
            </w:r>
          </w:p>
          <w:p>
            <w:pPr>
              <w:numPr>
                <w:ilvl w:val="0"/>
                <w:numId w:val="0"/>
              </w:numPr>
              <w:snapToGrid w:val="0"/>
              <w:spacing w:line="360" w:lineRule="auto"/>
              <w:rPr>
                <w:rFonts w:hint="eastAsia" w:hAnsi="宋体"/>
                <w:sz w:val="24"/>
                <w:u w:val="none" w:color="auto"/>
              </w:rPr>
            </w:pPr>
          </w:p>
          <w:p>
            <w:pPr>
              <w:widowControl/>
              <w:rPr>
                <w:rFonts w:hint="eastAsia"/>
                <w:u w:val="none" w:color="auto"/>
              </w:rPr>
            </w:pPr>
          </w:p>
        </w:tc>
      </w:tr>
    </w:tbl>
    <w:p>
      <w:pPr>
        <w:snapToGrid w:val="0"/>
        <w:outlineLvl w:val="0"/>
        <w:rPr>
          <w:rFonts w:ascii="黑体" w:hAnsi="黑体" w:eastAsia="黑体"/>
          <w:sz w:val="32"/>
          <w:szCs w:val="32"/>
          <w:u w:val="none" w:color="auto"/>
        </w:rPr>
      </w:pPr>
      <w:r>
        <w:rPr>
          <w:u w:val="none" w:color="auto"/>
        </w:rPr>
        <w:br w:type="page"/>
      </w:r>
      <w:bookmarkStart w:id="5" w:name="_Toc498"/>
      <w:r>
        <w:rPr>
          <w:rFonts w:hint="eastAsia" w:ascii="黑体" w:hAnsi="黑体" w:eastAsia="黑体"/>
          <w:sz w:val="32"/>
          <w:szCs w:val="32"/>
          <w:u w:val="none" w:color="auto"/>
        </w:rPr>
        <w:t>六、</w:t>
      </w:r>
      <w:r>
        <w:rPr>
          <w:rFonts w:ascii="黑体" w:hAnsi="黑体" w:eastAsia="黑体"/>
          <w:sz w:val="32"/>
          <w:szCs w:val="32"/>
          <w:u w:val="none" w:color="auto"/>
        </w:rPr>
        <w:t>项目主要污染物产生及预计排放情况</w:t>
      </w:r>
      <w:bookmarkEnd w:id="5"/>
    </w:p>
    <w:tbl>
      <w:tblPr>
        <w:tblStyle w:val="40"/>
        <w:tblW w:w="96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4"/>
        <w:gridCol w:w="847"/>
        <w:gridCol w:w="1109"/>
        <w:gridCol w:w="1516"/>
        <w:gridCol w:w="870"/>
        <w:gridCol w:w="1205"/>
        <w:gridCol w:w="32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854" w:type="dxa"/>
            <w:tcBorders>
              <w:tl2br w:val="nil"/>
              <w:tr2bl w:val="nil"/>
            </w:tcBorders>
          </w:tcPr>
          <w:p>
            <w:pPr>
              <w:spacing w:line="360" w:lineRule="auto"/>
              <w:rPr>
                <w:rFonts w:hint="default" w:ascii="Times New Roman" w:hAnsi="Times New Roman" w:cs="Times New Roman"/>
                <w:b/>
                <w:bCs/>
                <w:sz w:val="22"/>
                <w:szCs w:val="22"/>
                <w:u w:val="none" w:color="auto"/>
              </w:rPr>
            </w:pPr>
          </w:p>
        </w:tc>
        <w:tc>
          <w:tcPr>
            <w:tcW w:w="1956" w:type="dxa"/>
            <w:gridSpan w:val="2"/>
            <w:tcBorders>
              <w:tl2br w:val="nil"/>
              <w:tr2bl w:val="nil"/>
            </w:tcBorders>
            <w:vAlign w:val="center"/>
          </w:tcPr>
          <w:p>
            <w:pPr>
              <w:spacing w:line="360" w:lineRule="auto"/>
              <w:ind w:firstLine="426" w:firstLineChars="200"/>
              <w:jc w:val="center"/>
              <w:rPr>
                <w:rFonts w:hint="default" w:ascii="Times New Roman" w:hAnsi="Times New Roman" w:cs="Times New Roman"/>
                <w:b/>
                <w:bCs/>
                <w:sz w:val="22"/>
                <w:szCs w:val="22"/>
                <w:u w:val="none" w:color="auto"/>
              </w:rPr>
            </w:pPr>
            <w:r>
              <w:rPr>
                <w:rFonts w:hint="default" w:ascii="Times New Roman" w:hAnsi="Times New Roman" w:cs="Times New Roman"/>
                <w:b/>
                <w:bCs/>
                <w:sz w:val="22"/>
                <w:szCs w:val="22"/>
                <w:u w:val="none" w:color="auto"/>
              </w:rPr>
              <w:t>排放源</w:t>
            </w:r>
          </w:p>
          <w:p>
            <w:pPr>
              <w:spacing w:line="360" w:lineRule="auto"/>
              <w:ind w:firstLine="426" w:firstLineChars="200"/>
              <w:jc w:val="center"/>
              <w:rPr>
                <w:rFonts w:hint="default" w:ascii="Times New Roman" w:hAnsi="Times New Roman" w:cs="Times New Roman"/>
                <w:b/>
                <w:bCs/>
                <w:sz w:val="22"/>
                <w:szCs w:val="22"/>
                <w:u w:val="none" w:color="auto"/>
              </w:rPr>
            </w:pPr>
            <w:r>
              <w:rPr>
                <w:rFonts w:hint="default" w:ascii="Times New Roman" w:hAnsi="Times New Roman" w:cs="Times New Roman"/>
                <w:b/>
                <w:bCs/>
                <w:sz w:val="22"/>
                <w:szCs w:val="22"/>
                <w:u w:val="none" w:color="auto"/>
              </w:rPr>
              <w:t>（编号）</w:t>
            </w:r>
          </w:p>
        </w:tc>
        <w:tc>
          <w:tcPr>
            <w:tcW w:w="1516" w:type="dxa"/>
            <w:tcBorders>
              <w:tl2br w:val="nil"/>
              <w:tr2bl w:val="nil"/>
            </w:tcBorders>
            <w:vAlign w:val="center"/>
          </w:tcPr>
          <w:p>
            <w:pPr>
              <w:spacing w:line="360" w:lineRule="auto"/>
              <w:jc w:val="center"/>
              <w:rPr>
                <w:rFonts w:hint="default" w:ascii="Times New Roman" w:hAnsi="Times New Roman" w:cs="Times New Roman"/>
                <w:b/>
                <w:bCs/>
                <w:sz w:val="22"/>
                <w:szCs w:val="22"/>
                <w:u w:val="none" w:color="auto"/>
              </w:rPr>
            </w:pPr>
            <w:r>
              <w:rPr>
                <w:rFonts w:hint="default" w:ascii="Times New Roman" w:hAnsi="Times New Roman" w:cs="Times New Roman"/>
                <w:b/>
                <w:bCs/>
                <w:sz w:val="22"/>
                <w:szCs w:val="22"/>
                <w:u w:val="none" w:color="auto"/>
              </w:rPr>
              <w:t>污染物</w:t>
            </w:r>
          </w:p>
          <w:p>
            <w:pPr>
              <w:spacing w:line="360" w:lineRule="auto"/>
              <w:jc w:val="center"/>
              <w:rPr>
                <w:rFonts w:hint="default" w:ascii="Times New Roman" w:hAnsi="Times New Roman" w:cs="Times New Roman"/>
                <w:b/>
                <w:bCs/>
                <w:sz w:val="22"/>
                <w:szCs w:val="22"/>
                <w:u w:val="none" w:color="auto"/>
              </w:rPr>
            </w:pPr>
            <w:r>
              <w:rPr>
                <w:rFonts w:hint="default" w:ascii="Times New Roman" w:hAnsi="Times New Roman" w:cs="Times New Roman"/>
                <w:b/>
                <w:bCs/>
                <w:sz w:val="22"/>
                <w:szCs w:val="22"/>
                <w:u w:val="none" w:color="auto"/>
              </w:rPr>
              <w:t>名称</w:t>
            </w:r>
          </w:p>
        </w:tc>
        <w:tc>
          <w:tcPr>
            <w:tcW w:w="2075" w:type="dxa"/>
            <w:gridSpan w:val="2"/>
            <w:tcBorders>
              <w:tl2br w:val="nil"/>
              <w:tr2bl w:val="nil"/>
            </w:tcBorders>
            <w:vAlign w:val="center"/>
          </w:tcPr>
          <w:p>
            <w:pPr>
              <w:spacing w:line="360" w:lineRule="auto"/>
              <w:jc w:val="center"/>
              <w:rPr>
                <w:rFonts w:hint="default" w:ascii="Times New Roman" w:hAnsi="Times New Roman" w:cs="Times New Roman"/>
                <w:b/>
                <w:bCs/>
                <w:sz w:val="22"/>
                <w:szCs w:val="22"/>
                <w:u w:val="none" w:color="auto"/>
              </w:rPr>
            </w:pPr>
            <w:r>
              <w:rPr>
                <w:rFonts w:hint="default" w:ascii="Times New Roman" w:hAnsi="Times New Roman" w:cs="Times New Roman"/>
                <w:b/>
                <w:bCs/>
                <w:sz w:val="22"/>
                <w:szCs w:val="22"/>
                <w:u w:val="none" w:color="auto"/>
              </w:rPr>
              <w:t>处理前产生浓度及产生量（单位）</w:t>
            </w:r>
          </w:p>
        </w:tc>
        <w:tc>
          <w:tcPr>
            <w:tcW w:w="3261" w:type="dxa"/>
            <w:tcBorders>
              <w:tl2br w:val="nil"/>
              <w:tr2bl w:val="nil"/>
            </w:tcBorders>
            <w:vAlign w:val="center"/>
          </w:tcPr>
          <w:p>
            <w:pPr>
              <w:spacing w:line="360" w:lineRule="auto"/>
              <w:ind w:firstLine="426" w:firstLineChars="200"/>
              <w:jc w:val="center"/>
              <w:rPr>
                <w:rFonts w:hint="default" w:ascii="Times New Roman" w:hAnsi="Times New Roman" w:cs="Times New Roman"/>
                <w:b/>
                <w:bCs/>
                <w:sz w:val="22"/>
                <w:szCs w:val="22"/>
                <w:u w:val="none" w:color="auto"/>
              </w:rPr>
            </w:pPr>
            <w:r>
              <w:rPr>
                <w:rFonts w:hint="default" w:ascii="Times New Roman" w:hAnsi="Times New Roman" w:cs="Times New Roman"/>
                <w:b/>
                <w:bCs/>
                <w:sz w:val="22"/>
                <w:szCs w:val="22"/>
                <w:u w:val="none" w:color="auto"/>
              </w:rPr>
              <w:t>排放浓度及排放量（单位）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4" w:type="dxa"/>
            <w:vMerge w:val="restart"/>
            <w:tcBorders>
              <w:tl2br w:val="nil"/>
              <w:tr2bl w:val="nil"/>
            </w:tcBorders>
            <w:vAlign w:val="center"/>
          </w:tcPr>
          <w:p>
            <w:pPr>
              <w:spacing w:line="360" w:lineRule="auto"/>
              <w:jc w:val="center"/>
              <w:rPr>
                <w:rFonts w:hint="default" w:ascii="Times New Roman" w:hAnsi="Times New Roman" w:cs="Times New Roman"/>
                <w:b/>
                <w:bCs/>
                <w:sz w:val="22"/>
                <w:szCs w:val="22"/>
                <w:u w:val="none" w:color="auto"/>
              </w:rPr>
            </w:pPr>
            <w:r>
              <w:rPr>
                <w:rFonts w:hint="default" w:ascii="Times New Roman" w:hAnsi="Times New Roman" w:cs="Times New Roman"/>
                <w:b/>
                <w:bCs/>
                <w:sz w:val="22"/>
                <w:szCs w:val="22"/>
                <w:u w:val="none" w:color="auto"/>
              </w:rPr>
              <w:t>大气污染物</w:t>
            </w:r>
          </w:p>
        </w:tc>
        <w:tc>
          <w:tcPr>
            <w:tcW w:w="847" w:type="dxa"/>
            <w:vMerge w:val="restart"/>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运营期</w:t>
            </w:r>
          </w:p>
        </w:tc>
        <w:tc>
          <w:tcPr>
            <w:tcW w:w="1109" w:type="dxa"/>
            <w:vMerge w:val="restart"/>
            <w:tcBorders>
              <w:tl2br w:val="nil"/>
              <w:tr2bl w:val="nil"/>
            </w:tcBorders>
            <w:vAlign w:val="center"/>
          </w:tcPr>
          <w:p>
            <w:pPr>
              <w:spacing w:line="360" w:lineRule="auto"/>
              <w:jc w:val="center"/>
              <w:rPr>
                <w:rFonts w:hint="default" w:ascii="Times New Roman" w:hAnsi="Times New Roman" w:eastAsia="宋体" w:cs="Times New Roman"/>
                <w:sz w:val="22"/>
                <w:szCs w:val="22"/>
                <w:u w:val="none" w:color="auto"/>
                <w:lang w:eastAsia="zh-CN"/>
              </w:rPr>
            </w:pPr>
            <w:r>
              <w:rPr>
                <w:rFonts w:hint="default" w:ascii="Times New Roman" w:hAnsi="Times New Roman" w:cs="Times New Roman"/>
                <w:sz w:val="22"/>
                <w:szCs w:val="22"/>
                <w:u w:val="none" w:color="auto"/>
                <w:lang w:eastAsia="zh-CN"/>
              </w:rPr>
              <w:t>印刷</w:t>
            </w:r>
            <w:r>
              <w:rPr>
                <w:rFonts w:hint="default" w:ascii="Times New Roman" w:hAnsi="Times New Roman" w:cs="Times New Roman"/>
                <w:sz w:val="22"/>
                <w:szCs w:val="22"/>
                <w:u w:val="none" w:color="auto"/>
                <w:lang w:val="en-US" w:eastAsia="zh-CN"/>
              </w:rPr>
              <w:t>固化</w:t>
            </w:r>
            <w:r>
              <w:rPr>
                <w:rFonts w:hint="default" w:ascii="Times New Roman" w:hAnsi="Times New Roman" w:cs="Times New Roman"/>
                <w:sz w:val="22"/>
                <w:szCs w:val="22"/>
                <w:u w:val="none" w:color="auto"/>
                <w:lang w:eastAsia="zh-CN"/>
              </w:rPr>
              <w:t>废气</w:t>
            </w:r>
          </w:p>
        </w:tc>
        <w:tc>
          <w:tcPr>
            <w:tcW w:w="1516" w:type="dxa"/>
            <w:vMerge w:val="restart"/>
            <w:tcBorders>
              <w:tl2br w:val="nil"/>
              <w:tr2bl w:val="nil"/>
            </w:tcBorders>
            <w:vAlign w:val="center"/>
          </w:tcPr>
          <w:p>
            <w:pPr>
              <w:spacing w:line="360" w:lineRule="auto"/>
              <w:jc w:val="center"/>
              <w:rPr>
                <w:rFonts w:hint="default" w:ascii="Times New Roman" w:hAnsi="Times New Roman" w:eastAsia="宋体" w:cs="Times New Roman"/>
                <w:sz w:val="22"/>
                <w:szCs w:val="22"/>
                <w:u w:val="none" w:color="auto"/>
                <w:lang w:eastAsia="zh-CN"/>
              </w:rPr>
            </w:pPr>
            <w:r>
              <w:rPr>
                <w:rFonts w:hint="default" w:ascii="Times New Roman" w:hAnsi="Times New Roman" w:cs="Times New Roman"/>
                <w:sz w:val="22"/>
                <w:szCs w:val="22"/>
                <w:u w:val="none" w:color="auto"/>
                <w:lang w:eastAsia="zh-CN"/>
              </w:rPr>
              <w:t>有机废气</w:t>
            </w:r>
          </w:p>
        </w:tc>
        <w:tc>
          <w:tcPr>
            <w:tcW w:w="2075" w:type="dxa"/>
            <w:gridSpan w:val="2"/>
            <w:vMerge w:val="restart"/>
            <w:tcBorders>
              <w:tl2br w:val="nil"/>
              <w:tr2bl w:val="nil"/>
            </w:tcBorders>
            <w:vAlign w:val="center"/>
          </w:tcPr>
          <w:p>
            <w:pPr>
              <w:spacing w:line="360" w:lineRule="auto"/>
              <w:jc w:val="center"/>
              <w:rPr>
                <w:rFonts w:hint="default" w:ascii="Times New Roman" w:hAnsi="Times New Roman" w:eastAsia="宋体" w:cs="Times New Roman"/>
                <w:sz w:val="22"/>
                <w:szCs w:val="22"/>
                <w:u w:val="none" w:color="auto"/>
                <w:lang w:eastAsia="zh-CN"/>
              </w:rPr>
            </w:pPr>
            <w:r>
              <w:rPr>
                <w:rFonts w:hint="eastAsia" w:cs="Times New Roman"/>
                <w:sz w:val="22"/>
                <w:szCs w:val="22"/>
                <w:u w:val="none" w:color="auto"/>
                <w:lang w:val="en-US" w:eastAsia="zh-CN"/>
              </w:rPr>
              <w:t>0.2</w:t>
            </w:r>
            <w:r>
              <w:rPr>
                <w:rFonts w:hint="default" w:ascii="Times New Roman" w:hAnsi="Times New Roman" w:cs="Times New Roman"/>
                <w:sz w:val="22"/>
                <w:szCs w:val="22"/>
                <w:u w:val="none" w:color="auto"/>
              </w:rPr>
              <w:t>t/a，</w:t>
            </w:r>
            <w:r>
              <w:rPr>
                <w:rFonts w:hint="default" w:ascii="Times New Roman" w:hAnsi="Times New Roman" w:cs="Times New Roman"/>
                <w:sz w:val="22"/>
                <w:szCs w:val="22"/>
                <w:u w:val="none" w:color="auto"/>
                <w:lang w:val="en-US" w:eastAsia="zh-CN"/>
              </w:rPr>
              <w:t>0.0</w:t>
            </w:r>
            <w:r>
              <w:rPr>
                <w:rFonts w:hint="eastAsia" w:cs="Times New Roman"/>
                <w:sz w:val="22"/>
                <w:szCs w:val="22"/>
                <w:u w:val="none" w:color="auto"/>
                <w:lang w:val="en-US" w:eastAsia="zh-CN"/>
              </w:rPr>
              <w:t>83</w:t>
            </w:r>
            <w:r>
              <w:rPr>
                <w:rFonts w:hint="default" w:ascii="Times New Roman" w:hAnsi="Times New Roman" w:cs="Times New Roman"/>
                <w:sz w:val="22"/>
                <w:szCs w:val="22"/>
                <w:u w:val="none" w:color="auto"/>
              </w:rPr>
              <w:t>kg/h</w:t>
            </w:r>
          </w:p>
        </w:tc>
        <w:tc>
          <w:tcPr>
            <w:tcW w:w="3261" w:type="dxa"/>
            <w:tcBorders>
              <w:tl2br w:val="nil"/>
              <w:tr2bl w:val="nil"/>
            </w:tcBorders>
            <w:vAlign w:val="center"/>
          </w:tcPr>
          <w:p>
            <w:pPr>
              <w:spacing w:line="360" w:lineRule="auto"/>
              <w:jc w:val="center"/>
              <w:rPr>
                <w:rFonts w:hint="default" w:ascii="Times New Roman" w:hAnsi="Times New Roman" w:eastAsia="宋体" w:cs="Times New Roman"/>
                <w:sz w:val="22"/>
                <w:szCs w:val="22"/>
                <w:u w:val="none" w:color="auto"/>
                <w:lang w:eastAsia="zh-CN"/>
              </w:rPr>
            </w:pPr>
            <w:r>
              <w:rPr>
                <w:rFonts w:hint="eastAsia" w:cs="Times New Roman"/>
                <w:sz w:val="22"/>
                <w:szCs w:val="22"/>
                <w:u w:val="none" w:color="auto"/>
                <w:lang w:val="en-US" w:eastAsia="zh-CN"/>
              </w:rPr>
              <w:t>0.032</w:t>
            </w:r>
            <w:r>
              <w:rPr>
                <w:rFonts w:hint="default" w:ascii="Times New Roman" w:hAnsi="Times New Roman" w:cs="Times New Roman"/>
                <w:sz w:val="22"/>
                <w:szCs w:val="22"/>
                <w:u w:val="none" w:color="auto"/>
              </w:rPr>
              <w:t>t/a，</w:t>
            </w:r>
            <w:r>
              <w:rPr>
                <w:rFonts w:hint="eastAsia" w:cs="Times New Roman"/>
                <w:sz w:val="22"/>
                <w:szCs w:val="22"/>
                <w:u w:val="none" w:color="auto"/>
                <w:lang w:val="en-US" w:eastAsia="zh-CN"/>
              </w:rPr>
              <w:t>4.43</w:t>
            </w:r>
            <w:r>
              <w:rPr>
                <w:rFonts w:hint="default" w:ascii="Times New Roman" w:hAnsi="Times New Roman" w:cs="Times New Roman"/>
                <w:sz w:val="22"/>
                <w:szCs w:val="22"/>
                <w:u w:val="none" w:color="auto"/>
              </w:rPr>
              <w:t>mg/m</w:t>
            </w:r>
            <w:r>
              <w:rPr>
                <w:rFonts w:hint="default" w:ascii="Times New Roman" w:hAnsi="Times New Roman" w:cs="Times New Roman"/>
                <w:sz w:val="22"/>
                <w:szCs w:val="22"/>
                <w:u w:val="none" w:color="auto"/>
                <w:vertAlign w:val="superscript"/>
              </w:rPr>
              <w:t>3</w:t>
            </w:r>
            <w:r>
              <w:rPr>
                <w:rFonts w:hint="default" w:ascii="Times New Roman" w:hAnsi="Times New Roman" w:cs="Times New Roman"/>
                <w:sz w:val="22"/>
                <w:szCs w:val="22"/>
                <w:u w:val="none" w:color="auto"/>
                <w:lang w:eastAsia="zh-CN"/>
              </w:rPr>
              <w:t>（有组织）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4" w:type="dxa"/>
            <w:vMerge w:val="continue"/>
            <w:tcBorders>
              <w:tl2br w:val="nil"/>
              <w:tr2bl w:val="nil"/>
            </w:tcBorders>
            <w:vAlign w:val="center"/>
          </w:tcPr>
          <w:p>
            <w:pPr>
              <w:spacing w:line="360" w:lineRule="auto"/>
              <w:jc w:val="center"/>
              <w:rPr>
                <w:rFonts w:hint="default" w:ascii="Times New Roman" w:hAnsi="Times New Roman" w:cs="Times New Roman"/>
                <w:b/>
                <w:bCs/>
                <w:sz w:val="22"/>
                <w:szCs w:val="22"/>
                <w:u w:val="none" w:color="auto"/>
              </w:rPr>
            </w:pPr>
          </w:p>
        </w:tc>
        <w:tc>
          <w:tcPr>
            <w:tcW w:w="847" w:type="dxa"/>
            <w:vMerge w:val="continue"/>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p>
        </w:tc>
        <w:tc>
          <w:tcPr>
            <w:tcW w:w="1109" w:type="dxa"/>
            <w:vMerge w:val="continue"/>
            <w:tcBorders>
              <w:tl2br w:val="nil"/>
              <w:tr2bl w:val="nil"/>
            </w:tcBorders>
            <w:vAlign w:val="center"/>
          </w:tcPr>
          <w:p>
            <w:pPr>
              <w:spacing w:line="360" w:lineRule="auto"/>
              <w:jc w:val="center"/>
              <w:rPr>
                <w:rFonts w:hint="default" w:ascii="Times New Roman" w:hAnsi="Times New Roman" w:cs="Times New Roman"/>
                <w:sz w:val="22"/>
                <w:szCs w:val="22"/>
                <w:u w:val="none" w:color="auto"/>
                <w:lang w:eastAsia="zh-CN"/>
              </w:rPr>
            </w:pPr>
          </w:p>
        </w:tc>
        <w:tc>
          <w:tcPr>
            <w:tcW w:w="1516" w:type="dxa"/>
            <w:vMerge w:val="continue"/>
            <w:tcBorders>
              <w:tl2br w:val="nil"/>
              <w:tr2bl w:val="nil"/>
            </w:tcBorders>
            <w:vAlign w:val="center"/>
          </w:tcPr>
          <w:p>
            <w:pPr>
              <w:spacing w:line="360" w:lineRule="auto"/>
              <w:jc w:val="center"/>
              <w:rPr>
                <w:rFonts w:hint="default" w:ascii="Times New Roman" w:hAnsi="Times New Roman" w:cs="Times New Roman"/>
                <w:sz w:val="22"/>
                <w:szCs w:val="22"/>
                <w:u w:val="none" w:color="auto"/>
                <w:lang w:eastAsia="zh-CN"/>
              </w:rPr>
            </w:pPr>
          </w:p>
        </w:tc>
        <w:tc>
          <w:tcPr>
            <w:tcW w:w="2075" w:type="dxa"/>
            <w:gridSpan w:val="2"/>
            <w:vMerge w:val="continue"/>
            <w:tcBorders>
              <w:tl2br w:val="nil"/>
              <w:tr2bl w:val="nil"/>
            </w:tcBorders>
            <w:vAlign w:val="center"/>
          </w:tcPr>
          <w:p>
            <w:pPr>
              <w:spacing w:line="360" w:lineRule="auto"/>
              <w:jc w:val="center"/>
              <w:rPr>
                <w:rFonts w:hint="default" w:ascii="Times New Roman" w:hAnsi="Times New Roman" w:eastAsia="宋体" w:cs="Times New Roman"/>
                <w:sz w:val="22"/>
                <w:szCs w:val="22"/>
                <w:u w:val="none" w:color="auto"/>
                <w:lang w:eastAsia="zh-CN"/>
              </w:rPr>
            </w:pPr>
          </w:p>
        </w:tc>
        <w:tc>
          <w:tcPr>
            <w:tcW w:w="3261" w:type="dxa"/>
            <w:tcBorders>
              <w:tl2br w:val="nil"/>
              <w:tr2bl w:val="nil"/>
            </w:tcBorders>
            <w:vAlign w:val="center"/>
          </w:tcPr>
          <w:p>
            <w:pPr>
              <w:spacing w:line="360" w:lineRule="auto"/>
              <w:jc w:val="both"/>
              <w:rPr>
                <w:rFonts w:hint="default" w:ascii="Times New Roman" w:hAnsi="Times New Roman" w:eastAsia="宋体" w:cs="Times New Roman"/>
                <w:sz w:val="22"/>
                <w:szCs w:val="22"/>
                <w:u w:val="none" w:color="auto"/>
                <w:lang w:eastAsia="zh-CN"/>
              </w:rPr>
            </w:pPr>
            <w:r>
              <w:rPr>
                <w:rFonts w:hint="eastAsia" w:cs="Times New Roman"/>
                <w:sz w:val="22"/>
                <w:szCs w:val="22"/>
                <w:u w:val="none" w:color="auto"/>
                <w:lang w:val="en-US" w:eastAsia="zh-CN"/>
              </w:rPr>
              <w:t>0.04</w:t>
            </w:r>
            <w:r>
              <w:rPr>
                <w:rFonts w:hint="default" w:ascii="Times New Roman" w:hAnsi="Times New Roman" w:cs="Times New Roman"/>
                <w:sz w:val="22"/>
                <w:szCs w:val="22"/>
                <w:u w:val="none" w:color="auto"/>
              </w:rPr>
              <w:t>t/a，</w:t>
            </w:r>
            <w:r>
              <w:rPr>
                <w:rFonts w:hint="eastAsia" w:cs="Times New Roman"/>
                <w:sz w:val="22"/>
                <w:szCs w:val="22"/>
                <w:u w:val="none" w:color="auto"/>
                <w:lang w:val="en-US" w:eastAsia="zh-CN"/>
              </w:rPr>
              <w:t>0.0167</w:t>
            </w:r>
            <w:r>
              <w:rPr>
                <w:rFonts w:hint="default" w:ascii="Times New Roman" w:hAnsi="Times New Roman" w:cs="Times New Roman"/>
                <w:sz w:val="22"/>
                <w:szCs w:val="22"/>
                <w:u w:val="none" w:color="auto"/>
              </w:rPr>
              <w:t>kg/h</w:t>
            </w:r>
            <w:r>
              <w:rPr>
                <w:rFonts w:hint="default" w:ascii="Times New Roman" w:hAnsi="Times New Roman" w:cs="Times New Roman"/>
                <w:sz w:val="22"/>
                <w:szCs w:val="22"/>
                <w:u w:val="none" w:color="auto"/>
                <w:lang w:eastAsia="zh-CN"/>
              </w:rPr>
              <w:t>（无组织）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54" w:type="dxa"/>
            <w:vMerge w:val="continue"/>
            <w:tcBorders>
              <w:tl2br w:val="nil"/>
              <w:tr2bl w:val="nil"/>
            </w:tcBorders>
            <w:vAlign w:val="center"/>
          </w:tcPr>
          <w:p>
            <w:pPr>
              <w:spacing w:line="360" w:lineRule="auto"/>
              <w:jc w:val="center"/>
              <w:rPr>
                <w:rFonts w:hint="default" w:ascii="Times New Roman" w:hAnsi="Times New Roman" w:cs="Times New Roman"/>
                <w:b/>
                <w:bCs/>
                <w:sz w:val="22"/>
                <w:szCs w:val="22"/>
                <w:u w:val="none" w:color="auto"/>
              </w:rPr>
            </w:pPr>
          </w:p>
        </w:tc>
        <w:tc>
          <w:tcPr>
            <w:tcW w:w="847" w:type="dxa"/>
            <w:vMerge w:val="continue"/>
            <w:tcBorders>
              <w:tl2br w:val="nil"/>
              <w:tr2bl w:val="nil"/>
            </w:tcBorders>
            <w:vAlign w:val="center"/>
          </w:tcPr>
          <w:p>
            <w:pPr>
              <w:spacing w:line="360" w:lineRule="auto"/>
              <w:jc w:val="center"/>
              <w:rPr>
                <w:rFonts w:hint="default" w:ascii="Times New Roman" w:hAnsi="Times New Roman" w:cs="Times New Roman"/>
                <w:b/>
                <w:bCs/>
                <w:sz w:val="22"/>
                <w:szCs w:val="22"/>
                <w:u w:val="none" w:color="auto"/>
              </w:rPr>
            </w:pPr>
          </w:p>
        </w:tc>
        <w:tc>
          <w:tcPr>
            <w:tcW w:w="1109" w:type="dxa"/>
            <w:vMerge w:val="restart"/>
            <w:tcBorders>
              <w:tl2br w:val="nil"/>
              <w:tr2bl w:val="nil"/>
            </w:tcBorders>
            <w:vAlign w:val="center"/>
          </w:tcPr>
          <w:p>
            <w:pPr>
              <w:spacing w:line="360" w:lineRule="auto"/>
              <w:jc w:val="center"/>
              <w:rPr>
                <w:rFonts w:hint="default" w:ascii="Times New Roman" w:hAnsi="Times New Roman" w:eastAsia="宋体"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分切</w:t>
            </w:r>
            <w:r>
              <w:rPr>
                <w:rFonts w:hint="default" w:ascii="Times New Roman" w:hAnsi="Times New Roman" w:cs="Times New Roman"/>
                <w:sz w:val="22"/>
                <w:szCs w:val="22"/>
                <w:u w:val="none" w:color="auto"/>
                <w:lang w:eastAsia="zh-CN"/>
              </w:rPr>
              <w:t>工序</w:t>
            </w:r>
            <w:r>
              <w:rPr>
                <w:rFonts w:hint="default" w:ascii="Times New Roman" w:hAnsi="Times New Roman" w:cs="Times New Roman"/>
                <w:sz w:val="22"/>
                <w:szCs w:val="22"/>
                <w:u w:val="none" w:color="auto"/>
                <w:lang w:val="en-US" w:eastAsia="zh-CN"/>
              </w:rPr>
              <w:t>废气</w:t>
            </w:r>
          </w:p>
        </w:tc>
        <w:tc>
          <w:tcPr>
            <w:tcW w:w="1516" w:type="dxa"/>
            <w:vMerge w:val="restart"/>
            <w:tcBorders>
              <w:tl2br w:val="nil"/>
              <w:tr2bl w:val="nil"/>
            </w:tcBorders>
            <w:vAlign w:val="center"/>
          </w:tcPr>
          <w:p>
            <w:pPr>
              <w:spacing w:line="360" w:lineRule="auto"/>
              <w:jc w:val="center"/>
              <w:rPr>
                <w:rFonts w:hint="default" w:ascii="Times New Roman" w:hAnsi="Times New Roman" w:eastAsia="宋体" w:cs="Times New Roman"/>
                <w:sz w:val="22"/>
                <w:szCs w:val="22"/>
                <w:u w:val="none" w:color="auto"/>
                <w:lang w:eastAsia="zh-CN"/>
              </w:rPr>
            </w:pPr>
            <w:r>
              <w:rPr>
                <w:rFonts w:hint="default" w:ascii="Times New Roman" w:hAnsi="Times New Roman" w:cs="Times New Roman"/>
                <w:sz w:val="22"/>
                <w:szCs w:val="22"/>
                <w:u w:val="none" w:color="auto"/>
                <w:lang w:val="en-US" w:eastAsia="zh-CN"/>
              </w:rPr>
              <w:t>颗粒物</w:t>
            </w:r>
          </w:p>
        </w:tc>
        <w:tc>
          <w:tcPr>
            <w:tcW w:w="2075" w:type="dxa"/>
            <w:gridSpan w:val="2"/>
            <w:vMerge w:val="restart"/>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lang w:val="en-US" w:eastAsia="zh-CN"/>
              </w:rPr>
              <w:t>1.4658</w:t>
            </w:r>
            <w:r>
              <w:rPr>
                <w:rFonts w:hint="default" w:ascii="Times New Roman" w:hAnsi="Times New Roman" w:cs="Times New Roman"/>
                <w:sz w:val="22"/>
                <w:szCs w:val="22"/>
                <w:u w:val="none" w:color="auto"/>
              </w:rPr>
              <w:t>t/a，</w:t>
            </w:r>
            <w:r>
              <w:rPr>
                <w:rFonts w:hint="default" w:ascii="Times New Roman" w:hAnsi="Times New Roman" w:cs="Times New Roman"/>
                <w:sz w:val="22"/>
                <w:szCs w:val="22"/>
                <w:u w:val="none" w:color="auto"/>
                <w:lang w:val="en-US" w:eastAsia="zh-CN"/>
              </w:rPr>
              <w:t>0.611</w:t>
            </w:r>
            <w:r>
              <w:rPr>
                <w:rFonts w:hint="default" w:ascii="Times New Roman" w:hAnsi="Times New Roman" w:cs="Times New Roman"/>
                <w:sz w:val="22"/>
                <w:szCs w:val="22"/>
                <w:u w:val="none" w:color="auto"/>
              </w:rPr>
              <w:t>kg/h</w:t>
            </w:r>
          </w:p>
        </w:tc>
        <w:tc>
          <w:tcPr>
            <w:tcW w:w="3261" w:type="dxa"/>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eastAsia" w:cs="Times New Roman"/>
                <w:sz w:val="22"/>
                <w:szCs w:val="22"/>
                <w:u w:val="none" w:color="auto"/>
                <w:lang w:val="en-US" w:eastAsia="zh-CN"/>
              </w:rPr>
              <w:t>0.117</w:t>
            </w:r>
            <w:r>
              <w:rPr>
                <w:rFonts w:hint="default" w:ascii="Times New Roman" w:hAnsi="Times New Roman" w:cs="Times New Roman"/>
                <w:sz w:val="22"/>
                <w:szCs w:val="22"/>
                <w:u w:val="none" w:color="auto"/>
              </w:rPr>
              <w:t>t/a，</w:t>
            </w:r>
            <w:r>
              <w:rPr>
                <w:rFonts w:hint="eastAsia" w:cs="Times New Roman"/>
                <w:sz w:val="22"/>
                <w:szCs w:val="22"/>
                <w:u w:val="none" w:color="auto"/>
                <w:lang w:val="en-US" w:eastAsia="zh-CN"/>
              </w:rPr>
              <w:t>16.25</w:t>
            </w:r>
            <w:r>
              <w:rPr>
                <w:rFonts w:hint="default" w:ascii="Times New Roman" w:hAnsi="Times New Roman" w:cs="Times New Roman"/>
                <w:sz w:val="22"/>
                <w:szCs w:val="22"/>
                <w:u w:val="none" w:color="auto"/>
              </w:rPr>
              <w:t>mg/m</w:t>
            </w:r>
            <w:r>
              <w:rPr>
                <w:rFonts w:hint="default" w:ascii="Times New Roman" w:hAnsi="Times New Roman" w:cs="Times New Roman"/>
                <w:sz w:val="22"/>
                <w:szCs w:val="22"/>
                <w:u w:val="none" w:color="auto"/>
                <w:vertAlign w:val="superscript"/>
              </w:rPr>
              <w:t>3</w:t>
            </w:r>
            <w:r>
              <w:rPr>
                <w:rFonts w:hint="default" w:ascii="Times New Roman" w:hAnsi="Times New Roman" w:cs="Times New Roman"/>
                <w:sz w:val="22"/>
                <w:szCs w:val="22"/>
                <w:u w:val="none" w:color="auto"/>
                <w:lang w:eastAsia="zh-CN"/>
              </w:rPr>
              <w:t>（有组织）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854" w:type="dxa"/>
            <w:vMerge w:val="continue"/>
            <w:tcBorders>
              <w:tl2br w:val="nil"/>
              <w:tr2bl w:val="nil"/>
            </w:tcBorders>
            <w:vAlign w:val="center"/>
          </w:tcPr>
          <w:p>
            <w:pPr>
              <w:spacing w:line="360" w:lineRule="auto"/>
              <w:jc w:val="center"/>
              <w:rPr>
                <w:rFonts w:hint="default" w:ascii="Times New Roman" w:hAnsi="Times New Roman" w:cs="Times New Roman"/>
                <w:b/>
                <w:bCs/>
                <w:sz w:val="22"/>
                <w:szCs w:val="22"/>
                <w:u w:val="none" w:color="auto"/>
              </w:rPr>
            </w:pPr>
          </w:p>
        </w:tc>
        <w:tc>
          <w:tcPr>
            <w:tcW w:w="847" w:type="dxa"/>
            <w:vMerge w:val="continue"/>
            <w:tcBorders>
              <w:tl2br w:val="nil"/>
              <w:tr2bl w:val="nil"/>
            </w:tcBorders>
            <w:vAlign w:val="center"/>
          </w:tcPr>
          <w:p>
            <w:pPr>
              <w:spacing w:line="360" w:lineRule="auto"/>
              <w:jc w:val="center"/>
              <w:rPr>
                <w:rFonts w:hint="default" w:ascii="Times New Roman" w:hAnsi="Times New Roman" w:cs="Times New Roman"/>
                <w:b/>
                <w:bCs/>
                <w:sz w:val="22"/>
                <w:szCs w:val="22"/>
                <w:u w:val="none" w:color="auto"/>
              </w:rPr>
            </w:pPr>
          </w:p>
        </w:tc>
        <w:tc>
          <w:tcPr>
            <w:tcW w:w="1109" w:type="dxa"/>
            <w:vMerge w:val="continue"/>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p>
        </w:tc>
        <w:tc>
          <w:tcPr>
            <w:tcW w:w="1516" w:type="dxa"/>
            <w:vMerge w:val="continue"/>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p>
        </w:tc>
        <w:tc>
          <w:tcPr>
            <w:tcW w:w="2075" w:type="dxa"/>
            <w:gridSpan w:val="2"/>
            <w:vMerge w:val="continue"/>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p>
        </w:tc>
        <w:tc>
          <w:tcPr>
            <w:tcW w:w="3261" w:type="dxa"/>
            <w:tcBorders>
              <w:tl2br w:val="nil"/>
              <w:tr2bl w:val="nil"/>
            </w:tcBorders>
            <w:vAlign w:val="center"/>
          </w:tcPr>
          <w:p>
            <w:pPr>
              <w:spacing w:line="360" w:lineRule="auto"/>
              <w:jc w:val="both"/>
              <w:rPr>
                <w:rFonts w:hint="default" w:ascii="Times New Roman" w:hAnsi="Times New Roman" w:eastAsia="宋体" w:cs="Times New Roman"/>
                <w:sz w:val="22"/>
                <w:szCs w:val="22"/>
                <w:u w:val="none" w:color="auto"/>
                <w:lang w:eastAsia="zh-CN"/>
              </w:rPr>
            </w:pPr>
            <w:r>
              <w:rPr>
                <w:rFonts w:hint="eastAsia" w:cs="Times New Roman"/>
                <w:sz w:val="22"/>
                <w:szCs w:val="22"/>
                <w:u w:val="none" w:color="auto"/>
                <w:lang w:val="en-US" w:eastAsia="zh-CN"/>
              </w:rPr>
              <w:t>0.2958</w:t>
            </w:r>
            <w:r>
              <w:rPr>
                <w:rFonts w:hint="default" w:ascii="Times New Roman" w:hAnsi="Times New Roman" w:cs="Times New Roman"/>
                <w:sz w:val="22"/>
                <w:szCs w:val="22"/>
                <w:u w:val="none" w:color="auto"/>
              </w:rPr>
              <w:t>t/a，</w:t>
            </w:r>
            <w:r>
              <w:rPr>
                <w:rFonts w:hint="eastAsia" w:cs="Times New Roman"/>
                <w:sz w:val="22"/>
                <w:szCs w:val="22"/>
                <w:u w:val="none" w:color="auto"/>
                <w:lang w:val="en-US" w:eastAsia="zh-CN"/>
              </w:rPr>
              <w:t>0.123</w:t>
            </w:r>
            <w:r>
              <w:rPr>
                <w:rFonts w:hint="default" w:ascii="Times New Roman" w:hAnsi="Times New Roman" w:cs="Times New Roman"/>
                <w:sz w:val="22"/>
                <w:szCs w:val="22"/>
                <w:u w:val="none" w:color="auto"/>
              </w:rPr>
              <w:t>kg/h</w:t>
            </w:r>
            <w:r>
              <w:rPr>
                <w:rFonts w:hint="default" w:ascii="Times New Roman" w:hAnsi="Times New Roman" w:cs="Times New Roman"/>
                <w:sz w:val="22"/>
                <w:szCs w:val="22"/>
                <w:u w:val="none" w:color="auto"/>
                <w:lang w:eastAsia="zh-CN"/>
              </w:rPr>
              <w:t>（无组织）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54" w:type="dxa"/>
            <w:vMerge w:val="restart"/>
            <w:tcBorders>
              <w:tl2br w:val="nil"/>
              <w:tr2bl w:val="nil"/>
            </w:tcBorders>
            <w:vAlign w:val="center"/>
          </w:tcPr>
          <w:p>
            <w:pPr>
              <w:spacing w:line="360" w:lineRule="auto"/>
              <w:jc w:val="center"/>
              <w:rPr>
                <w:rFonts w:hint="default" w:ascii="Times New Roman" w:hAnsi="Times New Roman" w:cs="Times New Roman"/>
                <w:b/>
                <w:bCs/>
                <w:sz w:val="22"/>
                <w:szCs w:val="22"/>
                <w:u w:val="none" w:color="auto"/>
              </w:rPr>
            </w:pPr>
            <w:r>
              <w:rPr>
                <w:rFonts w:hint="default" w:ascii="Times New Roman" w:hAnsi="Times New Roman" w:cs="Times New Roman"/>
                <w:b/>
                <w:bCs/>
                <w:sz w:val="22"/>
                <w:szCs w:val="22"/>
                <w:u w:val="none" w:color="auto"/>
              </w:rPr>
              <w:t>水污</w:t>
            </w:r>
          </w:p>
          <w:p>
            <w:pPr>
              <w:spacing w:line="360" w:lineRule="auto"/>
              <w:jc w:val="center"/>
              <w:rPr>
                <w:rFonts w:hint="default" w:ascii="Times New Roman" w:hAnsi="Times New Roman" w:cs="Times New Roman"/>
                <w:b/>
                <w:bCs/>
                <w:sz w:val="22"/>
                <w:szCs w:val="22"/>
                <w:u w:val="none" w:color="auto"/>
              </w:rPr>
            </w:pPr>
            <w:r>
              <w:rPr>
                <w:rFonts w:hint="default" w:ascii="Times New Roman" w:hAnsi="Times New Roman" w:cs="Times New Roman"/>
                <w:b/>
                <w:bCs/>
                <w:sz w:val="22"/>
                <w:szCs w:val="22"/>
                <w:u w:val="none" w:color="auto"/>
              </w:rPr>
              <w:t>染物</w:t>
            </w:r>
          </w:p>
        </w:tc>
        <w:tc>
          <w:tcPr>
            <w:tcW w:w="847" w:type="dxa"/>
            <w:vMerge w:val="restart"/>
            <w:tcBorders>
              <w:tl2br w:val="nil"/>
              <w:tr2bl w:val="nil"/>
            </w:tcBorders>
            <w:vAlign w:val="center"/>
          </w:tcPr>
          <w:p>
            <w:pPr>
              <w:tabs>
                <w:tab w:val="left" w:pos="4425"/>
              </w:tabs>
              <w:adjustRightInd w:val="0"/>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营</w:t>
            </w:r>
          </w:p>
          <w:p>
            <w:pPr>
              <w:tabs>
                <w:tab w:val="left" w:pos="4425"/>
              </w:tabs>
              <w:adjustRightInd w:val="0"/>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运</w:t>
            </w:r>
          </w:p>
          <w:p>
            <w:pPr>
              <w:tabs>
                <w:tab w:val="left" w:pos="4425"/>
              </w:tabs>
              <w:adjustRightInd w:val="0"/>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期</w:t>
            </w:r>
          </w:p>
        </w:tc>
        <w:tc>
          <w:tcPr>
            <w:tcW w:w="1109" w:type="dxa"/>
            <w:vMerge w:val="restart"/>
            <w:tcBorders>
              <w:tl2br w:val="nil"/>
              <w:tr2bl w:val="nil"/>
            </w:tcBorders>
            <w:vAlign w:val="center"/>
          </w:tcPr>
          <w:p>
            <w:pPr>
              <w:tabs>
                <w:tab w:val="left" w:pos="4425"/>
              </w:tabs>
              <w:adjustRightInd w:val="0"/>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生活污水</w:t>
            </w:r>
            <w:r>
              <w:rPr>
                <w:rFonts w:hint="default" w:ascii="Times New Roman" w:hAnsi="Times New Roman" w:cs="Times New Roman"/>
                <w:sz w:val="22"/>
                <w:szCs w:val="22"/>
                <w:u w:val="none" w:color="auto"/>
                <w:lang w:val="en-US" w:eastAsia="zh-CN"/>
              </w:rPr>
              <w:t>600</w:t>
            </w:r>
            <w:r>
              <w:rPr>
                <w:rFonts w:hint="default" w:ascii="Times New Roman" w:hAnsi="Times New Roman" w:cs="Times New Roman"/>
                <w:sz w:val="22"/>
                <w:szCs w:val="22"/>
                <w:u w:val="none" w:color="auto"/>
              </w:rPr>
              <w:t>m</w:t>
            </w:r>
            <w:r>
              <w:rPr>
                <w:rFonts w:hint="default" w:ascii="Times New Roman" w:hAnsi="Times New Roman" w:cs="Times New Roman"/>
                <w:sz w:val="22"/>
                <w:szCs w:val="22"/>
                <w:u w:val="none" w:color="auto"/>
                <w:vertAlign w:val="superscript"/>
              </w:rPr>
              <w:t>3</w:t>
            </w:r>
            <w:r>
              <w:rPr>
                <w:rFonts w:hint="default" w:ascii="Times New Roman" w:hAnsi="Times New Roman" w:cs="Times New Roman"/>
                <w:sz w:val="22"/>
                <w:szCs w:val="22"/>
                <w:u w:val="none" w:color="auto"/>
              </w:rPr>
              <w:t>/a</w:t>
            </w:r>
          </w:p>
          <w:p>
            <w:pPr>
              <w:spacing w:line="360" w:lineRule="auto"/>
              <w:jc w:val="center"/>
              <w:rPr>
                <w:rFonts w:hint="default" w:ascii="Times New Roman" w:hAnsi="Times New Roman" w:cs="Times New Roman"/>
                <w:sz w:val="22"/>
                <w:szCs w:val="22"/>
                <w:u w:val="none" w:color="auto"/>
              </w:rPr>
            </w:pPr>
          </w:p>
        </w:tc>
        <w:tc>
          <w:tcPr>
            <w:tcW w:w="1516" w:type="dxa"/>
            <w:tcBorders>
              <w:tl2br w:val="nil"/>
              <w:tr2bl w:val="nil"/>
            </w:tcBorders>
            <w:vAlign w:val="center"/>
          </w:tcPr>
          <w:p>
            <w:pPr>
              <w:tabs>
                <w:tab w:val="left" w:pos="4425"/>
              </w:tabs>
              <w:adjustRightInd w:val="0"/>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COD</w:t>
            </w:r>
          </w:p>
        </w:tc>
        <w:tc>
          <w:tcPr>
            <w:tcW w:w="2075" w:type="dxa"/>
            <w:gridSpan w:val="2"/>
            <w:tcBorders>
              <w:tl2br w:val="nil"/>
              <w:tr2bl w:val="nil"/>
            </w:tcBorders>
            <w:vAlign w:val="center"/>
          </w:tcPr>
          <w:p>
            <w:pPr>
              <w:adjustRightInd w:val="0"/>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300mg/L，</w:t>
            </w:r>
            <w:r>
              <w:rPr>
                <w:rFonts w:hint="default" w:ascii="Times New Roman" w:hAnsi="Times New Roman" w:cs="Times New Roman"/>
                <w:sz w:val="22"/>
                <w:szCs w:val="22"/>
                <w:u w:val="none" w:color="auto"/>
                <w:lang w:val="en-US" w:eastAsia="zh-CN"/>
              </w:rPr>
              <w:t>0.18</w:t>
            </w:r>
            <w:r>
              <w:rPr>
                <w:rFonts w:hint="default" w:ascii="Times New Roman" w:hAnsi="Times New Roman" w:cs="Times New Roman"/>
                <w:sz w:val="22"/>
                <w:szCs w:val="22"/>
                <w:u w:val="none" w:color="auto"/>
              </w:rPr>
              <w:t xml:space="preserve"> t/a</w:t>
            </w:r>
          </w:p>
        </w:tc>
        <w:tc>
          <w:tcPr>
            <w:tcW w:w="3261" w:type="dxa"/>
            <w:tcBorders>
              <w:tl2br w:val="nil"/>
              <w:tr2bl w:val="nil"/>
            </w:tcBorders>
            <w:vAlign w:val="center"/>
          </w:tcPr>
          <w:p>
            <w:pPr>
              <w:adjustRightInd w:val="0"/>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50mg/L，0.0</w:t>
            </w:r>
            <w:r>
              <w:rPr>
                <w:rFonts w:hint="default" w:ascii="Times New Roman" w:hAnsi="Times New Roman" w:cs="Times New Roman"/>
                <w:sz w:val="22"/>
                <w:szCs w:val="22"/>
                <w:u w:val="none" w:color="auto"/>
                <w:lang w:val="en-US" w:eastAsia="zh-CN"/>
              </w:rPr>
              <w:t>3</w:t>
            </w:r>
            <w:r>
              <w:rPr>
                <w:rFonts w:hint="default" w:ascii="Times New Roman" w:hAnsi="Times New Roman" w:cs="Times New Roman"/>
                <w:sz w:val="22"/>
                <w:szCs w:val="22"/>
                <w:u w:val="none" w:color="auto"/>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54" w:type="dxa"/>
            <w:vMerge w:val="continue"/>
            <w:tcBorders>
              <w:tl2br w:val="nil"/>
              <w:tr2bl w:val="nil"/>
            </w:tcBorders>
            <w:vAlign w:val="center"/>
          </w:tcPr>
          <w:p>
            <w:pPr>
              <w:spacing w:line="360" w:lineRule="auto"/>
              <w:jc w:val="center"/>
              <w:rPr>
                <w:rFonts w:hint="default" w:ascii="Times New Roman" w:hAnsi="Times New Roman" w:cs="Times New Roman"/>
                <w:b/>
                <w:bCs/>
                <w:sz w:val="22"/>
                <w:szCs w:val="22"/>
                <w:u w:val="none" w:color="auto"/>
              </w:rPr>
            </w:pPr>
          </w:p>
        </w:tc>
        <w:tc>
          <w:tcPr>
            <w:tcW w:w="847" w:type="dxa"/>
            <w:vMerge w:val="continue"/>
            <w:tcBorders>
              <w:tl2br w:val="nil"/>
              <w:tr2bl w:val="nil"/>
            </w:tcBorders>
            <w:vAlign w:val="center"/>
          </w:tcPr>
          <w:p>
            <w:pPr>
              <w:tabs>
                <w:tab w:val="left" w:pos="4425"/>
              </w:tabs>
              <w:adjustRightInd w:val="0"/>
              <w:snapToGrid w:val="0"/>
              <w:spacing w:line="360" w:lineRule="auto"/>
              <w:jc w:val="center"/>
              <w:rPr>
                <w:rFonts w:hint="default" w:ascii="Times New Roman" w:hAnsi="Times New Roman" w:cs="Times New Roman"/>
                <w:sz w:val="22"/>
                <w:szCs w:val="22"/>
                <w:u w:val="none" w:color="auto"/>
              </w:rPr>
            </w:pPr>
          </w:p>
        </w:tc>
        <w:tc>
          <w:tcPr>
            <w:tcW w:w="1109" w:type="dxa"/>
            <w:vMerge w:val="continue"/>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p>
        </w:tc>
        <w:tc>
          <w:tcPr>
            <w:tcW w:w="1516" w:type="dxa"/>
            <w:tcBorders>
              <w:tl2br w:val="nil"/>
              <w:tr2bl w:val="nil"/>
            </w:tcBorders>
            <w:vAlign w:val="center"/>
          </w:tcPr>
          <w:p>
            <w:pPr>
              <w:tabs>
                <w:tab w:val="left" w:pos="4425"/>
              </w:tabs>
              <w:adjustRightInd w:val="0"/>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BOD</w:t>
            </w:r>
            <w:r>
              <w:rPr>
                <w:rFonts w:hint="default" w:ascii="Times New Roman" w:hAnsi="Times New Roman" w:cs="Times New Roman"/>
                <w:sz w:val="22"/>
                <w:szCs w:val="22"/>
                <w:u w:val="none" w:color="auto"/>
                <w:vertAlign w:val="subscript"/>
              </w:rPr>
              <w:t>5</w:t>
            </w:r>
          </w:p>
        </w:tc>
        <w:tc>
          <w:tcPr>
            <w:tcW w:w="2075" w:type="dxa"/>
            <w:gridSpan w:val="2"/>
            <w:tcBorders>
              <w:tl2br w:val="nil"/>
              <w:tr2bl w:val="nil"/>
            </w:tcBorders>
            <w:vAlign w:val="center"/>
          </w:tcPr>
          <w:p>
            <w:pPr>
              <w:adjustRightInd w:val="0"/>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200mg/L，</w:t>
            </w:r>
            <w:r>
              <w:rPr>
                <w:rFonts w:hint="default" w:ascii="Times New Roman" w:hAnsi="Times New Roman" w:cs="Times New Roman"/>
                <w:sz w:val="22"/>
                <w:szCs w:val="22"/>
                <w:u w:val="none" w:color="auto"/>
                <w:lang w:val="en-US" w:eastAsia="zh-CN"/>
              </w:rPr>
              <w:t>0.12</w:t>
            </w:r>
            <w:r>
              <w:rPr>
                <w:rFonts w:hint="default" w:ascii="Times New Roman" w:hAnsi="Times New Roman" w:cs="Times New Roman"/>
                <w:sz w:val="22"/>
                <w:szCs w:val="22"/>
                <w:u w:val="none" w:color="auto"/>
              </w:rPr>
              <w:t xml:space="preserve"> t/a</w:t>
            </w:r>
          </w:p>
        </w:tc>
        <w:tc>
          <w:tcPr>
            <w:tcW w:w="3261" w:type="dxa"/>
            <w:tcBorders>
              <w:tl2br w:val="nil"/>
              <w:tr2bl w:val="nil"/>
            </w:tcBorders>
            <w:vAlign w:val="center"/>
          </w:tcPr>
          <w:p>
            <w:pPr>
              <w:adjustRightInd w:val="0"/>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10mg/L，0.00</w:t>
            </w:r>
            <w:r>
              <w:rPr>
                <w:rFonts w:hint="default" w:ascii="Times New Roman" w:hAnsi="Times New Roman" w:cs="Times New Roman"/>
                <w:sz w:val="22"/>
                <w:szCs w:val="22"/>
                <w:u w:val="none" w:color="auto"/>
                <w:lang w:val="en-US" w:eastAsia="zh-CN"/>
              </w:rPr>
              <w:t>6</w:t>
            </w:r>
            <w:r>
              <w:rPr>
                <w:rFonts w:hint="default" w:ascii="Times New Roman" w:hAnsi="Times New Roman" w:cs="Times New Roman"/>
                <w:sz w:val="22"/>
                <w:szCs w:val="22"/>
                <w:u w:val="none" w:color="auto"/>
              </w:rPr>
              <w:t xml:space="preserve"> 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54" w:type="dxa"/>
            <w:vMerge w:val="continue"/>
            <w:tcBorders>
              <w:tl2br w:val="nil"/>
              <w:tr2bl w:val="nil"/>
            </w:tcBorders>
            <w:vAlign w:val="center"/>
          </w:tcPr>
          <w:p>
            <w:pPr>
              <w:spacing w:line="360" w:lineRule="auto"/>
              <w:jc w:val="center"/>
              <w:rPr>
                <w:rFonts w:hint="default" w:ascii="Times New Roman" w:hAnsi="Times New Roman" w:cs="Times New Roman"/>
                <w:b/>
                <w:bCs/>
                <w:sz w:val="22"/>
                <w:szCs w:val="22"/>
                <w:u w:val="none" w:color="auto"/>
              </w:rPr>
            </w:pPr>
          </w:p>
        </w:tc>
        <w:tc>
          <w:tcPr>
            <w:tcW w:w="847" w:type="dxa"/>
            <w:vMerge w:val="continue"/>
            <w:tcBorders>
              <w:tl2br w:val="nil"/>
              <w:tr2bl w:val="nil"/>
            </w:tcBorders>
            <w:vAlign w:val="center"/>
          </w:tcPr>
          <w:p>
            <w:pPr>
              <w:tabs>
                <w:tab w:val="left" w:pos="4425"/>
              </w:tabs>
              <w:adjustRightInd w:val="0"/>
              <w:snapToGrid w:val="0"/>
              <w:spacing w:line="360" w:lineRule="auto"/>
              <w:jc w:val="center"/>
              <w:rPr>
                <w:rFonts w:hint="default" w:ascii="Times New Roman" w:hAnsi="Times New Roman" w:cs="Times New Roman"/>
                <w:sz w:val="22"/>
                <w:szCs w:val="22"/>
                <w:u w:val="none" w:color="auto"/>
              </w:rPr>
            </w:pPr>
          </w:p>
        </w:tc>
        <w:tc>
          <w:tcPr>
            <w:tcW w:w="1109" w:type="dxa"/>
            <w:vMerge w:val="continue"/>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p>
        </w:tc>
        <w:tc>
          <w:tcPr>
            <w:tcW w:w="1516" w:type="dxa"/>
            <w:tcBorders>
              <w:tl2br w:val="nil"/>
              <w:tr2bl w:val="nil"/>
            </w:tcBorders>
            <w:vAlign w:val="center"/>
          </w:tcPr>
          <w:p>
            <w:pPr>
              <w:tabs>
                <w:tab w:val="left" w:pos="4425"/>
              </w:tabs>
              <w:adjustRightInd w:val="0"/>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SS</w:t>
            </w:r>
          </w:p>
        </w:tc>
        <w:tc>
          <w:tcPr>
            <w:tcW w:w="2075" w:type="dxa"/>
            <w:gridSpan w:val="2"/>
            <w:tcBorders>
              <w:tl2br w:val="nil"/>
              <w:tr2bl w:val="nil"/>
            </w:tcBorders>
            <w:vAlign w:val="center"/>
          </w:tcPr>
          <w:p>
            <w:pPr>
              <w:adjustRightInd w:val="0"/>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2</w:t>
            </w:r>
            <w:r>
              <w:rPr>
                <w:rFonts w:hint="default" w:ascii="Times New Roman" w:hAnsi="Times New Roman" w:cs="Times New Roman"/>
                <w:sz w:val="22"/>
                <w:szCs w:val="22"/>
                <w:u w:val="none" w:color="auto"/>
                <w:lang w:val="en-US" w:eastAsia="zh-CN"/>
              </w:rPr>
              <w:t>0</w:t>
            </w:r>
            <w:r>
              <w:rPr>
                <w:rFonts w:hint="default" w:ascii="Times New Roman" w:hAnsi="Times New Roman" w:cs="Times New Roman"/>
                <w:sz w:val="22"/>
                <w:szCs w:val="22"/>
                <w:u w:val="none" w:color="auto"/>
              </w:rPr>
              <w:t>0mg/L，0.</w:t>
            </w:r>
            <w:r>
              <w:rPr>
                <w:rFonts w:hint="default" w:ascii="Times New Roman" w:hAnsi="Times New Roman" w:cs="Times New Roman"/>
                <w:sz w:val="22"/>
                <w:szCs w:val="22"/>
                <w:u w:val="none" w:color="auto"/>
                <w:lang w:val="en-US" w:eastAsia="zh-CN"/>
              </w:rPr>
              <w:t>12</w:t>
            </w:r>
            <w:r>
              <w:rPr>
                <w:rFonts w:hint="default" w:ascii="Times New Roman" w:hAnsi="Times New Roman" w:cs="Times New Roman"/>
                <w:sz w:val="22"/>
                <w:szCs w:val="22"/>
                <w:u w:val="none" w:color="auto"/>
              </w:rPr>
              <w:t xml:space="preserve"> t/a</w:t>
            </w:r>
          </w:p>
        </w:tc>
        <w:tc>
          <w:tcPr>
            <w:tcW w:w="3261" w:type="dxa"/>
            <w:tcBorders>
              <w:tl2br w:val="nil"/>
              <w:tr2bl w:val="nil"/>
            </w:tcBorders>
            <w:vAlign w:val="center"/>
          </w:tcPr>
          <w:p>
            <w:pPr>
              <w:adjustRightInd w:val="0"/>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10mg/L，0.00</w:t>
            </w:r>
            <w:r>
              <w:rPr>
                <w:rFonts w:hint="default" w:ascii="Times New Roman" w:hAnsi="Times New Roman" w:cs="Times New Roman"/>
                <w:sz w:val="22"/>
                <w:szCs w:val="22"/>
                <w:u w:val="none" w:color="auto"/>
                <w:lang w:val="en-US" w:eastAsia="zh-CN"/>
              </w:rPr>
              <w:t>6</w:t>
            </w:r>
            <w:r>
              <w:rPr>
                <w:rFonts w:hint="default" w:ascii="Times New Roman" w:hAnsi="Times New Roman" w:cs="Times New Roman"/>
                <w:sz w:val="22"/>
                <w:szCs w:val="22"/>
                <w:u w:val="none" w:color="auto"/>
              </w:rPr>
              <w:t xml:space="preserve"> 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4" w:type="dxa"/>
            <w:vMerge w:val="continue"/>
            <w:tcBorders>
              <w:tl2br w:val="nil"/>
              <w:tr2bl w:val="nil"/>
            </w:tcBorders>
            <w:vAlign w:val="center"/>
          </w:tcPr>
          <w:p>
            <w:pPr>
              <w:spacing w:line="360" w:lineRule="auto"/>
              <w:jc w:val="center"/>
              <w:rPr>
                <w:rFonts w:hint="default" w:ascii="Times New Roman" w:hAnsi="Times New Roman" w:cs="Times New Roman"/>
                <w:b/>
                <w:bCs/>
                <w:sz w:val="22"/>
                <w:szCs w:val="22"/>
                <w:u w:val="none" w:color="auto"/>
              </w:rPr>
            </w:pPr>
          </w:p>
        </w:tc>
        <w:tc>
          <w:tcPr>
            <w:tcW w:w="847" w:type="dxa"/>
            <w:vMerge w:val="continue"/>
            <w:tcBorders>
              <w:tl2br w:val="nil"/>
              <w:tr2bl w:val="nil"/>
            </w:tcBorders>
            <w:vAlign w:val="center"/>
          </w:tcPr>
          <w:p>
            <w:pPr>
              <w:tabs>
                <w:tab w:val="left" w:pos="4425"/>
              </w:tabs>
              <w:adjustRightInd w:val="0"/>
              <w:snapToGrid w:val="0"/>
              <w:spacing w:line="360" w:lineRule="auto"/>
              <w:jc w:val="center"/>
              <w:rPr>
                <w:rFonts w:hint="default" w:ascii="Times New Roman" w:hAnsi="Times New Roman" w:cs="Times New Roman"/>
                <w:sz w:val="22"/>
                <w:szCs w:val="22"/>
                <w:u w:val="none" w:color="auto"/>
              </w:rPr>
            </w:pPr>
          </w:p>
        </w:tc>
        <w:tc>
          <w:tcPr>
            <w:tcW w:w="1109" w:type="dxa"/>
            <w:vMerge w:val="continue"/>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p>
        </w:tc>
        <w:tc>
          <w:tcPr>
            <w:tcW w:w="1516" w:type="dxa"/>
            <w:tcBorders>
              <w:tl2br w:val="nil"/>
              <w:tr2bl w:val="nil"/>
            </w:tcBorders>
            <w:vAlign w:val="center"/>
          </w:tcPr>
          <w:p>
            <w:pPr>
              <w:tabs>
                <w:tab w:val="left" w:pos="4425"/>
              </w:tabs>
              <w:adjustRightInd w:val="0"/>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NH</w:t>
            </w:r>
            <w:r>
              <w:rPr>
                <w:rFonts w:hint="default" w:ascii="Times New Roman" w:hAnsi="Times New Roman" w:cs="Times New Roman"/>
                <w:sz w:val="22"/>
                <w:szCs w:val="22"/>
                <w:u w:val="none" w:color="auto"/>
                <w:vertAlign w:val="subscript"/>
              </w:rPr>
              <w:t>3</w:t>
            </w:r>
            <w:r>
              <w:rPr>
                <w:rFonts w:hint="default" w:ascii="Times New Roman" w:hAnsi="Times New Roman" w:cs="Times New Roman"/>
                <w:sz w:val="22"/>
                <w:szCs w:val="22"/>
                <w:u w:val="none" w:color="auto"/>
              </w:rPr>
              <w:t>-N</w:t>
            </w:r>
          </w:p>
        </w:tc>
        <w:tc>
          <w:tcPr>
            <w:tcW w:w="2075" w:type="dxa"/>
            <w:gridSpan w:val="2"/>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30mg/L，0.0</w:t>
            </w:r>
            <w:r>
              <w:rPr>
                <w:rFonts w:hint="default" w:ascii="Times New Roman" w:hAnsi="Times New Roman" w:cs="Times New Roman"/>
                <w:sz w:val="22"/>
                <w:szCs w:val="22"/>
                <w:u w:val="none" w:color="auto"/>
                <w:lang w:val="en-US" w:eastAsia="zh-CN"/>
              </w:rPr>
              <w:t>18</w:t>
            </w:r>
            <w:r>
              <w:rPr>
                <w:rFonts w:hint="default" w:ascii="Times New Roman" w:hAnsi="Times New Roman" w:cs="Times New Roman"/>
                <w:sz w:val="22"/>
                <w:szCs w:val="22"/>
                <w:u w:val="none" w:color="auto"/>
              </w:rPr>
              <w:t>t/a</w:t>
            </w:r>
          </w:p>
        </w:tc>
        <w:tc>
          <w:tcPr>
            <w:tcW w:w="3261" w:type="dxa"/>
            <w:tcBorders>
              <w:tl2br w:val="nil"/>
              <w:tr2bl w:val="nil"/>
            </w:tcBorders>
            <w:vAlign w:val="center"/>
          </w:tcPr>
          <w:p>
            <w:pPr>
              <w:adjustRightInd w:val="0"/>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5mg/L，</w:t>
            </w:r>
            <w:r>
              <w:rPr>
                <w:rFonts w:hint="eastAsia" w:cs="Times New Roman"/>
                <w:sz w:val="22"/>
                <w:szCs w:val="22"/>
                <w:u w:val="none" w:color="auto"/>
                <w:lang w:eastAsia="zh-CN"/>
              </w:rPr>
              <w:t>0.0133</w:t>
            </w:r>
            <w:r>
              <w:rPr>
                <w:rFonts w:hint="default" w:ascii="Times New Roman" w:hAnsi="Times New Roman" w:cs="Times New Roman"/>
                <w:sz w:val="22"/>
                <w:szCs w:val="22"/>
                <w:u w:val="none" w:color="auto"/>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54" w:type="dxa"/>
            <w:vMerge w:val="continue"/>
            <w:tcBorders>
              <w:tl2br w:val="nil"/>
              <w:tr2bl w:val="nil"/>
            </w:tcBorders>
            <w:vAlign w:val="center"/>
          </w:tcPr>
          <w:p>
            <w:pPr>
              <w:spacing w:line="360" w:lineRule="auto"/>
              <w:jc w:val="center"/>
              <w:rPr>
                <w:rFonts w:hint="default" w:ascii="Times New Roman" w:hAnsi="Times New Roman" w:cs="Times New Roman"/>
                <w:b/>
                <w:bCs/>
                <w:sz w:val="22"/>
                <w:szCs w:val="22"/>
                <w:u w:val="none" w:color="auto"/>
              </w:rPr>
            </w:pPr>
          </w:p>
        </w:tc>
        <w:tc>
          <w:tcPr>
            <w:tcW w:w="847" w:type="dxa"/>
            <w:vMerge w:val="continue"/>
            <w:tcBorders>
              <w:tl2br w:val="nil"/>
              <w:tr2bl w:val="nil"/>
            </w:tcBorders>
            <w:vAlign w:val="center"/>
          </w:tcPr>
          <w:p>
            <w:pPr>
              <w:tabs>
                <w:tab w:val="left" w:pos="4425"/>
              </w:tabs>
              <w:adjustRightInd w:val="0"/>
              <w:snapToGrid w:val="0"/>
              <w:spacing w:line="360" w:lineRule="auto"/>
              <w:jc w:val="center"/>
              <w:rPr>
                <w:rFonts w:hint="default" w:ascii="Times New Roman" w:hAnsi="Times New Roman" w:cs="Times New Roman"/>
                <w:sz w:val="22"/>
                <w:szCs w:val="22"/>
                <w:u w:val="none" w:color="auto"/>
              </w:rPr>
            </w:pPr>
          </w:p>
        </w:tc>
        <w:tc>
          <w:tcPr>
            <w:tcW w:w="1109" w:type="dxa"/>
            <w:tcBorders>
              <w:tl2br w:val="nil"/>
              <w:tr2bl w:val="nil"/>
            </w:tcBorders>
            <w:vAlign w:val="center"/>
          </w:tcPr>
          <w:p>
            <w:pPr>
              <w:spacing w:line="360" w:lineRule="auto"/>
              <w:jc w:val="center"/>
              <w:rPr>
                <w:rFonts w:hint="default" w:ascii="Times New Roman" w:hAnsi="Times New Roman" w:eastAsia="宋体"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擦洗废</w:t>
            </w:r>
            <w:r>
              <w:rPr>
                <w:rFonts w:hint="eastAsia" w:cs="Times New Roman"/>
                <w:sz w:val="22"/>
                <w:szCs w:val="22"/>
                <w:u w:val="none" w:color="auto"/>
                <w:lang w:val="en-US" w:eastAsia="zh-CN"/>
              </w:rPr>
              <w:t>水</w:t>
            </w:r>
          </w:p>
        </w:tc>
        <w:tc>
          <w:tcPr>
            <w:tcW w:w="6852" w:type="dxa"/>
            <w:gridSpan w:val="4"/>
            <w:tcBorders>
              <w:tl2br w:val="nil"/>
              <w:tr2bl w:val="nil"/>
            </w:tcBorders>
            <w:vAlign w:val="center"/>
          </w:tcPr>
          <w:p>
            <w:pPr>
              <w:adjustRightInd w:val="0"/>
              <w:snapToGrid w:val="0"/>
              <w:spacing w:line="360" w:lineRule="auto"/>
              <w:jc w:val="center"/>
              <w:rPr>
                <w:rFonts w:hint="default" w:ascii="Times New Roman" w:hAnsi="Times New Roman" w:eastAsia="宋体" w:cs="Times New Roman"/>
                <w:sz w:val="22"/>
                <w:szCs w:val="22"/>
                <w:u w:val="none" w:color="auto"/>
                <w:lang w:val="en-US" w:eastAsia="zh-CN"/>
              </w:rPr>
            </w:pPr>
            <w:r>
              <w:rPr>
                <w:rFonts w:hint="eastAsia" w:ascii="Times New Roman" w:hAnsi="Times New Roman" w:cs="Times New Roman"/>
                <w:sz w:val="22"/>
                <w:szCs w:val="22"/>
                <w:u w:val="none" w:color="auto"/>
                <w:lang w:val="en-US" w:eastAsia="zh-CN"/>
              </w:rPr>
              <w:t>交由湖南洋沙湖危险废物治理有限公司进行托运和处置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54" w:type="dxa"/>
            <w:vMerge w:val="restart"/>
            <w:tcBorders>
              <w:tl2br w:val="nil"/>
              <w:tr2bl w:val="nil"/>
            </w:tcBorders>
            <w:vAlign w:val="center"/>
          </w:tcPr>
          <w:p>
            <w:pPr>
              <w:spacing w:line="360" w:lineRule="auto"/>
              <w:jc w:val="center"/>
              <w:rPr>
                <w:rFonts w:hint="default" w:ascii="Times New Roman" w:hAnsi="Times New Roman" w:cs="Times New Roman"/>
                <w:b/>
                <w:bCs/>
                <w:sz w:val="22"/>
                <w:szCs w:val="22"/>
                <w:u w:val="none" w:color="auto"/>
              </w:rPr>
            </w:pPr>
            <w:r>
              <w:rPr>
                <w:rFonts w:hint="default" w:ascii="Times New Roman" w:hAnsi="Times New Roman" w:cs="Times New Roman"/>
                <w:b/>
                <w:bCs/>
                <w:sz w:val="22"/>
                <w:szCs w:val="22"/>
                <w:u w:val="none" w:color="auto"/>
              </w:rPr>
              <w:t>固体</w:t>
            </w:r>
          </w:p>
          <w:p>
            <w:pPr>
              <w:spacing w:line="360" w:lineRule="auto"/>
              <w:jc w:val="center"/>
              <w:rPr>
                <w:rFonts w:hint="default" w:ascii="Times New Roman" w:hAnsi="Times New Roman" w:cs="Times New Roman"/>
                <w:b/>
                <w:bCs/>
                <w:sz w:val="22"/>
                <w:szCs w:val="22"/>
                <w:u w:val="none" w:color="auto"/>
              </w:rPr>
            </w:pPr>
            <w:r>
              <w:rPr>
                <w:rFonts w:hint="default" w:ascii="Times New Roman" w:hAnsi="Times New Roman" w:cs="Times New Roman"/>
                <w:b/>
                <w:bCs/>
                <w:sz w:val="22"/>
                <w:szCs w:val="22"/>
                <w:u w:val="none" w:color="auto"/>
              </w:rPr>
              <w:t>废物</w:t>
            </w:r>
          </w:p>
        </w:tc>
        <w:tc>
          <w:tcPr>
            <w:tcW w:w="847" w:type="dxa"/>
            <w:vMerge w:val="restart"/>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营运期</w:t>
            </w:r>
          </w:p>
        </w:tc>
        <w:tc>
          <w:tcPr>
            <w:tcW w:w="1109" w:type="dxa"/>
            <w:vMerge w:val="restart"/>
            <w:tcBorders>
              <w:tl2br w:val="nil"/>
              <w:tr2bl w:val="nil"/>
            </w:tcBorders>
            <w:vAlign w:val="center"/>
          </w:tcPr>
          <w:p>
            <w:pPr>
              <w:spacing w:line="360" w:lineRule="auto"/>
              <w:jc w:val="center"/>
              <w:rPr>
                <w:rFonts w:hint="default" w:ascii="Times New Roman" w:hAnsi="Times New Roman" w:eastAsia="宋体" w:cs="Times New Roman"/>
                <w:sz w:val="22"/>
                <w:szCs w:val="22"/>
                <w:u w:val="none" w:color="auto"/>
                <w:lang w:val="en-US" w:eastAsia="zh-CN"/>
              </w:rPr>
            </w:pPr>
            <w:r>
              <w:rPr>
                <w:rFonts w:hint="eastAsia" w:cs="Times New Roman"/>
                <w:sz w:val="22"/>
                <w:szCs w:val="22"/>
                <w:u w:val="none" w:color="auto"/>
                <w:lang w:val="en-US" w:eastAsia="zh-CN"/>
              </w:rPr>
              <w:t>生产过程及废气处理</w:t>
            </w:r>
          </w:p>
        </w:tc>
        <w:tc>
          <w:tcPr>
            <w:tcW w:w="2386" w:type="dxa"/>
            <w:gridSpan w:val="2"/>
            <w:tcBorders>
              <w:tl2br w:val="nil"/>
              <w:tr2bl w:val="nil"/>
            </w:tcBorders>
            <w:vAlign w:val="center"/>
          </w:tcPr>
          <w:p>
            <w:pPr>
              <w:spacing w:line="360" w:lineRule="auto"/>
              <w:jc w:val="center"/>
              <w:rPr>
                <w:rFonts w:hint="default" w:ascii="Times New Roman" w:hAnsi="Times New Roman" w:eastAsia="宋体" w:cs="Times New Roman"/>
                <w:sz w:val="22"/>
                <w:szCs w:val="22"/>
                <w:u w:val="none" w:color="auto"/>
                <w:lang w:val="en-US" w:eastAsia="zh-CN"/>
              </w:rPr>
            </w:pPr>
            <w:r>
              <w:rPr>
                <w:rFonts w:hint="default" w:ascii="Times New Roman" w:hAnsi="Times New Roman" w:cs="Times New Roman"/>
                <w:sz w:val="22"/>
                <w:szCs w:val="22"/>
                <w:u w:val="none" w:color="auto"/>
              </w:rPr>
              <w:t>废</w:t>
            </w:r>
            <w:r>
              <w:rPr>
                <w:rFonts w:hint="default" w:ascii="Times New Roman" w:hAnsi="Times New Roman" w:cs="Times New Roman"/>
                <w:sz w:val="22"/>
                <w:szCs w:val="22"/>
                <w:u w:val="none" w:color="auto"/>
                <w:lang w:eastAsia="zh-CN"/>
              </w:rPr>
              <w:t>边角料</w:t>
            </w:r>
            <w:r>
              <w:rPr>
                <w:rFonts w:hint="eastAsia" w:cs="Times New Roman"/>
                <w:sz w:val="22"/>
                <w:szCs w:val="22"/>
                <w:u w:val="none" w:color="auto"/>
                <w:lang w:eastAsia="zh-CN"/>
              </w:rPr>
              <w:t>、</w:t>
            </w:r>
            <w:r>
              <w:rPr>
                <w:rFonts w:hint="eastAsia" w:cs="Times New Roman"/>
                <w:sz w:val="22"/>
                <w:szCs w:val="22"/>
                <w:u w:val="none" w:color="auto"/>
                <w:lang w:val="en-US" w:eastAsia="zh-CN"/>
              </w:rPr>
              <w:t>不合格产品</w:t>
            </w:r>
          </w:p>
        </w:tc>
        <w:tc>
          <w:tcPr>
            <w:tcW w:w="1205" w:type="dxa"/>
            <w:tcBorders>
              <w:tl2br w:val="nil"/>
              <w:tr2bl w:val="nil"/>
            </w:tcBorders>
            <w:vAlign w:val="center"/>
          </w:tcPr>
          <w:p>
            <w:pPr>
              <w:spacing w:line="360" w:lineRule="auto"/>
              <w:jc w:val="center"/>
              <w:rPr>
                <w:rFonts w:hint="default" w:ascii="Times New Roman" w:hAnsi="Times New Roman" w:eastAsia="宋体"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384.5t/a</w:t>
            </w:r>
          </w:p>
        </w:tc>
        <w:tc>
          <w:tcPr>
            <w:tcW w:w="3261" w:type="dxa"/>
            <w:vMerge w:val="restart"/>
            <w:tcBorders>
              <w:tl2br w:val="nil"/>
              <w:tr2bl w:val="nil"/>
            </w:tcBorders>
            <w:vAlign w:val="center"/>
          </w:tcPr>
          <w:p>
            <w:pPr>
              <w:spacing w:line="360" w:lineRule="auto"/>
              <w:jc w:val="center"/>
              <w:rPr>
                <w:rFonts w:hint="default" w:ascii="Times New Roman" w:hAnsi="Times New Roman" w:eastAsia="宋体" w:cs="Times New Roman"/>
                <w:sz w:val="22"/>
                <w:szCs w:val="22"/>
                <w:u w:val="none" w:color="auto"/>
                <w:lang w:val="en-US" w:eastAsia="zh-CN"/>
              </w:rPr>
            </w:pPr>
            <w:r>
              <w:rPr>
                <w:rFonts w:hint="default" w:ascii="Times New Roman" w:hAnsi="Times New Roman" w:cs="Times New Roman"/>
                <w:sz w:val="22"/>
                <w:szCs w:val="22"/>
                <w:u w:val="none" w:color="auto"/>
                <w:lang w:eastAsia="zh-CN"/>
              </w:rPr>
              <w:t>收集后</w:t>
            </w:r>
            <w:r>
              <w:rPr>
                <w:rFonts w:hint="eastAsia" w:ascii="Times New Roman" w:hAnsi="Times New Roman" w:cs="Times New Roman"/>
                <w:sz w:val="22"/>
                <w:szCs w:val="22"/>
                <w:u w:val="none" w:color="auto"/>
                <w:lang w:val="en-US" w:eastAsia="zh-CN"/>
              </w:rPr>
              <w:t>外售废品回收站综合利用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54" w:type="dxa"/>
            <w:vMerge w:val="continue"/>
            <w:tcBorders>
              <w:tl2br w:val="nil"/>
              <w:tr2bl w:val="nil"/>
            </w:tcBorders>
            <w:vAlign w:val="center"/>
          </w:tcPr>
          <w:p>
            <w:pPr>
              <w:spacing w:line="360" w:lineRule="auto"/>
              <w:jc w:val="center"/>
              <w:rPr>
                <w:rFonts w:hint="default" w:ascii="Times New Roman" w:hAnsi="Times New Roman" w:cs="Times New Roman"/>
                <w:b/>
                <w:bCs/>
                <w:sz w:val="22"/>
                <w:szCs w:val="22"/>
                <w:u w:val="none" w:color="auto"/>
              </w:rPr>
            </w:pPr>
          </w:p>
        </w:tc>
        <w:tc>
          <w:tcPr>
            <w:tcW w:w="847" w:type="dxa"/>
            <w:vMerge w:val="continue"/>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p>
        </w:tc>
        <w:tc>
          <w:tcPr>
            <w:tcW w:w="1109" w:type="dxa"/>
            <w:vMerge w:val="continue"/>
            <w:tcBorders>
              <w:tl2br w:val="nil"/>
              <w:tr2bl w:val="nil"/>
            </w:tcBorders>
            <w:vAlign w:val="center"/>
          </w:tcPr>
          <w:p>
            <w:pPr>
              <w:spacing w:line="360" w:lineRule="auto"/>
              <w:ind w:firstLine="213" w:firstLineChars="100"/>
              <w:rPr>
                <w:rFonts w:hint="default" w:ascii="Times New Roman" w:hAnsi="Times New Roman" w:cs="Times New Roman"/>
                <w:sz w:val="22"/>
                <w:szCs w:val="22"/>
                <w:u w:val="none" w:color="auto"/>
              </w:rPr>
            </w:pPr>
          </w:p>
        </w:tc>
        <w:tc>
          <w:tcPr>
            <w:tcW w:w="2386" w:type="dxa"/>
            <w:gridSpan w:val="2"/>
            <w:tcBorders>
              <w:tl2br w:val="nil"/>
              <w:tr2bl w:val="nil"/>
            </w:tcBorders>
            <w:vAlign w:val="center"/>
          </w:tcPr>
          <w:p>
            <w:pPr>
              <w:spacing w:line="360" w:lineRule="auto"/>
              <w:jc w:val="center"/>
              <w:rPr>
                <w:rFonts w:hint="default" w:ascii="Times New Roman" w:hAnsi="Times New Roman" w:cs="Times New Roman"/>
                <w:sz w:val="22"/>
                <w:szCs w:val="22"/>
                <w:u w:val="none" w:color="auto"/>
                <w:lang w:eastAsia="zh-CN"/>
              </w:rPr>
            </w:pPr>
            <w:r>
              <w:rPr>
                <w:rFonts w:hint="default" w:ascii="Times New Roman" w:hAnsi="Times New Roman" w:cs="Times New Roman"/>
                <w:sz w:val="22"/>
                <w:szCs w:val="22"/>
                <w:u w:val="none" w:color="auto"/>
                <w:lang w:val="en-US" w:eastAsia="zh-CN"/>
              </w:rPr>
              <w:t>布袋除尘器收集的粉尘</w:t>
            </w:r>
          </w:p>
        </w:tc>
        <w:tc>
          <w:tcPr>
            <w:tcW w:w="1205" w:type="dxa"/>
            <w:tcBorders>
              <w:tl2br w:val="nil"/>
              <w:tr2bl w:val="nil"/>
            </w:tcBorders>
            <w:vAlign w:val="center"/>
          </w:tcPr>
          <w:p>
            <w:pPr>
              <w:spacing w:line="360" w:lineRule="auto"/>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1.1868t/a</w:t>
            </w:r>
          </w:p>
        </w:tc>
        <w:tc>
          <w:tcPr>
            <w:tcW w:w="3261" w:type="dxa"/>
            <w:vMerge w:val="continue"/>
            <w:tcBorders>
              <w:tl2br w:val="nil"/>
              <w:tr2bl w:val="nil"/>
            </w:tcBorders>
            <w:vAlign w:val="center"/>
          </w:tcPr>
          <w:p>
            <w:pPr>
              <w:spacing w:line="360" w:lineRule="auto"/>
              <w:jc w:val="center"/>
              <w:rPr>
                <w:rFonts w:hint="default" w:ascii="Times New Roman" w:hAnsi="Times New Roman" w:cs="Times New Roman"/>
                <w:sz w:val="22"/>
                <w:szCs w:val="22"/>
                <w:u w:val="none" w:color="auto"/>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54" w:type="dxa"/>
            <w:vMerge w:val="continue"/>
            <w:tcBorders>
              <w:tl2br w:val="nil"/>
              <w:tr2bl w:val="nil"/>
            </w:tcBorders>
            <w:vAlign w:val="center"/>
          </w:tcPr>
          <w:p>
            <w:pPr>
              <w:spacing w:line="360" w:lineRule="auto"/>
              <w:jc w:val="center"/>
              <w:rPr>
                <w:rFonts w:hint="default" w:ascii="Times New Roman" w:hAnsi="Times New Roman" w:cs="Times New Roman"/>
                <w:b/>
                <w:bCs/>
                <w:sz w:val="22"/>
                <w:szCs w:val="22"/>
                <w:u w:val="none" w:color="auto"/>
              </w:rPr>
            </w:pPr>
          </w:p>
        </w:tc>
        <w:tc>
          <w:tcPr>
            <w:tcW w:w="847" w:type="dxa"/>
            <w:vMerge w:val="continue"/>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p>
        </w:tc>
        <w:tc>
          <w:tcPr>
            <w:tcW w:w="1109" w:type="dxa"/>
            <w:vMerge w:val="continue"/>
            <w:tcBorders>
              <w:tl2br w:val="nil"/>
              <w:tr2bl w:val="nil"/>
            </w:tcBorders>
            <w:vAlign w:val="center"/>
          </w:tcPr>
          <w:p>
            <w:pPr>
              <w:spacing w:line="360" w:lineRule="auto"/>
              <w:ind w:firstLine="213" w:firstLineChars="100"/>
              <w:rPr>
                <w:rFonts w:hint="default" w:ascii="Times New Roman" w:hAnsi="Times New Roman" w:cs="Times New Roman"/>
                <w:sz w:val="22"/>
                <w:szCs w:val="22"/>
                <w:u w:val="none" w:color="auto"/>
              </w:rPr>
            </w:pPr>
          </w:p>
        </w:tc>
        <w:tc>
          <w:tcPr>
            <w:tcW w:w="2386" w:type="dxa"/>
            <w:gridSpan w:val="2"/>
            <w:tcBorders>
              <w:tl2br w:val="nil"/>
              <w:tr2bl w:val="nil"/>
            </w:tcBorders>
            <w:vAlign w:val="center"/>
          </w:tcPr>
          <w:p>
            <w:pPr>
              <w:spacing w:line="360" w:lineRule="auto"/>
              <w:jc w:val="center"/>
              <w:rPr>
                <w:rFonts w:hint="default" w:ascii="Times New Roman" w:hAnsi="Times New Roman" w:cs="Times New Roman"/>
                <w:sz w:val="22"/>
                <w:szCs w:val="22"/>
                <w:u w:val="none" w:color="auto"/>
                <w:lang w:eastAsia="zh-CN"/>
              </w:rPr>
            </w:pPr>
            <w:r>
              <w:rPr>
                <w:rFonts w:hint="default" w:ascii="Times New Roman" w:hAnsi="Times New Roman" w:cs="Times New Roman"/>
                <w:sz w:val="22"/>
                <w:szCs w:val="22"/>
                <w:u w:val="none" w:color="auto"/>
                <w:lang w:val="en-US" w:eastAsia="zh-CN"/>
              </w:rPr>
              <w:t>废UV灯管</w:t>
            </w:r>
          </w:p>
        </w:tc>
        <w:tc>
          <w:tcPr>
            <w:tcW w:w="1205" w:type="dxa"/>
            <w:tcBorders>
              <w:tl2br w:val="nil"/>
              <w:tr2bl w:val="nil"/>
            </w:tcBorders>
            <w:vAlign w:val="center"/>
          </w:tcPr>
          <w:p>
            <w:pPr>
              <w:spacing w:line="360" w:lineRule="auto"/>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0.01t/a</w:t>
            </w:r>
          </w:p>
        </w:tc>
        <w:tc>
          <w:tcPr>
            <w:tcW w:w="3261" w:type="dxa"/>
            <w:vMerge w:val="restart"/>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暂存危废暂存间，定期交由</w:t>
            </w:r>
            <w:r>
              <w:rPr>
                <w:rFonts w:hint="default" w:ascii="Times New Roman" w:hAnsi="Times New Roman" w:cs="Times New Roman"/>
                <w:sz w:val="22"/>
                <w:szCs w:val="22"/>
                <w:u w:val="none" w:color="auto"/>
                <w:lang w:eastAsia="zh-CN"/>
              </w:rPr>
              <w:t>生产厂家回收或交由有资质单位进行处理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54" w:type="dxa"/>
            <w:vMerge w:val="continue"/>
            <w:tcBorders>
              <w:tl2br w:val="nil"/>
              <w:tr2bl w:val="nil"/>
            </w:tcBorders>
            <w:vAlign w:val="center"/>
          </w:tcPr>
          <w:p>
            <w:pPr>
              <w:spacing w:line="360" w:lineRule="auto"/>
              <w:jc w:val="center"/>
              <w:rPr>
                <w:rFonts w:hint="default" w:ascii="Times New Roman" w:hAnsi="Times New Roman" w:cs="Times New Roman"/>
                <w:b/>
                <w:bCs/>
                <w:sz w:val="22"/>
                <w:szCs w:val="22"/>
                <w:u w:val="none" w:color="auto"/>
              </w:rPr>
            </w:pPr>
          </w:p>
        </w:tc>
        <w:tc>
          <w:tcPr>
            <w:tcW w:w="847" w:type="dxa"/>
            <w:vMerge w:val="continue"/>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p>
        </w:tc>
        <w:tc>
          <w:tcPr>
            <w:tcW w:w="1109" w:type="dxa"/>
            <w:vMerge w:val="continue"/>
            <w:tcBorders>
              <w:tl2br w:val="nil"/>
              <w:tr2bl w:val="nil"/>
            </w:tcBorders>
            <w:vAlign w:val="center"/>
          </w:tcPr>
          <w:p>
            <w:pPr>
              <w:spacing w:line="360" w:lineRule="auto"/>
              <w:ind w:firstLine="213" w:firstLineChars="100"/>
              <w:rPr>
                <w:rFonts w:hint="default" w:ascii="Times New Roman" w:hAnsi="Times New Roman" w:cs="Times New Roman"/>
                <w:sz w:val="22"/>
                <w:szCs w:val="22"/>
                <w:u w:val="none" w:color="auto"/>
              </w:rPr>
            </w:pPr>
          </w:p>
        </w:tc>
        <w:tc>
          <w:tcPr>
            <w:tcW w:w="2386" w:type="dxa"/>
            <w:gridSpan w:val="2"/>
            <w:tcBorders>
              <w:tl2br w:val="nil"/>
              <w:tr2bl w:val="nil"/>
            </w:tcBorders>
            <w:vAlign w:val="center"/>
          </w:tcPr>
          <w:p>
            <w:pPr>
              <w:spacing w:line="360" w:lineRule="auto"/>
              <w:jc w:val="center"/>
              <w:rPr>
                <w:rFonts w:hint="default" w:ascii="Times New Roman" w:hAnsi="Times New Roman" w:cs="Times New Roman"/>
                <w:sz w:val="22"/>
                <w:szCs w:val="22"/>
                <w:u w:val="none" w:color="auto"/>
                <w:lang w:eastAsia="zh-CN"/>
              </w:rPr>
            </w:pPr>
            <w:r>
              <w:rPr>
                <w:rFonts w:hint="default" w:ascii="Times New Roman" w:hAnsi="Times New Roman" w:cs="Times New Roman"/>
                <w:sz w:val="22"/>
                <w:szCs w:val="22"/>
                <w:u w:val="none" w:color="auto"/>
                <w:lang w:val="en-US" w:eastAsia="zh-CN"/>
              </w:rPr>
              <w:t>废印刷版</w:t>
            </w:r>
          </w:p>
        </w:tc>
        <w:tc>
          <w:tcPr>
            <w:tcW w:w="1205" w:type="dxa"/>
            <w:tcBorders>
              <w:tl2br w:val="nil"/>
              <w:tr2bl w:val="nil"/>
            </w:tcBorders>
            <w:vAlign w:val="center"/>
          </w:tcPr>
          <w:p>
            <w:pPr>
              <w:spacing w:line="360" w:lineRule="auto"/>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50张/a</w:t>
            </w:r>
          </w:p>
        </w:tc>
        <w:tc>
          <w:tcPr>
            <w:tcW w:w="3261" w:type="dxa"/>
            <w:vMerge w:val="continue"/>
            <w:tcBorders>
              <w:tl2br w:val="nil"/>
              <w:tr2bl w:val="nil"/>
            </w:tcBorders>
            <w:vAlign w:val="center"/>
          </w:tcPr>
          <w:p>
            <w:pPr>
              <w:spacing w:line="360" w:lineRule="auto"/>
              <w:jc w:val="center"/>
              <w:rPr>
                <w:rFonts w:hint="default" w:ascii="Times New Roman" w:hAnsi="Times New Roman" w:cs="Times New Roman"/>
                <w:sz w:val="22"/>
                <w:szCs w:val="22"/>
                <w:u w:val="none" w:color="auto"/>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54" w:type="dxa"/>
            <w:vMerge w:val="continue"/>
            <w:tcBorders>
              <w:tl2br w:val="nil"/>
              <w:tr2bl w:val="nil"/>
            </w:tcBorders>
            <w:vAlign w:val="center"/>
          </w:tcPr>
          <w:p>
            <w:pPr>
              <w:spacing w:line="360" w:lineRule="auto"/>
              <w:jc w:val="center"/>
              <w:rPr>
                <w:rFonts w:hint="default" w:ascii="Times New Roman" w:hAnsi="Times New Roman" w:cs="Times New Roman"/>
                <w:b/>
                <w:bCs/>
                <w:sz w:val="22"/>
                <w:szCs w:val="22"/>
                <w:u w:val="none" w:color="auto"/>
              </w:rPr>
            </w:pPr>
          </w:p>
        </w:tc>
        <w:tc>
          <w:tcPr>
            <w:tcW w:w="847" w:type="dxa"/>
            <w:vMerge w:val="continue"/>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p>
        </w:tc>
        <w:tc>
          <w:tcPr>
            <w:tcW w:w="1109" w:type="dxa"/>
            <w:vMerge w:val="continue"/>
            <w:tcBorders>
              <w:tl2br w:val="nil"/>
              <w:tr2bl w:val="nil"/>
            </w:tcBorders>
            <w:vAlign w:val="center"/>
          </w:tcPr>
          <w:p>
            <w:pPr>
              <w:spacing w:line="360" w:lineRule="auto"/>
              <w:ind w:firstLine="213" w:firstLineChars="100"/>
              <w:rPr>
                <w:rFonts w:hint="default" w:ascii="Times New Roman" w:hAnsi="Times New Roman" w:cs="Times New Roman"/>
                <w:sz w:val="22"/>
                <w:szCs w:val="22"/>
                <w:u w:val="none" w:color="auto"/>
              </w:rPr>
            </w:pPr>
          </w:p>
        </w:tc>
        <w:tc>
          <w:tcPr>
            <w:tcW w:w="2386" w:type="dxa"/>
            <w:gridSpan w:val="2"/>
            <w:tcBorders>
              <w:tl2br w:val="nil"/>
              <w:tr2bl w:val="nil"/>
            </w:tcBorders>
            <w:vAlign w:val="center"/>
          </w:tcPr>
          <w:p>
            <w:pPr>
              <w:spacing w:line="360" w:lineRule="auto"/>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擦洗</w:t>
            </w:r>
            <w:r>
              <w:rPr>
                <w:rFonts w:hint="eastAsia" w:cs="Times New Roman"/>
                <w:sz w:val="22"/>
                <w:szCs w:val="22"/>
                <w:u w:val="none" w:color="auto"/>
                <w:lang w:val="en-US" w:eastAsia="zh-CN"/>
              </w:rPr>
              <w:t>的</w:t>
            </w:r>
            <w:r>
              <w:rPr>
                <w:rFonts w:hint="default" w:ascii="Times New Roman" w:hAnsi="Times New Roman" w:cs="Times New Roman"/>
                <w:sz w:val="22"/>
                <w:szCs w:val="22"/>
                <w:u w:val="none" w:color="auto"/>
                <w:lang w:val="en-US" w:eastAsia="zh-CN"/>
              </w:rPr>
              <w:t>抹布手套</w:t>
            </w:r>
          </w:p>
        </w:tc>
        <w:tc>
          <w:tcPr>
            <w:tcW w:w="1205" w:type="dxa"/>
            <w:tcBorders>
              <w:tl2br w:val="nil"/>
              <w:tr2bl w:val="nil"/>
            </w:tcBorders>
            <w:vAlign w:val="center"/>
          </w:tcPr>
          <w:p>
            <w:pPr>
              <w:spacing w:line="360" w:lineRule="auto"/>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0.05t/a</w:t>
            </w:r>
          </w:p>
        </w:tc>
        <w:tc>
          <w:tcPr>
            <w:tcW w:w="3261" w:type="dxa"/>
            <w:vMerge w:val="continue"/>
            <w:tcBorders>
              <w:tl2br w:val="nil"/>
              <w:tr2bl w:val="nil"/>
            </w:tcBorders>
            <w:vAlign w:val="center"/>
          </w:tcPr>
          <w:p>
            <w:pPr>
              <w:spacing w:line="360" w:lineRule="auto"/>
              <w:jc w:val="center"/>
              <w:rPr>
                <w:rFonts w:hint="default" w:ascii="Times New Roman" w:hAnsi="Times New Roman" w:cs="Times New Roman"/>
                <w:sz w:val="22"/>
                <w:szCs w:val="22"/>
                <w:u w:val="none" w:color="auto"/>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54" w:type="dxa"/>
            <w:vMerge w:val="continue"/>
            <w:tcBorders>
              <w:tl2br w:val="nil"/>
              <w:tr2bl w:val="nil"/>
            </w:tcBorders>
            <w:vAlign w:val="center"/>
          </w:tcPr>
          <w:p>
            <w:pPr>
              <w:spacing w:line="360" w:lineRule="auto"/>
              <w:jc w:val="center"/>
              <w:rPr>
                <w:rFonts w:hint="default" w:ascii="Times New Roman" w:hAnsi="Times New Roman" w:cs="Times New Roman"/>
                <w:b/>
                <w:bCs/>
                <w:sz w:val="22"/>
                <w:szCs w:val="22"/>
                <w:u w:val="none" w:color="auto"/>
              </w:rPr>
            </w:pPr>
          </w:p>
        </w:tc>
        <w:tc>
          <w:tcPr>
            <w:tcW w:w="847" w:type="dxa"/>
            <w:vMerge w:val="continue"/>
            <w:tcBorders>
              <w:tl2br w:val="nil"/>
              <w:tr2bl w:val="nil"/>
            </w:tcBorders>
            <w:vAlign w:val="center"/>
          </w:tcPr>
          <w:p>
            <w:pPr>
              <w:spacing w:line="360" w:lineRule="auto"/>
              <w:jc w:val="center"/>
              <w:rPr>
                <w:rFonts w:hint="default" w:ascii="Times New Roman" w:hAnsi="Times New Roman" w:cs="Times New Roman"/>
                <w:b/>
                <w:bCs/>
                <w:sz w:val="22"/>
                <w:szCs w:val="22"/>
                <w:u w:val="none" w:color="auto"/>
              </w:rPr>
            </w:pPr>
          </w:p>
        </w:tc>
        <w:tc>
          <w:tcPr>
            <w:tcW w:w="1109" w:type="dxa"/>
            <w:vMerge w:val="continue"/>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p>
        </w:tc>
        <w:tc>
          <w:tcPr>
            <w:tcW w:w="2386" w:type="dxa"/>
            <w:gridSpan w:val="2"/>
            <w:tcBorders>
              <w:tl2br w:val="nil"/>
              <w:tr2bl w:val="nil"/>
            </w:tcBorders>
            <w:vAlign w:val="center"/>
          </w:tcPr>
          <w:p>
            <w:pPr>
              <w:spacing w:line="360" w:lineRule="auto"/>
              <w:jc w:val="center"/>
              <w:rPr>
                <w:rFonts w:hint="default" w:ascii="Times New Roman" w:hAnsi="Times New Roman" w:eastAsia="宋体" w:cs="Times New Roman"/>
                <w:sz w:val="22"/>
                <w:szCs w:val="22"/>
                <w:u w:val="none" w:color="auto"/>
                <w:lang w:eastAsia="zh-CN"/>
              </w:rPr>
            </w:pPr>
            <w:r>
              <w:rPr>
                <w:rFonts w:hint="default" w:ascii="Times New Roman" w:hAnsi="Times New Roman" w:cs="Times New Roman"/>
                <w:sz w:val="22"/>
                <w:szCs w:val="22"/>
                <w:u w:val="none" w:color="auto"/>
                <w:lang w:eastAsia="zh-CN"/>
              </w:rPr>
              <w:t>废油墨桶</w:t>
            </w:r>
          </w:p>
        </w:tc>
        <w:tc>
          <w:tcPr>
            <w:tcW w:w="1205" w:type="dxa"/>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lang w:val="en-US" w:eastAsia="zh-CN"/>
              </w:rPr>
              <w:t>0.03t/a</w:t>
            </w:r>
          </w:p>
        </w:tc>
        <w:tc>
          <w:tcPr>
            <w:tcW w:w="3261" w:type="dxa"/>
            <w:vMerge w:val="continue"/>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854" w:type="dxa"/>
            <w:vMerge w:val="continue"/>
            <w:tcBorders>
              <w:tl2br w:val="nil"/>
              <w:tr2bl w:val="nil"/>
            </w:tcBorders>
            <w:vAlign w:val="center"/>
          </w:tcPr>
          <w:p>
            <w:pPr>
              <w:spacing w:line="360" w:lineRule="auto"/>
              <w:jc w:val="center"/>
              <w:rPr>
                <w:rFonts w:hint="default" w:ascii="Times New Roman" w:hAnsi="Times New Roman" w:cs="Times New Roman"/>
                <w:b/>
                <w:bCs/>
                <w:sz w:val="22"/>
                <w:szCs w:val="22"/>
                <w:u w:val="none" w:color="auto"/>
              </w:rPr>
            </w:pPr>
          </w:p>
        </w:tc>
        <w:tc>
          <w:tcPr>
            <w:tcW w:w="847" w:type="dxa"/>
            <w:vMerge w:val="continue"/>
            <w:tcBorders>
              <w:tl2br w:val="nil"/>
              <w:tr2bl w:val="nil"/>
            </w:tcBorders>
            <w:vAlign w:val="center"/>
          </w:tcPr>
          <w:p>
            <w:pPr>
              <w:spacing w:line="360" w:lineRule="auto"/>
              <w:jc w:val="center"/>
              <w:rPr>
                <w:rFonts w:hint="default" w:ascii="Times New Roman" w:hAnsi="Times New Roman" w:cs="Times New Roman"/>
                <w:b/>
                <w:bCs/>
                <w:sz w:val="22"/>
                <w:szCs w:val="22"/>
                <w:u w:val="none" w:color="auto"/>
              </w:rPr>
            </w:pPr>
          </w:p>
        </w:tc>
        <w:tc>
          <w:tcPr>
            <w:tcW w:w="1109" w:type="dxa"/>
            <w:vMerge w:val="continue"/>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p>
        </w:tc>
        <w:tc>
          <w:tcPr>
            <w:tcW w:w="2386" w:type="dxa"/>
            <w:gridSpan w:val="2"/>
            <w:tcBorders>
              <w:tl2br w:val="nil"/>
              <w:tr2bl w:val="nil"/>
            </w:tcBorders>
            <w:vAlign w:val="center"/>
          </w:tcPr>
          <w:p>
            <w:pPr>
              <w:spacing w:line="360" w:lineRule="auto"/>
              <w:jc w:val="center"/>
              <w:rPr>
                <w:rFonts w:hint="default" w:ascii="Times New Roman" w:hAnsi="Times New Roman" w:cs="Times New Roman"/>
                <w:sz w:val="22"/>
                <w:szCs w:val="22"/>
                <w:u w:val="none" w:color="auto"/>
                <w:lang w:eastAsia="zh-CN"/>
              </w:rPr>
            </w:pPr>
            <w:r>
              <w:rPr>
                <w:rFonts w:hint="default" w:ascii="Times New Roman" w:hAnsi="Times New Roman" w:cs="Times New Roman"/>
                <w:sz w:val="22"/>
                <w:szCs w:val="22"/>
                <w:u w:val="none" w:color="auto"/>
                <w:lang w:eastAsia="zh-CN"/>
              </w:rPr>
              <w:t>废活性炭</w:t>
            </w:r>
          </w:p>
        </w:tc>
        <w:tc>
          <w:tcPr>
            <w:tcW w:w="1205" w:type="dxa"/>
            <w:tcBorders>
              <w:tl2br w:val="nil"/>
              <w:tr2bl w:val="nil"/>
            </w:tcBorders>
            <w:vAlign w:val="center"/>
          </w:tcPr>
          <w:p>
            <w:pPr>
              <w:spacing w:line="360" w:lineRule="auto"/>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0.12t/a</w:t>
            </w:r>
          </w:p>
        </w:tc>
        <w:tc>
          <w:tcPr>
            <w:tcW w:w="3261" w:type="dxa"/>
            <w:vMerge w:val="continue"/>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54" w:type="dxa"/>
            <w:vMerge w:val="continue"/>
            <w:tcBorders>
              <w:tl2br w:val="nil"/>
              <w:tr2bl w:val="nil"/>
            </w:tcBorders>
            <w:vAlign w:val="center"/>
          </w:tcPr>
          <w:p>
            <w:pPr>
              <w:spacing w:line="360" w:lineRule="auto"/>
              <w:jc w:val="center"/>
              <w:rPr>
                <w:rFonts w:hint="default" w:ascii="Times New Roman" w:hAnsi="Times New Roman" w:cs="Times New Roman"/>
                <w:b/>
                <w:bCs/>
                <w:sz w:val="22"/>
                <w:szCs w:val="22"/>
                <w:u w:val="none" w:color="auto"/>
              </w:rPr>
            </w:pPr>
          </w:p>
        </w:tc>
        <w:tc>
          <w:tcPr>
            <w:tcW w:w="847" w:type="dxa"/>
            <w:vMerge w:val="continue"/>
            <w:tcBorders>
              <w:tl2br w:val="nil"/>
              <w:tr2bl w:val="nil"/>
            </w:tcBorders>
            <w:vAlign w:val="center"/>
          </w:tcPr>
          <w:p>
            <w:pPr>
              <w:spacing w:line="360" w:lineRule="auto"/>
              <w:jc w:val="center"/>
              <w:rPr>
                <w:rFonts w:hint="default" w:ascii="Times New Roman" w:hAnsi="Times New Roman" w:cs="Times New Roman"/>
                <w:b/>
                <w:bCs/>
                <w:sz w:val="22"/>
                <w:szCs w:val="22"/>
                <w:u w:val="none" w:color="auto"/>
              </w:rPr>
            </w:pPr>
          </w:p>
        </w:tc>
        <w:tc>
          <w:tcPr>
            <w:tcW w:w="1109" w:type="dxa"/>
            <w:vMerge w:val="continue"/>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p>
        </w:tc>
        <w:tc>
          <w:tcPr>
            <w:tcW w:w="2386" w:type="dxa"/>
            <w:gridSpan w:val="2"/>
            <w:tcBorders>
              <w:tl2br w:val="nil"/>
              <w:tr2bl w:val="nil"/>
            </w:tcBorders>
            <w:vAlign w:val="center"/>
          </w:tcPr>
          <w:p>
            <w:pPr>
              <w:spacing w:line="360" w:lineRule="auto"/>
              <w:jc w:val="center"/>
              <w:rPr>
                <w:rFonts w:hint="default" w:ascii="Times New Roman" w:hAnsi="Times New Roman" w:cs="Times New Roman"/>
                <w:sz w:val="22"/>
                <w:szCs w:val="22"/>
                <w:u w:val="none" w:color="auto"/>
                <w:lang w:eastAsia="zh-CN"/>
              </w:rPr>
            </w:pPr>
            <w:r>
              <w:rPr>
                <w:rFonts w:hint="default" w:ascii="Times New Roman" w:hAnsi="Times New Roman" w:cs="Times New Roman"/>
                <w:sz w:val="22"/>
                <w:szCs w:val="22"/>
                <w:u w:val="none" w:color="auto"/>
                <w:lang w:val="en-US" w:eastAsia="zh-CN"/>
              </w:rPr>
              <w:t>废包装袋</w:t>
            </w:r>
          </w:p>
        </w:tc>
        <w:tc>
          <w:tcPr>
            <w:tcW w:w="1205" w:type="dxa"/>
            <w:tcBorders>
              <w:tl2br w:val="nil"/>
              <w:tr2bl w:val="nil"/>
            </w:tcBorders>
            <w:vAlign w:val="center"/>
          </w:tcPr>
          <w:p>
            <w:pPr>
              <w:spacing w:line="360" w:lineRule="auto"/>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0.2t/a</w:t>
            </w:r>
          </w:p>
        </w:tc>
        <w:tc>
          <w:tcPr>
            <w:tcW w:w="3261" w:type="dxa"/>
            <w:tcBorders>
              <w:tl2br w:val="nil"/>
              <w:tr2bl w:val="nil"/>
            </w:tcBorders>
            <w:vAlign w:val="center"/>
          </w:tcPr>
          <w:p>
            <w:pPr>
              <w:spacing w:line="360" w:lineRule="auto"/>
              <w:jc w:val="center"/>
              <w:rPr>
                <w:rFonts w:hint="default" w:ascii="Times New Roman" w:hAnsi="Times New Roman" w:eastAsia="宋体" w:cs="Times New Roman"/>
                <w:kern w:val="2"/>
                <w:sz w:val="22"/>
                <w:szCs w:val="22"/>
                <w:u w:val="none" w:color="auto"/>
                <w:lang w:val="en-US" w:eastAsia="zh-CN" w:bidi="ar-SA"/>
              </w:rPr>
            </w:pPr>
            <w:r>
              <w:rPr>
                <w:rFonts w:hint="default" w:ascii="Times New Roman" w:hAnsi="Times New Roman" w:cs="Times New Roman"/>
                <w:sz w:val="22"/>
                <w:szCs w:val="22"/>
                <w:u w:val="none" w:color="auto"/>
                <w:lang w:eastAsia="zh-CN"/>
              </w:rPr>
              <w:t>收集后</w:t>
            </w:r>
            <w:r>
              <w:rPr>
                <w:rFonts w:hint="eastAsia" w:ascii="Times New Roman" w:hAnsi="Times New Roman" w:cs="Times New Roman"/>
                <w:sz w:val="22"/>
                <w:szCs w:val="22"/>
                <w:u w:val="none" w:color="auto"/>
                <w:lang w:val="en-US" w:eastAsia="zh-CN"/>
              </w:rPr>
              <w:t>外售废品回收站综合利用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54" w:type="dxa"/>
            <w:vMerge w:val="continue"/>
            <w:tcBorders>
              <w:tl2br w:val="nil"/>
              <w:tr2bl w:val="nil"/>
            </w:tcBorders>
            <w:vAlign w:val="center"/>
          </w:tcPr>
          <w:p>
            <w:pPr>
              <w:spacing w:line="360" w:lineRule="auto"/>
              <w:jc w:val="center"/>
              <w:rPr>
                <w:rFonts w:hint="default" w:ascii="Times New Roman" w:hAnsi="Times New Roman" w:cs="Times New Roman"/>
                <w:b/>
                <w:bCs/>
                <w:sz w:val="22"/>
                <w:szCs w:val="22"/>
                <w:u w:val="none" w:color="auto"/>
              </w:rPr>
            </w:pPr>
          </w:p>
        </w:tc>
        <w:tc>
          <w:tcPr>
            <w:tcW w:w="847" w:type="dxa"/>
            <w:vMerge w:val="continue"/>
            <w:tcBorders>
              <w:tl2br w:val="nil"/>
              <w:tr2bl w:val="nil"/>
            </w:tcBorders>
            <w:vAlign w:val="center"/>
          </w:tcPr>
          <w:p>
            <w:pPr>
              <w:spacing w:line="360" w:lineRule="auto"/>
              <w:jc w:val="center"/>
              <w:rPr>
                <w:rFonts w:hint="default" w:ascii="Times New Roman" w:hAnsi="Times New Roman" w:cs="Times New Roman"/>
                <w:b/>
                <w:bCs/>
                <w:sz w:val="22"/>
                <w:szCs w:val="22"/>
                <w:u w:val="none" w:color="auto"/>
              </w:rPr>
            </w:pPr>
          </w:p>
        </w:tc>
        <w:tc>
          <w:tcPr>
            <w:tcW w:w="1109" w:type="dxa"/>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职工</w:t>
            </w:r>
          </w:p>
        </w:tc>
        <w:tc>
          <w:tcPr>
            <w:tcW w:w="2386" w:type="dxa"/>
            <w:gridSpan w:val="2"/>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生活垃圾</w:t>
            </w:r>
          </w:p>
        </w:tc>
        <w:tc>
          <w:tcPr>
            <w:tcW w:w="1205" w:type="dxa"/>
            <w:tcBorders>
              <w:tl2br w:val="nil"/>
              <w:tr2bl w:val="nil"/>
            </w:tcBorders>
            <w:vAlign w:val="center"/>
          </w:tcPr>
          <w:p>
            <w:pPr>
              <w:spacing w:line="360" w:lineRule="auto"/>
              <w:jc w:val="center"/>
              <w:rPr>
                <w:rFonts w:hint="default" w:ascii="Times New Roman" w:hAnsi="Times New Roman" w:eastAsia="宋体"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7.5</w:t>
            </w:r>
            <w:r>
              <w:rPr>
                <w:rFonts w:hint="default" w:ascii="Times New Roman" w:hAnsi="Times New Roman" w:eastAsia="宋体" w:cs="Times New Roman"/>
                <w:sz w:val="22"/>
                <w:szCs w:val="22"/>
                <w:u w:val="none" w:color="auto"/>
                <w:lang w:val="en-US" w:eastAsia="zh-CN"/>
              </w:rPr>
              <w:t>t/a</w:t>
            </w:r>
          </w:p>
        </w:tc>
        <w:tc>
          <w:tcPr>
            <w:tcW w:w="3261" w:type="dxa"/>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收集后交环卫部门统一清运处理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4" w:type="dxa"/>
            <w:tcBorders>
              <w:tl2br w:val="nil"/>
              <w:tr2bl w:val="nil"/>
            </w:tcBorders>
            <w:vAlign w:val="center"/>
          </w:tcPr>
          <w:p>
            <w:pPr>
              <w:spacing w:line="360" w:lineRule="auto"/>
              <w:jc w:val="center"/>
              <w:rPr>
                <w:rFonts w:hint="default" w:ascii="Times New Roman" w:hAnsi="Times New Roman" w:cs="Times New Roman"/>
                <w:b/>
                <w:bCs/>
                <w:sz w:val="22"/>
                <w:szCs w:val="22"/>
                <w:u w:val="none" w:color="auto"/>
              </w:rPr>
            </w:pPr>
            <w:r>
              <w:rPr>
                <w:rFonts w:hint="default" w:ascii="Times New Roman" w:hAnsi="Times New Roman" w:cs="Times New Roman"/>
                <w:b/>
                <w:bCs/>
                <w:sz w:val="22"/>
                <w:szCs w:val="22"/>
                <w:u w:val="none" w:color="auto"/>
              </w:rPr>
              <w:t>噪声</w:t>
            </w:r>
          </w:p>
        </w:tc>
        <w:tc>
          <w:tcPr>
            <w:tcW w:w="847" w:type="dxa"/>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营运期</w:t>
            </w:r>
          </w:p>
        </w:tc>
        <w:tc>
          <w:tcPr>
            <w:tcW w:w="1109" w:type="dxa"/>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运营噪声</w:t>
            </w:r>
          </w:p>
        </w:tc>
        <w:tc>
          <w:tcPr>
            <w:tcW w:w="1516" w:type="dxa"/>
            <w:tcBorders>
              <w:tl2br w:val="nil"/>
              <w:tr2bl w:val="nil"/>
            </w:tcBorders>
            <w:vAlign w:val="center"/>
          </w:tcPr>
          <w:p>
            <w:pPr>
              <w:spacing w:line="360" w:lineRule="auto"/>
              <w:ind w:firstLine="213" w:firstLineChars="100"/>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设备噪声</w:t>
            </w:r>
          </w:p>
        </w:tc>
        <w:tc>
          <w:tcPr>
            <w:tcW w:w="2075" w:type="dxa"/>
            <w:gridSpan w:val="2"/>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lang w:val="en-US" w:eastAsia="zh-CN"/>
              </w:rPr>
              <w:t>65</w:t>
            </w:r>
            <w:r>
              <w:rPr>
                <w:rFonts w:hint="default" w:ascii="Times New Roman" w:hAnsi="Times New Roman" w:cs="Times New Roman"/>
                <w:sz w:val="22"/>
                <w:szCs w:val="22"/>
                <w:u w:val="none" w:color="auto"/>
              </w:rPr>
              <w:t>-8</w:t>
            </w:r>
            <w:r>
              <w:rPr>
                <w:rFonts w:hint="default" w:ascii="Times New Roman" w:hAnsi="Times New Roman" w:cs="Times New Roman"/>
                <w:sz w:val="22"/>
                <w:szCs w:val="22"/>
                <w:u w:val="none" w:color="auto"/>
                <w:lang w:val="en-US" w:eastAsia="zh-CN"/>
              </w:rPr>
              <w:t>0</w:t>
            </w:r>
            <w:r>
              <w:rPr>
                <w:rFonts w:hint="default" w:ascii="Times New Roman" w:hAnsi="Times New Roman" w:cs="Times New Roman"/>
                <w:sz w:val="22"/>
                <w:szCs w:val="22"/>
                <w:u w:val="none" w:color="auto"/>
              </w:rPr>
              <w:t>dB(A)</w:t>
            </w:r>
          </w:p>
        </w:tc>
        <w:tc>
          <w:tcPr>
            <w:tcW w:w="3261" w:type="dxa"/>
            <w:tcBorders>
              <w:tl2br w:val="nil"/>
              <w:tr2bl w:val="nil"/>
            </w:tcBorders>
            <w:vAlign w:val="center"/>
          </w:tcPr>
          <w:p>
            <w:pPr>
              <w:spacing w:line="360" w:lineRule="auto"/>
              <w:ind w:firstLine="426" w:firstLineChars="20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昼间≤6</w:t>
            </w:r>
            <w:r>
              <w:rPr>
                <w:rFonts w:hint="default" w:ascii="Times New Roman" w:hAnsi="Times New Roman" w:cs="Times New Roman"/>
                <w:sz w:val="22"/>
                <w:szCs w:val="22"/>
                <w:u w:val="none" w:color="auto"/>
                <w:lang w:val="en-US" w:eastAsia="zh-CN"/>
              </w:rPr>
              <w:t>5</w:t>
            </w:r>
            <w:r>
              <w:rPr>
                <w:rFonts w:hint="default" w:ascii="Times New Roman" w:hAnsi="Times New Roman" w:cs="Times New Roman"/>
                <w:sz w:val="22"/>
                <w:szCs w:val="22"/>
                <w:u w:val="none" w:color="auto"/>
              </w:rPr>
              <w:t>dB(A)</w:t>
            </w:r>
          </w:p>
          <w:p>
            <w:pPr>
              <w:spacing w:line="360" w:lineRule="auto"/>
              <w:ind w:firstLine="426" w:firstLineChars="20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夜间≤5</w:t>
            </w:r>
            <w:r>
              <w:rPr>
                <w:rFonts w:hint="default" w:ascii="Times New Roman" w:hAnsi="Times New Roman" w:cs="Times New Roman"/>
                <w:sz w:val="22"/>
                <w:szCs w:val="22"/>
                <w:u w:val="none" w:color="auto"/>
                <w:lang w:val="en-US" w:eastAsia="zh-CN"/>
              </w:rPr>
              <w:t>5</w:t>
            </w:r>
            <w:r>
              <w:rPr>
                <w:rFonts w:hint="default" w:ascii="Times New Roman" w:hAnsi="Times New Roman" w:cs="Times New Roman"/>
                <w:sz w:val="22"/>
                <w:szCs w:val="22"/>
                <w:u w:val="none" w:color="auto"/>
              </w:rP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662" w:type="dxa"/>
            <w:gridSpan w:val="7"/>
            <w:tcBorders>
              <w:tl2br w:val="nil"/>
              <w:tr2bl w:val="nil"/>
            </w:tcBorders>
          </w:tcPr>
          <w:p>
            <w:pPr>
              <w:spacing w:line="360" w:lineRule="auto"/>
              <w:ind w:firstLine="498" w:firstLineChars="200"/>
              <w:rPr>
                <w:rFonts w:hint="default" w:ascii="Times New Roman" w:hAnsi="Times New Roman" w:cs="Times New Roman"/>
                <w:b/>
                <w:bCs/>
                <w:spacing w:val="8"/>
                <w:sz w:val="24"/>
                <w:szCs w:val="24"/>
                <w:u w:val="none" w:color="auto"/>
              </w:rPr>
            </w:pPr>
            <w:r>
              <w:rPr>
                <w:rFonts w:hint="default" w:ascii="Times New Roman" w:hAnsi="Times New Roman" w:cs="Times New Roman"/>
                <w:b/>
                <w:bCs/>
                <w:spacing w:val="8"/>
                <w:sz w:val="24"/>
                <w:szCs w:val="24"/>
                <w:u w:val="none" w:color="auto"/>
              </w:rPr>
              <w:t>主要生态影响</w:t>
            </w:r>
          </w:p>
          <w:p>
            <w:pPr>
              <w:adjustRightInd w:val="0"/>
              <w:snapToGrid w:val="0"/>
              <w:spacing w:line="360" w:lineRule="auto"/>
              <w:ind w:firstLine="466" w:firstLineChars="200"/>
              <w:rPr>
                <w:rFonts w:hint="default" w:ascii="Times New Roman" w:hAnsi="Times New Roman" w:cs="Times New Roman"/>
                <w:sz w:val="22"/>
                <w:szCs w:val="22"/>
                <w:u w:val="none" w:color="auto"/>
              </w:rPr>
            </w:pPr>
            <w:r>
              <w:rPr>
                <w:rFonts w:hint="default" w:ascii="Times New Roman" w:hAnsi="Times New Roman" w:cs="Times New Roman"/>
                <w:color w:val="auto"/>
                <w:sz w:val="24"/>
                <w:szCs w:val="24"/>
                <w:u w:val="none" w:color="auto"/>
              </w:rPr>
              <w:t>本项目所在地周边均为企业，周围无大面积自然植被群落及珍稀动植物资源等，营运期产生的“三废”经适当治理后，对周边生态环境影响较小</w:t>
            </w:r>
            <w:r>
              <w:rPr>
                <w:rFonts w:hint="default" w:ascii="Times New Roman" w:hAnsi="Times New Roman" w:cs="Times New Roman"/>
                <w:sz w:val="24"/>
                <w:szCs w:val="24"/>
                <w:u w:val="none" w:color="auto"/>
              </w:rPr>
              <w:t>。</w:t>
            </w:r>
          </w:p>
        </w:tc>
      </w:tr>
    </w:tbl>
    <w:p>
      <w:pPr>
        <w:snapToGrid w:val="0"/>
        <w:outlineLvl w:val="0"/>
        <w:rPr>
          <w:rFonts w:eastAsia="黑体"/>
          <w:sz w:val="32"/>
          <w:u w:val="none" w:color="auto"/>
        </w:rPr>
      </w:pPr>
      <w:r>
        <w:rPr>
          <w:rFonts w:ascii="宋体" w:hAnsi="宋体"/>
          <w:sz w:val="24"/>
          <w:szCs w:val="24"/>
          <w:u w:val="none" w:color="auto"/>
        </w:rPr>
        <w:br w:type="page"/>
      </w:r>
      <w:bookmarkStart w:id="6" w:name="_Toc1231"/>
      <w:r>
        <w:rPr>
          <w:rFonts w:hint="eastAsia" w:ascii="黑体" w:hAnsi="黑体" w:eastAsia="黑体"/>
          <w:sz w:val="32"/>
          <w:szCs w:val="32"/>
          <w:u w:val="none" w:color="auto"/>
        </w:rPr>
        <w:t>七、环</w:t>
      </w:r>
      <w:r>
        <w:rPr>
          <w:rFonts w:ascii="黑体" w:hAnsi="黑体" w:eastAsia="黑体"/>
          <w:sz w:val="32"/>
          <w:szCs w:val="32"/>
          <w:u w:val="none" w:color="auto"/>
        </w:rPr>
        <w:t>境影响分析</w:t>
      </w:r>
      <w:bookmarkEnd w:id="6"/>
    </w:p>
    <w:tbl>
      <w:tblPr>
        <w:tblStyle w:val="40"/>
        <w:tblW w:w="926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26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176" w:hRule="atLeast"/>
          <w:jc w:val="center"/>
        </w:trPr>
        <w:tc>
          <w:tcPr>
            <w:tcW w:w="9268" w:type="dxa"/>
          </w:tcPr>
          <w:p>
            <w:pPr>
              <w:adjustRightInd w:val="0"/>
              <w:snapToGrid w:val="0"/>
              <w:spacing w:line="360" w:lineRule="auto"/>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（一）施工期环境影响分析：</w:t>
            </w:r>
          </w:p>
          <w:p>
            <w:pPr>
              <w:adjustRightInd w:val="0"/>
              <w:snapToGrid w:val="0"/>
              <w:spacing w:line="360" w:lineRule="auto"/>
              <w:ind w:firstLine="466" w:firstLineChars="200"/>
              <w:rPr>
                <w:rFonts w:hint="eastAsia"/>
                <w:color w:val="auto"/>
                <w:sz w:val="24"/>
                <w:szCs w:val="24"/>
                <w:u w:val="none" w:color="auto"/>
              </w:rPr>
            </w:pPr>
            <w:r>
              <w:rPr>
                <w:rFonts w:hint="eastAsia"/>
                <w:color w:val="auto"/>
                <w:sz w:val="24"/>
                <w:szCs w:val="24"/>
                <w:u w:val="none" w:color="auto"/>
                <w:lang w:val="en-US" w:eastAsia="zh-CN"/>
              </w:rPr>
              <w:t xml:space="preserve">施工期向周围环境排放的主要污染物是施工人员生活污水、作业粉尘、固体废弃物以及施工机械排放的烟尘和噪声等。 </w:t>
            </w:r>
          </w:p>
          <w:p>
            <w:pPr>
              <w:adjustRightInd w:val="0"/>
              <w:snapToGrid w:val="0"/>
              <w:spacing w:line="360" w:lineRule="auto"/>
              <w:ind w:firstLine="466" w:firstLineChars="200"/>
              <w:rPr>
                <w:rFonts w:hint="eastAsia"/>
                <w:color w:val="auto"/>
                <w:sz w:val="24"/>
                <w:szCs w:val="24"/>
                <w:u w:val="none" w:color="auto"/>
              </w:rPr>
            </w:pPr>
            <w:r>
              <w:rPr>
                <w:rFonts w:hint="eastAsia"/>
                <w:color w:val="auto"/>
                <w:sz w:val="24"/>
                <w:szCs w:val="24"/>
                <w:u w:val="none" w:color="auto"/>
                <w:lang w:val="en-US" w:eastAsia="zh-CN"/>
              </w:rPr>
              <w:t xml:space="preserve">1）大气环境影响分析 </w:t>
            </w:r>
          </w:p>
          <w:p>
            <w:pPr>
              <w:adjustRightInd w:val="0"/>
              <w:snapToGrid w:val="0"/>
              <w:spacing w:line="360" w:lineRule="auto"/>
              <w:ind w:firstLine="466" w:firstLineChars="200"/>
              <w:rPr>
                <w:rFonts w:hint="eastAsia"/>
                <w:color w:val="auto"/>
                <w:sz w:val="24"/>
                <w:szCs w:val="24"/>
                <w:u w:val="none" w:color="auto"/>
              </w:rPr>
            </w:pPr>
            <w:r>
              <w:rPr>
                <w:rFonts w:hint="eastAsia"/>
                <w:color w:val="auto"/>
                <w:sz w:val="24"/>
                <w:szCs w:val="24"/>
                <w:u w:val="none" w:color="auto"/>
                <w:lang w:val="en-US" w:eastAsia="zh-CN"/>
              </w:rPr>
              <w:t xml:space="preserve">项目施工过程中主要是进行分区建设、装修，项目采取以下降尘措施： </w:t>
            </w:r>
          </w:p>
          <w:p>
            <w:pPr>
              <w:adjustRightInd w:val="0"/>
              <w:snapToGrid w:val="0"/>
              <w:spacing w:line="360" w:lineRule="auto"/>
              <w:ind w:firstLine="466" w:firstLineChars="200"/>
              <w:rPr>
                <w:rFonts w:hint="eastAsia"/>
                <w:color w:val="auto"/>
                <w:sz w:val="24"/>
                <w:szCs w:val="24"/>
                <w:u w:val="none" w:color="auto"/>
              </w:rPr>
            </w:pPr>
            <w:r>
              <w:rPr>
                <w:rFonts w:hint="eastAsia"/>
                <w:color w:val="auto"/>
                <w:sz w:val="24"/>
                <w:szCs w:val="24"/>
                <w:u w:val="none" w:color="auto"/>
                <w:lang w:val="en-US" w:eastAsia="zh-CN"/>
              </w:rPr>
              <w:t xml:space="preserve">①施工中的物料、建筑垃圾等的堆放采取防尘网遮盖、洒水、喷洒剂或覆盖等措施，避免起尘原材料的露天堆放； </w:t>
            </w:r>
          </w:p>
          <w:p>
            <w:pPr>
              <w:adjustRightInd w:val="0"/>
              <w:snapToGrid w:val="0"/>
              <w:spacing w:line="360" w:lineRule="auto"/>
              <w:ind w:firstLine="466" w:firstLineChars="200"/>
              <w:rPr>
                <w:rFonts w:hint="eastAsia"/>
                <w:color w:val="auto"/>
                <w:sz w:val="24"/>
                <w:szCs w:val="24"/>
                <w:u w:val="none" w:color="auto"/>
              </w:rPr>
            </w:pPr>
            <w:r>
              <w:rPr>
                <w:rFonts w:hint="eastAsia"/>
                <w:color w:val="auto"/>
                <w:sz w:val="24"/>
                <w:szCs w:val="24"/>
                <w:u w:val="none" w:color="auto"/>
                <w:lang w:val="en-US" w:eastAsia="zh-CN"/>
              </w:rPr>
              <w:t xml:space="preserve">② 施工中的物料、建筑垃圾及时清运； </w:t>
            </w:r>
          </w:p>
          <w:p>
            <w:pPr>
              <w:adjustRightInd w:val="0"/>
              <w:snapToGrid w:val="0"/>
              <w:spacing w:line="360" w:lineRule="auto"/>
              <w:ind w:firstLine="466" w:firstLineChars="200"/>
              <w:rPr>
                <w:rFonts w:hint="eastAsia"/>
                <w:color w:val="auto"/>
                <w:sz w:val="24"/>
                <w:szCs w:val="24"/>
                <w:u w:val="none" w:color="auto"/>
              </w:rPr>
            </w:pPr>
            <w:r>
              <w:rPr>
                <w:rFonts w:hint="eastAsia"/>
                <w:color w:val="auto"/>
                <w:sz w:val="24"/>
                <w:szCs w:val="24"/>
                <w:u w:val="none" w:color="auto"/>
                <w:lang w:val="en-US" w:eastAsia="zh-CN"/>
              </w:rPr>
              <w:t xml:space="preserve">③ 对运输过程中散落在路面上的泥土要及时清扫，以减少运行过程中的扬尘；采取以上的降尘措施后，本项目施工期对区域大气环境影响较小。 </w:t>
            </w:r>
          </w:p>
          <w:p>
            <w:pPr>
              <w:adjustRightInd w:val="0"/>
              <w:snapToGrid w:val="0"/>
              <w:spacing w:line="360" w:lineRule="auto"/>
              <w:ind w:firstLine="466" w:firstLineChars="200"/>
              <w:rPr>
                <w:rFonts w:hint="eastAsia"/>
                <w:color w:val="auto"/>
                <w:sz w:val="24"/>
                <w:szCs w:val="24"/>
                <w:u w:val="none" w:color="auto"/>
              </w:rPr>
            </w:pPr>
            <w:r>
              <w:rPr>
                <w:rFonts w:hint="default"/>
                <w:color w:val="auto"/>
                <w:sz w:val="24"/>
                <w:szCs w:val="24"/>
                <w:u w:val="none" w:color="auto"/>
                <w:lang w:val="en-US" w:eastAsia="zh-CN"/>
              </w:rPr>
              <w:t>2</w:t>
            </w:r>
            <w:r>
              <w:rPr>
                <w:rFonts w:hint="eastAsia"/>
                <w:color w:val="auto"/>
                <w:sz w:val="24"/>
                <w:szCs w:val="24"/>
                <w:u w:val="none" w:color="auto"/>
                <w:lang w:val="en-US" w:eastAsia="zh-CN"/>
              </w:rPr>
              <w:t xml:space="preserve">）水环境影响分析 </w:t>
            </w:r>
          </w:p>
          <w:p>
            <w:pPr>
              <w:adjustRightInd w:val="0"/>
              <w:snapToGrid w:val="0"/>
              <w:spacing w:line="360" w:lineRule="auto"/>
              <w:ind w:firstLine="466" w:firstLineChars="200"/>
              <w:rPr>
                <w:rFonts w:hint="eastAsia"/>
                <w:color w:val="auto"/>
                <w:sz w:val="24"/>
                <w:szCs w:val="24"/>
                <w:u w:val="none" w:color="auto"/>
              </w:rPr>
            </w:pPr>
            <w:r>
              <w:rPr>
                <w:rFonts w:hint="eastAsia"/>
                <w:color w:val="auto"/>
                <w:sz w:val="24"/>
                <w:szCs w:val="24"/>
                <w:u w:val="none" w:color="auto"/>
                <w:lang w:val="en-US" w:eastAsia="zh-CN"/>
              </w:rPr>
              <w:t xml:space="preserve">施工过程产生的废水主要有：生活污水施工产生的生活污水依托现有化粪池处理后排入园区自建的污水处理站进行处理，随着施工期的结束，此类污染将不复存在。 </w:t>
            </w:r>
          </w:p>
          <w:p>
            <w:pPr>
              <w:adjustRightInd w:val="0"/>
              <w:snapToGrid w:val="0"/>
              <w:spacing w:line="360" w:lineRule="auto"/>
              <w:ind w:firstLine="466" w:firstLineChars="200"/>
              <w:rPr>
                <w:rFonts w:hint="eastAsia"/>
                <w:color w:val="auto"/>
                <w:sz w:val="24"/>
                <w:szCs w:val="24"/>
                <w:u w:val="none" w:color="auto"/>
              </w:rPr>
            </w:pPr>
            <w:r>
              <w:rPr>
                <w:rFonts w:hint="default"/>
                <w:color w:val="auto"/>
                <w:sz w:val="24"/>
                <w:szCs w:val="24"/>
                <w:u w:val="none" w:color="auto"/>
                <w:lang w:val="en-US" w:eastAsia="zh-CN"/>
              </w:rPr>
              <w:t>3</w:t>
            </w:r>
            <w:r>
              <w:rPr>
                <w:rFonts w:hint="eastAsia"/>
                <w:color w:val="auto"/>
                <w:sz w:val="24"/>
                <w:szCs w:val="24"/>
                <w:u w:val="none" w:color="auto"/>
                <w:lang w:val="en-US" w:eastAsia="zh-CN"/>
              </w:rPr>
              <w:t xml:space="preserve">）声环境影响分析 </w:t>
            </w:r>
          </w:p>
          <w:p>
            <w:pPr>
              <w:adjustRightInd w:val="0"/>
              <w:snapToGrid w:val="0"/>
              <w:spacing w:line="360" w:lineRule="auto"/>
              <w:ind w:firstLine="466" w:firstLineChars="200"/>
              <w:rPr>
                <w:rFonts w:hint="eastAsia"/>
                <w:color w:val="auto"/>
                <w:sz w:val="24"/>
                <w:szCs w:val="24"/>
                <w:u w:val="none" w:color="auto"/>
              </w:rPr>
            </w:pPr>
            <w:r>
              <w:rPr>
                <w:rFonts w:hint="eastAsia"/>
                <w:color w:val="auto"/>
                <w:sz w:val="24"/>
                <w:szCs w:val="24"/>
                <w:u w:val="none" w:color="auto"/>
                <w:lang w:val="en-US" w:eastAsia="zh-CN"/>
              </w:rPr>
              <w:t xml:space="preserve">噪声是施工期的主要污染因子，主要建设内容为分区建设，无大型土建施工，噪声源主要是空压机、电焊机和电锯电钻等施工设备以及运输建筑材料的车辆。其噪声源强约 </w:t>
            </w:r>
            <w:r>
              <w:rPr>
                <w:rFonts w:hint="default"/>
                <w:color w:val="auto"/>
                <w:sz w:val="24"/>
                <w:szCs w:val="24"/>
                <w:u w:val="none" w:color="auto"/>
                <w:lang w:val="en-US" w:eastAsia="zh-CN"/>
              </w:rPr>
              <w:t>84~90dB</w:t>
            </w:r>
            <w:r>
              <w:rPr>
                <w:rFonts w:hint="eastAsia"/>
                <w:color w:val="auto"/>
                <w:sz w:val="24"/>
                <w:szCs w:val="24"/>
                <w:u w:val="none" w:color="auto"/>
                <w:lang w:val="en-US" w:eastAsia="zh-CN"/>
              </w:rPr>
              <w:t>（</w:t>
            </w:r>
            <w:r>
              <w:rPr>
                <w:rFonts w:hint="default"/>
                <w:color w:val="auto"/>
                <w:sz w:val="24"/>
                <w:szCs w:val="24"/>
                <w:u w:val="none" w:color="auto"/>
                <w:lang w:val="en-US" w:eastAsia="zh-CN"/>
              </w:rPr>
              <w:t>A</w:t>
            </w:r>
            <w:r>
              <w:rPr>
                <w:rFonts w:hint="eastAsia"/>
                <w:color w:val="auto"/>
                <w:sz w:val="24"/>
                <w:szCs w:val="24"/>
                <w:u w:val="none" w:color="auto"/>
                <w:lang w:val="en-US" w:eastAsia="zh-CN"/>
              </w:rPr>
              <w:t xml:space="preserve">）之间，本项目在施工期间，合理选用了低噪声设备，经常对施工设备进行维修保养，夜间禁止施工，不会对周边造成影响，而施工期噪声的影响是暂时的，施工结束，噪声的影响也随之结束。 </w:t>
            </w:r>
          </w:p>
          <w:p>
            <w:pPr>
              <w:adjustRightInd w:val="0"/>
              <w:snapToGrid w:val="0"/>
              <w:spacing w:line="360" w:lineRule="auto"/>
              <w:ind w:firstLine="466" w:firstLineChars="200"/>
              <w:rPr>
                <w:rFonts w:hint="eastAsia"/>
                <w:color w:val="auto"/>
                <w:sz w:val="24"/>
                <w:szCs w:val="24"/>
                <w:u w:val="none" w:color="auto"/>
              </w:rPr>
            </w:pPr>
            <w:r>
              <w:rPr>
                <w:rFonts w:hint="default"/>
                <w:color w:val="auto"/>
                <w:sz w:val="24"/>
                <w:szCs w:val="24"/>
                <w:u w:val="none" w:color="auto"/>
                <w:lang w:val="en-US" w:eastAsia="zh-CN"/>
              </w:rPr>
              <w:t>4</w:t>
            </w:r>
            <w:r>
              <w:rPr>
                <w:rFonts w:hint="eastAsia"/>
                <w:color w:val="auto"/>
                <w:sz w:val="24"/>
                <w:szCs w:val="24"/>
                <w:u w:val="none" w:color="auto"/>
                <w:lang w:val="en-US" w:eastAsia="zh-CN"/>
              </w:rPr>
              <w:t xml:space="preserve">）固体废物影响分析 </w:t>
            </w:r>
          </w:p>
          <w:p>
            <w:pPr>
              <w:adjustRightInd w:val="0"/>
              <w:snapToGrid w:val="0"/>
              <w:spacing w:line="360" w:lineRule="auto"/>
              <w:ind w:firstLine="466" w:firstLineChars="200"/>
              <w:rPr>
                <w:rFonts w:hint="default" w:ascii="Times New Roman" w:hAnsi="Times New Roman" w:cs="Times New Roman"/>
                <w:sz w:val="24"/>
                <w:szCs w:val="24"/>
                <w:u w:val="none" w:color="auto"/>
              </w:rPr>
            </w:pPr>
            <w:r>
              <w:rPr>
                <w:rFonts w:hint="eastAsia"/>
                <w:color w:val="auto"/>
                <w:sz w:val="24"/>
                <w:szCs w:val="24"/>
                <w:u w:val="none" w:color="auto"/>
                <w:lang w:val="en-US" w:eastAsia="zh-CN"/>
              </w:rPr>
              <w:t>施工期固体废物主要来源于施工过程产生的建筑垃圾，以及施工人员的进驻产生的生活垃圾，均属一般固体废物。生活垃圾如不及时处理，在气温适宜的条件下则会孳生蚊虫、产生恶臭、传播疾病，对周围环境产生不利影响。因此，生活垃圾应及时运送至环卫部门指定地点进行处理，避免对周围环境产生影响。</w:t>
            </w:r>
          </w:p>
          <w:p>
            <w:pPr>
              <w:adjustRightInd w:val="0"/>
              <w:snapToGrid w:val="0"/>
              <w:spacing w:line="360" w:lineRule="auto"/>
              <w:rPr>
                <w:rFonts w:hint="default" w:ascii="Times New Roman" w:hAnsi="Times New Roman" w:cs="Times New Roman"/>
                <w:sz w:val="24"/>
                <w:szCs w:val="24"/>
                <w:u w:val="none" w:color="auto"/>
              </w:rPr>
            </w:pPr>
          </w:p>
          <w:p>
            <w:pPr>
              <w:adjustRightInd w:val="0"/>
              <w:snapToGrid w:val="0"/>
              <w:spacing w:line="360" w:lineRule="auto"/>
              <w:rPr>
                <w:rFonts w:hint="default" w:ascii="Times New Roman" w:hAnsi="Times New Roman" w:cs="Times New Roman"/>
                <w:sz w:val="24"/>
                <w:szCs w:val="24"/>
                <w:u w:val="none" w:color="auto"/>
              </w:rPr>
            </w:pPr>
          </w:p>
          <w:p>
            <w:pPr>
              <w:adjustRightInd w:val="0"/>
              <w:snapToGrid w:val="0"/>
              <w:spacing w:line="360" w:lineRule="auto"/>
              <w:rPr>
                <w:rFonts w:hint="default" w:ascii="Times New Roman" w:hAnsi="Times New Roman" w:cs="Times New Roman"/>
                <w:sz w:val="24"/>
                <w:szCs w:val="24"/>
                <w:u w:val="none" w:color="auto"/>
              </w:rPr>
            </w:pPr>
          </w:p>
          <w:p>
            <w:pPr>
              <w:adjustRightInd w:val="0"/>
              <w:snapToGrid w:val="0"/>
              <w:spacing w:line="360" w:lineRule="auto"/>
              <w:rPr>
                <w:rFonts w:hint="default" w:ascii="Times New Roman" w:hAnsi="Times New Roman" w:cs="Times New Roman"/>
                <w:sz w:val="24"/>
                <w:szCs w:val="24"/>
                <w:u w:val="none" w:color="auto"/>
              </w:rPr>
            </w:pPr>
          </w:p>
          <w:p>
            <w:pPr>
              <w:adjustRightInd w:val="0"/>
              <w:snapToGrid w:val="0"/>
              <w:spacing w:line="360" w:lineRule="auto"/>
              <w:rPr>
                <w:rFonts w:hint="default" w:ascii="Times New Roman" w:hAnsi="Times New Roman" w:cs="Times New Roman"/>
                <w:sz w:val="24"/>
                <w:szCs w:val="24"/>
                <w:u w:val="none" w:color="auto"/>
              </w:rPr>
            </w:pPr>
          </w:p>
          <w:p>
            <w:pPr>
              <w:adjustRightInd w:val="0"/>
              <w:snapToGrid w:val="0"/>
              <w:spacing w:line="360" w:lineRule="auto"/>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（二）营运期环境影响分析</w:t>
            </w:r>
          </w:p>
          <w:p>
            <w:pPr>
              <w:adjustRightInd w:val="0"/>
              <w:snapToGrid w:val="0"/>
              <w:spacing w:line="360" w:lineRule="auto"/>
              <w:ind w:firstLine="466"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1、大气环境影响分析</w:t>
            </w:r>
          </w:p>
          <w:p>
            <w:pPr>
              <w:pStyle w:val="34"/>
              <w:spacing w:line="360" w:lineRule="auto"/>
              <w:ind w:left="0" w:leftChars="0" w:firstLine="466" w:firstLineChars="200"/>
              <w:jc w:val="left"/>
              <w:rPr>
                <w:sz w:val="24"/>
                <w:u w:val="none" w:color="auto"/>
              </w:rPr>
            </w:pPr>
            <w:r>
              <w:rPr>
                <w:sz w:val="24"/>
                <w:u w:val="none" w:color="auto"/>
              </w:rPr>
              <w:t>本项目运营过程中产生的废气有</w:t>
            </w:r>
            <w:r>
              <w:rPr>
                <w:rFonts w:hint="eastAsia"/>
                <w:sz w:val="24"/>
                <w:u w:val="none" w:color="auto"/>
                <w:lang w:val="en-US" w:eastAsia="zh-CN"/>
              </w:rPr>
              <w:t>印刷、固化废气、分切工序废气</w:t>
            </w:r>
            <w:r>
              <w:rPr>
                <w:rFonts w:hint="eastAsia"/>
                <w:sz w:val="24"/>
                <w:u w:val="none" w:color="auto"/>
              </w:rPr>
              <w:t>。</w:t>
            </w:r>
          </w:p>
          <w:p>
            <w:pPr>
              <w:pStyle w:val="34"/>
              <w:spacing w:line="360" w:lineRule="auto"/>
              <w:ind w:left="400"/>
              <w:jc w:val="left"/>
              <w:rPr>
                <w:rFonts w:hint="default" w:eastAsia="宋体"/>
                <w:sz w:val="24"/>
                <w:u w:val="none" w:color="auto"/>
                <w:lang w:val="en-US" w:eastAsia="zh-CN"/>
              </w:rPr>
            </w:pPr>
            <w:r>
              <w:rPr>
                <w:rFonts w:hint="eastAsia"/>
                <w:sz w:val="24"/>
                <w:u w:val="none" w:color="auto"/>
              </w:rPr>
              <w:t>（1）</w:t>
            </w:r>
            <w:r>
              <w:rPr>
                <w:rFonts w:hint="eastAsia"/>
                <w:sz w:val="24"/>
                <w:u w:val="none" w:color="auto"/>
                <w:lang w:eastAsia="zh-CN"/>
              </w:rPr>
              <w:t>印刷、</w:t>
            </w:r>
            <w:r>
              <w:rPr>
                <w:rFonts w:hint="eastAsia"/>
                <w:sz w:val="24"/>
                <w:u w:val="none" w:color="auto"/>
                <w:lang w:val="en-US" w:eastAsia="zh-CN"/>
              </w:rPr>
              <w:t>固化</w:t>
            </w:r>
            <w:r>
              <w:rPr>
                <w:rFonts w:hint="eastAsia"/>
                <w:sz w:val="24"/>
                <w:u w:val="none" w:color="auto"/>
                <w:lang w:eastAsia="zh-CN"/>
              </w:rPr>
              <w:t>废气</w:t>
            </w:r>
          </w:p>
          <w:p>
            <w:pPr>
              <w:pStyle w:val="34"/>
              <w:spacing w:line="360" w:lineRule="auto"/>
              <w:ind w:left="0" w:leftChars="0" w:firstLine="466" w:firstLineChars="200"/>
              <w:jc w:val="left"/>
              <w:rPr>
                <w:rFonts w:hint="default" w:eastAsia="宋体"/>
                <w:sz w:val="24"/>
                <w:u w:val="none" w:color="auto"/>
                <w:lang w:val="en-US" w:eastAsia="zh-CN"/>
              </w:rPr>
            </w:pPr>
            <w:r>
              <w:rPr>
                <w:rFonts w:hint="eastAsia"/>
                <w:sz w:val="24"/>
                <w:u w:val="none" w:color="auto"/>
                <w:lang w:val="en-US" w:eastAsia="zh-CN"/>
              </w:rPr>
              <w:t>根据工程分析可知，项目印刷、固化废气量为0.04t/a，经集气罩收集后再通过UV光解设施+活性炭吸附+24m高排气筒排放</w:t>
            </w:r>
            <w:r>
              <w:rPr>
                <w:rFonts w:hint="default" w:ascii="Times New Roman" w:hAnsi="Times New Roman" w:cs="Times New Roman"/>
                <w:color w:val="auto"/>
                <w:sz w:val="24"/>
                <w:szCs w:val="24"/>
                <w:u w:val="none" w:color="auto"/>
                <w:lang w:eastAsia="zh-CN"/>
              </w:rPr>
              <w:t>，经处理后</w:t>
            </w:r>
            <w:r>
              <w:rPr>
                <w:rFonts w:hint="eastAsia" w:cs="Times New Roman"/>
                <w:color w:val="auto"/>
                <w:sz w:val="24"/>
                <w:szCs w:val="24"/>
                <w:u w:val="none" w:color="auto"/>
                <w:lang w:eastAsia="zh-CN"/>
              </w:rPr>
              <w:t>，</w:t>
            </w:r>
            <w:r>
              <w:rPr>
                <w:rFonts w:hint="default" w:ascii="Times New Roman" w:hAnsi="Times New Roman" w:cs="Times New Roman"/>
                <w:color w:val="auto"/>
                <w:sz w:val="24"/>
                <w:szCs w:val="24"/>
                <w:u w:val="none" w:color="auto"/>
                <w:lang w:eastAsia="zh-CN"/>
              </w:rPr>
              <w:t>本排气筒中</w:t>
            </w:r>
            <w:r>
              <w:rPr>
                <w:rFonts w:hint="default" w:ascii="Times New Roman" w:hAnsi="Times New Roman" w:eastAsia="宋体" w:cs="Times New Roman"/>
                <w:color w:val="auto"/>
                <w:sz w:val="24"/>
                <w:szCs w:val="24"/>
                <w:u w:val="none" w:color="auto"/>
              </w:rPr>
              <w:t>VOCs有组织排放量为</w:t>
            </w:r>
            <w:r>
              <w:rPr>
                <w:rFonts w:hint="eastAsia" w:cs="Times New Roman"/>
                <w:color w:val="auto"/>
                <w:sz w:val="24"/>
                <w:szCs w:val="24"/>
                <w:u w:val="none" w:color="auto"/>
                <w:lang w:val="en-US" w:eastAsia="zh-CN"/>
              </w:rPr>
              <w:t>0.032</w:t>
            </w:r>
            <w:r>
              <w:rPr>
                <w:rFonts w:hint="default" w:ascii="Times New Roman" w:hAnsi="Times New Roman" w:eastAsia="宋体" w:cs="Times New Roman"/>
                <w:color w:val="auto"/>
                <w:sz w:val="24"/>
                <w:szCs w:val="24"/>
                <w:u w:val="none" w:color="auto"/>
              </w:rPr>
              <w:t>t/a（</w:t>
            </w:r>
            <w:r>
              <w:rPr>
                <w:rFonts w:hint="eastAsia" w:cs="Times New Roman"/>
                <w:color w:val="auto"/>
                <w:sz w:val="24"/>
                <w:szCs w:val="24"/>
                <w:u w:val="none" w:color="auto"/>
                <w:lang w:val="en-US" w:eastAsia="zh-CN"/>
              </w:rPr>
              <w:t>0.0133</w:t>
            </w:r>
            <w:r>
              <w:rPr>
                <w:rFonts w:hint="default" w:ascii="Times New Roman" w:hAnsi="Times New Roman" w:eastAsia="宋体" w:cs="Times New Roman"/>
                <w:color w:val="auto"/>
                <w:sz w:val="24"/>
                <w:szCs w:val="24"/>
                <w:u w:val="none" w:color="auto"/>
              </w:rPr>
              <w:t>kg/h，</w:t>
            </w:r>
            <w:r>
              <w:rPr>
                <w:rFonts w:hint="eastAsia" w:ascii="Times New Roman" w:hAnsi="Times New Roman" w:eastAsia="宋体" w:cs="Times New Roman"/>
                <w:color w:val="auto"/>
                <w:sz w:val="24"/>
                <w:szCs w:val="24"/>
                <w:u w:val="none" w:color="auto"/>
                <w:lang w:val="en-US" w:eastAsia="zh-CN"/>
              </w:rPr>
              <w:t>1.0</w:t>
            </w:r>
            <w:r>
              <w:rPr>
                <w:rFonts w:hint="default" w:ascii="Times New Roman" w:hAnsi="Times New Roman" w:eastAsia="宋体" w:cs="Times New Roman"/>
                <w:color w:val="auto"/>
                <w:sz w:val="24"/>
                <w:szCs w:val="24"/>
                <w:u w:val="none" w:color="auto"/>
              </w:rPr>
              <w:t>mg/m</w:t>
            </w:r>
            <w:r>
              <w:rPr>
                <w:rFonts w:hint="default" w:ascii="Times New Roman" w:hAnsi="Times New Roman" w:eastAsia="宋体" w:cs="Times New Roman"/>
                <w:color w:val="auto"/>
                <w:sz w:val="24"/>
                <w:szCs w:val="24"/>
                <w:u w:val="none" w:color="auto"/>
                <w:vertAlign w:val="superscript"/>
              </w:rPr>
              <w:t>3</w:t>
            </w:r>
            <w:r>
              <w:rPr>
                <w:rFonts w:hint="default" w:ascii="Times New Roman" w:hAnsi="Times New Roman" w:eastAsia="宋体" w:cs="Times New Roman"/>
                <w:color w:val="auto"/>
                <w:sz w:val="24"/>
                <w:szCs w:val="24"/>
                <w:u w:val="none" w:color="auto"/>
              </w:rPr>
              <w:t>）</w:t>
            </w:r>
            <w:r>
              <w:rPr>
                <w:rFonts w:hint="default" w:ascii="Times New Roman" w:hAnsi="Times New Roman" w:cs="Times New Roman"/>
                <w:color w:val="auto"/>
                <w:sz w:val="24"/>
                <w:szCs w:val="24"/>
                <w:u w:val="none" w:color="auto"/>
                <w:lang w:eastAsia="zh-CN"/>
              </w:rPr>
              <w:t>、</w:t>
            </w:r>
            <w:r>
              <w:rPr>
                <w:rFonts w:hint="default" w:ascii="Times New Roman" w:hAnsi="Times New Roman" w:eastAsia="宋体" w:cs="Times New Roman"/>
                <w:color w:val="auto"/>
                <w:sz w:val="24"/>
                <w:szCs w:val="24"/>
                <w:u w:val="none" w:color="auto"/>
              </w:rPr>
              <w:t>VOCs无组织排放量为</w:t>
            </w:r>
            <w:r>
              <w:rPr>
                <w:rFonts w:hint="eastAsia" w:cs="Times New Roman"/>
                <w:color w:val="auto"/>
                <w:sz w:val="24"/>
                <w:szCs w:val="24"/>
                <w:u w:val="none" w:color="auto"/>
                <w:lang w:val="en-US" w:eastAsia="zh-CN"/>
              </w:rPr>
              <w:t>0.03</w:t>
            </w:r>
            <w:r>
              <w:rPr>
                <w:rFonts w:hint="default" w:ascii="Times New Roman" w:hAnsi="Times New Roman" w:eastAsia="宋体" w:cs="Times New Roman"/>
                <w:color w:val="auto"/>
                <w:sz w:val="24"/>
                <w:szCs w:val="24"/>
                <w:u w:val="none" w:color="auto"/>
              </w:rPr>
              <w:t>t/a（</w:t>
            </w:r>
            <w:r>
              <w:rPr>
                <w:rFonts w:hint="eastAsia" w:cs="Times New Roman"/>
                <w:color w:val="auto"/>
                <w:sz w:val="24"/>
                <w:szCs w:val="24"/>
                <w:u w:val="none" w:color="auto"/>
                <w:lang w:val="en-US" w:eastAsia="zh-CN"/>
              </w:rPr>
              <w:t>0.0167</w:t>
            </w:r>
            <w:r>
              <w:rPr>
                <w:rFonts w:hint="default" w:ascii="Times New Roman" w:hAnsi="Times New Roman" w:eastAsia="宋体" w:cs="Times New Roman"/>
                <w:color w:val="auto"/>
                <w:sz w:val="24"/>
                <w:szCs w:val="24"/>
                <w:u w:val="none" w:color="auto"/>
              </w:rPr>
              <w:t>kg/h）</w:t>
            </w:r>
            <w:r>
              <w:rPr>
                <w:rFonts w:hint="default" w:ascii="Times New Roman" w:hAnsi="Times New Roman" w:cs="Times New Roman"/>
                <w:color w:val="auto"/>
                <w:sz w:val="24"/>
                <w:szCs w:val="24"/>
                <w:u w:val="none" w:color="auto"/>
                <w:lang w:eastAsia="zh-CN"/>
              </w:rPr>
              <w:t>。</w:t>
            </w:r>
            <w:r>
              <w:rPr>
                <w:rFonts w:hint="eastAsia" w:ascii="Times New Roman" w:hAnsi="Times New Roman" w:cs="Times New Roman"/>
                <w:color w:val="auto"/>
                <w:sz w:val="24"/>
                <w:szCs w:val="24"/>
                <w:u w:val="none" w:color="auto"/>
                <w:lang w:val="en-US" w:eastAsia="zh-CN"/>
              </w:rPr>
              <w:t>经处理后废气中有机废气</w:t>
            </w:r>
            <w:r>
              <w:rPr>
                <w:rFonts w:hint="eastAsia" w:cs="Times New Roman"/>
                <w:color w:val="auto"/>
                <w:sz w:val="24"/>
                <w:szCs w:val="24"/>
                <w:u w:val="none" w:color="auto"/>
                <w:lang w:val="en-US" w:eastAsia="zh-CN"/>
              </w:rPr>
              <w:t>排放浓度</w:t>
            </w:r>
            <w:r>
              <w:rPr>
                <w:rFonts w:hint="eastAsia" w:ascii="Times New Roman" w:hAnsi="Times New Roman" w:cs="Times New Roman"/>
                <w:color w:val="auto"/>
                <w:sz w:val="24"/>
                <w:szCs w:val="24"/>
                <w:u w:val="none" w:color="auto"/>
                <w:lang w:val="en-US" w:eastAsia="zh-CN"/>
              </w:rPr>
              <w:t>可达到</w:t>
            </w:r>
            <w:r>
              <w:rPr>
                <w:rFonts w:hint="eastAsia" w:cs="Times New Roman"/>
                <w:color w:val="auto"/>
                <w:kern w:val="0"/>
                <w:sz w:val="24"/>
                <w:szCs w:val="24"/>
                <w:u w:val="none" w:color="auto"/>
                <w:lang w:val="en-US" w:eastAsia="zh-CN" w:bidi="ar"/>
              </w:rPr>
              <w:t>《印刷业挥发性有机物排放标准》（DB43/1357-2017）中排放标准限值要求。</w:t>
            </w:r>
          </w:p>
          <w:p>
            <w:pPr>
              <w:pStyle w:val="34"/>
              <w:spacing w:line="360" w:lineRule="auto"/>
              <w:ind w:left="400"/>
              <w:jc w:val="left"/>
              <w:rPr>
                <w:sz w:val="24"/>
                <w:u w:val="none" w:color="auto"/>
              </w:rPr>
            </w:pPr>
            <w:r>
              <w:rPr>
                <w:rFonts w:hint="eastAsia"/>
                <w:sz w:val="24"/>
                <w:u w:val="none" w:color="auto"/>
                <w:lang w:eastAsia="zh-CN"/>
              </w:rPr>
              <w:t>（</w:t>
            </w:r>
            <w:r>
              <w:rPr>
                <w:rFonts w:hint="eastAsia"/>
                <w:sz w:val="24"/>
                <w:u w:val="none" w:color="auto"/>
                <w:lang w:val="en-US" w:eastAsia="zh-CN"/>
              </w:rPr>
              <w:t>2</w:t>
            </w:r>
            <w:r>
              <w:rPr>
                <w:rFonts w:hint="eastAsia"/>
                <w:sz w:val="24"/>
                <w:u w:val="none" w:color="auto"/>
                <w:lang w:eastAsia="zh-CN"/>
              </w:rPr>
              <w:t>）</w:t>
            </w:r>
            <w:r>
              <w:rPr>
                <w:rFonts w:hint="eastAsia"/>
                <w:sz w:val="24"/>
                <w:u w:val="none" w:color="auto"/>
                <w:lang w:val="en-US" w:eastAsia="zh-CN"/>
              </w:rPr>
              <w:t>分切工序</w:t>
            </w:r>
            <w:r>
              <w:rPr>
                <w:rFonts w:hint="eastAsia"/>
                <w:sz w:val="24"/>
                <w:u w:val="none" w:color="auto"/>
                <w:lang w:eastAsia="zh-CN"/>
              </w:rPr>
              <w:t>废气</w:t>
            </w:r>
          </w:p>
          <w:p>
            <w:pPr>
              <w:spacing w:line="360" w:lineRule="auto"/>
              <w:ind w:firstLine="466" w:firstLineChars="200"/>
              <w:jc w:val="both"/>
              <w:rPr>
                <w:b/>
                <w:sz w:val="24"/>
                <w:u w:val="none" w:color="auto"/>
              </w:rPr>
            </w:pPr>
            <w:r>
              <w:rPr>
                <w:rFonts w:hint="eastAsia" w:ascii="宋体" w:hAnsi="宋体" w:cs="宋体"/>
                <w:color w:val="333333"/>
                <w:sz w:val="24"/>
                <w:szCs w:val="24"/>
                <w:u w:val="none" w:color="auto"/>
                <w:lang w:val="en-US" w:eastAsia="zh-CN"/>
              </w:rPr>
              <w:t>根据工程分析可知，</w:t>
            </w:r>
            <w:r>
              <w:rPr>
                <w:rFonts w:hint="eastAsia" w:ascii="Times New Roman" w:hAnsi="Times New Roman" w:cs="Times New Roman"/>
                <w:color w:val="333333"/>
                <w:sz w:val="24"/>
                <w:szCs w:val="24"/>
                <w:u w:val="none" w:color="auto"/>
                <w:lang w:val="en-US" w:eastAsia="zh-CN"/>
              </w:rPr>
              <w:t>本项目在分切工序产生的粉尘量为1.4658t/a，</w:t>
            </w:r>
            <w:r>
              <w:rPr>
                <w:rFonts w:hint="eastAsia" w:cs="Times New Roman"/>
                <w:color w:val="333333"/>
                <w:sz w:val="24"/>
                <w:szCs w:val="24"/>
                <w:u w:val="none" w:color="auto"/>
                <w:lang w:val="en-US" w:eastAsia="zh-CN"/>
              </w:rPr>
              <w:t>经</w:t>
            </w:r>
            <w:r>
              <w:rPr>
                <w:rFonts w:hint="eastAsia" w:ascii="Times New Roman" w:hAnsi="Times New Roman" w:cs="Times New Roman"/>
                <w:color w:val="333333"/>
                <w:sz w:val="24"/>
                <w:szCs w:val="24"/>
                <w:u w:val="none" w:color="auto"/>
                <w:lang w:val="en-US" w:eastAsia="zh-CN"/>
              </w:rPr>
              <w:t>集气罩收集后通过布袋除尘器处理后和印刷废气一同经同一根</w:t>
            </w:r>
            <w:r>
              <w:rPr>
                <w:rFonts w:hint="eastAsia" w:cs="Times New Roman"/>
                <w:color w:val="333333"/>
                <w:sz w:val="24"/>
                <w:szCs w:val="24"/>
                <w:u w:val="none" w:color="auto"/>
                <w:lang w:val="en-US" w:eastAsia="zh-CN"/>
              </w:rPr>
              <w:t>24m高</w:t>
            </w:r>
            <w:r>
              <w:rPr>
                <w:rFonts w:hint="eastAsia" w:ascii="Times New Roman" w:hAnsi="Times New Roman" w:cs="Times New Roman"/>
                <w:color w:val="333333"/>
                <w:sz w:val="24"/>
                <w:szCs w:val="24"/>
                <w:u w:val="none" w:color="auto"/>
                <w:lang w:val="en-US" w:eastAsia="zh-CN"/>
              </w:rPr>
              <w:t>排气筒高空排放排放</w:t>
            </w:r>
            <w:r>
              <w:rPr>
                <w:rFonts w:hint="eastAsia"/>
                <w:sz w:val="24"/>
                <w:u w:val="none" w:color="auto"/>
                <w:lang w:val="en-US" w:eastAsia="zh-CN"/>
              </w:rPr>
              <w:t>，</w:t>
            </w:r>
            <w:r>
              <w:rPr>
                <w:rFonts w:hint="eastAsia" w:cs="Times New Roman"/>
                <w:color w:val="333333"/>
                <w:sz w:val="24"/>
                <w:szCs w:val="24"/>
                <w:u w:val="none" w:color="auto"/>
                <w:lang w:val="en-US" w:eastAsia="zh-CN"/>
              </w:rPr>
              <w:t>经计算分切工序</w:t>
            </w:r>
            <w:r>
              <w:rPr>
                <w:rFonts w:hint="default" w:ascii="Times New Roman" w:hAnsi="Times New Roman" w:eastAsia="宋体" w:cs="Times New Roman"/>
                <w:color w:val="auto"/>
                <w:sz w:val="24"/>
                <w:szCs w:val="24"/>
                <w:u w:val="none" w:color="auto"/>
              </w:rPr>
              <w:t>颗粒物有组织排放量为</w:t>
            </w:r>
            <w:r>
              <w:rPr>
                <w:rFonts w:hint="eastAsia" w:cs="Times New Roman"/>
                <w:color w:val="auto"/>
                <w:sz w:val="24"/>
                <w:szCs w:val="24"/>
                <w:u w:val="none" w:color="auto"/>
                <w:lang w:val="en-US" w:eastAsia="zh-CN"/>
              </w:rPr>
              <w:t>0.117</w:t>
            </w:r>
            <w:r>
              <w:rPr>
                <w:rFonts w:hint="default" w:ascii="Times New Roman" w:hAnsi="Times New Roman" w:eastAsia="宋体" w:cs="Times New Roman"/>
                <w:color w:val="auto"/>
                <w:sz w:val="24"/>
                <w:szCs w:val="24"/>
                <w:u w:val="none" w:color="auto"/>
              </w:rPr>
              <w:t>t/a（</w:t>
            </w:r>
            <w:r>
              <w:rPr>
                <w:rFonts w:hint="eastAsia" w:cs="Times New Roman"/>
                <w:color w:val="auto"/>
                <w:sz w:val="24"/>
                <w:szCs w:val="24"/>
                <w:u w:val="none" w:color="auto"/>
                <w:lang w:val="en-US" w:eastAsia="zh-CN"/>
              </w:rPr>
              <w:t>0.04875</w:t>
            </w:r>
            <w:r>
              <w:rPr>
                <w:rFonts w:hint="default" w:ascii="Times New Roman" w:hAnsi="Times New Roman" w:eastAsia="宋体" w:cs="Times New Roman"/>
                <w:color w:val="auto"/>
                <w:sz w:val="24"/>
                <w:szCs w:val="24"/>
                <w:u w:val="none" w:color="auto"/>
              </w:rPr>
              <w:t>kg/h，</w:t>
            </w:r>
            <w:r>
              <w:rPr>
                <w:rFonts w:hint="eastAsia" w:cs="Times New Roman"/>
                <w:color w:val="auto"/>
                <w:sz w:val="24"/>
                <w:szCs w:val="24"/>
                <w:u w:val="none" w:color="auto"/>
                <w:lang w:val="en-US" w:eastAsia="zh-CN"/>
              </w:rPr>
              <w:t>16.25</w:t>
            </w:r>
            <w:r>
              <w:rPr>
                <w:rFonts w:hint="default" w:ascii="Times New Roman" w:hAnsi="Times New Roman" w:eastAsia="宋体" w:cs="Times New Roman"/>
                <w:color w:val="auto"/>
                <w:sz w:val="24"/>
                <w:szCs w:val="24"/>
                <w:u w:val="none" w:color="auto"/>
              </w:rPr>
              <w:t>mg/m</w:t>
            </w:r>
            <w:r>
              <w:rPr>
                <w:rFonts w:hint="default" w:ascii="Times New Roman" w:hAnsi="Times New Roman" w:eastAsia="宋体" w:cs="Times New Roman"/>
                <w:color w:val="auto"/>
                <w:sz w:val="24"/>
                <w:szCs w:val="24"/>
                <w:u w:val="none" w:color="auto"/>
                <w:vertAlign w:val="superscript"/>
              </w:rPr>
              <w:t>3</w:t>
            </w:r>
            <w:r>
              <w:rPr>
                <w:rFonts w:hint="default" w:ascii="Times New Roman" w:hAnsi="Times New Roman" w:eastAsia="宋体" w:cs="Times New Roman"/>
                <w:color w:val="auto"/>
                <w:sz w:val="24"/>
                <w:szCs w:val="24"/>
                <w:u w:val="none" w:color="auto"/>
              </w:rPr>
              <w:t>）</w:t>
            </w:r>
            <w:r>
              <w:rPr>
                <w:rFonts w:hint="default" w:ascii="Times New Roman" w:hAnsi="Times New Roman" w:cs="Times New Roman"/>
                <w:color w:val="auto"/>
                <w:sz w:val="24"/>
                <w:szCs w:val="24"/>
                <w:u w:val="none" w:color="auto"/>
                <w:lang w:eastAsia="zh-CN"/>
              </w:rPr>
              <w:t>、颗粒物</w:t>
            </w:r>
            <w:r>
              <w:rPr>
                <w:rFonts w:hint="default" w:ascii="Times New Roman" w:hAnsi="Times New Roman" w:eastAsia="宋体" w:cs="Times New Roman"/>
                <w:color w:val="auto"/>
                <w:sz w:val="24"/>
                <w:szCs w:val="24"/>
                <w:u w:val="none" w:color="auto"/>
              </w:rPr>
              <w:t>无组织排放量</w:t>
            </w:r>
            <w:r>
              <w:rPr>
                <w:rFonts w:hint="eastAsia" w:cs="Times New Roman"/>
                <w:color w:val="auto"/>
                <w:sz w:val="24"/>
                <w:szCs w:val="24"/>
                <w:u w:val="none" w:color="auto"/>
                <w:lang w:val="en-US" w:eastAsia="zh-CN"/>
              </w:rPr>
              <w:t>0.2958</w:t>
            </w:r>
            <w:r>
              <w:rPr>
                <w:rFonts w:hint="default" w:ascii="Times New Roman" w:hAnsi="Times New Roman" w:eastAsia="宋体" w:cs="Times New Roman"/>
                <w:color w:val="auto"/>
                <w:sz w:val="24"/>
                <w:szCs w:val="24"/>
                <w:u w:val="none" w:color="auto"/>
              </w:rPr>
              <w:t>t/a（</w:t>
            </w:r>
            <w:r>
              <w:rPr>
                <w:rFonts w:hint="eastAsia" w:cs="Times New Roman"/>
                <w:color w:val="auto"/>
                <w:sz w:val="24"/>
                <w:szCs w:val="24"/>
                <w:u w:val="none" w:color="auto"/>
                <w:lang w:eastAsia="zh-CN"/>
              </w:rPr>
              <w:t>0.123</w:t>
            </w:r>
            <w:r>
              <w:rPr>
                <w:rFonts w:hint="default" w:ascii="Times New Roman" w:hAnsi="Times New Roman" w:eastAsia="宋体" w:cs="Times New Roman"/>
                <w:color w:val="auto"/>
                <w:sz w:val="24"/>
                <w:szCs w:val="24"/>
                <w:u w:val="none" w:color="auto"/>
              </w:rPr>
              <w:t>kg/h）</w:t>
            </w:r>
            <w:r>
              <w:rPr>
                <w:rFonts w:hint="eastAsia"/>
                <w:color w:val="auto"/>
                <w:sz w:val="24"/>
                <w:szCs w:val="24"/>
                <w:u w:val="none" w:color="auto"/>
              </w:rPr>
              <w:t>。</w:t>
            </w:r>
            <w:r>
              <w:rPr>
                <w:rFonts w:hint="eastAsia"/>
                <w:color w:val="auto"/>
                <w:sz w:val="24"/>
                <w:szCs w:val="24"/>
                <w:u w:val="none" w:color="auto"/>
                <w:lang w:val="en-US" w:eastAsia="zh-CN"/>
              </w:rPr>
              <w:t>经处理后废气中颗粒物排放浓度可达到</w:t>
            </w:r>
            <w:r>
              <w:rPr>
                <w:rFonts w:hint="default" w:ascii="Times New Roman" w:hAnsi="Times New Roman" w:eastAsia="宋体" w:cs="Times New Roman"/>
                <w:color w:val="auto"/>
                <w:kern w:val="0"/>
                <w:sz w:val="24"/>
                <w:szCs w:val="24"/>
                <w:u w:val="none" w:color="auto"/>
                <w:lang w:val="en-US" w:eastAsia="zh-CN" w:bidi="ar"/>
              </w:rPr>
              <w:t>《大气污染物综合排放标准》（GB16297-1996）表2的二级标准</w:t>
            </w:r>
            <w:r>
              <w:rPr>
                <w:rFonts w:hint="default" w:ascii="Times New Roman" w:hAnsi="Times New Roman" w:cs="Times New Roman"/>
                <w:color w:val="auto"/>
                <w:kern w:val="0"/>
                <w:sz w:val="24"/>
                <w:szCs w:val="24"/>
                <w:u w:val="none" w:color="auto"/>
                <w:lang w:val="en-US" w:eastAsia="zh-CN" w:bidi="ar"/>
              </w:rPr>
              <w:t>和无组织排放标准</w:t>
            </w:r>
            <w:r>
              <w:rPr>
                <w:rFonts w:hint="eastAsia" w:cs="Times New Roman"/>
                <w:color w:val="auto"/>
                <w:kern w:val="0"/>
                <w:sz w:val="24"/>
                <w:szCs w:val="24"/>
                <w:u w:val="none" w:color="auto"/>
                <w:lang w:val="en-US" w:eastAsia="zh-CN" w:bidi="ar"/>
              </w:rPr>
              <w:t>限值要求</w:t>
            </w:r>
            <w:r>
              <w:rPr>
                <w:rFonts w:hint="eastAsia" w:cs="Times New Roman"/>
                <w:color w:val="auto"/>
                <w:sz w:val="24"/>
                <w:szCs w:val="28"/>
                <w:u w:val="none" w:color="auto"/>
                <w:lang w:eastAsia="zh-CN"/>
              </w:rPr>
              <w:t>。</w:t>
            </w:r>
          </w:p>
          <w:p>
            <w:pPr>
              <w:spacing w:line="360" w:lineRule="auto"/>
              <w:ind w:firstLine="466" w:firstLineChars="200"/>
              <w:jc w:val="center"/>
              <w:rPr>
                <w:b/>
                <w:sz w:val="24"/>
                <w:u w:val="none" w:color="auto"/>
              </w:rPr>
            </w:pPr>
            <w:r>
              <w:rPr>
                <w:b/>
                <w:sz w:val="24"/>
                <w:u w:val="none" w:color="auto"/>
              </w:rPr>
              <w:t>表7-</w:t>
            </w:r>
            <w:r>
              <w:rPr>
                <w:rFonts w:hint="eastAsia"/>
                <w:b/>
                <w:sz w:val="24"/>
                <w:u w:val="none" w:color="auto"/>
                <w:lang w:val="en-US" w:eastAsia="zh-CN"/>
              </w:rPr>
              <w:t>1</w:t>
            </w:r>
            <w:r>
              <w:rPr>
                <w:rFonts w:hint="eastAsia"/>
                <w:b/>
                <w:sz w:val="24"/>
                <w:u w:val="none" w:color="auto"/>
              </w:rPr>
              <w:t>本项目主要大气污染物汇总表</w:t>
            </w:r>
          </w:p>
          <w:tbl>
            <w:tblPr>
              <w:tblStyle w:val="40"/>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388"/>
              <w:gridCol w:w="1663"/>
              <w:gridCol w:w="1009"/>
              <w:gridCol w:w="1081"/>
              <w:gridCol w:w="26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4" w:type="pct"/>
                  <w:tcBorders>
                    <w:tl2br w:val="nil"/>
                    <w:tr2bl w:val="nil"/>
                  </w:tcBorders>
                  <w:noWrap w:val="0"/>
                  <w:vAlign w:val="center"/>
                </w:tcPr>
                <w:p>
                  <w:pPr>
                    <w:pStyle w:val="194"/>
                    <w:spacing w:line="240" w:lineRule="auto"/>
                    <w:ind w:firstLine="0" w:firstLineChars="0"/>
                    <w:jc w:val="center"/>
                    <w:rPr>
                      <w:sz w:val="21"/>
                      <w:szCs w:val="21"/>
                      <w:u w:val="none" w:color="auto"/>
                    </w:rPr>
                  </w:pPr>
                  <w:r>
                    <w:rPr>
                      <w:rFonts w:hint="eastAsia"/>
                      <w:sz w:val="21"/>
                      <w:szCs w:val="21"/>
                      <w:u w:val="none" w:color="auto"/>
                    </w:rPr>
                    <w:t>排放源</w:t>
                  </w:r>
                </w:p>
              </w:tc>
              <w:tc>
                <w:tcPr>
                  <w:tcW w:w="766" w:type="pct"/>
                  <w:tcBorders>
                    <w:tl2br w:val="nil"/>
                    <w:tr2bl w:val="nil"/>
                  </w:tcBorders>
                  <w:noWrap w:val="0"/>
                  <w:vAlign w:val="center"/>
                </w:tcPr>
                <w:p>
                  <w:pPr>
                    <w:pStyle w:val="194"/>
                    <w:spacing w:line="240" w:lineRule="auto"/>
                    <w:ind w:firstLine="0" w:firstLineChars="0"/>
                    <w:jc w:val="center"/>
                    <w:rPr>
                      <w:sz w:val="21"/>
                      <w:szCs w:val="21"/>
                      <w:u w:val="none" w:color="auto"/>
                    </w:rPr>
                  </w:pPr>
                  <w:r>
                    <w:rPr>
                      <w:rFonts w:hint="eastAsia"/>
                      <w:sz w:val="21"/>
                      <w:szCs w:val="21"/>
                      <w:u w:val="none" w:color="auto"/>
                    </w:rPr>
                    <w:t>排放方式</w:t>
                  </w:r>
                </w:p>
              </w:tc>
              <w:tc>
                <w:tcPr>
                  <w:tcW w:w="918" w:type="pct"/>
                  <w:tcBorders>
                    <w:tl2br w:val="nil"/>
                    <w:tr2bl w:val="nil"/>
                  </w:tcBorders>
                  <w:noWrap w:val="0"/>
                  <w:vAlign w:val="center"/>
                </w:tcPr>
                <w:p>
                  <w:pPr>
                    <w:pStyle w:val="194"/>
                    <w:spacing w:line="240" w:lineRule="auto"/>
                    <w:ind w:firstLine="0" w:firstLineChars="0"/>
                    <w:jc w:val="center"/>
                    <w:rPr>
                      <w:sz w:val="21"/>
                      <w:szCs w:val="21"/>
                      <w:u w:val="none" w:color="auto"/>
                    </w:rPr>
                  </w:pPr>
                  <w:r>
                    <w:rPr>
                      <w:rFonts w:hint="eastAsia"/>
                      <w:sz w:val="21"/>
                      <w:szCs w:val="21"/>
                      <w:u w:val="none" w:color="auto"/>
                    </w:rPr>
                    <w:t>污染物</w:t>
                  </w:r>
                </w:p>
              </w:tc>
              <w:tc>
                <w:tcPr>
                  <w:tcW w:w="557" w:type="pct"/>
                  <w:tcBorders>
                    <w:tl2br w:val="nil"/>
                    <w:tr2bl w:val="nil"/>
                  </w:tcBorders>
                  <w:noWrap w:val="0"/>
                  <w:vAlign w:val="center"/>
                </w:tcPr>
                <w:p>
                  <w:pPr>
                    <w:pStyle w:val="194"/>
                    <w:spacing w:line="240" w:lineRule="auto"/>
                    <w:ind w:firstLine="0" w:firstLineChars="0"/>
                    <w:jc w:val="center"/>
                    <w:rPr>
                      <w:sz w:val="21"/>
                      <w:szCs w:val="21"/>
                      <w:u w:val="none" w:color="auto"/>
                    </w:rPr>
                  </w:pPr>
                  <w:r>
                    <w:rPr>
                      <w:rFonts w:hint="eastAsia"/>
                      <w:sz w:val="21"/>
                      <w:szCs w:val="21"/>
                      <w:u w:val="none" w:color="auto"/>
                    </w:rPr>
                    <w:t>排放速率（kg/h）</w:t>
                  </w:r>
                </w:p>
              </w:tc>
              <w:tc>
                <w:tcPr>
                  <w:tcW w:w="597" w:type="pct"/>
                  <w:tcBorders>
                    <w:tl2br w:val="nil"/>
                    <w:tr2bl w:val="nil"/>
                  </w:tcBorders>
                  <w:noWrap w:val="0"/>
                  <w:vAlign w:val="center"/>
                </w:tcPr>
                <w:p>
                  <w:pPr>
                    <w:pStyle w:val="194"/>
                    <w:spacing w:line="240" w:lineRule="auto"/>
                    <w:ind w:firstLine="0" w:firstLineChars="0"/>
                    <w:jc w:val="center"/>
                    <w:rPr>
                      <w:sz w:val="21"/>
                      <w:szCs w:val="21"/>
                      <w:u w:val="none" w:color="auto"/>
                    </w:rPr>
                  </w:pPr>
                  <w:r>
                    <w:rPr>
                      <w:rFonts w:hint="eastAsia"/>
                      <w:sz w:val="21"/>
                      <w:szCs w:val="21"/>
                      <w:u w:val="none" w:color="auto"/>
                    </w:rPr>
                    <w:t>排放形式</w:t>
                  </w:r>
                </w:p>
              </w:tc>
              <w:tc>
                <w:tcPr>
                  <w:tcW w:w="1475" w:type="pct"/>
                  <w:tcBorders>
                    <w:tl2br w:val="nil"/>
                    <w:tr2bl w:val="nil"/>
                  </w:tcBorders>
                  <w:noWrap w:val="0"/>
                  <w:vAlign w:val="center"/>
                </w:tcPr>
                <w:p>
                  <w:pPr>
                    <w:pStyle w:val="194"/>
                    <w:spacing w:line="240" w:lineRule="auto"/>
                    <w:ind w:firstLine="0" w:firstLineChars="0"/>
                    <w:jc w:val="center"/>
                    <w:rPr>
                      <w:sz w:val="21"/>
                      <w:szCs w:val="21"/>
                      <w:u w:val="none" w:color="auto"/>
                    </w:rPr>
                  </w:pPr>
                  <w:r>
                    <w:rPr>
                      <w:rFonts w:hint="eastAsia"/>
                      <w:sz w:val="21"/>
                      <w:szCs w:val="21"/>
                      <w:u w:val="none" w:color="auto"/>
                    </w:rPr>
                    <w:t>治理措施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4" w:type="pct"/>
                  <w:vMerge w:val="restart"/>
                  <w:tcBorders>
                    <w:tl2br w:val="nil"/>
                    <w:tr2bl w:val="nil"/>
                  </w:tcBorders>
                  <w:noWrap w:val="0"/>
                  <w:vAlign w:val="center"/>
                </w:tcPr>
                <w:p>
                  <w:pPr>
                    <w:pStyle w:val="194"/>
                    <w:spacing w:line="240" w:lineRule="auto"/>
                    <w:ind w:firstLine="0" w:firstLineChars="0"/>
                    <w:jc w:val="center"/>
                    <w:rPr>
                      <w:rFonts w:hint="default" w:eastAsia="宋体"/>
                      <w:sz w:val="21"/>
                      <w:szCs w:val="21"/>
                      <w:u w:val="none" w:color="auto"/>
                      <w:lang w:val="en-US" w:eastAsia="zh-CN"/>
                    </w:rPr>
                  </w:pPr>
                  <w:r>
                    <w:rPr>
                      <w:rFonts w:hint="eastAsia"/>
                      <w:sz w:val="21"/>
                      <w:szCs w:val="21"/>
                      <w:u w:val="none" w:color="auto"/>
                      <w:lang w:val="en-US" w:eastAsia="zh-CN"/>
                    </w:rPr>
                    <w:t>印刷、固化区</w:t>
                  </w:r>
                </w:p>
              </w:tc>
              <w:tc>
                <w:tcPr>
                  <w:tcW w:w="766" w:type="pct"/>
                  <w:tcBorders>
                    <w:tl2br w:val="nil"/>
                    <w:tr2bl w:val="nil"/>
                  </w:tcBorders>
                  <w:noWrap w:val="0"/>
                  <w:vAlign w:val="center"/>
                </w:tcPr>
                <w:p>
                  <w:pPr>
                    <w:pStyle w:val="194"/>
                    <w:spacing w:line="240" w:lineRule="auto"/>
                    <w:ind w:firstLine="0" w:firstLineChars="0"/>
                    <w:jc w:val="center"/>
                    <w:rPr>
                      <w:sz w:val="21"/>
                      <w:szCs w:val="21"/>
                      <w:u w:val="none" w:color="auto"/>
                    </w:rPr>
                  </w:pPr>
                  <w:r>
                    <w:rPr>
                      <w:rFonts w:hint="eastAsia"/>
                      <w:sz w:val="21"/>
                      <w:szCs w:val="21"/>
                      <w:u w:val="none" w:color="auto"/>
                    </w:rPr>
                    <w:t>排气筒</w:t>
                  </w:r>
                </w:p>
              </w:tc>
              <w:tc>
                <w:tcPr>
                  <w:tcW w:w="918" w:type="pct"/>
                  <w:vMerge w:val="restart"/>
                  <w:tcBorders>
                    <w:tl2br w:val="nil"/>
                    <w:tr2bl w:val="nil"/>
                  </w:tcBorders>
                  <w:noWrap w:val="0"/>
                  <w:vAlign w:val="center"/>
                </w:tcPr>
                <w:p>
                  <w:pPr>
                    <w:jc w:val="center"/>
                    <w:rPr>
                      <w:rFonts w:hint="default" w:eastAsia="宋体"/>
                      <w:szCs w:val="21"/>
                      <w:u w:val="none" w:color="auto"/>
                      <w:lang w:val="en-US" w:eastAsia="zh-CN"/>
                    </w:rPr>
                  </w:pPr>
                  <w:r>
                    <w:rPr>
                      <w:rFonts w:hint="eastAsia"/>
                      <w:szCs w:val="21"/>
                      <w:u w:val="none" w:color="auto"/>
                      <w:lang w:val="en-US" w:eastAsia="zh-CN"/>
                    </w:rPr>
                    <w:t>VOC</w:t>
                  </w:r>
                  <w:r>
                    <w:rPr>
                      <w:rFonts w:hint="eastAsia"/>
                      <w:szCs w:val="21"/>
                      <w:u w:val="none" w:color="auto"/>
                      <w:vertAlign w:val="subscript"/>
                      <w:lang w:val="en-US" w:eastAsia="zh-CN"/>
                    </w:rPr>
                    <w:t>S</w:t>
                  </w:r>
                </w:p>
              </w:tc>
              <w:tc>
                <w:tcPr>
                  <w:tcW w:w="557" w:type="pct"/>
                  <w:tcBorders>
                    <w:tl2br w:val="nil"/>
                    <w:tr2bl w:val="nil"/>
                  </w:tcBorders>
                  <w:noWrap w:val="0"/>
                  <w:vAlign w:val="center"/>
                </w:tcPr>
                <w:p>
                  <w:pPr>
                    <w:widowControl/>
                    <w:jc w:val="center"/>
                    <w:textAlignment w:val="center"/>
                    <w:rPr>
                      <w:rFonts w:hint="default" w:eastAsia="宋体"/>
                      <w:szCs w:val="21"/>
                      <w:u w:val="none" w:color="auto"/>
                      <w:lang w:val="en-US" w:eastAsia="zh-CN"/>
                    </w:rPr>
                  </w:pPr>
                  <w:r>
                    <w:rPr>
                      <w:rFonts w:hint="eastAsia"/>
                      <w:szCs w:val="21"/>
                      <w:u w:val="none" w:color="auto"/>
                      <w:lang w:val="en-US" w:eastAsia="zh-CN"/>
                    </w:rPr>
                    <w:t>0.0133</w:t>
                  </w:r>
                </w:p>
              </w:tc>
              <w:tc>
                <w:tcPr>
                  <w:tcW w:w="597" w:type="pct"/>
                  <w:tcBorders>
                    <w:tl2br w:val="nil"/>
                    <w:tr2bl w:val="nil"/>
                  </w:tcBorders>
                  <w:noWrap w:val="0"/>
                  <w:vAlign w:val="center"/>
                </w:tcPr>
                <w:p>
                  <w:pPr>
                    <w:pStyle w:val="194"/>
                    <w:spacing w:line="240" w:lineRule="auto"/>
                    <w:ind w:firstLine="0" w:firstLineChars="0"/>
                    <w:jc w:val="center"/>
                    <w:rPr>
                      <w:sz w:val="21"/>
                      <w:szCs w:val="21"/>
                      <w:u w:val="none" w:color="auto"/>
                    </w:rPr>
                  </w:pPr>
                  <w:r>
                    <w:rPr>
                      <w:rFonts w:hint="eastAsia"/>
                      <w:sz w:val="21"/>
                      <w:szCs w:val="21"/>
                      <w:u w:val="none" w:color="auto"/>
                    </w:rPr>
                    <w:t>有组织</w:t>
                  </w:r>
                </w:p>
              </w:tc>
              <w:tc>
                <w:tcPr>
                  <w:tcW w:w="1475" w:type="pct"/>
                  <w:tcBorders>
                    <w:tl2br w:val="nil"/>
                    <w:tr2bl w:val="nil"/>
                  </w:tcBorders>
                  <w:noWrap w:val="0"/>
                  <w:vAlign w:val="center"/>
                </w:tcPr>
                <w:p>
                  <w:pPr>
                    <w:pStyle w:val="194"/>
                    <w:spacing w:line="240" w:lineRule="auto"/>
                    <w:ind w:firstLine="0" w:firstLineChars="0"/>
                    <w:jc w:val="center"/>
                    <w:rPr>
                      <w:sz w:val="21"/>
                      <w:szCs w:val="21"/>
                      <w:u w:val="none" w:color="auto"/>
                    </w:rPr>
                  </w:pPr>
                  <w:r>
                    <w:rPr>
                      <w:rFonts w:hint="eastAsia"/>
                      <w:sz w:val="21"/>
                      <w:szCs w:val="21"/>
                      <w:u w:val="none" w:color="auto"/>
                    </w:rPr>
                    <w:t>集气罩+</w:t>
                  </w:r>
                  <w:r>
                    <w:rPr>
                      <w:rFonts w:hint="eastAsia"/>
                      <w:sz w:val="21"/>
                      <w:szCs w:val="21"/>
                      <w:u w:val="none" w:color="auto"/>
                      <w:lang w:val="en-US" w:eastAsia="zh-CN"/>
                    </w:rPr>
                    <w:t>UV光解设施+</w:t>
                  </w:r>
                  <w:r>
                    <w:rPr>
                      <w:rFonts w:hint="eastAsia"/>
                      <w:sz w:val="21"/>
                      <w:szCs w:val="21"/>
                      <w:u w:val="none" w:color="auto"/>
                    </w:rPr>
                    <w:t>活性炭吸附+</w:t>
                  </w:r>
                  <w:r>
                    <w:rPr>
                      <w:rFonts w:hint="eastAsia"/>
                      <w:sz w:val="21"/>
                      <w:szCs w:val="21"/>
                      <w:u w:val="none" w:color="auto"/>
                      <w:lang w:val="en-US" w:eastAsia="zh-CN"/>
                    </w:rPr>
                    <w:t>24</w:t>
                  </w:r>
                  <w:r>
                    <w:rPr>
                      <w:rFonts w:hint="eastAsia"/>
                      <w:sz w:val="21"/>
                      <w:szCs w:val="21"/>
                      <w:u w:val="none" w:color="auto"/>
                    </w:rPr>
                    <w:t>m排气筒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84" w:type="pct"/>
                  <w:vMerge w:val="continue"/>
                  <w:tcBorders>
                    <w:tl2br w:val="nil"/>
                    <w:tr2bl w:val="nil"/>
                  </w:tcBorders>
                  <w:noWrap w:val="0"/>
                  <w:vAlign w:val="center"/>
                </w:tcPr>
                <w:p>
                  <w:pPr>
                    <w:pStyle w:val="194"/>
                    <w:spacing w:line="240" w:lineRule="auto"/>
                    <w:ind w:firstLine="0" w:firstLineChars="0"/>
                    <w:jc w:val="center"/>
                    <w:rPr>
                      <w:sz w:val="21"/>
                      <w:szCs w:val="21"/>
                      <w:u w:val="none" w:color="auto"/>
                    </w:rPr>
                  </w:pPr>
                </w:p>
              </w:tc>
              <w:tc>
                <w:tcPr>
                  <w:tcW w:w="766" w:type="pct"/>
                  <w:tcBorders>
                    <w:tl2br w:val="nil"/>
                    <w:tr2bl w:val="nil"/>
                  </w:tcBorders>
                  <w:noWrap w:val="0"/>
                  <w:vAlign w:val="center"/>
                </w:tcPr>
                <w:p>
                  <w:pPr>
                    <w:pStyle w:val="194"/>
                    <w:spacing w:line="240" w:lineRule="auto"/>
                    <w:ind w:firstLine="0" w:firstLineChars="0"/>
                    <w:jc w:val="center"/>
                    <w:rPr>
                      <w:sz w:val="21"/>
                      <w:szCs w:val="21"/>
                      <w:u w:val="none" w:color="auto"/>
                    </w:rPr>
                  </w:pPr>
                  <w:r>
                    <w:rPr>
                      <w:rFonts w:hint="eastAsia"/>
                      <w:sz w:val="21"/>
                      <w:szCs w:val="21"/>
                      <w:u w:val="none" w:color="auto"/>
                    </w:rPr>
                    <w:t>面源</w:t>
                  </w:r>
                </w:p>
              </w:tc>
              <w:tc>
                <w:tcPr>
                  <w:tcW w:w="918" w:type="pct"/>
                  <w:vMerge w:val="continue"/>
                  <w:tcBorders>
                    <w:tl2br w:val="nil"/>
                    <w:tr2bl w:val="nil"/>
                  </w:tcBorders>
                  <w:noWrap w:val="0"/>
                  <w:vAlign w:val="center"/>
                </w:tcPr>
                <w:p>
                  <w:pPr>
                    <w:jc w:val="center"/>
                    <w:rPr>
                      <w:szCs w:val="21"/>
                      <w:u w:val="none" w:color="auto"/>
                    </w:rPr>
                  </w:pPr>
                </w:p>
              </w:tc>
              <w:tc>
                <w:tcPr>
                  <w:tcW w:w="557" w:type="pct"/>
                  <w:tcBorders>
                    <w:tl2br w:val="nil"/>
                    <w:tr2bl w:val="nil"/>
                  </w:tcBorders>
                  <w:noWrap w:val="0"/>
                  <w:vAlign w:val="center"/>
                </w:tcPr>
                <w:p>
                  <w:pPr>
                    <w:widowControl/>
                    <w:jc w:val="center"/>
                    <w:textAlignment w:val="center"/>
                    <w:rPr>
                      <w:rFonts w:hint="default" w:eastAsia="宋体"/>
                      <w:szCs w:val="21"/>
                      <w:u w:val="none" w:color="auto"/>
                      <w:lang w:val="en-US" w:eastAsia="zh-CN"/>
                    </w:rPr>
                  </w:pPr>
                  <w:r>
                    <w:rPr>
                      <w:rFonts w:hint="eastAsia"/>
                      <w:szCs w:val="21"/>
                      <w:u w:val="none" w:color="auto"/>
                      <w:lang w:val="en-US" w:eastAsia="zh-CN"/>
                    </w:rPr>
                    <w:t>0.0167</w:t>
                  </w:r>
                </w:p>
              </w:tc>
              <w:tc>
                <w:tcPr>
                  <w:tcW w:w="597" w:type="pct"/>
                  <w:tcBorders>
                    <w:tl2br w:val="nil"/>
                    <w:tr2bl w:val="nil"/>
                  </w:tcBorders>
                  <w:noWrap w:val="0"/>
                  <w:vAlign w:val="center"/>
                </w:tcPr>
                <w:p>
                  <w:pPr>
                    <w:pStyle w:val="194"/>
                    <w:spacing w:line="240" w:lineRule="auto"/>
                    <w:ind w:firstLine="0" w:firstLineChars="0"/>
                    <w:jc w:val="center"/>
                    <w:rPr>
                      <w:sz w:val="21"/>
                      <w:szCs w:val="21"/>
                      <w:u w:val="none" w:color="auto"/>
                    </w:rPr>
                  </w:pPr>
                  <w:r>
                    <w:rPr>
                      <w:rFonts w:hint="eastAsia"/>
                      <w:sz w:val="21"/>
                      <w:szCs w:val="21"/>
                      <w:u w:val="none" w:color="auto"/>
                    </w:rPr>
                    <w:t>无组织</w:t>
                  </w:r>
                </w:p>
              </w:tc>
              <w:tc>
                <w:tcPr>
                  <w:tcW w:w="1475" w:type="pct"/>
                  <w:tcBorders>
                    <w:tl2br w:val="nil"/>
                    <w:tr2bl w:val="nil"/>
                  </w:tcBorders>
                  <w:noWrap w:val="0"/>
                  <w:vAlign w:val="center"/>
                </w:tcPr>
                <w:p>
                  <w:pPr>
                    <w:pStyle w:val="194"/>
                    <w:spacing w:line="240" w:lineRule="auto"/>
                    <w:ind w:firstLine="0" w:firstLineChars="0"/>
                    <w:jc w:val="center"/>
                    <w:rPr>
                      <w:rFonts w:hint="eastAsia" w:eastAsia="宋体"/>
                      <w:sz w:val="21"/>
                      <w:szCs w:val="21"/>
                      <w:u w:val="none" w:color="auto"/>
                      <w:lang w:eastAsia="zh-CN"/>
                    </w:rPr>
                  </w:pPr>
                  <w:r>
                    <w:rPr>
                      <w:rFonts w:hint="eastAsia"/>
                      <w:sz w:val="21"/>
                      <w:szCs w:val="21"/>
                      <w:u w:val="none" w:color="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60" w:hRule="atLeast"/>
                <w:jc w:val="center"/>
              </w:trPr>
              <w:tc>
                <w:tcPr>
                  <w:tcW w:w="684" w:type="pct"/>
                  <w:vMerge w:val="restart"/>
                  <w:tcBorders>
                    <w:tl2br w:val="nil"/>
                    <w:tr2bl w:val="nil"/>
                  </w:tcBorders>
                  <w:noWrap w:val="0"/>
                  <w:vAlign w:val="center"/>
                </w:tcPr>
                <w:p>
                  <w:pPr>
                    <w:pStyle w:val="194"/>
                    <w:spacing w:line="240" w:lineRule="auto"/>
                    <w:ind w:firstLine="0" w:firstLineChars="0"/>
                    <w:jc w:val="center"/>
                    <w:rPr>
                      <w:rFonts w:hint="default" w:eastAsia="宋体"/>
                      <w:sz w:val="21"/>
                      <w:szCs w:val="21"/>
                      <w:u w:val="none" w:color="auto"/>
                      <w:lang w:val="en-US" w:eastAsia="zh-CN"/>
                    </w:rPr>
                  </w:pPr>
                  <w:r>
                    <w:rPr>
                      <w:rFonts w:hint="eastAsia"/>
                      <w:sz w:val="21"/>
                      <w:szCs w:val="21"/>
                      <w:u w:val="none" w:color="auto"/>
                      <w:lang w:val="en-US" w:eastAsia="zh-CN"/>
                    </w:rPr>
                    <w:t>分切区</w:t>
                  </w:r>
                </w:p>
              </w:tc>
              <w:tc>
                <w:tcPr>
                  <w:tcW w:w="766" w:type="pct"/>
                  <w:tcBorders>
                    <w:tl2br w:val="nil"/>
                    <w:tr2bl w:val="nil"/>
                  </w:tcBorders>
                  <w:noWrap w:val="0"/>
                  <w:vAlign w:val="center"/>
                </w:tcPr>
                <w:p>
                  <w:pPr>
                    <w:pStyle w:val="194"/>
                    <w:spacing w:line="240" w:lineRule="auto"/>
                    <w:ind w:firstLine="0" w:firstLineChars="0"/>
                    <w:jc w:val="center"/>
                    <w:rPr>
                      <w:rFonts w:hint="eastAsia"/>
                      <w:sz w:val="21"/>
                      <w:szCs w:val="21"/>
                      <w:u w:val="none" w:color="auto"/>
                    </w:rPr>
                  </w:pPr>
                  <w:r>
                    <w:rPr>
                      <w:rFonts w:hint="eastAsia"/>
                      <w:sz w:val="21"/>
                      <w:szCs w:val="21"/>
                      <w:u w:val="none" w:color="auto"/>
                    </w:rPr>
                    <w:t>排气筒</w:t>
                  </w:r>
                </w:p>
              </w:tc>
              <w:tc>
                <w:tcPr>
                  <w:tcW w:w="918" w:type="pct"/>
                  <w:vMerge w:val="restart"/>
                  <w:tcBorders>
                    <w:tl2br w:val="nil"/>
                    <w:tr2bl w:val="nil"/>
                  </w:tcBorders>
                  <w:noWrap w:val="0"/>
                  <w:vAlign w:val="center"/>
                </w:tcPr>
                <w:p>
                  <w:pPr>
                    <w:jc w:val="center"/>
                    <w:rPr>
                      <w:rFonts w:hint="eastAsia" w:eastAsia="宋体"/>
                      <w:szCs w:val="21"/>
                      <w:u w:val="none" w:color="auto"/>
                      <w:lang w:val="en-US" w:eastAsia="zh-CN"/>
                    </w:rPr>
                  </w:pPr>
                  <w:r>
                    <w:rPr>
                      <w:rFonts w:hint="eastAsia"/>
                      <w:szCs w:val="21"/>
                      <w:u w:val="none" w:color="auto"/>
                      <w:lang w:val="en-US" w:eastAsia="zh-CN"/>
                    </w:rPr>
                    <w:t>颗粒物</w:t>
                  </w:r>
                </w:p>
              </w:tc>
              <w:tc>
                <w:tcPr>
                  <w:tcW w:w="557" w:type="pct"/>
                  <w:tcBorders>
                    <w:tl2br w:val="nil"/>
                    <w:tr2bl w:val="nil"/>
                  </w:tcBorders>
                  <w:noWrap w:val="0"/>
                  <w:vAlign w:val="center"/>
                </w:tcPr>
                <w:p>
                  <w:pPr>
                    <w:widowControl/>
                    <w:jc w:val="center"/>
                    <w:textAlignment w:val="center"/>
                    <w:rPr>
                      <w:rFonts w:hint="default"/>
                      <w:szCs w:val="21"/>
                      <w:u w:val="none" w:color="auto"/>
                      <w:lang w:val="en-US" w:eastAsia="zh-CN"/>
                    </w:rPr>
                  </w:pPr>
                  <w:r>
                    <w:rPr>
                      <w:rFonts w:hint="eastAsia"/>
                      <w:szCs w:val="21"/>
                      <w:u w:val="none" w:color="auto"/>
                      <w:lang w:val="en-US" w:eastAsia="zh-CN"/>
                    </w:rPr>
                    <w:t>0.04875</w:t>
                  </w:r>
                </w:p>
              </w:tc>
              <w:tc>
                <w:tcPr>
                  <w:tcW w:w="1080" w:type="dxa"/>
                  <w:tcBorders>
                    <w:tl2br w:val="nil"/>
                    <w:tr2bl w:val="nil"/>
                  </w:tcBorders>
                  <w:noWrap w:val="0"/>
                  <w:vAlign w:val="center"/>
                </w:tcPr>
                <w:p>
                  <w:pPr>
                    <w:pStyle w:val="194"/>
                    <w:spacing w:line="240" w:lineRule="auto"/>
                    <w:ind w:firstLine="0" w:firstLineChars="0"/>
                    <w:jc w:val="center"/>
                    <w:rPr>
                      <w:rFonts w:hint="eastAsia"/>
                      <w:sz w:val="21"/>
                      <w:szCs w:val="21"/>
                      <w:u w:val="none" w:color="auto"/>
                    </w:rPr>
                  </w:pPr>
                  <w:r>
                    <w:rPr>
                      <w:rFonts w:hint="eastAsia"/>
                      <w:sz w:val="21"/>
                      <w:szCs w:val="21"/>
                      <w:u w:val="none" w:color="auto"/>
                    </w:rPr>
                    <w:t>有组织</w:t>
                  </w:r>
                </w:p>
              </w:tc>
              <w:tc>
                <w:tcPr>
                  <w:tcW w:w="2669" w:type="dxa"/>
                  <w:tcBorders>
                    <w:tl2br w:val="nil"/>
                    <w:tr2bl w:val="nil"/>
                  </w:tcBorders>
                  <w:noWrap w:val="0"/>
                  <w:vAlign w:val="center"/>
                </w:tcPr>
                <w:p>
                  <w:pPr>
                    <w:pStyle w:val="194"/>
                    <w:spacing w:line="240" w:lineRule="auto"/>
                    <w:ind w:firstLine="0" w:firstLineChars="0"/>
                    <w:jc w:val="center"/>
                    <w:rPr>
                      <w:rFonts w:hint="default" w:eastAsia="宋体"/>
                      <w:sz w:val="21"/>
                      <w:szCs w:val="21"/>
                      <w:u w:val="none" w:color="auto"/>
                      <w:lang w:val="en-US" w:eastAsia="zh-CN"/>
                    </w:rPr>
                  </w:pPr>
                  <w:r>
                    <w:rPr>
                      <w:rFonts w:hint="eastAsia"/>
                      <w:sz w:val="21"/>
                      <w:szCs w:val="21"/>
                      <w:u w:val="none" w:color="auto"/>
                    </w:rPr>
                    <w:t>集气罩+</w:t>
                  </w:r>
                  <w:r>
                    <w:rPr>
                      <w:rFonts w:hint="eastAsia"/>
                      <w:sz w:val="21"/>
                      <w:szCs w:val="21"/>
                      <w:u w:val="none" w:color="auto"/>
                      <w:lang w:val="en-US" w:eastAsia="zh-CN"/>
                    </w:rPr>
                    <w:t>布袋除尘器处理后和印刷、固化废气一同经同一根24m高排气筒排放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84" w:type="pct"/>
                  <w:vMerge w:val="continue"/>
                  <w:tcBorders>
                    <w:tl2br w:val="nil"/>
                    <w:tr2bl w:val="nil"/>
                  </w:tcBorders>
                  <w:noWrap w:val="0"/>
                  <w:vAlign w:val="center"/>
                </w:tcPr>
                <w:p>
                  <w:pPr>
                    <w:pStyle w:val="194"/>
                    <w:spacing w:line="240" w:lineRule="auto"/>
                    <w:ind w:firstLine="0" w:firstLineChars="0"/>
                    <w:jc w:val="center"/>
                    <w:rPr>
                      <w:sz w:val="21"/>
                      <w:szCs w:val="21"/>
                      <w:u w:val="none" w:color="auto"/>
                    </w:rPr>
                  </w:pPr>
                </w:p>
              </w:tc>
              <w:tc>
                <w:tcPr>
                  <w:tcW w:w="766" w:type="pct"/>
                  <w:tcBorders>
                    <w:tl2br w:val="nil"/>
                    <w:tr2bl w:val="nil"/>
                  </w:tcBorders>
                  <w:noWrap w:val="0"/>
                  <w:vAlign w:val="center"/>
                </w:tcPr>
                <w:p>
                  <w:pPr>
                    <w:pStyle w:val="194"/>
                    <w:spacing w:line="240" w:lineRule="auto"/>
                    <w:ind w:firstLine="0" w:firstLineChars="0"/>
                    <w:jc w:val="center"/>
                    <w:rPr>
                      <w:rFonts w:hint="eastAsia"/>
                      <w:sz w:val="21"/>
                      <w:szCs w:val="21"/>
                      <w:u w:val="none" w:color="auto"/>
                    </w:rPr>
                  </w:pPr>
                  <w:r>
                    <w:rPr>
                      <w:rFonts w:hint="eastAsia"/>
                      <w:sz w:val="21"/>
                      <w:szCs w:val="21"/>
                      <w:u w:val="none" w:color="auto"/>
                    </w:rPr>
                    <w:t>面源</w:t>
                  </w:r>
                </w:p>
              </w:tc>
              <w:tc>
                <w:tcPr>
                  <w:tcW w:w="918" w:type="pct"/>
                  <w:vMerge w:val="continue"/>
                  <w:tcBorders>
                    <w:tl2br w:val="nil"/>
                    <w:tr2bl w:val="nil"/>
                  </w:tcBorders>
                  <w:noWrap w:val="0"/>
                  <w:vAlign w:val="center"/>
                </w:tcPr>
                <w:p>
                  <w:pPr>
                    <w:jc w:val="center"/>
                    <w:rPr>
                      <w:szCs w:val="21"/>
                      <w:u w:val="none" w:color="auto"/>
                    </w:rPr>
                  </w:pPr>
                </w:p>
              </w:tc>
              <w:tc>
                <w:tcPr>
                  <w:tcW w:w="557" w:type="pct"/>
                  <w:tcBorders>
                    <w:tl2br w:val="nil"/>
                    <w:tr2bl w:val="nil"/>
                  </w:tcBorders>
                  <w:noWrap w:val="0"/>
                  <w:vAlign w:val="center"/>
                </w:tcPr>
                <w:p>
                  <w:pPr>
                    <w:widowControl/>
                    <w:jc w:val="center"/>
                    <w:textAlignment w:val="center"/>
                    <w:rPr>
                      <w:rFonts w:hint="default"/>
                      <w:szCs w:val="21"/>
                      <w:u w:val="none" w:color="auto"/>
                      <w:lang w:val="en-US" w:eastAsia="zh-CN"/>
                    </w:rPr>
                  </w:pPr>
                  <w:r>
                    <w:rPr>
                      <w:rFonts w:hint="eastAsia"/>
                      <w:szCs w:val="21"/>
                      <w:u w:val="none" w:color="auto"/>
                      <w:lang w:val="en-US" w:eastAsia="zh-CN"/>
                    </w:rPr>
                    <w:t>0.123</w:t>
                  </w:r>
                </w:p>
              </w:tc>
              <w:tc>
                <w:tcPr>
                  <w:tcW w:w="1080" w:type="dxa"/>
                  <w:tcBorders>
                    <w:tl2br w:val="nil"/>
                    <w:tr2bl w:val="nil"/>
                  </w:tcBorders>
                  <w:noWrap w:val="0"/>
                  <w:vAlign w:val="center"/>
                </w:tcPr>
                <w:p>
                  <w:pPr>
                    <w:pStyle w:val="194"/>
                    <w:spacing w:line="240" w:lineRule="auto"/>
                    <w:ind w:firstLine="0" w:firstLineChars="0"/>
                    <w:jc w:val="center"/>
                    <w:rPr>
                      <w:rFonts w:hint="eastAsia"/>
                      <w:sz w:val="21"/>
                      <w:szCs w:val="21"/>
                      <w:u w:val="none" w:color="auto"/>
                    </w:rPr>
                  </w:pPr>
                  <w:r>
                    <w:rPr>
                      <w:rFonts w:hint="eastAsia"/>
                      <w:sz w:val="21"/>
                      <w:szCs w:val="21"/>
                      <w:u w:val="none" w:color="auto"/>
                    </w:rPr>
                    <w:t>无组织</w:t>
                  </w:r>
                </w:p>
              </w:tc>
              <w:tc>
                <w:tcPr>
                  <w:tcW w:w="2669" w:type="dxa"/>
                  <w:tcBorders>
                    <w:tl2br w:val="nil"/>
                    <w:tr2bl w:val="nil"/>
                  </w:tcBorders>
                  <w:noWrap w:val="0"/>
                  <w:vAlign w:val="center"/>
                </w:tcPr>
                <w:p>
                  <w:pPr>
                    <w:pStyle w:val="194"/>
                    <w:spacing w:line="240" w:lineRule="auto"/>
                    <w:ind w:firstLine="0" w:firstLineChars="0"/>
                    <w:jc w:val="center"/>
                    <w:rPr>
                      <w:rFonts w:hint="eastAsia" w:eastAsia="宋体"/>
                      <w:sz w:val="21"/>
                      <w:szCs w:val="21"/>
                      <w:u w:val="none" w:color="auto"/>
                      <w:lang w:eastAsia="zh-CN"/>
                    </w:rPr>
                  </w:pPr>
                  <w:r>
                    <w:rPr>
                      <w:rFonts w:hint="eastAsia"/>
                      <w:sz w:val="21"/>
                      <w:szCs w:val="21"/>
                      <w:u w:val="none" w:color="auto"/>
                      <w:lang w:val="en-US" w:eastAsia="zh-CN"/>
                    </w:rPr>
                    <w:t>/</w:t>
                  </w:r>
                </w:p>
              </w:tc>
            </w:tr>
          </w:tbl>
          <w:p>
            <w:pPr>
              <w:pStyle w:val="195"/>
              <w:rPr>
                <w:kern w:val="0"/>
                <w:szCs w:val="22"/>
                <w:u w:val="none" w:color="auto"/>
              </w:rPr>
            </w:pPr>
            <w:r>
              <w:rPr>
                <w:kern w:val="0"/>
                <w:szCs w:val="22"/>
                <w:u w:val="none" w:color="auto"/>
              </w:rPr>
              <w:t>根据《环境影响评价技术导则-大气环境》（HJ2.2-2018），选择推荐模式中的</w:t>
            </w:r>
            <w:r>
              <w:rPr>
                <w:rFonts w:hint="eastAsia"/>
                <w:kern w:val="0"/>
                <w:szCs w:val="22"/>
                <w:u w:val="none" w:color="auto"/>
              </w:rPr>
              <w:t>ARESCREEN筛选及评价等级模式</w:t>
            </w:r>
            <w:r>
              <w:rPr>
                <w:kern w:val="0"/>
                <w:szCs w:val="22"/>
                <w:u w:val="none" w:color="auto"/>
              </w:rPr>
              <w:t>对项目的大气环境评价工作进行</w:t>
            </w:r>
            <w:r>
              <w:rPr>
                <w:rFonts w:hint="eastAsia"/>
                <w:kern w:val="0"/>
                <w:szCs w:val="22"/>
                <w:u w:val="none" w:color="auto"/>
              </w:rPr>
              <w:t>评</w:t>
            </w:r>
            <w:r>
              <w:rPr>
                <w:kern w:val="0"/>
                <w:szCs w:val="22"/>
                <w:u w:val="none" w:color="auto"/>
              </w:rPr>
              <w:t>级。结合项目的工程分析结果，选择正常排放的主要污染物及排放参数，计算各污染物的最大影响程度和最远影响范围，然后按评价工作分级依据进行分级。</w:t>
            </w:r>
            <w:r>
              <w:rPr>
                <w:rFonts w:hint="eastAsia"/>
                <w:kern w:val="0"/>
                <w:szCs w:val="22"/>
                <w:u w:val="none" w:color="auto"/>
              </w:rPr>
              <w:t>计算参数情况如下表7-</w:t>
            </w:r>
            <w:r>
              <w:rPr>
                <w:rFonts w:hint="eastAsia"/>
                <w:kern w:val="0"/>
                <w:szCs w:val="22"/>
                <w:u w:val="none" w:color="auto"/>
                <w:lang w:val="en-US" w:eastAsia="zh-CN"/>
              </w:rPr>
              <w:t>2</w:t>
            </w:r>
            <w:r>
              <w:rPr>
                <w:rFonts w:hint="eastAsia"/>
                <w:kern w:val="0"/>
                <w:szCs w:val="22"/>
                <w:u w:val="none" w:color="auto"/>
              </w:rPr>
              <w:t>—7-</w:t>
            </w:r>
            <w:r>
              <w:rPr>
                <w:rFonts w:hint="eastAsia"/>
                <w:kern w:val="0"/>
                <w:szCs w:val="22"/>
                <w:u w:val="none" w:color="auto"/>
                <w:lang w:val="en-US" w:eastAsia="zh-CN"/>
              </w:rPr>
              <w:t>4</w:t>
            </w:r>
            <w:r>
              <w:rPr>
                <w:rFonts w:hint="eastAsia"/>
                <w:kern w:val="0"/>
                <w:szCs w:val="22"/>
                <w:u w:val="none" w:color="auto"/>
              </w:rPr>
              <w:t>所示。</w:t>
            </w:r>
          </w:p>
          <w:p>
            <w:pPr>
              <w:pStyle w:val="194"/>
              <w:ind w:firstLine="0" w:firstLineChars="0"/>
              <w:jc w:val="center"/>
              <w:rPr>
                <w:b/>
                <w:u w:val="none" w:color="auto"/>
              </w:rPr>
            </w:pPr>
            <w:r>
              <w:rPr>
                <w:b/>
                <w:u w:val="none" w:color="auto"/>
              </w:rPr>
              <w:t>表7-</w:t>
            </w:r>
            <w:r>
              <w:rPr>
                <w:rFonts w:hint="eastAsia"/>
                <w:b/>
                <w:u w:val="none" w:color="auto"/>
                <w:lang w:val="en-US" w:eastAsia="zh-CN"/>
              </w:rPr>
              <w:t>2</w:t>
            </w:r>
            <w:r>
              <w:rPr>
                <w:rFonts w:hint="eastAsia"/>
                <w:b/>
                <w:u w:val="none" w:color="auto"/>
              </w:rPr>
              <w:t>本项目评价因子和评价标准</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167"/>
              <w:gridCol w:w="1265"/>
              <w:gridCol w:w="1894"/>
              <w:gridCol w:w="4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80" w:type="pct"/>
                  <w:noWrap w:val="0"/>
                  <w:vAlign w:val="center"/>
                </w:tcPr>
                <w:p>
                  <w:pPr>
                    <w:pStyle w:val="194"/>
                    <w:spacing w:line="240" w:lineRule="auto"/>
                    <w:ind w:firstLine="0" w:firstLineChars="0"/>
                    <w:jc w:val="center"/>
                    <w:rPr>
                      <w:sz w:val="21"/>
                      <w:szCs w:val="21"/>
                      <w:u w:val="none" w:color="auto"/>
                    </w:rPr>
                  </w:pPr>
                  <w:r>
                    <w:rPr>
                      <w:sz w:val="21"/>
                      <w:szCs w:val="21"/>
                      <w:u w:val="none" w:color="auto"/>
                    </w:rPr>
                    <w:t>序号</w:t>
                  </w:r>
                </w:p>
              </w:tc>
              <w:tc>
                <w:tcPr>
                  <w:tcW w:w="645" w:type="pct"/>
                  <w:noWrap w:val="0"/>
                  <w:vAlign w:val="center"/>
                </w:tcPr>
                <w:p>
                  <w:pPr>
                    <w:pStyle w:val="194"/>
                    <w:spacing w:line="240" w:lineRule="auto"/>
                    <w:ind w:firstLine="0" w:firstLineChars="0"/>
                    <w:jc w:val="center"/>
                    <w:rPr>
                      <w:sz w:val="21"/>
                      <w:szCs w:val="21"/>
                      <w:u w:val="none" w:color="auto"/>
                    </w:rPr>
                  </w:pPr>
                  <w:r>
                    <w:rPr>
                      <w:sz w:val="21"/>
                      <w:szCs w:val="21"/>
                      <w:u w:val="none" w:color="auto"/>
                    </w:rPr>
                    <w:t>评价因子</w:t>
                  </w:r>
                </w:p>
              </w:tc>
              <w:tc>
                <w:tcPr>
                  <w:tcW w:w="699" w:type="pct"/>
                  <w:noWrap w:val="0"/>
                  <w:vAlign w:val="center"/>
                </w:tcPr>
                <w:p>
                  <w:pPr>
                    <w:pStyle w:val="194"/>
                    <w:spacing w:line="240" w:lineRule="auto"/>
                    <w:ind w:firstLine="0" w:firstLineChars="0"/>
                    <w:jc w:val="center"/>
                    <w:rPr>
                      <w:sz w:val="21"/>
                      <w:szCs w:val="21"/>
                      <w:u w:val="none" w:color="auto"/>
                    </w:rPr>
                  </w:pPr>
                  <w:r>
                    <w:rPr>
                      <w:sz w:val="21"/>
                      <w:szCs w:val="21"/>
                      <w:u w:val="none" w:color="auto"/>
                    </w:rPr>
                    <w:t>平均时段</w:t>
                  </w:r>
                </w:p>
              </w:tc>
              <w:tc>
                <w:tcPr>
                  <w:tcW w:w="1047" w:type="pct"/>
                  <w:noWrap w:val="0"/>
                  <w:vAlign w:val="center"/>
                </w:tcPr>
                <w:p>
                  <w:pPr>
                    <w:pStyle w:val="194"/>
                    <w:spacing w:line="240" w:lineRule="auto"/>
                    <w:ind w:firstLine="0" w:firstLineChars="0"/>
                    <w:jc w:val="center"/>
                    <w:rPr>
                      <w:sz w:val="21"/>
                      <w:szCs w:val="21"/>
                      <w:u w:val="none" w:color="auto"/>
                    </w:rPr>
                  </w:pPr>
                  <w:r>
                    <w:rPr>
                      <w:sz w:val="21"/>
                      <w:szCs w:val="21"/>
                      <w:u w:val="none" w:color="auto"/>
                    </w:rPr>
                    <w:t>标准值(ug/m</w:t>
                  </w:r>
                  <w:r>
                    <w:rPr>
                      <w:sz w:val="21"/>
                      <w:szCs w:val="21"/>
                      <w:u w:val="none" w:color="auto"/>
                      <w:vertAlign w:val="superscript"/>
                    </w:rPr>
                    <w:t>3</w:t>
                  </w:r>
                  <w:r>
                    <w:rPr>
                      <w:sz w:val="21"/>
                      <w:szCs w:val="21"/>
                      <w:u w:val="none" w:color="auto"/>
                    </w:rPr>
                    <w:t>)</w:t>
                  </w:r>
                </w:p>
              </w:tc>
              <w:tc>
                <w:tcPr>
                  <w:tcW w:w="2227" w:type="pct"/>
                  <w:noWrap w:val="0"/>
                  <w:vAlign w:val="center"/>
                </w:tcPr>
                <w:p>
                  <w:pPr>
                    <w:pStyle w:val="194"/>
                    <w:spacing w:line="240" w:lineRule="auto"/>
                    <w:ind w:firstLine="0" w:firstLineChars="0"/>
                    <w:jc w:val="center"/>
                    <w:rPr>
                      <w:sz w:val="21"/>
                      <w:szCs w:val="21"/>
                      <w:u w:val="none" w:color="auto"/>
                    </w:rPr>
                  </w:pPr>
                  <w:r>
                    <w:rPr>
                      <w:sz w:val="21"/>
                      <w:szCs w:val="21"/>
                      <w:u w:val="none" w:color="auto"/>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noWrap w:val="0"/>
                  <w:vAlign w:val="center"/>
                </w:tcPr>
                <w:p>
                  <w:pPr>
                    <w:pStyle w:val="194"/>
                    <w:spacing w:line="240" w:lineRule="auto"/>
                    <w:ind w:firstLine="0" w:firstLineChars="0"/>
                    <w:jc w:val="center"/>
                    <w:rPr>
                      <w:rFonts w:hint="eastAsia" w:eastAsia="宋体"/>
                      <w:sz w:val="21"/>
                      <w:szCs w:val="21"/>
                      <w:u w:val="none" w:color="auto"/>
                      <w:lang w:eastAsia="zh-CN"/>
                    </w:rPr>
                  </w:pPr>
                  <w:r>
                    <w:rPr>
                      <w:rFonts w:hint="eastAsia"/>
                      <w:sz w:val="21"/>
                      <w:szCs w:val="21"/>
                      <w:u w:val="none" w:color="auto"/>
                      <w:lang w:val="en-US" w:eastAsia="zh-CN"/>
                    </w:rPr>
                    <w:t>1</w:t>
                  </w:r>
                </w:p>
              </w:tc>
              <w:tc>
                <w:tcPr>
                  <w:tcW w:w="645" w:type="pct"/>
                  <w:noWrap w:val="0"/>
                  <w:vAlign w:val="center"/>
                </w:tcPr>
                <w:p>
                  <w:pPr>
                    <w:pStyle w:val="194"/>
                    <w:spacing w:line="240" w:lineRule="auto"/>
                    <w:ind w:firstLine="0" w:firstLineChars="0"/>
                    <w:jc w:val="center"/>
                    <w:rPr>
                      <w:rFonts w:hint="default" w:eastAsia="宋体"/>
                      <w:sz w:val="21"/>
                      <w:szCs w:val="21"/>
                      <w:u w:val="none" w:color="auto"/>
                      <w:lang w:val="en-US" w:eastAsia="zh-CN"/>
                    </w:rPr>
                  </w:pPr>
                  <w:r>
                    <w:rPr>
                      <w:rFonts w:hint="eastAsia"/>
                      <w:sz w:val="21"/>
                      <w:szCs w:val="21"/>
                      <w:u w:val="none" w:color="auto"/>
                      <w:lang w:val="en-US" w:eastAsia="zh-CN"/>
                    </w:rPr>
                    <w:t>TVOC</w:t>
                  </w:r>
                </w:p>
              </w:tc>
              <w:tc>
                <w:tcPr>
                  <w:tcW w:w="699" w:type="pct"/>
                  <w:noWrap w:val="0"/>
                  <w:vAlign w:val="center"/>
                </w:tcPr>
                <w:p>
                  <w:pPr>
                    <w:pStyle w:val="194"/>
                    <w:spacing w:line="240" w:lineRule="auto"/>
                    <w:ind w:firstLine="0" w:firstLineChars="0"/>
                    <w:jc w:val="center"/>
                    <w:rPr>
                      <w:sz w:val="21"/>
                      <w:szCs w:val="21"/>
                      <w:u w:val="none" w:color="auto"/>
                    </w:rPr>
                  </w:pPr>
                  <w:r>
                    <w:rPr>
                      <w:rFonts w:hint="eastAsia"/>
                      <w:sz w:val="21"/>
                      <w:szCs w:val="21"/>
                      <w:u w:val="none" w:color="auto"/>
                    </w:rPr>
                    <w:t>1</w:t>
                  </w:r>
                  <w:r>
                    <w:rPr>
                      <w:sz w:val="21"/>
                      <w:szCs w:val="21"/>
                      <w:u w:val="none" w:color="auto"/>
                    </w:rPr>
                    <w:t>h</w:t>
                  </w:r>
                </w:p>
              </w:tc>
              <w:tc>
                <w:tcPr>
                  <w:tcW w:w="1047" w:type="pct"/>
                  <w:noWrap w:val="0"/>
                  <w:vAlign w:val="center"/>
                </w:tcPr>
                <w:p>
                  <w:pPr>
                    <w:pStyle w:val="194"/>
                    <w:spacing w:line="240" w:lineRule="auto"/>
                    <w:ind w:firstLine="0" w:firstLineChars="0"/>
                    <w:jc w:val="center"/>
                    <w:rPr>
                      <w:sz w:val="21"/>
                      <w:szCs w:val="21"/>
                      <w:u w:val="none" w:color="auto"/>
                    </w:rPr>
                  </w:pPr>
                  <w:r>
                    <w:rPr>
                      <w:sz w:val="21"/>
                      <w:szCs w:val="21"/>
                      <w:u w:val="none" w:color="auto"/>
                    </w:rPr>
                    <w:t>1200</w:t>
                  </w:r>
                </w:p>
              </w:tc>
              <w:tc>
                <w:tcPr>
                  <w:tcW w:w="2227" w:type="pct"/>
                  <w:noWrap w:val="0"/>
                  <w:vAlign w:val="center"/>
                </w:tcPr>
                <w:p>
                  <w:pPr>
                    <w:pStyle w:val="194"/>
                    <w:spacing w:line="240" w:lineRule="auto"/>
                    <w:ind w:firstLine="0" w:firstLineChars="0"/>
                    <w:jc w:val="center"/>
                    <w:rPr>
                      <w:sz w:val="21"/>
                      <w:szCs w:val="21"/>
                      <w:u w:val="none" w:color="auto"/>
                    </w:rPr>
                  </w:pPr>
                  <w:r>
                    <w:rPr>
                      <w:rFonts w:hint="eastAsia"/>
                      <w:sz w:val="21"/>
                      <w:szCs w:val="21"/>
                      <w:u w:val="none" w:color="auto"/>
                    </w:rPr>
                    <w:t>《环境影响评价技术导则大气环境》HJ2.2-2018附录D中表D.1的TVOC8小时平均值600u</w:t>
                  </w:r>
                  <w:r>
                    <w:rPr>
                      <w:sz w:val="21"/>
                      <w:szCs w:val="21"/>
                      <w:u w:val="none" w:color="auto"/>
                    </w:rPr>
                    <w:t>g/m</w:t>
                  </w:r>
                  <w:r>
                    <w:rPr>
                      <w:sz w:val="21"/>
                      <w:szCs w:val="21"/>
                      <w:u w:val="none" w:color="auto"/>
                      <w:vertAlign w:val="superscript"/>
                    </w:rPr>
                    <w:t>3</w:t>
                  </w:r>
                  <w:r>
                    <w:rPr>
                      <w:sz w:val="21"/>
                      <w:szCs w:val="21"/>
                      <w:u w:val="none" w:color="auto"/>
                    </w:rPr>
                    <w:t>的2倍值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80" w:type="pct"/>
                  <w:noWrap w:val="0"/>
                  <w:vAlign w:val="center"/>
                </w:tcPr>
                <w:p>
                  <w:pPr>
                    <w:pStyle w:val="194"/>
                    <w:spacing w:line="240" w:lineRule="auto"/>
                    <w:ind w:firstLine="0" w:firstLineChars="0"/>
                    <w:jc w:val="center"/>
                    <w:rPr>
                      <w:rFonts w:hint="default"/>
                      <w:sz w:val="21"/>
                      <w:szCs w:val="21"/>
                      <w:u w:val="none" w:color="auto"/>
                      <w:lang w:val="en-US" w:eastAsia="zh-CN"/>
                    </w:rPr>
                  </w:pPr>
                  <w:r>
                    <w:rPr>
                      <w:rFonts w:hint="eastAsia"/>
                      <w:sz w:val="21"/>
                      <w:szCs w:val="21"/>
                      <w:u w:val="none" w:color="auto"/>
                      <w:lang w:val="en-US" w:eastAsia="zh-CN"/>
                    </w:rPr>
                    <w:t>2</w:t>
                  </w:r>
                </w:p>
              </w:tc>
              <w:tc>
                <w:tcPr>
                  <w:tcW w:w="645" w:type="pct"/>
                  <w:noWrap w:val="0"/>
                  <w:vAlign w:val="center"/>
                </w:tcPr>
                <w:p>
                  <w:pPr>
                    <w:pStyle w:val="194"/>
                    <w:spacing w:line="240" w:lineRule="auto"/>
                    <w:ind w:firstLine="0" w:firstLineChars="0"/>
                    <w:jc w:val="center"/>
                    <w:rPr>
                      <w:rFonts w:hint="default"/>
                      <w:sz w:val="21"/>
                      <w:szCs w:val="21"/>
                      <w:u w:val="none" w:color="auto"/>
                      <w:lang w:val="en-US" w:eastAsia="zh-CN"/>
                    </w:rPr>
                  </w:pPr>
                  <w:r>
                    <w:rPr>
                      <w:rFonts w:hint="eastAsia"/>
                      <w:sz w:val="21"/>
                      <w:szCs w:val="21"/>
                      <w:u w:val="none" w:color="auto"/>
                      <w:lang w:val="en-US" w:eastAsia="zh-CN"/>
                    </w:rPr>
                    <w:t>TSP</w:t>
                  </w:r>
                </w:p>
              </w:tc>
              <w:tc>
                <w:tcPr>
                  <w:tcW w:w="699" w:type="pct"/>
                  <w:noWrap w:val="0"/>
                  <w:vAlign w:val="center"/>
                </w:tcPr>
                <w:p>
                  <w:pPr>
                    <w:pStyle w:val="194"/>
                    <w:spacing w:line="240" w:lineRule="auto"/>
                    <w:ind w:firstLine="0" w:firstLineChars="0"/>
                    <w:jc w:val="center"/>
                    <w:rPr>
                      <w:rFonts w:hint="default" w:eastAsia="宋体"/>
                      <w:sz w:val="21"/>
                      <w:szCs w:val="21"/>
                      <w:u w:val="none" w:color="auto"/>
                      <w:lang w:val="en-US" w:eastAsia="zh-CN"/>
                    </w:rPr>
                  </w:pPr>
                  <w:r>
                    <w:rPr>
                      <w:rFonts w:hint="eastAsia"/>
                      <w:sz w:val="21"/>
                      <w:szCs w:val="21"/>
                      <w:u w:val="none" w:color="auto"/>
                      <w:lang w:val="en-US" w:eastAsia="zh-CN"/>
                    </w:rPr>
                    <w:t>1h</w:t>
                  </w:r>
                </w:p>
              </w:tc>
              <w:tc>
                <w:tcPr>
                  <w:tcW w:w="1047" w:type="pct"/>
                  <w:noWrap w:val="0"/>
                  <w:vAlign w:val="center"/>
                </w:tcPr>
                <w:p>
                  <w:pPr>
                    <w:pStyle w:val="194"/>
                    <w:spacing w:line="240" w:lineRule="auto"/>
                    <w:ind w:firstLine="0" w:firstLineChars="0"/>
                    <w:jc w:val="center"/>
                    <w:rPr>
                      <w:rFonts w:hint="default" w:eastAsia="宋体"/>
                      <w:sz w:val="21"/>
                      <w:szCs w:val="21"/>
                      <w:u w:val="none" w:color="auto"/>
                      <w:lang w:val="en-US" w:eastAsia="zh-CN"/>
                    </w:rPr>
                  </w:pPr>
                  <w:r>
                    <w:rPr>
                      <w:rFonts w:hint="eastAsia"/>
                      <w:sz w:val="21"/>
                      <w:szCs w:val="21"/>
                      <w:u w:val="none" w:color="auto"/>
                      <w:lang w:val="en-US" w:eastAsia="zh-CN"/>
                    </w:rPr>
                    <w:t>900</w:t>
                  </w:r>
                </w:p>
              </w:tc>
              <w:tc>
                <w:tcPr>
                  <w:tcW w:w="2227" w:type="pct"/>
                  <w:noWrap w:val="0"/>
                  <w:vAlign w:val="center"/>
                </w:tcPr>
                <w:p>
                  <w:pPr>
                    <w:pStyle w:val="194"/>
                    <w:spacing w:line="240" w:lineRule="auto"/>
                    <w:ind w:firstLine="0" w:firstLineChars="0"/>
                    <w:jc w:val="center"/>
                    <w:rPr>
                      <w:rFonts w:hint="eastAsia"/>
                      <w:sz w:val="21"/>
                      <w:szCs w:val="21"/>
                      <w:u w:val="none" w:color="auto"/>
                    </w:rPr>
                  </w:pPr>
                  <w:r>
                    <w:rPr>
                      <w:rFonts w:hint="default"/>
                      <w:sz w:val="21"/>
                      <w:szCs w:val="21"/>
                      <w:u w:val="none" w:color="auto"/>
                    </w:rPr>
                    <w:t>《环境空气质量标准》(GB3095-2012)二级标准中24小时平均值为300μg/m</w:t>
                  </w:r>
                  <w:r>
                    <w:rPr>
                      <w:rFonts w:hint="default"/>
                      <w:sz w:val="21"/>
                      <w:szCs w:val="21"/>
                      <w:u w:val="none" w:color="auto"/>
                      <w:vertAlign w:val="superscript"/>
                    </w:rPr>
                    <w:t>3</w:t>
                  </w:r>
                </w:p>
              </w:tc>
            </w:tr>
          </w:tbl>
          <w:p>
            <w:pPr>
              <w:pStyle w:val="194"/>
              <w:ind w:firstLine="0" w:firstLineChars="0"/>
              <w:jc w:val="center"/>
              <w:rPr>
                <w:b/>
                <w:u w:val="none" w:color="auto"/>
              </w:rPr>
            </w:pPr>
            <w:r>
              <w:rPr>
                <w:b/>
                <w:u w:val="none" w:color="auto"/>
              </w:rPr>
              <w:t>表7-</w:t>
            </w:r>
            <w:r>
              <w:rPr>
                <w:rFonts w:hint="eastAsia"/>
                <w:b/>
                <w:u w:val="none" w:color="auto"/>
                <w:lang w:val="en-US" w:eastAsia="zh-CN"/>
              </w:rPr>
              <w:t>3</w:t>
            </w:r>
            <w:r>
              <w:rPr>
                <w:rFonts w:hint="eastAsia"/>
                <w:b/>
                <w:u w:val="none" w:color="auto"/>
              </w:rPr>
              <w:t>本项目点源污染源参数表</w:t>
            </w:r>
          </w:p>
          <w:tbl>
            <w:tblPr>
              <w:tblStyle w:val="4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675"/>
              <w:gridCol w:w="1230"/>
              <w:gridCol w:w="1141"/>
              <w:gridCol w:w="810"/>
              <w:gridCol w:w="734"/>
              <w:gridCol w:w="660"/>
              <w:gridCol w:w="720"/>
              <w:gridCol w:w="629"/>
              <w:gridCol w:w="750"/>
              <w:gridCol w:w="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55" w:type="pct"/>
                  <w:vMerge w:val="restart"/>
                  <w:tcBorders>
                    <w:tl2br w:val="nil"/>
                    <w:tr2bl w:val="nil"/>
                  </w:tcBorders>
                  <w:noWrap w:val="0"/>
                  <w:vAlign w:val="center"/>
                </w:tcPr>
                <w:p>
                  <w:pPr>
                    <w:pStyle w:val="195"/>
                    <w:spacing w:line="240" w:lineRule="auto"/>
                    <w:ind w:firstLine="0" w:firstLineChars="0"/>
                    <w:jc w:val="center"/>
                    <w:rPr>
                      <w:kern w:val="0"/>
                      <w:sz w:val="21"/>
                      <w:u w:val="none" w:color="auto"/>
                    </w:rPr>
                  </w:pPr>
                  <w:r>
                    <w:rPr>
                      <w:rFonts w:hint="eastAsia"/>
                      <w:kern w:val="0"/>
                      <w:sz w:val="21"/>
                      <w:u w:val="none" w:color="auto"/>
                    </w:rPr>
                    <w:t>名称</w:t>
                  </w:r>
                </w:p>
              </w:tc>
              <w:tc>
                <w:tcPr>
                  <w:tcW w:w="373" w:type="pct"/>
                  <w:vMerge w:val="restart"/>
                  <w:tcBorders>
                    <w:tl2br w:val="nil"/>
                    <w:tr2bl w:val="nil"/>
                  </w:tcBorders>
                  <w:noWrap w:val="0"/>
                  <w:vAlign w:val="center"/>
                </w:tcPr>
                <w:p>
                  <w:pPr>
                    <w:pStyle w:val="195"/>
                    <w:spacing w:line="240" w:lineRule="auto"/>
                    <w:ind w:firstLine="0" w:firstLineChars="0"/>
                    <w:jc w:val="center"/>
                    <w:rPr>
                      <w:kern w:val="0"/>
                      <w:sz w:val="21"/>
                      <w:u w:val="none" w:color="auto"/>
                    </w:rPr>
                  </w:pPr>
                  <w:r>
                    <w:rPr>
                      <w:rFonts w:hint="eastAsia"/>
                      <w:kern w:val="0"/>
                      <w:sz w:val="21"/>
                      <w:u w:val="none" w:color="auto"/>
                    </w:rPr>
                    <w:t>排气筒高度/m</w:t>
                  </w:r>
                </w:p>
              </w:tc>
              <w:tc>
                <w:tcPr>
                  <w:tcW w:w="1311" w:type="pct"/>
                  <w:gridSpan w:val="2"/>
                  <w:vMerge w:val="restart"/>
                  <w:tcBorders>
                    <w:tl2br w:val="nil"/>
                    <w:tr2bl w:val="nil"/>
                  </w:tcBorders>
                  <w:noWrap w:val="0"/>
                  <w:vAlign w:val="center"/>
                </w:tcPr>
                <w:p>
                  <w:pPr>
                    <w:pStyle w:val="195"/>
                    <w:spacing w:line="240" w:lineRule="auto"/>
                    <w:ind w:firstLine="0" w:firstLineChars="0"/>
                    <w:jc w:val="center"/>
                    <w:rPr>
                      <w:rFonts w:hint="default" w:eastAsia="宋体"/>
                      <w:kern w:val="0"/>
                      <w:sz w:val="21"/>
                      <w:u w:val="none" w:color="auto"/>
                      <w:lang w:val="en-US" w:eastAsia="zh-CN"/>
                    </w:rPr>
                  </w:pPr>
                  <w:r>
                    <w:rPr>
                      <w:rFonts w:hint="eastAsia"/>
                      <w:kern w:val="0"/>
                      <w:sz w:val="21"/>
                      <w:u w:val="none" w:color="auto"/>
                      <w:lang w:val="en-US" w:eastAsia="zh-CN"/>
                    </w:rPr>
                    <w:t>排气筒底部中心坐标/m</w:t>
                  </w:r>
                </w:p>
              </w:tc>
              <w:tc>
                <w:tcPr>
                  <w:tcW w:w="448" w:type="pct"/>
                  <w:vMerge w:val="restart"/>
                  <w:tcBorders>
                    <w:tl2br w:val="nil"/>
                    <w:tr2bl w:val="nil"/>
                  </w:tcBorders>
                  <w:noWrap w:val="0"/>
                  <w:vAlign w:val="center"/>
                </w:tcPr>
                <w:p>
                  <w:pPr>
                    <w:pStyle w:val="195"/>
                    <w:spacing w:line="240" w:lineRule="auto"/>
                    <w:ind w:firstLine="0" w:firstLineChars="0"/>
                    <w:jc w:val="center"/>
                    <w:rPr>
                      <w:kern w:val="0"/>
                      <w:sz w:val="21"/>
                      <w:u w:val="none" w:color="auto"/>
                    </w:rPr>
                  </w:pPr>
                  <w:r>
                    <w:rPr>
                      <w:kern w:val="0"/>
                      <w:sz w:val="21"/>
                      <w:u w:val="none" w:color="auto"/>
                    </w:rPr>
                    <w:t>排气筒出口内径</w:t>
                  </w:r>
                  <w:r>
                    <w:rPr>
                      <w:rFonts w:hint="eastAsia"/>
                      <w:kern w:val="0"/>
                      <w:sz w:val="21"/>
                      <w:u w:val="none" w:color="auto"/>
                    </w:rPr>
                    <w:t>/m</w:t>
                  </w:r>
                </w:p>
              </w:tc>
              <w:tc>
                <w:tcPr>
                  <w:tcW w:w="406" w:type="pct"/>
                  <w:vMerge w:val="restart"/>
                  <w:tcBorders>
                    <w:tl2br w:val="nil"/>
                    <w:tr2bl w:val="nil"/>
                  </w:tcBorders>
                  <w:noWrap w:val="0"/>
                  <w:vAlign w:val="center"/>
                </w:tcPr>
                <w:p>
                  <w:pPr>
                    <w:pStyle w:val="195"/>
                    <w:spacing w:line="240" w:lineRule="auto"/>
                    <w:ind w:firstLine="0" w:firstLineChars="0"/>
                    <w:jc w:val="center"/>
                    <w:rPr>
                      <w:kern w:val="0"/>
                      <w:sz w:val="21"/>
                      <w:u w:val="none" w:color="auto"/>
                    </w:rPr>
                  </w:pPr>
                  <w:r>
                    <w:rPr>
                      <w:rFonts w:hint="eastAsia"/>
                      <w:kern w:val="0"/>
                      <w:sz w:val="21"/>
                      <w:u w:val="none" w:color="auto"/>
                    </w:rPr>
                    <w:t>烟气流速/（m/s）</w:t>
                  </w:r>
                </w:p>
              </w:tc>
              <w:tc>
                <w:tcPr>
                  <w:tcW w:w="365" w:type="pct"/>
                  <w:vMerge w:val="restart"/>
                  <w:tcBorders>
                    <w:tl2br w:val="nil"/>
                    <w:tr2bl w:val="nil"/>
                  </w:tcBorders>
                  <w:noWrap w:val="0"/>
                  <w:vAlign w:val="center"/>
                </w:tcPr>
                <w:p>
                  <w:pPr>
                    <w:pStyle w:val="195"/>
                    <w:spacing w:line="240" w:lineRule="auto"/>
                    <w:ind w:firstLine="0" w:firstLineChars="0"/>
                    <w:jc w:val="center"/>
                    <w:rPr>
                      <w:kern w:val="0"/>
                      <w:sz w:val="21"/>
                      <w:u w:val="none" w:color="auto"/>
                    </w:rPr>
                  </w:pPr>
                  <w:r>
                    <w:rPr>
                      <w:kern w:val="0"/>
                      <w:sz w:val="21"/>
                      <w:u w:val="none" w:color="auto"/>
                    </w:rPr>
                    <w:t>烟气温度</w:t>
                  </w:r>
                  <w:r>
                    <w:rPr>
                      <w:rFonts w:hint="eastAsia"/>
                      <w:kern w:val="0"/>
                      <w:sz w:val="21"/>
                      <w:u w:val="none" w:color="auto"/>
                    </w:rPr>
                    <w:t>/℃</w:t>
                  </w:r>
                </w:p>
              </w:tc>
              <w:tc>
                <w:tcPr>
                  <w:tcW w:w="398" w:type="pct"/>
                  <w:vMerge w:val="restart"/>
                  <w:tcBorders>
                    <w:tl2br w:val="nil"/>
                    <w:tr2bl w:val="nil"/>
                  </w:tcBorders>
                  <w:noWrap w:val="0"/>
                  <w:vAlign w:val="center"/>
                </w:tcPr>
                <w:p>
                  <w:pPr>
                    <w:pStyle w:val="195"/>
                    <w:spacing w:line="240" w:lineRule="auto"/>
                    <w:ind w:firstLine="0" w:firstLineChars="0"/>
                    <w:jc w:val="center"/>
                    <w:rPr>
                      <w:kern w:val="0"/>
                      <w:sz w:val="21"/>
                      <w:u w:val="none" w:color="auto"/>
                    </w:rPr>
                  </w:pPr>
                  <w:r>
                    <w:rPr>
                      <w:kern w:val="0"/>
                      <w:sz w:val="21"/>
                      <w:u w:val="none" w:color="auto"/>
                    </w:rPr>
                    <w:t>年排放小时</w:t>
                  </w:r>
                  <w:r>
                    <w:rPr>
                      <w:rFonts w:hint="eastAsia"/>
                      <w:kern w:val="0"/>
                      <w:sz w:val="21"/>
                      <w:u w:val="none" w:color="auto"/>
                    </w:rPr>
                    <w:t>/h</w:t>
                  </w:r>
                </w:p>
              </w:tc>
              <w:tc>
                <w:tcPr>
                  <w:tcW w:w="348" w:type="pct"/>
                  <w:vMerge w:val="restart"/>
                  <w:tcBorders>
                    <w:tl2br w:val="nil"/>
                    <w:tr2bl w:val="nil"/>
                  </w:tcBorders>
                  <w:noWrap w:val="0"/>
                  <w:vAlign w:val="center"/>
                </w:tcPr>
                <w:p>
                  <w:pPr>
                    <w:pStyle w:val="195"/>
                    <w:spacing w:line="240" w:lineRule="auto"/>
                    <w:ind w:firstLine="0" w:firstLineChars="0"/>
                    <w:jc w:val="center"/>
                    <w:rPr>
                      <w:kern w:val="0"/>
                      <w:sz w:val="21"/>
                      <w:u w:val="none" w:color="auto"/>
                    </w:rPr>
                  </w:pPr>
                  <w:r>
                    <w:rPr>
                      <w:kern w:val="0"/>
                      <w:sz w:val="21"/>
                      <w:u w:val="none" w:color="auto"/>
                    </w:rPr>
                    <w:t>排放工况</w:t>
                  </w:r>
                </w:p>
              </w:tc>
              <w:tc>
                <w:tcPr>
                  <w:tcW w:w="792" w:type="pct"/>
                  <w:gridSpan w:val="2"/>
                  <w:tcBorders>
                    <w:tl2br w:val="nil"/>
                    <w:tr2bl w:val="nil"/>
                  </w:tcBorders>
                  <w:noWrap w:val="0"/>
                  <w:vAlign w:val="center"/>
                </w:tcPr>
                <w:p>
                  <w:pPr>
                    <w:pStyle w:val="195"/>
                    <w:spacing w:line="240" w:lineRule="auto"/>
                    <w:ind w:firstLine="0" w:firstLineChars="0"/>
                    <w:jc w:val="center"/>
                    <w:rPr>
                      <w:kern w:val="0"/>
                      <w:sz w:val="21"/>
                      <w:u w:val="none" w:color="auto"/>
                    </w:rPr>
                  </w:pPr>
                  <w:r>
                    <w:rPr>
                      <w:kern w:val="0"/>
                      <w:sz w:val="21"/>
                      <w:u w:val="none" w:color="auto"/>
                    </w:rPr>
                    <w:t>污染物排放速率</w:t>
                  </w:r>
                  <w:r>
                    <w:rPr>
                      <w:rFonts w:hint="eastAsia"/>
                      <w:kern w:val="0"/>
                      <w:sz w:val="21"/>
                      <w:u w:val="none" w:color="auto"/>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55"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373"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1311" w:type="pct"/>
                  <w:gridSpan w:val="2"/>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448"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406"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365"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398"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348"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415" w:type="pct"/>
                  <w:vMerge w:val="restart"/>
                  <w:tcBorders>
                    <w:tl2br w:val="nil"/>
                    <w:tr2bl w:val="nil"/>
                  </w:tcBorders>
                  <w:noWrap w:val="0"/>
                  <w:vAlign w:val="center"/>
                </w:tcPr>
                <w:p>
                  <w:pPr>
                    <w:pStyle w:val="195"/>
                    <w:spacing w:line="240" w:lineRule="auto"/>
                    <w:ind w:firstLine="0" w:firstLineChars="0"/>
                    <w:jc w:val="center"/>
                    <w:rPr>
                      <w:rFonts w:hint="default" w:eastAsia="宋体"/>
                      <w:kern w:val="0"/>
                      <w:sz w:val="21"/>
                      <w:u w:val="none" w:color="auto"/>
                      <w:lang w:val="en-US" w:eastAsia="zh-CN"/>
                    </w:rPr>
                  </w:pPr>
                  <w:r>
                    <w:rPr>
                      <w:rFonts w:hint="eastAsia"/>
                      <w:kern w:val="0"/>
                      <w:sz w:val="21"/>
                      <w:u w:val="none" w:color="auto"/>
                      <w:lang w:val="en-US" w:eastAsia="zh-CN"/>
                    </w:rPr>
                    <w:t>VOC</w:t>
                  </w:r>
                  <w:r>
                    <w:rPr>
                      <w:rFonts w:hint="eastAsia"/>
                      <w:kern w:val="0"/>
                      <w:sz w:val="21"/>
                      <w:u w:val="none" w:color="auto"/>
                      <w:vertAlign w:val="subscript"/>
                      <w:lang w:val="en-US" w:eastAsia="zh-CN"/>
                    </w:rPr>
                    <w:t>S</w:t>
                  </w:r>
                </w:p>
              </w:tc>
              <w:tc>
                <w:tcPr>
                  <w:tcW w:w="377" w:type="pct"/>
                  <w:vMerge w:val="restart"/>
                  <w:tcBorders>
                    <w:tl2br w:val="nil"/>
                    <w:tr2bl w:val="nil"/>
                  </w:tcBorders>
                  <w:noWrap w:val="0"/>
                  <w:vAlign w:val="center"/>
                </w:tcPr>
                <w:p>
                  <w:pPr>
                    <w:pStyle w:val="195"/>
                    <w:spacing w:line="240" w:lineRule="auto"/>
                    <w:ind w:firstLine="0" w:firstLineChars="0"/>
                    <w:jc w:val="center"/>
                    <w:rPr>
                      <w:rFonts w:hint="default"/>
                      <w:kern w:val="0"/>
                      <w:sz w:val="21"/>
                      <w:u w:val="none" w:color="auto"/>
                      <w:lang w:val="en-US" w:eastAsia="zh-CN"/>
                    </w:rPr>
                  </w:pPr>
                  <w:r>
                    <w:rPr>
                      <w:rFonts w:hint="eastAsia"/>
                      <w:kern w:val="0"/>
                      <w:sz w:val="21"/>
                      <w:u w:val="none" w:color="auto"/>
                      <w:lang w:val="en-US" w:eastAsia="zh-CN"/>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55"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373"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680" w:type="pct"/>
                  <w:tcBorders>
                    <w:tl2br w:val="nil"/>
                    <w:tr2bl w:val="nil"/>
                  </w:tcBorders>
                  <w:noWrap w:val="0"/>
                  <w:vAlign w:val="center"/>
                </w:tcPr>
                <w:p>
                  <w:pPr>
                    <w:pStyle w:val="195"/>
                    <w:spacing w:line="240" w:lineRule="auto"/>
                    <w:ind w:firstLine="0" w:firstLineChars="0"/>
                    <w:jc w:val="center"/>
                    <w:rPr>
                      <w:rFonts w:hint="eastAsia" w:eastAsia="宋体"/>
                      <w:kern w:val="0"/>
                      <w:sz w:val="21"/>
                      <w:u w:val="none" w:color="auto"/>
                      <w:lang w:val="en-US" w:eastAsia="zh-CN"/>
                    </w:rPr>
                  </w:pPr>
                  <w:r>
                    <w:rPr>
                      <w:rFonts w:hint="eastAsia"/>
                      <w:kern w:val="0"/>
                      <w:sz w:val="21"/>
                      <w:u w:val="none" w:color="auto"/>
                      <w:lang w:val="en-US" w:eastAsia="zh-CN"/>
                    </w:rPr>
                    <w:t>X</w:t>
                  </w:r>
                </w:p>
              </w:tc>
              <w:tc>
                <w:tcPr>
                  <w:tcW w:w="630" w:type="pct"/>
                  <w:tcBorders>
                    <w:tl2br w:val="nil"/>
                    <w:tr2bl w:val="nil"/>
                  </w:tcBorders>
                  <w:noWrap w:val="0"/>
                  <w:vAlign w:val="center"/>
                </w:tcPr>
                <w:p>
                  <w:pPr>
                    <w:pStyle w:val="195"/>
                    <w:spacing w:line="240" w:lineRule="auto"/>
                    <w:ind w:firstLine="0" w:firstLineChars="0"/>
                    <w:jc w:val="center"/>
                    <w:rPr>
                      <w:rFonts w:hint="eastAsia" w:eastAsia="宋体"/>
                      <w:kern w:val="0"/>
                      <w:sz w:val="21"/>
                      <w:u w:val="none" w:color="auto"/>
                      <w:lang w:val="en-US" w:eastAsia="zh-CN"/>
                    </w:rPr>
                  </w:pPr>
                  <w:r>
                    <w:rPr>
                      <w:rFonts w:hint="eastAsia"/>
                      <w:kern w:val="0"/>
                      <w:sz w:val="21"/>
                      <w:u w:val="none" w:color="auto"/>
                      <w:lang w:val="en-US" w:eastAsia="zh-CN"/>
                    </w:rPr>
                    <w:t>Y</w:t>
                  </w:r>
                </w:p>
              </w:tc>
              <w:tc>
                <w:tcPr>
                  <w:tcW w:w="448"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406"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365"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398"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348"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415"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377"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55" w:type="pct"/>
                  <w:tcBorders>
                    <w:tl2br w:val="nil"/>
                    <w:tr2bl w:val="nil"/>
                  </w:tcBorders>
                  <w:noWrap w:val="0"/>
                  <w:vAlign w:val="center"/>
                </w:tcPr>
                <w:p>
                  <w:pPr>
                    <w:pStyle w:val="195"/>
                    <w:spacing w:line="240" w:lineRule="auto"/>
                    <w:ind w:firstLine="0" w:firstLineChars="0"/>
                    <w:jc w:val="center"/>
                    <w:rPr>
                      <w:rFonts w:hint="default" w:eastAsia="宋体"/>
                      <w:kern w:val="0"/>
                      <w:sz w:val="21"/>
                      <w:u w:val="none" w:color="auto"/>
                      <w:lang w:val="en-US" w:eastAsia="zh-CN"/>
                    </w:rPr>
                  </w:pPr>
                  <w:r>
                    <w:rPr>
                      <w:rFonts w:hint="eastAsia"/>
                      <w:kern w:val="0"/>
                      <w:sz w:val="21"/>
                      <w:u w:val="none" w:color="auto"/>
                      <w:lang w:val="en-US" w:eastAsia="zh-CN"/>
                    </w:rPr>
                    <w:t>印刷、固化、分切废气排气筒</w:t>
                  </w:r>
                </w:p>
              </w:tc>
              <w:tc>
                <w:tcPr>
                  <w:tcW w:w="373" w:type="pct"/>
                  <w:tcBorders>
                    <w:tl2br w:val="nil"/>
                    <w:tr2bl w:val="nil"/>
                  </w:tcBorders>
                  <w:noWrap w:val="0"/>
                  <w:vAlign w:val="center"/>
                </w:tcPr>
                <w:p>
                  <w:pPr>
                    <w:pStyle w:val="195"/>
                    <w:spacing w:line="240" w:lineRule="auto"/>
                    <w:ind w:firstLine="0" w:firstLineChars="0"/>
                    <w:jc w:val="center"/>
                    <w:rPr>
                      <w:rFonts w:hint="default" w:eastAsia="宋体"/>
                      <w:kern w:val="0"/>
                      <w:sz w:val="21"/>
                      <w:u w:val="none" w:color="auto"/>
                      <w:lang w:val="en-US" w:eastAsia="zh-CN"/>
                    </w:rPr>
                  </w:pPr>
                  <w:r>
                    <w:rPr>
                      <w:rFonts w:hint="eastAsia"/>
                      <w:kern w:val="0"/>
                      <w:sz w:val="21"/>
                      <w:u w:val="none" w:color="auto"/>
                      <w:lang w:val="en-US" w:eastAsia="zh-CN"/>
                    </w:rPr>
                    <w:t>24</w:t>
                  </w:r>
                </w:p>
              </w:tc>
              <w:tc>
                <w:tcPr>
                  <w:tcW w:w="680" w:type="pct"/>
                  <w:tcBorders>
                    <w:tl2br w:val="nil"/>
                    <w:tr2bl w:val="nil"/>
                  </w:tcBorders>
                  <w:noWrap w:val="0"/>
                  <w:vAlign w:val="center"/>
                </w:tcPr>
                <w:p>
                  <w:pPr>
                    <w:pStyle w:val="195"/>
                    <w:spacing w:line="240" w:lineRule="auto"/>
                    <w:ind w:firstLine="0" w:firstLineChars="0"/>
                    <w:jc w:val="center"/>
                    <w:rPr>
                      <w:rFonts w:hint="eastAsia"/>
                      <w:kern w:val="0"/>
                      <w:sz w:val="21"/>
                      <w:u w:val="none" w:color="auto"/>
                    </w:rPr>
                  </w:pPr>
                  <w:r>
                    <w:rPr>
                      <w:rFonts w:hint="eastAsia"/>
                      <w:kern w:val="0"/>
                      <w:sz w:val="21"/>
                      <w:u w:val="none" w:color="auto"/>
                    </w:rPr>
                    <w:t>112.935226</w:t>
                  </w:r>
                </w:p>
              </w:tc>
              <w:tc>
                <w:tcPr>
                  <w:tcW w:w="630" w:type="pct"/>
                  <w:tcBorders>
                    <w:tl2br w:val="nil"/>
                    <w:tr2bl w:val="nil"/>
                  </w:tcBorders>
                  <w:noWrap w:val="0"/>
                  <w:vAlign w:val="center"/>
                </w:tcPr>
                <w:p>
                  <w:pPr>
                    <w:pStyle w:val="195"/>
                    <w:spacing w:line="240" w:lineRule="auto"/>
                    <w:ind w:firstLine="0" w:firstLineChars="0"/>
                    <w:jc w:val="center"/>
                    <w:rPr>
                      <w:rFonts w:hint="eastAsia"/>
                      <w:kern w:val="0"/>
                      <w:sz w:val="21"/>
                      <w:u w:val="none" w:color="auto"/>
                    </w:rPr>
                  </w:pPr>
                  <w:r>
                    <w:rPr>
                      <w:rFonts w:hint="eastAsia"/>
                      <w:kern w:val="0"/>
                      <w:sz w:val="21"/>
                      <w:u w:val="none" w:color="auto"/>
                    </w:rPr>
                    <w:t>28.529603</w:t>
                  </w:r>
                </w:p>
              </w:tc>
              <w:tc>
                <w:tcPr>
                  <w:tcW w:w="448" w:type="pct"/>
                  <w:tcBorders>
                    <w:tl2br w:val="nil"/>
                    <w:tr2bl w:val="nil"/>
                  </w:tcBorders>
                  <w:noWrap w:val="0"/>
                  <w:vAlign w:val="center"/>
                </w:tcPr>
                <w:p>
                  <w:pPr>
                    <w:pStyle w:val="195"/>
                    <w:spacing w:line="240" w:lineRule="auto"/>
                    <w:ind w:firstLine="0" w:firstLineChars="0"/>
                    <w:jc w:val="center"/>
                    <w:rPr>
                      <w:rFonts w:hint="eastAsia" w:eastAsia="宋体"/>
                      <w:kern w:val="0"/>
                      <w:sz w:val="21"/>
                      <w:u w:val="none" w:color="auto"/>
                      <w:lang w:val="en-US" w:eastAsia="zh-CN"/>
                    </w:rPr>
                  </w:pPr>
                  <w:r>
                    <w:rPr>
                      <w:rFonts w:hint="eastAsia"/>
                      <w:kern w:val="0"/>
                      <w:sz w:val="21"/>
                      <w:u w:val="none" w:color="auto"/>
                    </w:rPr>
                    <w:t>0.</w:t>
                  </w:r>
                  <w:r>
                    <w:rPr>
                      <w:rFonts w:hint="eastAsia"/>
                      <w:kern w:val="0"/>
                      <w:sz w:val="21"/>
                      <w:u w:val="none" w:color="auto"/>
                      <w:lang w:val="en-US" w:eastAsia="zh-CN"/>
                    </w:rPr>
                    <w:t>4</w:t>
                  </w:r>
                </w:p>
              </w:tc>
              <w:tc>
                <w:tcPr>
                  <w:tcW w:w="406" w:type="pct"/>
                  <w:tcBorders>
                    <w:tl2br w:val="nil"/>
                    <w:tr2bl w:val="nil"/>
                  </w:tcBorders>
                  <w:noWrap w:val="0"/>
                  <w:vAlign w:val="center"/>
                </w:tcPr>
                <w:p>
                  <w:pPr>
                    <w:pStyle w:val="195"/>
                    <w:spacing w:line="240" w:lineRule="auto"/>
                    <w:ind w:firstLine="0" w:firstLineChars="0"/>
                    <w:jc w:val="center"/>
                    <w:rPr>
                      <w:rFonts w:hint="default" w:eastAsia="宋体"/>
                      <w:kern w:val="0"/>
                      <w:sz w:val="21"/>
                      <w:u w:val="none" w:color="auto"/>
                      <w:lang w:val="en-US" w:eastAsia="zh-CN"/>
                    </w:rPr>
                  </w:pPr>
                  <w:r>
                    <w:rPr>
                      <w:rFonts w:hint="eastAsia"/>
                      <w:kern w:val="0"/>
                      <w:sz w:val="21"/>
                      <w:u w:val="none" w:color="auto"/>
                      <w:lang w:val="en-US" w:eastAsia="zh-CN"/>
                    </w:rPr>
                    <w:t>26.5</w:t>
                  </w:r>
                </w:p>
              </w:tc>
              <w:tc>
                <w:tcPr>
                  <w:tcW w:w="365" w:type="pct"/>
                  <w:tcBorders>
                    <w:tl2br w:val="nil"/>
                    <w:tr2bl w:val="nil"/>
                  </w:tcBorders>
                  <w:noWrap w:val="0"/>
                  <w:vAlign w:val="center"/>
                </w:tcPr>
                <w:p>
                  <w:pPr>
                    <w:pStyle w:val="195"/>
                    <w:spacing w:line="240" w:lineRule="auto"/>
                    <w:ind w:firstLine="0" w:firstLineChars="0"/>
                    <w:jc w:val="center"/>
                    <w:rPr>
                      <w:rFonts w:hint="eastAsia" w:eastAsia="宋体"/>
                      <w:kern w:val="0"/>
                      <w:sz w:val="21"/>
                      <w:u w:val="none" w:color="auto"/>
                      <w:lang w:eastAsia="zh-CN"/>
                    </w:rPr>
                  </w:pPr>
                  <w:r>
                    <w:rPr>
                      <w:rFonts w:hint="eastAsia"/>
                      <w:kern w:val="0"/>
                      <w:sz w:val="21"/>
                      <w:u w:val="none" w:color="auto"/>
                    </w:rPr>
                    <w:t>2</w:t>
                  </w:r>
                  <w:r>
                    <w:rPr>
                      <w:rFonts w:hint="eastAsia"/>
                      <w:kern w:val="0"/>
                      <w:sz w:val="21"/>
                      <w:u w:val="none" w:color="auto"/>
                      <w:lang w:val="en-US" w:eastAsia="zh-CN"/>
                    </w:rPr>
                    <w:t>5</w:t>
                  </w:r>
                </w:p>
              </w:tc>
              <w:tc>
                <w:tcPr>
                  <w:tcW w:w="398" w:type="pct"/>
                  <w:tcBorders>
                    <w:tl2br w:val="nil"/>
                    <w:tr2bl w:val="nil"/>
                  </w:tcBorders>
                  <w:noWrap w:val="0"/>
                  <w:vAlign w:val="center"/>
                </w:tcPr>
                <w:p>
                  <w:pPr>
                    <w:pStyle w:val="195"/>
                    <w:spacing w:line="240" w:lineRule="auto"/>
                    <w:ind w:firstLine="0" w:firstLineChars="0"/>
                    <w:jc w:val="center"/>
                    <w:rPr>
                      <w:kern w:val="0"/>
                      <w:sz w:val="21"/>
                      <w:u w:val="none" w:color="auto"/>
                    </w:rPr>
                  </w:pPr>
                  <w:r>
                    <w:rPr>
                      <w:rFonts w:hint="eastAsia"/>
                      <w:kern w:val="0"/>
                      <w:sz w:val="21"/>
                      <w:u w:val="none" w:color="auto"/>
                      <w:lang w:val="en-US" w:eastAsia="zh-CN"/>
                    </w:rPr>
                    <w:t>24</w:t>
                  </w:r>
                  <w:r>
                    <w:rPr>
                      <w:rFonts w:hint="eastAsia"/>
                      <w:kern w:val="0"/>
                      <w:sz w:val="21"/>
                      <w:u w:val="none" w:color="auto"/>
                    </w:rPr>
                    <w:t>00</w:t>
                  </w:r>
                </w:p>
              </w:tc>
              <w:tc>
                <w:tcPr>
                  <w:tcW w:w="348" w:type="pct"/>
                  <w:tcBorders>
                    <w:tl2br w:val="nil"/>
                    <w:tr2bl w:val="nil"/>
                  </w:tcBorders>
                  <w:noWrap w:val="0"/>
                  <w:vAlign w:val="center"/>
                </w:tcPr>
                <w:p>
                  <w:pPr>
                    <w:pStyle w:val="195"/>
                    <w:spacing w:line="240" w:lineRule="auto"/>
                    <w:ind w:firstLine="0" w:firstLineChars="0"/>
                    <w:jc w:val="center"/>
                    <w:rPr>
                      <w:kern w:val="0"/>
                      <w:sz w:val="21"/>
                      <w:u w:val="none" w:color="auto"/>
                    </w:rPr>
                  </w:pPr>
                  <w:r>
                    <w:rPr>
                      <w:kern w:val="0"/>
                      <w:sz w:val="21"/>
                      <w:u w:val="none" w:color="auto"/>
                    </w:rPr>
                    <w:t>正常</w:t>
                  </w:r>
                </w:p>
              </w:tc>
              <w:tc>
                <w:tcPr>
                  <w:tcW w:w="415" w:type="pct"/>
                  <w:tcBorders>
                    <w:tl2br w:val="nil"/>
                    <w:tr2bl w:val="nil"/>
                  </w:tcBorders>
                  <w:noWrap w:val="0"/>
                  <w:vAlign w:val="center"/>
                </w:tcPr>
                <w:p>
                  <w:pPr>
                    <w:pStyle w:val="195"/>
                    <w:spacing w:line="240" w:lineRule="auto"/>
                    <w:ind w:firstLine="0" w:firstLineChars="0"/>
                    <w:jc w:val="center"/>
                    <w:rPr>
                      <w:rFonts w:hint="default" w:eastAsia="宋体"/>
                      <w:kern w:val="0"/>
                      <w:sz w:val="21"/>
                      <w:u w:val="none" w:color="auto"/>
                      <w:lang w:val="en-US" w:eastAsia="zh-CN"/>
                    </w:rPr>
                  </w:pPr>
                  <w:r>
                    <w:rPr>
                      <w:rFonts w:hint="eastAsia"/>
                      <w:kern w:val="0"/>
                      <w:sz w:val="21"/>
                      <w:u w:val="none" w:color="auto"/>
                      <w:lang w:val="en-US" w:eastAsia="zh-CN"/>
                    </w:rPr>
                    <w:t>0.0133</w:t>
                  </w:r>
                </w:p>
              </w:tc>
              <w:tc>
                <w:tcPr>
                  <w:tcW w:w="377" w:type="pct"/>
                  <w:tcBorders>
                    <w:tl2br w:val="nil"/>
                    <w:tr2bl w:val="nil"/>
                  </w:tcBorders>
                  <w:noWrap w:val="0"/>
                  <w:vAlign w:val="center"/>
                </w:tcPr>
                <w:p>
                  <w:pPr>
                    <w:pStyle w:val="195"/>
                    <w:spacing w:line="240" w:lineRule="auto"/>
                    <w:ind w:firstLine="0" w:firstLineChars="0"/>
                    <w:jc w:val="center"/>
                    <w:rPr>
                      <w:rFonts w:hint="default"/>
                      <w:kern w:val="0"/>
                      <w:sz w:val="21"/>
                      <w:u w:val="none" w:color="auto"/>
                      <w:lang w:val="en-US" w:eastAsia="zh-CN"/>
                    </w:rPr>
                  </w:pPr>
                  <w:r>
                    <w:rPr>
                      <w:rFonts w:hint="eastAsia"/>
                      <w:kern w:val="0"/>
                      <w:sz w:val="21"/>
                      <w:u w:val="none" w:color="auto"/>
                      <w:lang w:val="en-US" w:eastAsia="zh-CN"/>
                    </w:rPr>
                    <w:t>0.04875</w:t>
                  </w:r>
                </w:p>
              </w:tc>
            </w:tr>
          </w:tbl>
          <w:p>
            <w:pPr>
              <w:pStyle w:val="194"/>
              <w:ind w:firstLine="0" w:firstLineChars="0"/>
              <w:jc w:val="center"/>
              <w:rPr>
                <w:b/>
                <w:u w:val="none" w:color="auto"/>
              </w:rPr>
            </w:pPr>
            <w:r>
              <w:rPr>
                <w:b/>
                <w:u w:val="none" w:color="auto"/>
              </w:rPr>
              <w:t>表7-</w:t>
            </w:r>
            <w:r>
              <w:rPr>
                <w:rFonts w:hint="eastAsia"/>
                <w:b/>
                <w:u w:val="none" w:color="auto"/>
                <w:lang w:val="en-US" w:eastAsia="zh-CN"/>
              </w:rPr>
              <w:t>4</w:t>
            </w:r>
            <w:r>
              <w:rPr>
                <w:rFonts w:hint="eastAsia"/>
                <w:b/>
                <w:u w:val="none" w:color="auto"/>
              </w:rPr>
              <w:t>本项目面源污染源参数表</w:t>
            </w:r>
          </w:p>
          <w:tbl>
            <w:tblPr>
              <w:tblStyle w:val="4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212"/>
              <w:gridCol w:w="1111"/>
              <w:gridCol w:w="687"/>
              <w:gridCol w:w="628"/>
              <w:gridCol w:w="845"/>
              <w:gridCol w:w="707"/>
              <w:gridCol w:w="635"/>
              <w:gridCol w:w="673"/>
              <w:gridCol w:w="821"/>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459" w:type="pct"/>
                  <w:vMerge w:val="restart"/>
                  <w:tcBorders>
                    <w:tl2br w:val="nil"/>
                    <w:tr2bl w:val="nil"/>
                  </w:tcBorders>
                  <w:noWrap w:val="0"/>
                  <w:vAlign w:val="center"/>
                </w:tcPr>
                <w:p>
                  <w:pPr>
                    <w:pStyle w:val="195"/>
                    <w:spacing w:line="240" w:lineRule="auto"/>
                    <w:ind w:firstLine="0" w:firstLineChars="0"/>
                    <w:jc w:val="center"/>
                    <w:rPr>
                      <w:kern w:val="0"/>
                      <w:sz w:val="21"/>
                      <w:u w:val="none" w:color="auto"/>
                    </w:rPr>
                  </w:pPr>
                  <w:r>
                    <w:rPr>
                      <w:rFonts w:hint="eastAsia"/>
                      <w:kern w:val="0"/>
                      <w:sz w:val="21"/>
                      <w:u w:val="none" w:color="auto"/>
                    </w:rPr>
                    <w:t>名称</w:t>
                  </w:r>
                </w:p>
              </w:tc>
              <w:tc>
                <w:tcPr>
                  <w:tcW w:w="1284" w:type="pct"/>
                  <w:gridSpan w:val="2"/>
                  <w:tcBorders>
                    <w:tl2br w:val="nil"/>
                    <w:tr2bl w:val="nil"/>
                  </w:tcBorders>
                  <w:noWrap w:val="0"/>
                  <w:vAlign w:val="center"/>
                </w:tcPr>
                <w:p>
                  <w:pPr>
                    <w:pStyle w:val="195"/>
                    <w:spacing w:line="240" w:lineRule="auto"/>
                    <w:ind w:firstLine="0" w:firstLineChars="0"/>
                    <w:jc w:val="center"/>
                    <w:rPr>
                      <w:rFonts w:hint="default" w:eastAsia="宋体"/>
                      <w:kern w:val="0"/>
                      <w:sz w:val="21"/>
                      <w:u w:val="none" w:color="auto"/>
                      <w:lang w:val="en-US" w:eastAsia="zh-CN"/>
                    </w:rPr>
                  </w:pPr>
                  <w:r>
                    <w:rPr>
                      <w:rFonts w:hint="eastAsia"/>
                      <w:kern w:val="0"/>
                      <w:sz w:val="21"/>
                      <w:u w:val="none" w:color="auto"/>
                      <w:lang w:val="en-US" w:eastAsia="zh-CN"/>
                    </w:rPr>
                    <w:t>面源起点坐标/m</w:t>
                  </w:r>
                </w:p>
              </w:tc>
              <w:tc>
                <w:tcPr>
                  <w:tcW w:w="380" w:type="pct"/>
                  <w:vMerge w:val="restart"/>
                  <w:tcBorders>
                    <w:tl2br w:val="nil"/>
                    <w:tr2bl w:val="nil"/>
                  </w:tcBorders>
                  <w:noWrap w:val="0"/>
                  <w:vAlign w:val="center"/>
                </w:tcPr>
                <w:p>
                  <w:pPr>
                    <w:pStyle w:val="195"/>
                    <w:spacing w:line="240" w:lineRule="auto"/>
                    <w:ind w:firstLine="0" w:firstLineChars="0"/>
                    <w:jc w:val="center"/>
                    <w:rPr>
                      <w:rFonts w:hint="eastAsia"/>
                      <w:kern w:val="0"/>
                      <w:sz w:val="21"/>
                      <w:u w:val="none" w:color="auto"/>
                    </w:rPr>
                  </w:pPr>
                  <w:r>
                    <w:rPr>
                      <w:rFonts w:hint="eastAsia"/>
                      <w:kern w:val="0"/>
                      <w:sz w:val="21"/>
                      <w:u w:val="none" w:color="auto"/>
                    </w:rPr>
                    <w:t>面源长度/m</w:t>
                  </w:r>
                </w:p>
              </w:tc>
              <w:tc>
                <w:tcPr>
                  <w:tcW w:w="347" w:type="pct"/>
                  <w:vMerge w:val="restart"/>
                  <w:tcBorders>
                    <w:tl2br w:val="nil"/>
                    <w:tr2bl w:val="nil"/>
                  </w:tcBorders>
                  <w:noWrap w:val="0"/>
                  <w:vAlign w:val="center"/>
                </w:tcPr>
                <w:p>
                  <w:pPr>
                    <w:pStyle w:val="195"/>
                    <w:spacing w:line="240" w:lineRule="auto"/>
                    <w:ind w:firstLine="0" w:firstLineChars="0"/>
                    <w:jc w:val="center"/>
                    <w:rPr>
                      <w:kern w:val="0"/>
                      <w:sz w:val="21"/>
                      <w:u w:val="none" w:color="auto"/>
                    </w:rPr>
                  </w:pPr>
                  <w:r>
                    <w:rPr>
                      <w:rFonts w:hint="eastAsia"/>
                      <w:kern w:val="0"/>
                      <w:sz w:val="21"/>
                      <w:u w:val="none" w:color="auto"/>
                    </w:rPr>
                    <w:t>面源</w:t>
                  </w:r>
                  <w:r>
                    <w:rPr>
                      <w:kern w:val="0"/>
                      <w:sz w:val="21"/>
                      <w:u w:val="none" w:color="auto"/>
                    </w:rPr>
                    <w:t>宽度</w:t>
                  </w:r>
                  <w:r>
                    <w:rPr>
                      <w:rFonts w:hint="eastAsia"/>
                      <w:kern w:val="0"/>
                      <w:sz w:val="21"/>
                      <w:u w:val="none" w:color="auto"/>
                    </w:rPr>
                    <w:t>/m</w:t>
                  </w:r>
                </w:p>
              </w:tc>
              <w:tc>
                <w:tcPr>
                  <w:tcW w:w="467" w:type="pct"/>
                  <w:vMerge w:val="restart"/>
                  <w:tcBorders>
                    <w:tl2br w:val="nil"/>
                    <w:tr2bl w:val="nil"/>
                  </w:tcBorders>
                  <w:noWrap w:val="0"/>
                  <w:vAlign w:val="center"/>
                </w:tcPr>
                <w:p>
                  <w:pPr>
                    <w:pStyle w:val="195"/>
                    <w:spacing w:line="240" w:lineRule="auto"/>
                    <w:ind w:firstLine="0" w:firstLineChars="0"/>
                    <w:jc w:val="center"/>
                    <w:rPr>
                      <w:kern w:val="0"/>
                      <w:sz w:val="21"/>
                      <w:u w:val="none" w:color="auto"/>
                    </w:rPr>
                  </w:pPr>
                  <w:r>
                    <w:rPr>
                      <w:rFonts w:hint="eastAsia"/>
                      <w:kern w:val="0"/>
                      <w:sz w:val="21"/>
                      <w:u w:val="none" w:color="auto"/>
                    </w:rPr>
                    <w:t>与正北夹角/（°）</w:t>
                  </w:r>
                </w:p>
              </w:tc>
              <w:tc>
                <w:tcPr>
                  <w:tcW w:w="391" w:type="pct"/>
                  <w:vMerge w:val="restart"/>
                  <w:tcBorders>
                    <w:tl2br w:val="nil"/>
                    <w:tr2bl w:val="nil"/>
                  </w:tcBorders>
                  <w:noWrap w:val="0"/>
                  <w:vAlign w:val="center"/>
                </w:tcPr>
                <w:p>
                  <w:pPr>
                    <w:pStyle w:val="195"/>
                    <w:spacing w:line="240" w:lineRule="auto"/>
                    <w:ind w:firstLine="0" w:firstLineChars="0"/>
                    <w:jc w:val="center"/>
                    <w:rPr>
                      <w:kern w:val="0"/>
                      <w:sz w:val="21"/>
                      <w:u w:val="none" w:color="auto"/>
                    </w:rPr>
                  </w:pPr>
                  <w:r>
                    <w:rPr>
                      <w:rFonts w:hint="eastAsia"/>
                      <w:kern w:val="0"/>
                      <w:sz w:val="21"/>
                      <w:u w:val="none" w:color="auto"/>
                    </w:rPr>
                    <w:t>面源</w:t>
                  </w:r>
                  <w:r>
                    <w:rPr>
                      <w:kern w:val="0"/>
                      <w:sz w:val="21"/>
                      <w:u w:val="none" w:color="auto"/>
                    </w:rPr>
                    <w:t>有效排放高度</w:t>
                  </w:r>
                  <w:r>
                    <w:rPr>
                      <w:rFonts w:hint="eastAsia"/>
                      <w:kern w:val="0"/>
                      <w:sz w:val="21"/>
                      <w:u w:val="none" w:color="auto"/>
                    </w:rPr>
                    <w:t>/m</w:t>
                  </w:r>
                </w:p>
              </w:tc>
              <w:tc>
                <w:tcPr>
                  <w:tcW w:w="351" w:type="pct"/>
                  <w:vMerge w:val="restart"/>
                  <w:tcBorders>
                    <w:tl2br w:val="nil"/>
                    <w:tr2bl w:val="nil"/>
                  </w:tcBorders>
                  <w:noWrap w:val="0"/>
                  <w:vAlign w:val="center"/>
                </w:tcPr>
                <w:p>
                  <w:pPr>
                    <w:pStyle w:val="195"/>
                    <w:spacing w:line="240" w:lineRule="auto"/>
                    <w:ind w:firstLine="0" w:firstLineChars="0"/>
                    <w:jc w:val="center"/>
                    <w:rPr>
                      <w:kern w:val="0"/>
                      <w:sz w:val="21"/>
                      <w:u w:val="none" w:color="auto"/>
                    </w:rPr>
                  </w:pPr>
                  <w:r>
                    <w:rPr>
                      <w:kern w:val="0"/>
                      <w:sz w:val="21"/>
                      <w:u w:val="none" w:color="auto"/>
                    </w:rPr>
                    <w:t>年排放小时</w:t>
                  </w:r>
                  <w:r>
                    <w:rPr>
                      <w:rFonts w:hint="eastAsia"/>
                      <w:kern w:val="0"/>
                      <w:sz w:val="21"/>
                      <w:u w:val="none" w:color="auto"/>
                    </w:rPr>
                    <w:t>/h</w:t>
                  </w:r>
                </w:p>
              </w:tc>
              <w:tc>
                <w:tcPr>
                  <w:tcW w:w="372" w:type="pct"/>
                  <w:vMerge w:val="restart"/>
                  <w:tcBorders>
                    <w:tl2br w:val="nil"/>
                    <w:tr2bl w:val="nil"/>
                  </w:tcBorders>
                  <w:noWrap w:val="0"/>
                  <w:vAlign w:val="center"/>
                </w:tcPr>
                <w:p>
                  <w:pPr>
                    <w:pStyle w:val="195"/>
                    <w:spacing w:line="240" w:lineRule="auto"/>
                    <w:ind w:firstLine="0" w:firstLineChars="0"/>
                    <w:jc w:val="center"/>
                    <w:rPr>
                      <w:kern w:val="0"/>
                      <w:sz w:val="21"/>
                      <w:u w:val="none" w:color="auto"/>
                    </w:rPr>
                  </w:pPr>
                  <w:r>
                    <w:rPr>
                      <w:kern w:val="0"/>
                      <w:sz w:val="21"/>
                      <w:u w:val="none" w:color="auto"/>
                    </w:rPr>
                    <w:t>排放工况</w:t>
                  </w:r>
                </w:p>
              </w:tc>
              <w:tc>
                <w:tcPr>
                  <w:tcW w:w="945" w:type="pct"/>
                  <w:gridSpan w:val="2"/>
                  <w:vMerge w:val="restart"/>
                  <w:tcBorders>
                    <w:tl2br w:val="nil"/>
                    <w:tr2bl w:val="nil"/>
                  </w:tcBorders>
                  <w:noWrap w:val="0"/>
                  <w:vAlign w:val="center"/>
                </w:tcPr>
                <w:p>
                  <w:pPr>
                    <w:pStyle w:val="195"/>
                    <w:spacing w:line="240" w:lineRule="auto"/>
                    <w:ind w:firstLine="0" w:firstLineChars="0"/>
                    <w:jc w:val="center"/>
                    <w:rPr>
                      <w:kern w:val="0"/>
                      <w:sz w:val="21"/>
                      <w:u w:val="none" w:color="auto"/>
                    </w:rPr>
                  </w:pPr>
                  <w:r>
                    <w:rPr>
                      <w:kern w:val="0"/>
                      <w:sz w:val="21"/>
                      <w:u w:val="none" w:color="auto"/>
                    </w:rPr>
                    <w:t>污染物排放速率</w:t>
                  </w:r>
                  <w:r>
                    <w:rPr>
                      <w:rFonts w:hint="eastAsia"/>
                      <w:kern w:val="0"/>
                      <w:sz w:val="21"/>
                      <w:u w:val="none" w:color="auto"/>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9" w:type="pct"/>
                  <w:vMerge w:val="continue"/>
                  <w:tcBorders>
                    <w:tl2br w:val="nil"/>
                    <w:tr2bl w:val="nil"/>
                  </w:tcBorders>
                  <w:noWrap w:val="0"/>
                  <w:vAlign w:val="center"/>
                </w:tcPr>
                <w:p>
                  <w:pPr>
                    <w:pStyle w:val="195"/>
                    <w:spacing w:line="240" w:lineRule="auto"/>
                    <w:ind w:firstLine="0" w:firstLineChars="0"/>
                    <w:jc w:val="center"/>
                    <w:rPr>
                      <w:rFonts w:hint="eastAsia"/>
                      <w:kern w:val="0"/>
                      <w:sz w:val="21"/>
                      <w:u w:val="none" w:color="auto"/>
                    </w:rPr>
                  </w:pPr>
                </w:p>
              </w:tc>
              <w:tc>
                <w:tcPr>
                  <w:tcW w:w="670" w:type="pct"/>
                  <w:vMerge w:val="restart"/>
                  <w:tcBorders>
                    <w:tl2br w:val="nil"/>
                    <w:tr2bl w:val="nil"/>
                  </w:tcBorders>
                  <w:noWrap w:val="0"/>
                  <w:vAlign w:val="center"/>
                </w:tcPr>
                <w:p>
                  <w:pPr>
                    <w:pStyle w:val="195"/>
                    <w:spacing w:line="240" w:lineRule="auto"/>
                    <w:ind w:firstLine="0" w:firstLineChars="0"/>
                    <w:jc w:val="center"/>
                    <w:rPr>
                      <w:rFonts w:hint="eastAsia" w:eastAsia="宋体"/>
                      <w:kern w:val="0"/>
                      <w:sz w:val="21"/>
                      <w:u w:val="none" w:color="auto"/>
                      <w:lang w:val="en-US" w:eastAsia="zh-CN"/>
                    </w:rPr>
                  </w:pPr>
                  <w:r>
                    <w:rPr>
                      <w:rFonts w:hint="eastAsia"/>
                      <w:kern w:val="0"/>
                      <w:sz w:val="21"/>
                      <w:u w:val="none" w:color="auto"/>
                      <w:lang w:val="en-US" w:eastAsia="zh-CN"/>
                    </w:rPr>
                    <w:t>X</w:t>
                  </w:r>
                </w:p>
              </w:tc>
              <w:tc>
                <w:tcPr>
                  <w:tcW w:w="613" w:type="pct"/>
                  <w:vMerge w:val="restart"/>
                  <w:tcBorders>
                    <w:tl2br w:val="nil"/>
                    <w:tr2bl w:val="nil"/>
                  </w:tcBorders>
                  <w:noWrap w:val="0"/>
                  <w:vAlign w:val="center"/>
                </w:tcPr>
                <w:p>
                  <w:pPr>
                    <w:pStyle w:val="195"/>
                    <w:spacing w:line="240" w:lineRule="auto"/>
                    <w:ind w:firstLine="0" w:firstLineChars="0"/>
                    <w:jc w:val="center"/>
                    <w:rPr>
                      <w:rFonts w:hint="eastAsia" w:eastAsia="宋体"/>
                      <w:kern w:val="0"/>
                      <w:sz w:val="21"/>
                      <w:u w:val="none" w:color="auto"/>
                      <w:lang w:val="en-US" w:eastAsia="zh-CN"/>
                    </w:rPr>
                  </w:pPr>
                  <w:r>
                    <w:rPr>
                      <w:rFonts w:hint="eastAsia"/>
                      <w:kern w:val="0"/>
                      <w:sz w:val="21"/>
                      <w:u w:val="none" w:color="auto"/>
                      <w:lang w:val="en-US" w:eastAsia="zh-CN"/>
                    </w:rPr>
                    <w:t>Y</w:t>
                  </w:r>
                </w:p>
              </w:tc>
              <w:tc>
                <w:tcPr>
                  <w:tcW w:w="380" w:type="pct"/>
                  <w:vMerge w:val="continue"/>
                  <w:tcBorders>
                    <w:tl2br w:val="nil"/>
                    <w:tr2bl w:val="nil"/>
                  </w:tcBorders>
                  <w:noWrap w:val="0"/>
                  <w:vAlign w:val="center"/>
                </w:tcPr>
                <w:p>
                  <w:pPr>
                    <w:pStyle w:val="195"/>
                    <w:spacing w:line="240" w:lineRule="auto"/>
                    <w:ind w:firstLine="0" w:firstLineChars="0"/>
                    <w:jc w:val="center"/>
                    <w:rPr>
                      <w:rFonts w:hint="eastAsia"/>
                      <w:kern w:val="0"/>
                      <w:sz w:val="21"/>
                      <w:u w:val="none" w:color="auto"/>
                    </w:rPr>
                  </w:pPr>
                </w:p>
              </w:tc>
              <w:tc>
                <w:tcPr>
                  <w:tcW w:w="347" w:type="pct"/>
                  <w:vMerge w:val="continue"/>
                  <w:tcBorders>
                    <w:tl2br w:val="nil"/>
                    <w:tr2bl w:val="nil"/>
                  </w:tcBorders>
                  <w:noWrap w:val="0"/>
                  <w:vAlign w:val="center"/>
                </w:tcPr>
                <w:p>
                  <w:pPr>
                    <w:pStyle w:val="195"/>
                    <w:spacing w:line="240" w:lineRule="auto"/>
                    <w:ind w:firstLine="0" w:firstLineChars="0"/>
                    <w:jc w:val="center"/>
                    <w:rPr>
                      <w:rFonts w:hint="eastAsia"/>
                      <w:kern w:val="0"/>
                      <w:sz w:val="21"/>
                      <w:u w:val="none" w:color="auto"/>
                    </w:rPr>
                  </w:pPr>
                </w:p>
              </w:tc>
              <w:tc>
                <w:tcPr>
                  <w:tcW w:w="467" w:type="pct"/>
                  <w:vMerge w:val="continue"/>
                  <w:tcBorders>
                    <w:tl2br w:val="nil"/>
                    <w:tr2bl w:val="nil"/>
                  </w:tcBorders>
                  <w:noWrap w:val="0"/>
                  <w:vAlign w:val="center"/>
                </w:tcPr>
                <w:p>
                  <w:pPr>
                    <w:pStyle w:val="195"/>
                    <w:spacing w:line="240" w:lineRule="auto"/>
                    <w:ind w:firstLine="0" w:firstLineChars="0"/>
                    <w:jc w:val="center"/>
                    <w:rPr>
                      <w:rFonts w:hint="eastAsia"/>
                      <w:kern w:val="0"/>
                      <w:sz w:val="21"/>
                      <w:u w:val="none" w:color="auto"/>
                    </w:rPr>
                  </w:pPr>
                </w:p>
              </w:tc>
              <w:tc>
                <w:tcPr>
                  <w:tcW w:w="391" w:type="pct"/>
                  <w:vMerge w:val="continue"/>
                  <w:tcBorders>
                    <w:tl2br w:val="nil"/>
                    <w:tr2bl w:val="nil"/>
                  </w:tcBorders>
                  <w:noWrap w:val="0"/>
                  <w:vAlign w:val="center"/>
                </w:tcPr>
                <w:p>
                  <w:pPr>
                    <w:pStyle w:val="195"/>
                    <w:spacing w:line="240" w:lineRule="auto"/>
                    <w:ind w:firstLine="0" w:firstLineChars="0"/>
                    <w:jc w:val="center"/>
                    <w:rPr>
                      <w:rFonts w:hint="eastAsia"/>
                      <w:kern w:val="0"/>
                      <w:sz w:val="21"/>
                      <w:u w:val="none" w:color="auto"/>
                    </w:rPr>
                  </w:pPr>
                </w:p>
              </w:tc>
              <w:tc>
                <w:tcPr>
                  <w:tcW w:w="351"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372"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945" w:type="pct"/>
                  <w:gridSpan w:val="2"/>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59"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670"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613"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380"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347"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467"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391"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351"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372"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454" w:type="pct"/>
                  <w:tcBorders>
                    <w:tl2br w:val="nil"/>
                    <w:tr2bl w:val="nil"/>
                  </w:tcBorders>
                  <w:noWrap w:val="0"/>
                  <w:vAlign w:val="center"/>
                </w:tcPr>
                <w:p>
                  <w:pPr>
                    <w:pStyle w:val="195"/>
                    <w:spacing w:line="240" w:lineRule="auto"/>
                    <w:ind w:firstLine="0" w:firstLineChars="0"/>
                    <w:jc w:val="center"/>
                    <w:rPr>
                      <w:rFonts w:hint="eastAsia" w:eastAsia="宋体"/>
                      <w:kern w:val="0"/>
                      <w:sz w:val="21"/>
                      <w:u w:val="none" w:color="auto"/>
                      <w:lang w:eastAsia="zh-CN"/>
                    </w:rPr>
                  </w:pPr>
                  <w:r>
                    <w:rPr>
                      <w:rFonts w:hint="eastAsia"/>
                      <w:kern w:val="0"/>
                      <w:sz w:val="21"/>
                      <w:u w:val="none" w:color="auto"/>
                      <w:lang w:val="en-US" w:eastAsia="zh-CN"/>
                    </w:rPr>
                    <w:t>VOC</w:t>
                  </w:r>
                  <w:r>
                    <w:rPr>
                      <w:rFonts w:hint="eastAsia"/>
                      <w:kern w:val="0"/>
                      <w:sz w:val="21"/>
                      <w:u w:val="none" w:color="auto"/>
                      <w:vertAlign w:val="subscript"/>
                      <w:lang w:val="en-US" w:eastAsia="zh-CN"/>
                    </w:rPr>
                    <w:t>S</w:t>
                  </w:r>
                </w:p>
              </w:tc>
              <w:tc>
                <w:tcPr>
                  <w:tcW w:w="491" w:type="pct"/>
                  <w:tcBorders>
                    <w:tl2br w:val="nil"/>
                    <w:tr2bl w:val="nil"/>
                  </w:tcBorders>
                  <w:noWrap w:val="0"/>
                  <w:vAlign w:val="center"/>
                </w:tcPr>
                <w:p>
                  <w:pPr>
                    <w:pStyle w:val="195"/>
                    <w:spacing w:line="240" w:lineRule="auto"/>
                    <w:ind w:firstLine="0" w:firstLineChars="0"/>
                    <w:jc w:val="center"/>
                    <w:rPr>
                      <w:rFonts w:hint="eastAsia"/>
                      <w:sz w:val="21"/>
                      <w:u w:val="none" w:color="auto"/>
                      <w:lang w:val="en-US" w:eastAsia="zh-CN"/>
                    </w:rPr>
                  </w:pPr>
                  <w:r>
                    <w:rPr>
                      <w:rFonts w:hint="eastAsia"/>
                      <w:kern w:val="0"/>
                      <w:sz w:val="21"/>
                      <w:u w:val="none" w:color="auto"/>
                      <w:lang w:val="en-US" w:eastAsia="zh-CN"/>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459" w:type="pct"/>
                  <w:tcBorders>
                    <w:tl2br w:val="nil"/>
                    <w:tr2bl w:val="nil"/>
                  </w:tcBorders>
                  <w:noWrap w:val="0"/>
                  <w:vAlign w:val="center"/>
                </w:tcPr>
                <w:p>
                  <w:pPr>
                    <w:pStyle w:val="195"/>
                    <w:spacing w:line="240" w:lineRule="auto"/>
                    <w:ind w:firstLine="0" w:firstLineChars="0"/>
                    <w:jc w:val="center"/>
                    <w:rPr>
                      <w:rFonts w:hint="default"/>
                      <w:kern w:val="0"/>
                      <w:sz w:val="21"/>
                      <w:u w:val="none" w:color="auto"/>
                      <w:lang w:val="en-US"/>
                    </w:rPr>
                  </w:pPr>
                  <w:r>
                    <w:rPr>
                      <w:rFonts w:hint="eastAsia"/>
                      <w:kern w:val="0"/>
                      <w:sz w:val="21"/>
                      <w:u w:val="none" w:color="auto"/>
                      <w:lang w:val="en-US" w:eastAsia="zh-CN"/>
                    </w:rPr>
                    <w:t>印刷、固化区</w:t>
                  </w:r>
                </w:p>
              </w:tc>
              <w:tc>
                <w:tcPr>
                  <w:tcW w:w="670" w:type="pct"/>
                  <w:tcBorders>
                    <w:tl2br w:val="nil"/>
                    <w:tr2bl w:val="nil"/>
                  </w:tcBorders>
                  <w:noWrap w:val="0"/>
                  <w:vAlign w:val="center"/>
                </w:tcPr>
                <w:p>
                  <w:pPr>
                    <w:pStyle w:val="195"/>
                    <w:spacing w:line="240" w:lineRule="auto"/>
                    <w:ind w:firstLine="0" w:firstLineChars="0"/>
                    <w:jc w:val="center"/>
                    <w:rPr>
                      <w:kern w:val="0"/>
                      <w:sz w:val="21"/>
                      <w:u w:val="none" w:color="auto"/>
                    </w:rPr>
                  </w:pPr>
                  <w:r>
                    <w:rPr>
                      <w:rFonts w:hint="eastAsia"/>
                      <w:kern w:val="0"/>
                      <w:sz w:val="21"/>
                      <w:u w:val="none" w:color="auto"/>
                    </w:rPr>
                    <w:t>112.935501</w:t>
                  </w:r>
                </w:p>
              </w:tc>
              <w:tc>
                <w:tcPr>
                  <w:tcW w:w="613" w:type="pct"/>
                  <w:tcBorders>
                    <w:tl2br w:val="nil"/>
                    <w:tr2bl w:val="nil"/>
                  </w:tcBorders>
                  <w:noWrap w:val="0"/>
                  <w:vAlign w:val="center"/>
                </w:tcPr>
                <w:p>
                  <w:pPr>
                    <w:pStyle w:val="195"/>
                    <w:spacing w:line="240" w:lineRule="auto"/>
                    <w:ind w:firstLine="0" w:firstLineChars="0"/>
                    <w:jc w:val="center"/>
                    <w:rPr>
                      <w:kern w:val="0"/>
                      <w:sz w:val="21"/>
                      <w:u w:val="none" w:color="auto"/>
                    </w:rPr>
                  </w:pPr>
                  <w:r>
                    <w:rPr>
                      <w:rFonts w:hint="eastAsia"/>
                      <w:kern w:val="0"/>
                      <w:sz w:val="21"/>
                      <w:u w:val="none" w:color="auto"/>
                    </w:rPr>
                    <w:t>28.529689</w:t>
                  </w:r>
                </w:p>
              </w:tc>
              <w:tc>
                <w:tcPr>
                  <w:tcW w:w="380" w:type="pct"/>
                  <w:tcBorders>
                    <w:tl2br w:val="nil"/>
                    <w:tr2bl w:val="nil"/>
                  </w:tcBorders>
                  <w:noWrap w:val="0"/>
                  <w:vAlign w:val="center"/>
                </w:tcPr>
                <w:p>
                  <w:pPr>
                    <w:pStyle w:val="195"/>
                    <w:spacing w:line="240" w:lineRule="auto"/>
                    <w:ind w:firstLine="0" w:firstLineChars="0"/>
                    <w:jc w:val="center"/>
                    <w:rPr>
                      <w:rFonts w:hint="default" w:eastAsia="宋体"/>
                      <w:kern w:val="0"/>
                      <w:sz w:val="21"/>
                      <w:u w:val="none" w:color="auto"/>
                      <w:lang w:val="en-US" w:eastAsia="zh-CN"/>
                    </w:rPr>
                  </w:pPr>
                  <w:r>
                    <w:rPr>
                      <w:rFonts w:hint="eastAsia"/>
                      <w:kern w:val="0"/>
                      <w:sz w:val="21"/>
                      <w:u w:val="none" w:color="auto"/>
                      <w:lang w:val="en-US" w:eastAsia="zh-CN"/>
                    </w:rPr>
                    <w:t>40</w:t>
                  </w:r>
                </w:p>
              </w:tc>
              <w:tc>
                <w:tcPr>
                  <w:tcW w:w="347" w:type="pct"/>
                  <w:tcBorders>
                    <w:tl2br w:val="nil"/>
                    <w:tr2bl w:val="nil"/>
                  </w:tcBorders>
                  <w:noWrap w:val="0"/>
                  <w:vAlign w:val="center"/>
                </w:tcPr>
                <w:p>
                  <w:pPr>
                    <w:pStyle w:val="195"/>
                    <w:spacing w:line="240" w:lineRule="auto"/>
                    <w:ind w:firstLine="0" w:firstLineChars="0"/>
                    <w:jc w:val="center"/>
                    <w:rPr>
                      <w:rFonts w:hint="default" w:eastAsia="宋体"/>
                      <w:kern w:val="0"/>
                      <w:sz w:val="21"/>
                      <w:u w:val="none" w:color="auto"/>
                      <w:lang w:val="en-US" w:eastAsia="zh-CN"/>
                    </w:rPr>
                  </w:pPr>
                  <w:r>
                    <w:rPr>
                      <w:rFonts w:hint="eastAsia"/>
                      <w:kern w:val="0"/>
                      <w:sz w:val="21"/>
                      <w:u w:val="none" w:color="auto"/>
                      <w:lang w:val="en-US" w:eastAsia="zh-CN"/>
                    </w:rPr>
                    <w:t>20</w:t>
                  </w:r>
                </w:p>
              </w:tc>
              <w:tc>
                <w:tcPr>
                  <w:tcW w:w="467" w:type="pct"/>
                  <w:tcBorders>
                    <w:tl2br w:val="nil"/>
                    <w:tr2bl w:val="nil"/>
                  </w:tcBorders>
                  <w:noWrap w:val="0"/>
                  <w:vAlign w:val="center"/>
                </w:tcPr>
                <w:p>
                  <w:pPr>
                    <w:pStyle w:val="195"/>
                    <w:spacing w:line="240" w:lineRule="auto"/>
                    <w:ind w:firstLine="0" w:firstLineChars="0"/>
                    <w:jc w:val="center"/>
                    <w:rPr>
                      <w:rFonts w:hint="default" w:eastAsia="宋体"/>
                      <w:kern w:val="0"/>
                      <w:sz w:val="21"/>
                      <w:u w:val="none" w:color="auto"/>
                      <w:lang w:val="en-US" w:eastAsia="zh-CN"/>
                    </w:rPr>
                  </w:pPr>
                  <w:r>
                    <w:rPr>
                      <w:rFonts w:hint="eastAsia"/>
                      <w:kern w:val="0"/>
                      <w:sz w:val="21"/>
                      <w:u w:val="none" w:color="auto"/>
                      <w:lang w:val="en-US" w:eastAsia="zh-CN"/>
                    </w:rPr>
                    <w:t>15</w:t>
                  </w:r>
                </w:p>
              </w:tc>
              <w:tc>
                <w:tcPr>
                  <w:tcW w:w="391" w:type="pct"/>
                  <w:tcBorders>
                    <w:tl2br w:val="nil"/>
                    <w:tr2bl w:val="nil"/>
                  </w:tcBorders>
                  <w:noWrap w:val="0"/>
                  <w:vAlign w:val="center"/>
                </w:tcPr>
                <w:p>
                  <w:pPr>
                    <w:pStyle w:val="195"/>
                    <w:spacing w:line="240" w:lineRule="auto"/>
                    <w:ind w:firstLine="0" w:firstLineChars="0"/>
                    <w:jc w:val="center"/>
                    <w:rPr>
                      <w:rFonts w:hint="default" w:eastAsia="宋体"/>
                      <w:kern w:val="0"/>
                      <w:sz w:val="21"/>
                      <w:u w:val="none" w:color="auto"/>
                      <w:lang w:val="en-US" w:eastAsia="zh-CN"/>
                    </w:rPr>
                  </w:pPr>
                  <w:r>
                    <w:rPr>
                      <w:rFonts w:hint="eastAsia"/>
                      <w:kern w:val="0"/>
                      <w:sz w:val="21"/>
                      <w:u w:val="none" w:color="auto"/>
                      <w:lang w:val="en-US" w:eastAsia="zh-CN"/>
                    </w:rPr>
                    <w:t>3.9</w:t>
                  </w:r>
                </w:p>
              </w:tc>
              <w:tc>
                <w:tcPr>
                  <w:tcW w:w="351" w:type="pct"/>
                  <w:tcBorders>
                    <w:tl2br w:val="nil"/>
                    <w:tr2bl w:val="nil"/>
                  </w:tcBorders>
                  <w:noWrap w:val="0"/>
                  <w:vAlign w:val="center"/>
                </w:tcPr>
                <w:p>
                  <w:pPr>
                    <w:pStyle w:val="195"/>
                    <w:spacing w:line="240" w:lineRule="auto"/>
                    <w:ind w:firstLine="0" w:firstLineChars="0"/>
                    <w:jc w:val="center"/>
                    <w:rPr>
                      <w:rFonts w:hint="default" w:eastAsia="宋体"/>
                      <w:kern w:val="0"/>
                      <w:sz w:val="21"/>
                      <w:u w:val="none" w:color="auto"/>
                      <w:lang w:val="en-US" w:eastAsia="zh-CN"/>
                    </w:rPr>
                  </w:pPr>
                  <w:r>
                    <w:rPr>
                      <w:rFonts w:hint="eastAsia"/>
                      <w:kern w:val="0"/>
                      <w:sz w:val="21"/>
                      <w:u w:val="none" w:color="auto"/>
                      <w:lang w:val="en-US" w:eastAsia="zh-CN"/>
                    </w:rPr>
                    <w:t>2400</w:t>
                  </w:r>
                </w:p>
              </w:tc>
              <w:tc>
                <w:tcPr>
                  <w:tcW w:w="372" w:type="pct"/>
                  <w:tcBorders>
                    <w:tl2br w:val="nil"/>
                    <w:tr2bl w:val="nil"/>
                  </w:tcBorders>
                  <w:noWrap w:val="0"/>
                  <w:vAlign w:val="center"/>
                </w:tcPr>
                <w:p>
                  <w:pPr>
                    <w:pStyle w:val="195"/>
                    <w:spacing w:line="240" w:lineRule="auto"/>
                    <w:ind w:firstLine="0" w:firstLineChars="0"/>
                    <w:jc w:val="center"/>
                    <w:rPr>
                      <w:kern w:val="0"/>
                      <w:sz w:val="21"/>
                      <w:u w:val="none" w:color="auto"/>
                    </w:rPr>
                  </w:pPr>
                  <w:r>
                    <w:rPr>
                      <w:kern w:val="0"/>
                      <w:sz w:val="21"/>
                      <w:u w:val="none" w:color="auto"/>
                    </w:rPr>
                    <w:t>正常</w:t>
                  </w:r>
                </w:p>
              </w:tc>
              <w:tc>
                <w:tcPr>
                  <w:tcW w:w="454" w:type="pct"/>
                  <w:tcBorders>
                    <w:tl2br w:val="nil"/>
                    <w:tr2bl w:val="nil"/>
                  </w:tcBorders>
                  <w:noWrap w:val="0"/>
                  <w:vAlign w:val="center"/>
                </w:tcPr>
                <w:p>
                  <w:pPr>
                    <w:pStyle w:val="195"/>
                    <w:spacing w:line="240" w:lineRule="auto"/>
                    <w:ind w:firstLine="0" w:firstLineChars="0"/>
                    <w:jc w:val="center"/>
                    <w:rPr>
                      <w:rFonts w:hint="default" w:eastAsia="宋体"/>
                      <w:kern w:val="0"/>
                      <w:sz w:val="21"/>
                      <w:u w:val="none" w:color="auto"/>
                      <w:lang w:val="en-US" w:eastAsia="zh-CN"/>
                    </w:rPr>
                  </w:pPr>
                  <w:r>
                    <w:rPr>
                      <w:rFonts w:hint="eastAsia"/>
                      <w:kern w:val="0"/>
                      <w:sz w:val="21"/>
                      <w:u w:val="none" w:color="auto"/>
                      <w:lang w:val="en-US" w:eastAsia="zh-CN"/>
                    </w:rPr>
                    <w:t>0.0167</w:t>
                  </w:r>
                </w:p>
              </w:tc>
              <w:tc>
                <w:tcPr>
                  <w:tcW w:w="491" w:type="pct"/>
                  <w:tcBorders>
                    <w:tl2br w:val="nil"/>
                    <w:tr2bl w:val="nil"/>
                  </w:tcBorders>
                  <w:noWrap w:val="0"/>
                  <w:vAlign w:val="center"/>
                </w:tcPr>
                <w:p>
                  <w:pPr>
                    <w:pStyle w:val="195"/>
                    <w:spacing w:line="240" w:lineRule="auto"/>
                    <w:ind w:firstLine="0" w:firstLineChars="0"/>
                    <w:jc w:val="center"/>
                    <w:rPr>
                      <w:rFonts w:hint="default"/>
                      <w:kern w:val="0"/>
                      <w:sz w:val="21"/>
                      <w:u w:val="none" w:color="auto"/>
                      <w:lang w:val="en-US" w:eastAsia="zh-CN"/>
                    </w:rPr>
                  </w:pPr>
                  <w:r>
                    <w:rPr>
                      <w:rFonts w:hint="eastAsia"/>
                      <w:kern w:val="0"/>
                      <w:sz w:val="21"/>
                      <w:u w:val="none" w:color="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459" w:type="pct"/>
                  <w:tcBorders>
                    <w:tl2br w:val="nil"/>
                    <w:tr2bl w:val="nil"/>
                  </w:tcBorders>
                  <w:noWrap w:val="0"/>
                  <w:vAlign w:val="center"/>
                </w:tcPr>
                <w:p>
                  <w:pPr>
                    <w:pStyle w:val="195"/>
                    <w:spacing w:line="240" w:lineRule="auto"/>
                    <w:ind w:firstLine="0" w:firstLineChars="0"/>
                    <w:jc w:val="center"/>
                    <w:rPr>
                      <w:rFonts w:hint="default"/>
                      <w:kern w:val="0"/>
                      <w:sz w:val="21"/>
                      <w:u w:val="none" w:color="auto"/>
                      <w:lang w:val="en-US" w:eastAsia="zh-CN"/>
                    </w:rPr>
                  </w:pPr>
                  <w:r>
                    <w:rPr>
                      <w:rFonts w:hint="eastAsia"/>
                      <w:kern w:val="0"/>
                      <w:sz w:val="21"/>
                      <w:u w:val="none" w:color="auto"/>
                      <w:lang w:val="en-US" w:eastAsia="zh-CN"/>
                    </w:rPr>
                    <w:t>分切区</w:t>
                  </w:r>
                </w:p>
              </w:tc>
              <w:tc>
                <w:tcPr>
                  <w:tcW w:w="1212" w:type="dxa"/>
                  <w:tcBorders>
                    <w:tl2br w:val="nil"/>
                    <w:tr2bl w:val="nil"/>
                  </w:tcBorders>
                  <w:noWrap w:val="0"/>
                  <w:vAlign w:val="center"/>
                </w:tcPr>
                <w:p>
                  <w:pPr>
                    <w:pStyle w:val="195"/>
                    <w:spacing w:line="240" w:lineRule="auto"/>
                    <w:ind w:firstLine="0" w:firstLineChars="0"/>
                    <w:jc w:val="center"/>
                    <w:rPr>
                      <w:kern w:val="0"/>
                      <w:sz w:val="21"/>
                      <w:u w:val="none" w:color="auto"/>
                    </w:rPr>
                  </w:pPr>
                  <w:r>
                    <w:rPr>
                      <w:rFonts w:hint="eastAsia"/>
                      <w:kern w:val="0"/>
                      <w:sz w:val="21"/>
                      <w:u w:val="none" w:color="auto"/>
                    </w:rPr>
                    <w:t>112.935501</w:t>
                  </w:r>
                </w:p>
              </w:tc>
              <w:tc>
                <w:tcPr>
                  <w:tcW w:w="1111" w:type="dxa"/>
                  <w:tcBorders>
                    <w:tl2br w:val="nil"/>
                    <w:tr2bl w:val="nil"/>
                  </w:tcBorders>
                  <w:noWrap w:val="0"/>
                  <w:vAlign w:val="center"/>
                </w:tcPr>
                <w:p>
                  <w:pPr>
                    <w:pStyle w:val="195"/>
                    <w:spacing w:line="240" w:lineRule="auto"/>
                    <w:ind w:firstLine="0" w:firstLineChars="0"/>
                    <w:jc w:val="center"/>
                    <w:rPr>
                      <w:kern w:val="0"/>
                      <w:sz w:val="21"/>
                      <w:u w:val="none" w:color="auto"/>
                    </w:rPr>
                  </w:pPr>
                  <w:r>
                    <w:rPr>
                      <w:rFonts w:hint="eastAsia"/>
                      <w:kern w:val="0"/>
                      <w:sz w:val="21"/>
                      <w:u w:val="none" w:color="auto"/>
                    </w:rPr>
                    <w:t>28.529689</w:t>
                  </w:r>
                </w:p>
              </w:tc>
              <w:tc>
                <w:tcPr>
                  <w:tcW w:w="380" w:type="pct"/>
                  <w:tcBorders>
                    <w:tl2br w:val="nil"/>
                    <w:tr2bl w:val="nil"/>
                  </w:tcBorders>
                  <w:noWrap w:val="0"/>
                  <w:vAlign w:val="center"/>
                </w:tcPr>
                <w:p>
                  <w:pPr>
                    <w:pStyle w:val="195"/>
                    <w:spacing w:line="240" w:lineRule="auto"/>
                    <w:ind w:firstLine="0" w:firstLineChars="0"/>
                    <w:jc w:val="center"/>
                    <w:rPr>
                      <w:rFonts w:hint="default"/>
                      <w:kern w:val="0"/>
                      <w:sz w:val="21"/>
                      <w:u w:val="none" w:color="auto"/>
                      <w:lang w:val="en-US" w:eastAsia="zh-CN"/>
                    </w:rPr>
                  </w:pPr>
                  <w:r>
                    <w:rPr>
                      <w:rFonts w:hint="eastAsia"/>
                      <w:kern w:val="0"/>
                      <w:sz w:val="21"/>
                      <w:u w:val="none" w:color="auto"/>
                      <w:lang w:val="en-US" w:eastAsia="zh-CN"/>
                    </w:rPr>
                    <w:t>40</w:t>
                  </w:r>
                </w:p>
              </w:tc>
              <w:tc>
                <w:tcPr>
                  <w:tcW w:w="347" w:type="pct"/>
                  <w:tcBorders>
                    <w:tl2br w:val="nil"/>
                    <w:tr2bl w:val="nil"/>
                  </w:tcBorders>
                  <w:noWrap w:val="0"/>
                  <w:vAlign w:val="center"/>
                </w:tcPr>
                <w:p>
                  <w:pPr>
                    <w:pStyle w:val="195"/>
                    <w:spacing w:line="240" w:lineRule="auto"/>
                    <w:ind w:firstLine="0" w:firstLineChars="0"/>
                    <w:jc w:val="center"/>
                    <w:rPr>
                      <w:rFonts w:hint="default"/>
                      <w:kern w:val="0"/>
                      <w:sz w:val="21"/>
                      <w:u w:val="none" w:color="auto"/>
                      <w:lang w:val="en-US" w:eastAsia="zh-CN"/>
                    </w:rPr>
                  </w:pPr>
                  <w:r>
                    <w:rPr>
                      <w:rFonts w:hint="eastAsia"/>
                      <w:kern w:val="0"/>
                      <w:sz w:val="21"/>
                      <w:u w:val="none" w:color="auto"/>
                      <w:lang w:val="en-US" w:eastAsia="zh-CN"/>
                    </w:rPr>
                    <w:t>20</w:t>
                  </w:r>
                </w:p>
              </w:tc>
              <w:tc>
                <w:tcPr>
                  <w:tcW w:w="467" w:type="pct"/>
                  <w:tcBorders>
                    <w:tl2br w:val="nil"/>
                    <w:tr2bl w:val="nil"/>
                  </w:tcBorders>
                  <w:noWrap w:val="0"/>
                  <w:vAlign w:val="center"/>
                </w:tcPr>
                <w:p>
                  <w:pPr>
                    <w:pStyle w:val="195"/>
                    <w:spacing w:line="240" w:lineRule="auto"/>
                    <w:ind w:firstLine="0" w:firstLineChars="0"/>
                    <w:jc w:val="center"/>
                    <w:rPr>
                      <w:rFonts w:hint="default"/>
                      <w:kern w:val="0"/>
                      <w:sz w:val="21"/>
                      <w:u w:val="none" w:color="auto"/>
                      <w:lang w:val="en-US" w:eastAsia="zh-CN"/>
                    </w:rPr>
                  </w:pPr>
                  <w:r>
                    <w:rPr>
                      <w:rFonts w:hint="eastAsia"/>
                      <w:kern w:val="0"/>
                      <w:sz w:val="21"/>
                      <w:u w:val="none" w:color="auto"/>
                      <w:lang w:val="en-US" w:eastAsia="zh-CN"/>
                    </w:rPr>
                    <w:t>15</w:t>
                  </w:r>
                </w:p>
              </w:tc>
              <w:tc>
                <w:tcPr>
                  <w:tcW w:w="391" w:type="pct"/>
                  <w:tcBorders>
                    <w:tl2br w:val="nil"/>
                    <w:tr2bl w:val="nil"/>
                  </w:tcBorders>
                  <w:noWrap w:val="0"/>
                  <w:vAlign w:val="center"/>
                </w:tcPr>
                <w:p>
                  <w:pPr>
                    <w:pStyle w:val="195"/>
                    <w:spacing w:line="240" w:lineRule="auto"/>
                    <w:ind w:firstLine="0" w:firstLineChars="0"/>
                    <w:jc w:val="center"/>
                    <w:rPr>
                      <w:rFonts w:hint="default"/>
                      <w:kern w:val="0"/>
                      <w:sz w:val="21"/>
                      <w:u w:val="none" w:color="auto"/>
                      <w:lang w:val="en-US" w:eastAsia="zh-CN"/>
                    </w:rPr>
                  </w:pPr>
                  <w:r>
                    <w:rPr>
                      <w:rFonts w:hint="eastAsia"/>
                      <w:kern w:val="0"/>
                      <w:sz w:val="21"/>
                      <w:u w:val="none" w:color="auto"/>
                      <w:lang w:val="en-US" w:eastAsia="zh-CN"/>
                    </w:rPr>
                    <w:t>3.9</w:t>
                  </w:r>
                </w:p>
              </w:tc>
              <w:tc>
                <w:tcPr>
                  <w:tcW w:w="351" w:type="pct"/>
                  <w:tcBorders>
                    <w:tl2br w:val="nil"/>
                    <w:tr2bl w:val="nil"/>
                  </w:tcBorders>
                  <w:noWrap w:val="0"/>
                  <w:vAlign w:val="center"/>
                </w:tcPr>
                <w:p>
                  <w:pPr>
                    <w:pStyle w:val="195"/>
                    <w:spacing w:line="240" w:lineRule="auto"/>
                    <w:ind w:firstLine="0" w:firstLineChars="0"/>
                    <w:jc w:val="center"/>
                    <w:rPr>
                      <w:rFonts w:hint="default"/>
                      <w:kern w:val="0"/>
                      <w:sz w:val="21"/>
                      <w:u w:val="none" w:color="auto"/>
                      <w:lang w:val="en-US" w:eastAsia="zh-CN"/>
                    </w:rPr>
                  </w:pPr>
                  <w:r>
                    <w:rPr>
                      <w:rFonts w:hint="eastAsia"/>
                      <w:kern w:val="0"/>
                      <w:sz w:val="21"/>
                      <w:u w:val="none" w:color="auto"/>
                      <w:lang w:val="en-US" w:eastAsia="zh-CN"/>
                    </w:rPr>
                    <w:t>2400</w:t>
                  </w:r>
                </w:p>
              </w:tc>
              <w:tc>
                <w:tcPr>
                  <w:tcW w:w="372" w:type="pct"/>
                  <w:tcBorders>
                    <w:tl2br w:val="nil"/>
                    <w:tr2bl w:val="nil"/>
                  </w:tcBorders>
                  <w:noWrap w:val="0"/>
                  <w:vAlign w:val="center"/>
                </w:tcPr>
                <w:p>
                  <w:pPr>
                    <w:pStyle w:val="195"/>
                    <w:spacing w:line="240" w:lineRule="auto"/>
                    <w:ind w:firstLine="0" w:firstLineChars="0"/>
                    <w:jc w:val="center"/>
                    <w:rPr>
                      <w:rFonts w:hint="default" w:eastAsia="宋体"/>
                      <w:kern w:val="0"/>
                      <w:sz w:val="21"/>
                      <w:u w:val="none" w:color="auto"/>
                      <w:lang w:val="en-US" w:eastAsia="zh-CN"/>
                    </w:rPr>
                  </w:pPr>
                  <w:r>
                    <w:rPr>
                      <w:rFonts w:hint="eastAsia"/>
                      <w:kern w:val="0"/>
                      <w:sz w:val="21"/>
                      <w:u w:val="none" w:color="auto"/>
                      <w:lang w:val="en-US" w:eastAsia="zh-CN"/>
                    </w:rPr>
                    <w:t>正常</w:t>
                  </w:r>
                </w:p>
              </w:tc>
              <w:tc>
                <w:tcPr>
                  <w:tcW w:w="454" w:type="pct"/>
                  <w:tcBorders>
                    <w:tl2br w:val="nil"/>
                    <w:tr2bl w:val="nil"/>
                  </w:tcBorders>
                  <w:noWrap w:val="0"/>
                  <w:vAlign w:val="center"/>
                </w:tcPr>
                <w:p>
                  <w:pPr>
                    <w:pStyle w:val="195"/>
                    <w:spacing w:line="240" w:lineRule="auto"/>
                    <w:ind w:firstLine="0" w:firstLineChars="0"/>
                    <w:jc w:val="center"/>
                    <w:rPr>
                      <w:rFonts w:hint="default"/>
                      <w:kern w:val="0"/>
                      <w:sz w:val="21"/>
                      <w:u w:val="none" w:color="auto"/>
                      <w:lang w:val="en-US" w:eastAsia="zh-CN"/>
                    </w:rPr>
                  </w:pPr>
                  <w:r>
                    <w:rPr>
                      <w:rFonts w:hint="eastAsia"/>
                      <w:kern w:val="0"/>
                      <w:sz w:val="21"/>
                      <w:u w:val="none" w:color="auto"/>
                      <w:lang w:val="en-US" w:eastAsia="zh-CN"/>
                    </w:rPr>
                    <w:t>/</w:t>
                  </w:r>
                </w:p>
              </w:tc>
              <w:tc>
                <w:tcPr>
                  <w:tcW w:w="491" w:type="pct"/>
                  <w:tcBorders>
                    <w:tl2br w:val="nil"/>
                    <w:tr2bl w:val="nil"/>
                  </w:tcBorders>
                  <w:noWrap w:val="0"/>
                  <w:vAlign w:val="center"/>
                </w:tcPr>
                <w:p>
                  <w:pPr>
                    <w:pStyle w:val="195"/>
                    <w:spacing w:line="240" w:lineRule="auto"/>
                    <w:ind w:firstLine="0" w:firstLineChars="0"/>
                    <w:jc w:val="center"/>
                    <w:rPr>
                      <w:rFonts w:hint="default"/>
                      <w:kern w:val="0"/>
                      <w:sz w:val="21"/>
                      <w:u w:val="none" w:color="auto"/>
                      <w:lang w:val="en-US" w:eastAsia="zh-CN"/>
                    </w:rPr>
                  </w:pPr>
                  <w:r>
                    <w:rPr>
                      <w:rFonts w:hint="eastAsia"/>
                      <w:kern w:val="0"/>
                      <w:sz w:val="21"/>
                      <w:u w:val="none" w:color="auto"/>
                      <w:lang w:val="en-US" w:eastAsia="zh-CN"/>
                    </w:rPr>
                    <w:t>0.123</w:t>
                  </w:r>
                </w:p>
              </w:tc>
            </w:tr>
          </w:tbl>
          <w:p>
            <w:pPr>
              <w:tabs>
                <w:tab w:val="left" w:pos="103"/>
              </w:tabs>
              <w:autoSpaceDE w:val="0"/>
              <w:autoSpaceDN w:val="0"/>
              <w:spacing w:line="360" w:lineRule="auto"/>
              <w:ind w:firstLine="466" w:firstLineChars="200"/>
              <w:rPr>
                <w:rFonts w:hint="default" w:ascii="Times New Roman" w:hAnsi="Times New Roman" w:cs="Times New Roman"/>
                <w:sz w:val="24"/>
                <w:szCs w:val="24"/>
                <w:u w:val="none" w:color="auto"/>
                <w:lang w:val="en-US" w:eastAsia="zh-CN"/>
              </w:rPr>
            </w:pPr>
            <w:r>
              <w:rPr>
                <w:rFonts w:hint="default" w:ascii="Times New Roman" w:hAnsi="Times New Roman" w:cs="Times New Roman"/>
                <w:sz w:val="24"/>
                <w:szCs w:val="24"/>
                <w:u w:val="none" w:color="auto"/>
                <w:lang w:val="en-US" w:eastAsia="zh-CN"/>
              </w:rPr>
              <w:t>大气环境影响预测</w:t>
            </w:r>
          </w:p>
          <w:p>
            <w:pPr>
              <w:tabs>
                <w:tab w:val="left" w:pos="103"/>
              </w:tabs>
              <w:autoSpaceDE w:val="0"/>
              <w:autoSpaceDN w:val="0"/>
              <w:spacing w:line="360" w:lineRule="auto"/>
              <w:ind w:firstLine="466" w:firstLineChars="200"/>
              <w:rPr>
                <w:rFonts w:hint="default" w:ascii="Times New Roman" w:hAnsi="Times New Roman" w:cs="Times New Roman"/>
                <w:sz w:val="24"/>
                <w:szCs w:val="24"/>
                <w:u w:val="none" w:color="auto"/>
                <w:lang w:val="en-US" w:eastAsia="zh-CN"/>
              </w:rPr>
            </w:pPr>
            <w:r>
              <w:rPr>
                <w:rFonts w:hint="default" w:ascii="Times New Roman" w:hAnsi="Times New Roman" w:cs="Times New Roman"/>
                <w:sz w:val="24"/>
                <w:szCs w:val="24"/>
                <w:u w:val="none" w:color="auto"/>
                <w:lang w:val="en-US" w:eastAsia="zh-CN"/>
              </w:rPr>
              <w:t>①评价等级的判定</w:t>
            </w:r>
          </w:p>
          <w:p>
            <w:pPr>
              <w:tabs>
                <w:tab w:val="left" w:pos="103"/>
              </w:tabs>
              <w:autoSpaceDE w:val="0"/>
              <w:autoSpaceDN w:val="0"/>
              <w:spacing w:line="360" w:lineRule="auto"/>
              <w:ind w:firstLine="466" w:firstLineChars="200"/>
              <w:rPr>
                <w:rFonts w:hint="default" w:ascii="Times New Roman" w:hAnsi="Times New Roman" w:cs="Times New Roman"/>
                <w:sz w:val="24"/>
                <w:szCs w:val="24"/>
                <w:u w:val="none" w:color="auto"/>
                <w:lang w:val="en-US" w:eastAsia="zh-CN"/>
              </w:rPr>
            </w:pPr>
            <w:r>
              <w:rPr>
                <w:rFonts w:hint="default" w:ascii="Times New Roman" w:hAnsi="Times New Roman" w:cs="Times New Roman"/>
                <w:sz w:val="24"/>
                <w:szCs w:val="24"/>
                <w:u w:val="none" w:color="auto"/>
                <w:lang w:val="en-US" w:eastAsia="zh-CN"/>
              </w:rPr>
              <w:t>根据《环境影响评价技术导则 大气环境》（HJ2.2-2018），采用推荐模式中的估算模型AERSCREEN对污染物的最大地面占标率Pi（第i个污染物）及第i个污染物的地面浓度达标准限值10%时所对应的最远距离D10%进行计算。其中Pi定义如下：</w:t>
            </w:r>
          </w:p>
          <w:p>
            <w:pPr>
              <w:tabs>
                <w:tab w:val="left" w:pos="103"/>
              </w:tabs>
              <w:autoSpaceDE w:val="0"/>
              <w:autoSpaceDN w:val="0"/>
              <w:spacing w:line="360" w:lineRule="auto"/>
              <w:ind w:firstLine="466" w:firstLineChars="200"/>
              <w:rPr>
                <w:rFonts w:hint="default" w:ascii="Times New Roman" w:hAnsi="Times New Roman" w:cs="Times New Roman"/>
                <w:sz w:val="24"/>
                <w:szCs w:val="24"/>
                <w:u w:val="none" w:color="auto"/>
                <w:lang w:val="en-US" w:eastAsia="zh-CN"/>
              </w:rPr>
            </w:pPr>
            <w:r>
              <w:rPr>
                <w:rFonts w:hint="default" w:ascii="Times New Roman" w:hAnsi="Times New Roman" w:cs="Times New Roman"/>
                <w:sz w:val="24"/>
                <w:szCs w:val="24"/>
                <w:u w:val="none" w:color="auto"/>
                <w:lang w:val="en-US" w:eastAsia="zh-CN"/>
              </w:rPr>
              <w:t xml:space="preserve">               </w:t>
            </w:r>
            <w:r>
              <w:rPr>
                <w:rFonts w:hint="default" w:ascii="Times New Roman" w:hAnsi="Times New Roman" w:cs="Times New Roman"/>
                <w:sz w:val="24"/>
                <w:szCs w:val="24"/>
                <w:u w:val="none" w:color="auto"/>
                <w:lang w:val="en-US" w:eastAsia="zh-CN"/>
              </w:rPr>
              <w:drawing>
                <wp:inline distT="0" distB="0" distL="114300" distR="114300">
                  <wp:extent cx="1400175" cy="619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0"/>
                          <a:stretch>
                            <a:fillRect/>
                          </a:stretch>
                        </pic:blipFill>
                        <pic:spPr>
                          <a:xfrm>
                            <a:off x="0" y="0"/>
                            <a:ext cx="1400175" cy="619125"/>
                          </a:xfrm>
                          <a:prstGeom prst="rect">
                            <a:avLst/>
                          </a:prstGeom>
                          <a:noFill/>
                          <a:ln>
                            <a:noFill/>
                          </a:ln>
                        </pic:spPr>
                      </pic:pic>
                    </a:graphicData>
                  </a:graphic>
                </wp:inline>
              </w:drawing>
            </w:r>
          </w:p>
          <w:p>
            <w:pPr>
              <w:tabs>
                <w:tab w:val="left" w:pos="103"/>
              </w:tabs>
              <w:autoSpaceDE w:val="0"/>
              <w:autoSpaceDN w:val="0"/>
              <w:spacing w:line="360" w:lineRule="auto"/>
              <w:ind w:firstLine="466" w:firstLineChars="200"/>
              <w:rPr>
                <w:rFonts w:hint="default" w:ascii="Times New Roman" w:hAnsi="Times New Roman" w:cs="Times New Roman"/>
                <w:sz w:val="24"/>
                <w:szCs w:val="24"/>
                <w:u w:val="none" w:color="auto"/>
                <w:lang w:val="en-US" w:eastAsia="zh-CN"/>
              </w:rPr>
            </w:pPr>
            <w:r>
              <w:rPr>
                <w:rFonts w:hint="default" w:ascii="Times New Roman" w:hAnsi="Times New Roman" w:cs="Times New Roman"/>
                <w:sz w:val="24"/>
                <w:szCs w:val="24"/>
                <w:u w:val="none" w:color="auto"/>
                <w:lang w:val="en-US" w:eastAsia="zh-CN"/>
              </w:rPr>
              <w:t>Pi—第i个污染物的最大地面浓度占标率，%；</w:t>
            </w:r>
          </w:p>
          <w:p>
            <w:pPr>
              <w:tabs>
                <w:tab w:val="left" w:pos="103"/>
              </w:tabs>
              <w:autoSpaceDE w:val="0"/>
              <w:autoSpaceDN w:val="0"/>
              <w:spacing w:line="360" w:lineRule="auto"/>
              <w:ind w:firstLine="466" w:firstLineChars="200"/>
              <w:rPr>
                <w:rFonts w:hint="default" w:ascii="Times New Roman" w:hAnsi="Times New Roman" w:cs="Times New Roman"/>
                <w:sz w:val="24"/>
                <w:szCs w:val="24"/>
                <w:u w:val="none" w:color="auto"/>
                <w:lang w:val="en-US" w:eastAsia="zh-CN"/>
              </w:rPr>
            </w:pPr>
            <w:r>
              <w:rPr>
                <w:rFonts w:hint="default" w:ascii="Times New Roman" w:hAnsi="Times New Roman" w:cs="Times New Roman"/>
                <w:sz w:val="24"/>
                <w:szCs w:val="24"/>
                <w:u w:val="none" w:color="auto"/>
                <w:lang w:val="en-US" w:eastAsia="zh-CN"/>
              </w:rPr>
              <w:t>Ci—采用估算模式计算出的第i个污染物的最大地面浓度，mg/m</w:t>
            </w:r>
            <w:r>
              <w:rPr>
                <w:rFonts w:hint="default" w:ascii="Times New Roman" w:hAnsi="Times New Roman" w:cs="Times New Roman"/>
                <w:sz w:val="24"/>
                <w:szCs w:val="24"/>
                <w:u w:val="none" w:color="auto"/>
                <w:vertAlign w:val="superscript"/>
                <w:lang w:val="en-US" w:eastAsia="zh-CN"/>
              </w:rPr>
              <w:t>3</w:t>
            </w:r>
            <w:r>
              <w:rPr>
                <w:rFonts w:hint="default" w:ascii="Times New Roman" w:hAnsi="Times New Roman" w:cs="Times New Roman"/>
                <w:sz w:val="24"/>
                <w:szCs w:val="24"/>
                <w:u w:val="none" w:color="auto"/>
                <w:lang w:val="en-US" w:eastAsia="zh-CN"/>
              </w:rPr>
              <w:t>；</w:t>
            </w:r>
          </w:p>
          <w:p>
            <w:pPr>
              <w:tabs>
                <w:tab w:val="left" w:pos="103"/>
              </w:tabs>
              <w:autoSpaceDE w:val="0"/>
              <w:autoSpaceDN w:val="0"/>
              <w:spacing w:line="360" w:lineRule="auto"/>
              <w:ind w:firstLine="466" w:firstLineChars="200"/>
              <w:rPr>
                <w:rFonts w:hint="default" w:ascii="Times New Roman" w:hAnsi="Times New Roman" w:cs="Times New Roman"/>
                <w:sz w:val="24"/>
                <w:szCs w:val="24"/>
                <w:u w:val="none" w:color="auto"/>
                <w:lang w:val="en-US" w:eastAsia="zh-CN"/>
              </w:rPr>
            </w:pPr>
            <w:r>
              <w:rPr>
                <w:rFonts w:hint="default" w:ascii="Times New Roman" w:hAnsi="Times New Roman" w:cs="Times New Roman"/>
                <w:sz w:val="24"/>
                <w:szCs w:val="24"/>
                <w:u w:val="none" w:color="auto"/>
                <w:lang w:val="en-US" w:eastAsia="zh-CN"/>
              </w:rPr>
              <w:t>C0i—第i 个污染物的环境空气质量标准，mg/m</w:t>
            </w:r>
            <w:r>
              <w:rPr>
                <w:rFonts w:hint="default" w:ascii="Times New Roman" w:hAnsi="Times New Roman" w:cs="Times New Roman"/>
                <w:sz w:val="24"/>
                <w:szCs w:val="24"/>
                <w:u w:val="none" w:color="auto"/>
                <w:vertAlign w:val="superscript"/>
                <w:lang w:val="en-US" w:eastAsia="zh-CN"/>
              </w:rPr>
              <w:t>3</w:t>
            </w:r>
            <w:r>
              <w:rPr>
                <w:rFonts w:hint="default" w:ascii="Times New Roman" w:hAnsi="Times New Roman" w:cs="Times New Roman"/>
                <w:sz w:val="24"/>
                <w:szCs w:val="24"/>
                <w:u w:val="none" w:color="auto"/>
                <w:lang w:val="en-US" w:eastAsia="zh-CN"/>
              </w:rPr>
              <w:t>。</w:t>
            </w:r>
          </w:p>
          <w:p>
            <w:pPr>
              <w:tabs>
                <w:tab w:val="left" w:pos="103"/>
              </w:tabs>
              <w:autoSpaceDE w:val="0"/>
              <w:autoSpaceDN w:val="0"/>
              <w:spacing w:line="360" w:lineRule="auto"/>
              <w:ind w:firstLine="466" w:firstLineChars="200"/>
              <w:jc w:val="center"/>
              <w:rPr>
                <w:rFonts w:hint="default" w:ascii="Times New Roman" w:hAnsi="Times New Roman" w:cs="Times New Roman"/>
                <w:sz w:val="24"/>
                <w:szCs w:val="24"/>
                <w:u w:val="none" w:color="auto"/>
                <w:lang w:val="en-US" w:eastAsia="zh-CN"/>
              </w:rPr>
            </w:pPr>
            <w:r>
              <w:rPr>
                <w:rFonts w:hint="default" w:ascii="Times New Roman" w:hAnsi="Times New Roman" w:cs="Times New Roman"/>
                <w:sz w:val="24"/>
                <w:szCs w:val="24"/>
                <w:u w:val="none" w:color="auto"/>
                <w:lang w:val="en-US" w:eastAsia="zh-CN"/>
              </w:rPr>
              <w:t>表7-</w:t>
            </w:r>
            <w:r>
              <w:rPr>
                <w:rFonts w:hint="eastAsia" w:cs="Times New Roman"/>
                <w:sz w:val="24"/>
                <w:szCs w:val="24"/>
                <w:u w:val="none" w:color="auto"/>
                <w:lang w:val="en-US" w:eastAsia="zh-CN"/>
              </w:rPr>
              <w:t>5</w:t>
            </w:r>
            <w:r>
              <w:rPr>
                <w:rFonts w:hint="default" w:ascii="Times New Roman" w:hAnsi="Times New Roman" w:cs="Times New Roman"/>
                <w:sz w:val="24"/>
                <w:szCs w:val="24"/>
                <w:u w:val="none" w:color="auto"/>
                <w:lang w:val="en-US" w:eastAsia="zh-CN"/>
              </w:rPr>
              <w:t xml:space="preserve">  大气环境评价工作等级分级判据</w:t>
            </w:r>
          </w:p>
          <w:tbl>
            <w:tblPr>
              <w:tblStyle w:val="40"/>
              <w:tblW w:w="907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131"/>
              <w:gridCol w:w="594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31" w:type="dxa"/>
                  <w:noWrap w:val="0"/>
                  <w:vAlign w:val="center"/>
                </w:tcPr>
                <w:p>
                  <w:pPr>
                    <w:tabs>
                      <w:tab w:val="left" w:pos="103"/>
                    </w:tabs>
                    <w:autoSpaceDE w:val="0"/>
                    <w:autoSpaceDN w:val="0"/>
                    <w:spacing w:line="360" w:lineRule="auto"/>
                    <w:ind w:firstLine="426" w:firstLineChars="20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评价工作等级</w:t>
                  </w:r>
                </w:p>
              </w:tc>
              <w:tc>
                <w:tcPr>
                  <w:tcW w:w="5941" w:type="dxa"/>
                  <w:noWrap w:val="0"/>
                  <w:vAlign w:val="center"/>
                </w:tcPr>
                <w:p>
                  <w:pPr>
                    <w:tabs>
                      <w:tab w:val="left" w:pos="103"/>
                    </w:tabs>
                    <w:autoSpaceDE w:val="0"/>
                    <w:autoSpaceDN w:val="0"/>
                    <w:spacing w:line="360" w:lineRule="auto"/>
                    <w:ind w:firstLine="426" w:firstLineChars="20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评价工作分级判据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31" w:type="dxa"/>
                  <w:noWrap w:val="0"/>
                  <w:vAlign w:val="center"/>
                </w:tcPr>
                <w:p>
                  <w:pPr>
                    <w:tabs>
                      <w:tab w:val="left" w:pos="103"/>
                    </w:tabs>
                    <w:autoSpaceDE w:val="0"/>
                    <w:autoSpaceDN w:val="0"/>
                    <w:spacing w:line="360" w:lineRule="auto"/>
                    <w:ind w:firstLine="426" w:firstLineChars="20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一级</w:t>
                  </w:r>
                </w:p>
              </w:tc>
              <w:tc>
                <w:tcPr>
                  <w:tcW w:w="5941" w:type="dxa"/>
                  <w:noWrap w:val="0"/>
                  <w:vAlign w:val="center"/>
                </w:tcPr>
                <w:p>
                  <w:pPr>
                    <w:tabs>
                      <w:tab w:val="left" w:pos="103"/>
                    </w:tabs>
                    <w:autoSpaceDE w:val="0"/>
                    <w:autoSpaceDN w:val="0"/>
                    <w:spacing w:line="360" w:lineRule="auto"/>
                    <w:ind w:firstLine="426" w:firstLineChars="20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Pmax≥10%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31" w:type="dxa"/>
                  <w:noWrap w:val="0"/>
                  <w:vAlign w:val="center"/>
                </w:tcPr>
                <w:p>
                  <w:pPr>
                    <w:tabs>
                      <w:tab w:val="left" w:pos="103"/>
                    </w:tabs>
                    <w:autoSpaceDE w:val="0"/>
                    <w:autoSpaceDN w:val="0"/>
                    <w:spacing w:line="360" w:lineRule="auto"/>
                    <w:ind w:firstLine="426" w:firstLineChars="20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二级</w:t>
                  </w:r>
                </w:p>
              </w:tc>
              <w:tc>
                <w:tcPr>
                  <w:tcW w:w="5941" w:type="dxa"/>
                  <w:noWrap w:val="0"/>
                  <w:vAlign w:val="center"/>
                </w:tcPr>
                <w:p>
                  <w:pPr>
                    <w:tabs>
                      <w:tab w:val="left" w:pos="103"/>
                    </w:tabs>
                    <w:autoSpaceDE w:val="0"/>
                    <w:autoSpaceDN w:val="0"/>
                    <w:spacing w:line="360" w:lineRule="auto"/>
                    <w:ind w:firstLine="426" w:firstLineChars="20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1%≤Pmax＜10%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31" w:type="dxa"/>
                  <w:noWrap w:val="0"/>
                  <w:vAlign w:val="center"/>
                </w:tcPr>
                <w:p>
                  <w:pPr>
                    <w:tabs>
                      <w:tab w:val="left" w:pos="103"/>
                    </w:tabs>
                    <w:autoSpaceDE w:val="0"/>
                    <w:autoSpaceDN w:val="0"/>
                    <w:spacing w:line="360" w:lineRule="auto"/>
                    <w:ind w:firstLine="426" w:firstLineChars="20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三级</w:t>
                  </w:r>
                </w:p>
              </w:tc>
              <w:tc>
                <w:tcPr>
                  <w:tcW w:w="5941" w:type="dxa"/>
                  <w:noWrap w:val="0"/>
                  <w:vAlign w:val="center"/>
                </w:tcPr>
                <w:p>
                  <w:pPr>
                    <w:tabs>
                      <w:tab w:val="left" w:pos="103"/>
                    </w:tabs>
                    <w:autoSpaceDE w:val="0"/>
                    <w:autoSpaceDN w:val="0"/>
                    <w:spacing w:line="360" w:lineRule="auto"/>
                    <w:ind w:firstLine="426" w:firstLineChars="20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Pmax＜1%</w:t>
                  </w:r>
                </w:p>
              </w:tc>
            </w:tr>
          </w:tbl>
          <w:p>
            <w:pPr>
              <w:pStyle w:val="182"/>
              <w:spacing w:line="360" w:lineRule="auto"/>
              <w:ind w:firstLine="462"/>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表7-</w:t>
            </w:r>
            <w:r>
              <w:rPr>
                <w:rFonts w:hint="eastAsia" w:ascii="Times New Roman" w:hAnsi="Times New Roman" w:cs="Times New Roman"/>
                <w:sz w:val="24"/>
                <w:szCs w:val="24"/>
                <w:u w:val="none" w:color="auto"/>
                <w:lang w:val="en-US" w:eastAsia="zh-CN"/>
              </w:rPr>
              <w:t>6</w:t>
            </w:r>
            <w:r>
              <w:rPr>
                <w:rFonts w:hint="default" w:ascii="Times New Roman" w:hAnsi="Times New Roman" w:cs="Times New Roman"/>
                <w:sz w:val="24"/>
                <w:szCs w:val="24"/>
                <w:u w:val="none" w:color="auto"/>
              </w:rPr>
              <w:t xml:space="preserve"> 估算模型参数表</w:t>
            </w:r>
          </w:p>
          <w:tbl>
            <w:tblPr>
              <w:tblStyle w:val="40"/>
              <w:tblW w:w="90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008"/>
              <w:gridCol w:w="3008"/>
              <w:gridCol w:w="30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6016" w:type="dxa"/>
                  <w:gridSpan w:val="2"/>
                </w:tcPr>
                <w:p>
                  <w:pPr>
                    <w:pStyle w:val="182"/>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参数</w:t>
                  </w:r>
                </w:p>
              </w:tc>
              <w:tc>
                <w:tcPr>
                  <w:tcW w:w="3006" w:type="dxa"/>
                </w:tcPr>
                <w:p>
                  <w:pPr>
                    <w:pStyle w:val="182"/>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取值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08" w:type="dxa"/>
                  <w:vMerge w:val="restart"/>
                  <w:vAlign w:val="center"/>
                </w:tcPr>
                <w:p>
                  <w:pPr>
                    <w:pStyle w:val="182"/>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城市/农村选项</w:t>
                  </w:r>
                </w:p>
              </w:tc>
              <w:tc>
                <w:tcPr>
                  <w:tcW w:w="3008" w:type="dxa"/>
                  <w:vAlign w:val="center"/>
                </w:tcPr>
                <w:p>
                  <w:pPr>
                    <w:pStyle w:val="182"/>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城市/农村</w:t>
                  </w:r>
                </w:p>
              </w:tc>
              <w:tc>
                <w:tcPr>
                  <w:tcW w:w="3006" w:type="dxa"/>
                  <w:vAlign w:val="center"/>
                </w:tcPr>
                <w:p>
                  <w:pPr>
                    <w:pStyle w:val="182"/>
                    <w:spacing w:line="360" w:lineRule="auto"/>
                    <w:ind w:firstLine="0" w:firstLineChars="0"/>
                    <w:jc w:val="center"/>
                    <w:rPr>
                      <w:rFonts w:hint="default" w:ascii="Times New Roman" w:hAnsi="Times New Roman" w:cs="Times New Roman"/>
                      <w:sz w:val="22"/>
                      <w:szCs w:val="22"/>
                      <w:u w:val="none" w:color="auto"/>
                      <w:lang w:eastAsia="zh-CN"/>
                    </w:rPr>
                  </w:pPr>
                  <w:r>
                    <w:rPr>
                      <w:rFonts w:hint="default" w:ascii="Times New Roman" w:hAnsi="Times New Roman" w:cs="Times New Roman"/>
                      <w:sz w:val="22"/>
                      <w:szCs w:val="22"/>
                      <w:u w:val="none" w:color="auto"/>
                      <w:lang w:eastAsia="zh-CN"/>
                    </w:rPr>
                    <w:t>农村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08" w:type="dxa"/>
                  <w:vMerge w:val="continue"/>
                  <w:vAlign w:val="center"/>
                </w:tcPr>
                <w:p>
                  <w:pPr>
                    <w:pStyle w:val="182"/>
                    <w:spacing w:line="360" w:lineRule="auto"/>
                    <w:ind w:firstLine="0" w:firstLineChars="0"/>
                    <w:jc w:val="center"/>
                    <w:rPr>
                      <w:rFonts w:hint="default" w:ascii="Times New Roman" w:hAnsi="Times New Roman" w:cs="Times New Roman"/>
                      <w:sz w:val="22"/>
                      <w:szCs w:val="22"/>
                      <w:u w:val="none" w:color="auto"/>
                    </w:rPr>
                  </w:pPr>
                </w:p>
              </w:tc>
              <w:tc>
                <w:tcPr>
                  <w:tcW w:w="3008" w:type="dxa"/>
                  <w:vAlign w:val="center"/>
                </w:tcPr>
                <w:p>
                  <w:pPr>
                    <w:pStyle w:val="182"/>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人口数（城市选项时）</w:t>
                  </w:r>
                </w:p>
              </w:tc>
              <w:tc>
                <w:tcPr>
                  <w:tcW w:w="3006" w:type="dxa"/>
                  <w:vAlign w:val="center"/>
                </w:tcPr>
                <w:p>
                  <w:pPr>
                    <w:pStyle w:val="182"/>
                    <w:spacing w:line="360" w:lineRule="auto"/>
                    <w:ind w:firstLine="0" w:firstLineChars="0"/>
                    <w:jc w:val="center"/>
                    <w:rPr>
                      <w:rFonts w:hint="default" w:ascii="Times New Roman" w:hAnsi="Times New Roman" w:cs="Times New Roman"/>
                      <w:sz w:val="22"/>
                      <w:szCs w:val="22"/>
                      <w:u w:val="none" w:color="auto"/>
                      <w:lang w:eastAsia="zh-CN"/>
                    </w:rPr>
                  </w:pPr>
                  <w:r>
                    <w:rPr>
                      <w:rFonts w:hint="default" w:ascii="Times New Roman" w:hAnsi="Times New Roman" w:cs="Times New Roman"/>
                      <w:sz w:val="22"/>
                      <w:szCs w:val="22"/>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016" w:type="dxa"/>
                  <w:gridSpan w:val="2"/>
                  <w:vAlign w:val="center"/>
                </w:tcPr>
                <w:p>
                  <w:pPr>
                    <w:pStyle w:val="182"/>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最高环境温度/℃</w:t>
                  </w:r>
                </w:p>
              </w:tc>
              <w:tc>
                <w:tcPr>
                  <w:tcW w:w="3006" w:type="dxa"/>
                  <w:vAlign w:val="center"/>
                </w:tcPr>
                <w:p>
                  <w:pPr>
                    <w:pStyle w:val="182"/>
                    <w:spacing w:line="360" w:lineRule="auto"/>
                    <w:ind w:firstLine="0" w:firstLineChars="0"/>
                    <w:jc w:val="center"/>
                    <w:rPr>
                      <w:rFonts w:hint="default" w:ascii="Times New Roman" w:hAnsi="Times New Roman" w:eastAsia="宋体" w:cs="Times New Roman"/>
                      <w:sz w:val="22"/>
                      <w:szCs w:val="22"/>
                      <w:u w:val="none" w:color="auto"/>
                      <w:lang w:val="en-US" w:eastAsia="zh-CN"/>
                    </w:rPr>
                  </w:pPr>
                  <w:r>
                    <w:rPr>
                      <w:rFonts w:hint="eastAsia" w:ascii="Times New Roman" w:hAnsi="Times New Roman" w:cs="Times New Roman"/>
                      <w:sz w:val="22"/>
                      <w:szCs w:val="22"/>
                      <w:u w:val="none" w:color="auto"/>
                      <w:lang w:val="en-US" w:eastAsia="zh-CN"/>
                    </w:rPr>
                    <w:t>38.4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016" w:type="dxa"/>
                  <w:gridSpan w:val="2"/>
                  <w:vAlign w:val="center"/>
                </w:tcPr>
                <w:p>
                  <w:pPr>
                    <w:pStyle w:val="182"/>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最低环境温度/℃</w:t>
                  </w:r>
                </w:p>
              </w:tc>
              <w:tc>
                <w:tcPr>
                  <w:tcW w:w="3006" w:type="dxa"/>
                  <w:vAlign w:val="center"/>
                </w:tcPr>
                <w:p>
                  <w:pPr>
                    <w:pStyle w:val="182"/>
                    <w:spacing w:line="360" w:lineRule="auto"/>
                    <w:ind w:firstLine="0" w:firstLineChars="0"/>
                    <w:jc w:val="center"/>
                    <w:rPr>
                      <w:rFonts w:hint="default" w:ascii="Times New Roman" w:hAnsi="Times New Roman" w:eastAsia="宋体" w:cs="Times New Roman"/>
                      <w:sz w:val="22"/>
                      <w:szCs w:val="22"/>
                      <w:u w:val="none" w:color="auto"/>
                      <w:lang w:val="en-US" w:eastAsia="zh-CN"/>
                    </w:rPr>
                  </w:pPr>
                  <w:r>
                    <w:rPr>
                      <w:rFonts w:hint="eastAsia" w:ascii="Times New Roman" w:hAnsi="Times New Roman" w:cs="Times New Roman"/>
                      <w:sz w:val="22"/>
                      <w:szCs w:val="22"/>
                      <w:u w:val="none" w:color="auto"/>
                      <w:lang w:val="en-US" w:eastAsia="zh-CN"/>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6016" w:type="dxa"/>
                  <w:gridSpan w:val="2"/>
                  <w:vAlign w:val="center"/>
                </w:tcPr>
                <w:p>
                  <w:pPr>
                    <w:pStyle w:val="182"/>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土地利用类型</w:t>
                  </w:r>
                </w:p>
              </w:tc>
              <w:tc>
                <w:tcPr>
                  <w:tcW w:w="3006" w:type="dxa"/>
                  <w:vAlign w:val="center"/>
                </w:tcPr>
                <w:p>
                  <w:pPr>
                    <w:pStyle w:val="182"/>
                    <w:spacing w:line="360" w:lineRule="auto"/>
                    <w:ind w:firstLine="0" w:firstLineChars="0"/>
                    <w:jc w:val="center"/>
                    <w:rPr>
                      <w:rFonts w:hint="eastAsia" w:ascii="Times New Roman" w:hAnsi="Times New Roman" w:eastAsia="宋体" w:cs="Times New Roman"/>
                      <w:sz w:val="22"/>
                      <w:szCs w:val="22"/>
                      <w:u w:val="none" w:color="auto"/>
                      <w:lang w:eastAsia="zh-CN"/>
                    </w:rPr>
                  </w:pPr>
                  <w:r>
                    <w:rPr>
                      <w:rFonts w:hint="eastAsia" w:ascii="Times New Roman" w:hAnsi="Times New Roman" w:cs="Times New Roman"/>
                      <w:sz w:val="22"/>
                      <w:szCs w:val="22"/>
                      <w:u w:val="none" w:color="auto"/>
                      <w:lang w:eastAsia="zh-CN"/>
                    </w:rPr>
                    <w:t>工业用地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016" w:type="dxa"/>
                  <w:gridSpan w:val="2"/>
                  <w:vAlign w:val="center"/>
                </w:tcPr>
                <w:p>
                  <w:pPr>
                    <w:pStyle w:val="182"/>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区域湿度条件</w:t>
                  </w:r>
                </w:p>
              </w:tc>
              <w:tc>
                <w:tcPr>
                  <w:tcW w:w="3006" w:type="dxa"/>
                  <w:vAlign w:val="center"/>
                </w:tcPr>
                <w:p>
                  <w:pPr>
                    <w:pStyle w:val="182"/>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潮湿气候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08" w:type="dxa"/>
                  <w:vMerge w:val="restart"/>
                  <w:vAlign w:val="center"/>
                </w:tcPr>
                <w:p>
                  <w:pPr>
                    <w:pStyle w:val="182"/>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是否考虑地形</w:t>
                  </w:r>
                </w:p>
              </w:tc>
              <w:tc>
                <w:tcPr>
                  <w:tcW w:w="3008" w:type="dxa"/>
                  <w:vAlign w:val="center"/>
                </w:tcPr>
                <w:p>
                  <w:pPr>
                    <w:pStyle w:val="182"/>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考虑地形</w:t>
                  </w:r>
                </w:p>
              </w:tc>
              <w:tc>
                <w:tcPr>
                  <w:tcW w:w="3006" w:type="dxa"/>
                  <w:vAlign w:val="center"/>
                </w:tcPr>
                <w:p>
                  <w:pPr>
                    <w:pStyle w:val="182"/>
                    <w:spacing w:line="360" w:lineRule="auto"/>
                    <w:ind w:firstLine="0" w:firstLineChars="0"/>
                    <w:jc w:val="center"/>
                    <w:rPr>
                      <w:rFonts w:hint="eastAsia" w:ascii="Times New Roman" w:hAnsi="Times New Roman" w:eastAsia="宋体" w:cs="Times New Roman"/>
                      <w:sz w:val="22"/>
                      <w:szCs w:val="22"/>
                      <w:u w:val="none" w:color="auto"/>
                      <w:lang w:val="en-US" w:eastAsia="zh-CN"/>
                    </w:rPr>
                  </w:pPr>
                  <w:r>
                    <w:rPr>
                      <w:rFonts w:hint="eastAsia" w:ascii="Times New Roman" w:hAnsi="Times New Roman" w:cs="Times New Roman"/>
                      <w:sz w:val="22"/>
                      <w:szCs w:val="22"/>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08" w:type="dxa"/>
                  <w:vMerge w:val="continue"/>
                  <w:vAlign w:val="center"/>
                </w:tcPr>
                <w:p>
                  <w:pPr>
                    <w:pStyle w:val="182"/>
                    <w:spacing w:line="360" w:lineRule="auto"/>
                    <w:ind w:firstLine="0" w:firstLineChars="0"/>
                    <w:jc w:val="center"/>
                    <w:rPr>
                      <w:rFonts w:hint="default" w:ascii="Times New Roman" w:hAnsi="Times New Roman" w:cs="Times New Roman"/>
                      <w:sz w:val="22"/>
                      <w:szCs w:val="22"/>
                      <w:u w:val="none" w:color="auto"/>
                    </w:rPr>
                  </w:pPr>
                </w:p>
              </w:tc>
              <w:tc>
                <w:tcPr>
                  <w:tcW w:w="3008" w:type="dxa"/>
                  <w:vAlign w:val="center"/>
                </w:tcPr>
                <w:p>
                  <w:pPr>
                    <w:pStyle w:val="182"/>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地形数据分辨率/m</w:t>
                  </w:r>
                </w:p>
              </w:tc>
              <w:tc>
                <w:tcPr>
                  <w:tcW w:w="3006" w:type="dxa"/>
                  <w:vAlign w:val="center"/>
                </w:tcPr>
                <w:p>
                  <w:pPr>
                    <w:pStyle w:val="182"/>
                    <w:spacing w:line="360" w:lineRule="auto"/>
                    <w:ind w:firstLine="0" w:firstLineChars="0"/>
                    <w:jc w:val="center"/>
                    <w:rPr>
                      <w:rFonts w:hint="eastAsia" w:ascii="Times New Roman" w:hAnsi="Times New Roman" w:eastAsia="宋体" w:cs="Times New Roman"/>
                      <w:sz w:val="22"/>
                      <w:szCs w:val="22"/>
                      <w:u w:val="none" w:color="auto"/>
                      <w:lang w:val="en-US" w:eastAsia="zh-CN"/>
                    </w:rPr>
                  </w:pPr>
                  <w:r>
                    <w:rPr>
                      <w:rFonts w:hint="eastAsia" w:ascii="Times New Roman" w:hAnsi="Times New Roman" w:cs="Times New Roman"/>
                      <w:sz w:val="22"/>
                      <w:szCs w:val="22"/>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3008" w:type="dxa"/>
                  <w:vMerge w:val="restart"/>
                  <w:vAlign w:val="center"/>
                </w:tcPr>
                <w:p>
                  <w:pPr>
                    <w:pStyle w:val="182"/>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是否考虑岸线熏烟</w:t>
                  </w:r>
                </w:p>
              </w:tc>
              <w:tc>
                <w:tcPr>
                  <w:tcW w:w="3008" w:type="dxa"/>
                  <w:vAlign w:val="center"/>
                </w:tcPr>
                <w:p>
                  <w:pPr>
                    <w:pStyle w:val="182"/>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考虑岸线熏烟</w:t>
                  </w:r>
                </w:p>
              </w:tc>
              <w:tc>
                <w:tcPr>
                  <w:tcW w:w="3006" w:type="dxa"/>
                  <w:vAlign w:val="center"/>
                </w:tcPr>
                <w:p>
                  <w:pPr>
                    <w:pStyle w:val="182"/>
                    <w:spacing w:line="360" w:lineRule="auto"/>
                    <w:ind w:firstLine="0" w:firstLineChars="0"/>
                    <w:jc w:val="center"/>
                    <w:rPr>
                      <w:rFonts w:hint="eastAsia" w:ascii="Times New Roman" w:hAnsi="Times New Roman" w:eastAsia="宋体" w:cs="Times New Roman"/>
                      <w:sz w:val="22"/>
                      <w:szCs w:val="22"/>
                      <w:u w:val="none" w:color="auto"/>
                      <w:lang w:val="en-US" w:eastAsia="zh-CN"/>
                    </w:rPr>
                  </w:pPr>
                  <w:r>
                    <w:rPr>
                      <w:rFonts w:hint="eastAsia" w:ascii="Times New Roman" w:hAnsi="Times New Roman" w:cs="Times New Roman"/>
                      <w:sz w:val="22"/>
                      <w:szCs w:val="22"/>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08" w:type="dxa"/>
                  <w:vMerge w:val="continue"/>
                  <w:vAlign w:val="center"/>
                </w:tcPr>
                <w:p>
                  <w:pPr>
                    <w:pStyle w:val="182"/>
                    <w:spacing w:line="360" w:lineRule="auto"/>
                    <w:ind w:firstLine="0" w:firstLineChars="0"/>
                    <w:jc w:val="center"/>
                    <w:rPr>
                      <w:rFonts w:hint="default" w:ascii="Times New Roman" w:hAnsi="Times New Roman" w:cs="Times New Roman"/>
                      <w:sz w:val="22"/>
                      <w:szCs w:val="22"/>
                      <w:u w:val="none" w:color="auto"/>
                    </w:rPr>
                  </w:pPr>
                </w:p>
              </w:tc>
              <w:tc>
                <w:tcPr>
                  <w:tcW w:w="3008" w:type="dxa"/>
                  <w:vAlign w:val="center"/>
                </w:tcPr>
                <w:p>
                  <w:pPr>
                    <w:pStyle w:val="182"/>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岸线距离/km</w:t>
                  </w:r>
                </w:p>
              </w:tc>
              <w:tc>
                <w:tcPr>
                  <w:tcW w:w="3006" w:type="dxa"/>
                  <w:vAlign w:val="center"/>
                </w:tcPr>
                <w:p>
                  <w:pPr>
                    <w:pStyle w:val="182"/>
                    <w:spacing w:line="360" w:lineRule="auto"/>
                    <w:ind w:firstLine="0" w:firstLineChars="0"/>
                    <w:jc w:val="center"/>
                    <w:rPr>
                      <w:rFonts w:hint="eastAsia" w:ascii="Times New Roman" w:hAnsi="Times New Roman" w:eastAsia="宋体" w:cs="Times New Roman"/>
                      <w:sz w:val="22"/>
                      <w:szCs w:val="22"/>
                      <w:u w:val="none" w:color="auto"/>
                      <w:lang w:val="en-US" w:eastAsia="zh-CN"/>
                    </w:rPr>
                  </w:pPr>
                  <w:r>
                    <w:rPr>
                      <w:rFonts w:hint="eastAsia" w:ascii="Times New Roman" w:hAnsi="Times New Roman" w:cs="Times New Roman"/>
                      <w:sz w:val="22"/>
                      <w:szCs w:val="22"/>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08" w:type="dxa"/>
                  <w:vMerge w:val="continue"/>
                  <w:vAlign w:val="center"/>
                </w:tcPr>
                <w:p>
                  <w:pPr>
                    <w:pStyle w:val="182"/>
                    <w:spacing w:line="360" w:lineRule="auto"/>
                    <w:ind w:firstLine="0" w:firstLineChars="0"/>
                    <w:jc w:val="center"/>
                    <w:rPr>
                      <w:rFonts w:hint="default" w:ascii="Times New Roman" w:hAnsi="Times New Roman" w:cs="Times New Roman"/>
                      <w:sz w:val="22"/>
                      <w:szCs w:val="22"/>
                      <w:u w:val="none" w:color="auto"/>
                    </w:rPr>
                  </w:pPr>
                </w:p>
              </w:tc>
              <w:tc>
                <w:tcPr>
                  <w:tcW w:w="3008" w:type="dxa"/>
                  <w:vAlign w:val="center"/>
                </w:tcPr>
                <w:p>
                  <w:pPr>
                    <w:pStyle w:val="182"/>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岸线方向/°</w:t>
                  </w:r>
                </w:p>
              </w:tc>
              <w:tc>
                <w:tcPr>
                  <w:tcW w:w="3006" w:type="dxa"/>
                  <w:vAlign w:val="center"/>
                </w:tcPr>
                <w:p>
                  <w:pPr>
                    <w:pStyle w:val="182"/>
                    <w:spacing w:line="360" w:lineRule="auto"/>
                    <w:ind w:firstLine="0" w:firstLineChars="0"/>
                    <w:jc w:val="center"/>
                    <w:rPr>
                      <w:rFonts w:hint="eastAsia" w:ascii="Times New Roman" w:hAnsi="Times New Roman" w:eastAsia="宋体" w:cs="Times New Roman"/>
                      <w:sz w:val="22"/>
                      <w:szCs w:val="22"/>
                      <w:u w:val="none" w:color="auto"/>
                      <w:lang w:val="en-US" w:eastAsia="zh-CN"/>
                    </w:rPr>
                  </w:pPr>
                  <w:r>
                    <w:rPr>
                      <w:rFonts w:hint="eastAsia" w:ascii="Times New Roman" w:hAnsi="Times New Roman" w:cs="Times New Roman"/>
                      <w:sz w:val="22"/>
                      <w:szCs w:val="22"/>
                      <w:u w:val="none" w:color="auto"/>
                      <w:lang w:val="en-US" w:eastAsia="zh-CN"/>
                    </w:rPr>
                    <w:t>/</w:t>
                  </w:r>
                </w:p>
              </w:tc>
            </w:tr>
          </w:tbl>
          <w:p>
            <w:pPr>
              <w:tabs>
                <w:tab w:val="left" w:pos="103"/>
              </w:tabs>
              <w:autoSpaceDE w:val="0"/>
              <w:autoSpaceDN w:val="0"/>
              <w:spacing w:line="360" w:lineRule="auto"/>
              <w:ind w:firstLine="466" w:firstLineChars="200"/>
              <w:rPr>
                <w:rFonts w:hint="default" w:ascii="Times New Roman" w:hAnsi="Times New Roman" w:cs="Times New Roman"/>
                <w:sz w:val="24"/>
                <w:szCs w:val="24"/>
                <w:u w:val="none" w:color="auto"/>
                <w:lang w:val="en-US" w:eastAsia="zh-CN"/>
              </w:rPr>
            </w:pPr>
            <w:r>
              <w:rPr>
                <w:rFonts w:hint="default" w:ascii="Calibri" w:hAnsi="Calibri" w:cs="Calibri"/>
                <w:sz w:val="24"/>
                <w:szCs w:val="24"/>
                <w:u w:val="none" w:color="auto"/>
                <w:lang w:val="en-US" w:eastAsia="zh-CN"/>
              </w:rPr>
              <w:t>②</w:t>
            </w:r>
            <w:r>
              <w:rPr>
                <w:rFonts w:hint="default" w:ascii="Times New Roman" w:hAnsi="Times New Roman" w:cs="Times New Roman"/>
                <w:sz w:val="24"/>
                <w:szCs w:val="24"/>
                <w:u w:val="none" w:color="auto"/>
                <w:lang w:val="en-US" w:eastAsia="zh-CN"/>
              </w:rPr>
              <w:t>预测结果</w:t>
            </w:r>
          </w:p>
          <w:p>
            <w:pPr>
              <w:tabs>
                <w:tab w:val="left" w:pos="103"/>
              </w:tabs>
              <w:autoSpaceDE w:val="0"/>
              <w:autoSpaceDN w:val="0"/>
              <w:spacing w:line="360" w:lineRule="auto"/>
              <w:ind w:firstLine="466" w:firstLineChars="200"/>
              <w:jc w:val="both"/>
              <w:rPr>
                <w:rFonts w:hint="default" w:ascii="Times New Roman" w:hAnsi="Times New Roman" w:cs="Times New Roman"/>
                <w:sz w:val="24"/>
                <w:szCs w:val="24"/>
                <w:u w:val="none" w:color="auto"/>
                <w:lang w:val="en-US" w:eastAsia="zh-CN"/>
              </w:rPr>
            </w:pPr>
            <w:r>
              <w:rPr>
                <w:rFonts w:hint="default" w:ascii="Times New Roman" w:hAnsi="Times New Roman" w:cs="Times New Roman"/>
                <w:sz w:val="24"/>
                <w:szCs w:val="24"/>
                <w:u w:val="none" w:color="auto"/>
                <w:lang w:val="en-US" w:eastAsia="zh-CN"/>
              </w:rPr>
              <w:t>采用《环境影响评价技术导则-大气环境》（HJ2.2-2018）中推荐的估算模式—AERSCREEN进行估算，预测结果见</w:t>
            </w:r>
            <w:r>
              <w:rPr>
                <w:rFonts w:hint="eastAsia" w:cs="Times New Roman"/>
                <w:sz w:val="24"/>
                <w:szCs w:val="24"/>
                <w:u w:val="none" w:color="auto"/>
                <w:lang w:val="en-US" w:eastAsia="zh-CN"/>
              </w:rPr>
              <w:t>下</w:t>
            </w:r>
            <w:r>
              <w:rPr>
                <w:rFonts w:hint="default" w:ascii="Times New Roman" w:hAnsi="Times New Roman" w:cs="Times New Roman"/>
                <w:sz w:val="24"/>
                <w:szCs w:val="24"/>
                <w:u w:val="none" w:color="auto"/>
                <w:lang w:val="en-US" w:eastAsia="zh-CN"/>
              </w:rPr>
              <w:t>表</w:t>
            </w:r>
            <w:r>
              <w:rPr>
                <w:rFonts w:hint="eastAsia" w:cs="Times New Roman"/>
                <w:sz w:val="24"/>
                <w:szCs w:val="24"/>
                <w:u w:val="none" w:color="auto"/>
                <w:lang w:val="en-US" w:eastAsia="zh-CN"/>
              </w:rPr>
              <w:t>。</w:t>
            </w:r>
          </w:p>
          <w:p>
            <w:pPr>
              <w:pStyle w:val="188"/>
              <w:bidi w:val="0"/>
              <w:rPr>
                <w:rFonts w:hint="default" w:ascii="Times New Roman" w:hAnsi="Times New Roman" w:cs="Times New Roman"/>
                <w:color w:val="auto"/>
                <w:sz w:val="24"/>
                <w:szCs w:val="24"/>
                <w:u w:val="none" w:color="auto"/>
                <w:lang w:val="en-US" w:eastAsia="zh-CN"/>
              </w:rPr>
            </w:pPr>
            <w:r>
              <w:rPr>
                <w:rFonts w:hint="eastAsia"/>
                <w:color w:val="auto"/>
                <w:u w:val="none" w:color="auto"/>
              </w:rPr>
              <w:t>表7-</w:t>
            </w:r>
            <w:r>
              <w:rPr>
                <w:rFonts w:hint="eastAsia"/>
                <w:color w:val="auto"/>
                <w:u w:val="none" w:color="auto"/>
                <w:lang w:val="en-US" w:eastAsia="zh-CN"/>
              </w:rPr>
              <w:t>7</w:t>
            </w:r>
            <w:r>
              <w:rPr>
                <w:rFonts w:hint="eastAsia"/>
                <w:color w:val="auto"/>
                <w:u w:val="none" w:color="auto"/>
              </w:rPr>
              <w:t xml:space="preserve">  项目大气污染物最大地面浓度预测</w:t>
            </w:r>
          </w:p>
          <w:tbl>
            <w:tblPr>
              <w:tblStyle w:val="40"/>
              <w:tblW w:w="90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795"/>
              <w:gridCol w:w="906"/>
              <w:gridCol w:w="734"/>
              <w:gridCol w:w="1558"/>
              <w:gridCol w:w="1185"/>
              <w:gridCol w:w="983"/>
              <w:gridCol w:w="897"/>
              <w:gridCol w:w="8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89" w:type="dxa"/>
                  <w:tcBorders>
                    <w:tl2br w:val="nil"/>
                    <w:tr2bl w:val="nil"/>
                  </w:tcBorders>
                  <w:noWrap w:val="0"/>
                  <w:vAlign w:val="center"/>
                </w:tcPr>
                <w:p>
                  <w:pPr>
                    <w:pStyle w:val="186"/>
                    <w:bidi w:val="0"/>
                    <w:jc w:val="center"/>
                    <w:rPr>
                      <w:color w:val="auto"/>
                      <w:sz w:val="22"/>
                      <w:szCs w:val="22"/>
                      <w:u w:val="none" w:color="auto"/>
                      <w:lang w:eastAsia="zh-CN"/>
                    </w:rPr>
                  </w:pPr>
                  <w:r>
                    <w:rPr>
                      <w:rFonts w:hint="eastAsia"/>
                      <w:color w:val="auto"/>
                      <w:sz w:val="22"/>
                      <w:szCs w:val="22"/>
                      <w:u w:val="none" w:color="auto"/>
                      <w:lang w:eastAsia="zh-CN"/>
                    </w:rPr>
                    <w:t>污染源</w:t>
                  </w:r>
                </w:p>
              </w:tc>
              <w:tc>
                <w:tcPr>
                  <w:tcW w:w="795" w:type="dxa"/>
                  <w:tcBorders>
                    <w:tl2br w:val="nil"/>
                    <w:tr2bl w:val="nil"/>
                  </w:tcBorders>
                  <w:noWrap w:val="0"/>
                  <w:vAlign w:val="center"/>
                </w:tcPr>
                <w:p>
                  <w:pPr>
                    <w:pStyle w:val="186"/>
                    <w:bidi w:val="0"/>
                    <w:jc w:val="center"/>
                    <w:rPr>
                      <w:color w:val="auto"/>
                      <w:sz w:val="22"/>
                      <w:szCs w:val="22"/>
                      <w:u w:val="none" w:color="auto"/>
                      <w:lang w:eastAsia="zh-CN"/>
                    </w:rPr>
                  </w:pPr>
                  <w:r>
                    <w:rPr>
                      <w:rFonts w:hint="eastAsia"/>
                      <w:color w:val="auto"/>
                      <w:sz w:val="22"/>
                      <w:szCs w:val="22"/>
                      <w:u w:val="none" w:color="auto"/>
                      <w:lang w:eastAsia="zh-CN"/>
                    </w:rPr>
                    <w:t>类型</w:t>
                  </w:r>
                </w:p>
              </w:tc>
              <w:tc>
                <w:tcPr>
                  <w:tcW w:w="1640" w:type="dxa"/>
                  <w:gridSpan w:val="2"/>
                  <w:tcBorders>
                    <w:tl2br w:val="nil"/>
                    <w:tr2bl w:val="nil"/>
                  </w:tcBorders>
                  <w:noWrap w:val="0"/>
                  <w:vAlign w:val="center"/>
                </w:tcPr>
                <w:p>
                  <w:pPr>
                    <w:pStyle w:val="186"/>
                    <w:bidi w:val="0"/>
                    <w:jc w:val="center"/>
                    <w:rPr>
                      <w:color w:val="auto"/>
                      <w:sz w:val="22"/>
                      <w:szCs w:val="22"/>
                      <w:u w:val="none" w:color="auto"/>
                      <w:lang w:eastAsia="zh-CN"/>
                    </w:rPr>
                  </w:pPr>
                  <w:r>
                    <w:rPr>
                      <w:rFonts w:hint="eastAsia"/>
                      <w:color w:val="auto"/>
                      <w:sz w:val="22"/>
                      <w:szCs w:val="22"/>
                      <w:u w:val="none" w:color="auto"/>
                      <w:lang w:eastAsia="zh-CN"/>
                    </w:rPr>
                    <w:t>标准（</w:t>
                  </w:r>
                  <w:r>
                    <w:rPr>
                      <w:color w:val="auto"/>
                      <w:sz w:val="22"/>
                      <w:szCs w:val="22"/>
                      <w:u w:val="none" w:color="auto"/>
                      <w:lang w:eastAsia="zh-CN"/>
                    </w:rPr>
                    <w:t>μ</w:t>
                  </w:r>
                  <w:r>
                    <w:rPr>
                      <w:rFonts w:hint="eastAsia"/>
                      <w:color w:val="auto"/>
                      <w:sz w:val="22"/>
                      <w:szCs w:val="22"/>
                      <w:u w:val="none" w:color="auto"/>
                      <w:lang w:eastAsia="zh-CN"/>
                    </w:rPr>
                    <w:t>g/m</w:t>
                  </w:r>
                  <w:r>
                    <w:rPr>
                      <w:rFonts w:hint="eastAsia"/>
                      <w:color w:val="auto"/>
                      <w:sz w:val="22"/>
                      <w:szCs w:val="22"/>
                      <w:u w:val="none" w:color="auto"/>
                      <w:vertAlign w:val="superscript"/>
                      <w:lang w:eastAsia="zh-CN"/>
                    </w:rPr>
                    <w:t>3</w:t>
                  </w:r>
                  <w:r>
                    <w:rPr>
                      <w:rFonts w:hint="eastAsia"/>
                      <w:color w:val="auto"/>
                      <w:sz w:val="22"/>
                      <w:szCs w:val="22"/>
                      <w:u w:val="none" w:color="auto"/>
                      <w:lang w:eastAsia="zh-CN"/>
                    </w:rPr>
                    <w:t>）</w:t>
                  </w:r>
                </w:p>
              </w:tc>
              <w:tc>
                <w:tcPr>
                  <w:tcW w:w="1558" w:type="dxa"/>
                  <w:tcBorders>
                    <w:tl2br w:val="nil"/>
                    <w:tr2bl w:val="nil"/>
                  </w:tcBorders>
                  <w:noWrap w:val="0"/>
                  <w:vAlign w:val="center"/>
                </w:tcPr>
                <w:p>
                  <w:pPr>
                    <w:pStyle w:val="186"/>
                    <w:bidi w:val="0"/>
                    <w:jc w:val="center"/>
                    <w:rPr>
                      <w:rFonts w:hint="eastAsia"/>
                      <w:color w:val="auto"/>
                      <w:sz w:val="22"/>
                      <w:szCs w:val="22"/>
                      <w:u w:val="none" w:color="auto"/>
                    </w:rPr>
                  </w:pPr>
                  <w:r>
                    <w:rPr>
                      <w:rFonts w:hint="eastAsia"/>
                      <w:color w:val="auto"/>
                      <w:sz w:val="22"/>
                      <w:szCs w:val="22"/>
                      <w:u w:val="none" w:color="auto"/>
                    </w:rPr>
                    <w:t>最大落地浓度</w:t>
                  </w:r>
                </w:p>
                <w:p>
                  <w:pPr>
                    <w:pStyle w:val="186"/>
                    <w:bidi w:val="0"/>
                    <w:jc w:val="center"/>
                    <w:rPr>
                      <w:rFonts w:hint="eastAsia"/>
                      <w:color w:val="auto"/>
                      <w:sz w:val="22"/>
                      <w:szCs w:val="22"/>
                      <w:u w:val="none" w:color="auto"/>
                    </w:rPr>
                  </w:pPr>
                  <w:r>
                    <w:rPr>
                      <w:rFonts w:hint="eastAsia"/>
                      <w:color w:val="auto"/>
                      <w:sz w:val="22"/>
                      <w:szCs w:val="22"/>
                      <w:u w:val="none" w:color="auto"/>
                    </w:rPr>
                    <w:t>（</w:t>
                  </w:r>
                  <w:r>
                    <w:rPr>
                      <w:color w:val="auto"/>
                      <w:sz w:val="22"/>
                      <w:szCs w:val="22"/>
                      <w:u w:val="none" w:color="auto"/>
                    </w:rPr>
                    <w:t>μ</w:t>
                  </w:r>
                  <w:r>
                    <w:rPr>
                      <w:rFonts w:hint="eastAsia"/>
                      <w:color w:val="auto"/>
                      <w:sz w:val="22"/>
                      <w:szCs w:val="22"/>
                      <w:u w:val="none" w:color="auto"/>
                    </w:rPr>
                    <w:t>g/m</w:t>
                  </w:r>
                  <w:r>
                    <w:rPr>
                      <w:rFonts w:hint="eastAsia"/>
                      <w:color w:val="auto"/>
                      <w:sz w:val="22"/>
                      <w:szCs w:val="22"/>
                      <w:u w:val="none" w:color="auto"/>
                      <w:vertAlign w:val="superscript"/>
                    </w:rPr>
                    <w:t>3</w:t>
                  </w:r>
                  <w:r>
                    <w:rPr>
                      <w:rFonts w:hint="eastAsia"/>
                      <w:color w:val="auto"/>
                      <w:sz w:val="22"/>
                      <w:szCs w:val="22"/>
                      <w:u w:val="none" w:color="auto"/>
                    </w:rPr>
                    <w:t>）</w:t>
                  </w:r>
                </w:p>
              </w:tc>
              <w:tc>
                <w:tcPr>
                  <w:tcW w:w="1185" w:type="dxa"/>
                  <w:tcBorders>
                    <w:tl2br w:val="nil"/>
                    <w:tr2bl w:val="nil"/>
                  </w:tcBorders>
                  <w:noWrap w:val="0"/>
                  <w:vAlign w:val="center"/>
                </w:tcPr>
                <w:p>
                  <w:pPr>
                    <w:pStyle w:val="186"/>
                    <w:bidi w:val="0"/>
                    <w:jc w:val="center"/>
                    <w:rPr>
                      <w:rFonts w:hint="eastAsia"/>
                      <w:color w:val="auto"/>
                      <w:sz w:val="22"/>
                      <w:szCs w:val="22"/>
                      <w:u w:val="none" w:color="auto"/>
                      <w:lang w:eastAsia="zh-CN"/>
                    </w:rPr>
                  </w:pPr>
                  <w:r>
                    <w:rPr>
                      <w:rFonts w:hint="eastAsia"/>
                      <w:color w:val="auto"/>
                      <w:sz w:val="22"/>
                      <w:szCs w:val="22"/>
                      <w:u w:val="none" w:color="auto"/>
                      <w:lang w:eastAsia="zh-CN"/>
                    </w:rPr>
                    <w:t>出现距离</w:t>
                  </w:r>
                </w:p>
                <w:p>
                  <w:pPr>
                    <w:pStyle w:val="186"/>
                    <w:bidi w:val="0"/>
                    <w:jc w:val="center"/>
                    <w:rPr>
                      <w:color w:val="auto"/>
                      <w:sz w:val="22"/>
                      <w:szCs w:val="22"/>
                      <w:u w:val="none" w:color="auto"/>
                    </w:rPr>
                  </w:pPr>
                  <w:r>
                    <w:rPr>
                      <w:rFonts w:hint="eastAsia"/>
                      <w:color w:val="auto"/>
                      <w:sz w:val="22"/>
                      <w:szCs w:val="22"/>
                      <w:u w:val="none" w:color="auto"/>
                    </w:rPr>
                    <w:t>（m）</w:t>
                  </w:r>
                </w:p>
              </w:tc>
              <w:tc>
                <w:tcPr>
                  <w:tcW w:w="983" w:type="dxa"/>
                  <w:tcBorders>
                    <w:tl2br w:val="nil"/>
                    <w:tr2bl w:val="nil"/>
                  </w:tcBorders>
                  <w:noWrap w:val="0"/>
                  <w:vAlign w:val="center"/>
                </w:tcPr>
                <w:p>
                  <w:pPr>
                    <w:pStyle w:val="186"/>
                    <w:bidi w:val="0"/>
                    <w:jc w:val="center"/>
                    <w:rPr>
                      <w:color w:val="auto"/>
                      <w:sz w:val="22"/>
                      <w:szCs w:val="22"/>
                      <w:u w:val="none" w:color="auto"/>
                      <w:lang w:eastAsia="zh-CN"/>
                    </w:rPr>
                  </w:pPr>
                  <w:r>
                    <w:rPr>
                      <w:color w:val="auto"/>
                      <w:sz w:val="22"/>
                      <w:szCs w:val="22"/>
                      <w:u w:val="none" w:color="auto"/>
                      <w:lang w:eastAsia="zh-CN"/>
                    </w:rPr>
                    <w:t>占标率</w:t>
                  </w:r>
                </w:p>
                <w:p>
                  <w:pPr>
                    <w:pStyle w:val="186"/>
                    <w:bidi w:val="0"/>
                    <w:jc w:val="center"/>
                    <w:rPr>
                      <w:color w:val="auto"/>
                      <w:sz w:val="22"/>
                      <w:szCs w:val="22"/>
                      <w:u w:val="none" w:color="auto"/>
                    </w:rPr>
                  </w:pPr>
                  <w:r>
                    <w:rPr>
                      <w:color w:val="auto"/>
                      <w:sz w:val="22"/>
                      <w:szCs w:val="22"/>
                      <w:u w:val="none" w:color="auto"/>
                    </w:rPr>
                    <w:t>（%）</w:t>
                  </w:r>
                </w:p>
              </w:tc>
              <w:tc>
                <w:tcPr>
                  <w:tcW w:w="897" w:type="dxa"/>
                  <w:tcBorders>
                    <w:tl2br w:val="nil"/>
                    <w:tr2bl w:val="nil"/>
                  </w:tcBorders>
                  <w:noWrap w:val="0"/>
                  <w:vAlign w:val="center"/>
                </w:tcPr>
                <w:p>
                  <w:pPr>
                    <w:pStyle w:val="186"/>
                    <w:bidi w:val="0"/>
                    <w:jc w:val="center"/>
                    <w:rPr>
                      <w:rFonts w:hint="eastAsia"/>
                      <w:color w:val="auto"/>
                      <w:sz w:val="22"/>
                      <w:szCs w:val="22"/>
                      <w:u w:val="none" w:color="auto"/>
                      <w:lang w:eastAsia="zh-CN"/>
                    </w:rPr>
                  </w:pPr>
                  <w:r>
                    <w:rPr>
                      <w:rFonts w:hint="eastAsia"/>
                      <w:color w:val="auto"/>
                      <w:sz w:val="22"/>
                      <w:szCs w:val="22"/>
                      <w:u w:val="none" w:color="auto"/>
                      <w:lang w:eastAsia="zh-CN"/>
                    </w:rPr>
                    <w:t>Pmax</w:t>
                  </w:r>
                </w:p>
                <w:p>
                  <w:pPr>
                    <w:pStyle w:val="186"/>
                    <w:bidi w:val="0"/>
                    <w:jc w:val="center"/>
                    <w:rPr>
                      <w:color w:val="auto"/>
                      <w:sz w:val="22"/>
                      <w:szCs w:val="22"/>
                      <w:u w:val="none" w:color="auto"/>
                    </w:rPr>
                  </w:pPr>
                  <w:r>
                    <w:rPr>
                      <w:rFonts w:hint="eastAsia"/>
                      <w:color w:val="auto"/>
                      <w:sz w:val="22"/>
                      <w:szCs w:val="22"/>
                      <w:u w:val="none" w:color="auto"/>
                    </w:rPr>
                    <w:t>（%）</w:t>
                  </w:r>
                </w:p>
              </w:tc>
              <w:tc>
                <w:tcPr>
                  <w:tcW w:w="895" w:type="dxa"/>
                  <w:tcBorders>
                    <w:tl2br w:val="nil"/>
                    <w:tr2bl w:val="nil"/>
                  </w:tcBorders>
                  <w:noWrap w:val="0"/>
                  <w:vAlign w:val="center"/>
                </w:tcPr>
                <w:p>
                  <w:pPr>
                    <w:pStyle w:val="186"/>
                    <w:bidi w:val="0"/>
                    <w:jc w:val="center"/>
                    <w:rPr>
                      <w:rFonts w:hint="eastAsia"/>
                      <w:color w:val="auto"/>
                      <w:sz w:val="22"/>
                      <w:szCs w:val="22"/>
                      <w:u w:val="none" w:color="auto"/>
                    </w:rPr>
                  </w:pPr>
                  <w:r>
                    <w:rPr>
                      <w:rFonts w:hint="eastAsia"/>
                      <w:color w:val="auto"/>
                      <w:sz w:val="22"/>
                      <w:szCs w:val="22"/>
                      <w:u w:val="none" w:color="auto"/>
                    </w:rPr>
                    <w:t>D10%</w:t>
                  </w:r>
                </w:p>
                <w:p>
                  <w:pPr>
                    <w:pStyle w:val="186"/>
                    <w:bidi w:val="0"/>
                    <w:jc w:val="center"/>
                    <w:rPr>
                      <w:rFonts w:hint="eastAsia"/>
                      <w:color w:val="auto"/>
                      <w:sz w:val="22"/>
                      <w:szCs w:val="22"/>
                      <w:u w:val="none" w:color="auto"/>
                    </w:rPr>
                  </w:pPr>
                  <w:r>
                    <w:rPr>
                      <w:rFonts w:hint="eastAsia"/>
                      <w:color w:val="auto"/>
                      <w:sz w:val="22"/>
                      <w:szCs w:val="22"/>
                      <w:u w:val="none" w:color="auto"/>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89" w:type="dxa"/>
                  <w:vMerge w:val="restart"/>
                  <w:tcBorders>
                    <w:tl2br w:val="nil"/>
                    <w:tr2bl w:val="nil"/>
                  </w:tcBorders>
                  <w:noWrap w:val="0"/>
                  <w:vAlign w:val="center"/>
                </w:tcPr>
                <w:p>
                  <w:pPr>
                    <w:pStyle w:val="186"/>
                    <w:bidi w:val="0"/>
                    <w:jc w:val="center"/>
                    <w:rPr>
                      <w:rFonts w:hint="eastAsia"/>
                      <w:color w:val="auto"/>
                      <w:sz w:val="22"/>
                      <w:szCs w:val="22"/>
                      <w:u w:val="none" w:color="auto"/>
                    </w:rPr>
                  </w:pPr>
                  <w:r>
                    <w:rPr>
                      <w:rFonts w:hint="eastAsia"/>
                      <w:color w:val="auto"/>
                      <w:sz w:val="22"/>
                      <w:szCs w:val="22"/>
                      <w:u w:val="none" w:color="auto"/>
                      <w:lang w:val="en-US" w:eastAsia="zh-CN"/>
                    </w:rPr>
                    <w:t>印刷、固化、分切</w:t>
                  </w:r>
                  <w:r>
                    <w:rPr>
                      <w:rFonts w:hint="eastAsia"/>
                      <w:color w:val="auto"/>
                      <w:sz w:val="22"/>
                      <w:szCs w:val="22"/>
                      <w:u w:val="none" w:color="auto"/>
                      <w:lang w:eastAsia="zh-CN"/>
                    </w:rPr>
                    <w:t>废气</w:t>
                  </w:r>
                  <w:r>
                    <w:rPr>
                      <w:rFonts w:hint="eastAsia"/>
                      <w:color w:val="auto"/>
                      <w:sz w:val="22"/>
                      <w:szCs w:val="22"/>
                      <w:u w:val="none" w:color="auto"/>
                    </w:rPr>
                    <w:t>排气筒</w:t>
                  </w:r>
                </w:p>
              </w:tc>
              <w:tc>
                <w:tcPr>
                  <w:tcW w:w="795" w:type="dxa"/>
                  <w:vMerge w:val="restart"/>
                  <w:tcBorders>
                    <w:tl2br w:val="nil"/>
                    <w:tr2bl w:val="nil"/>
                  </w:tcBorders>
                  <w:noWrap w:val="0"/>
                  <w:vAlign w:val="center"/>
                </w:tcPr>
                <w:p>
                  <w:pPr>
                    <w:pStyle w:val="186"/>
                    <w:bidi w:val="0"/>
                    <w:jc w:val="center"/>
                    <w:rPr>
                      <w:rFonts w:hint="eastAsia"/>
                      <w:color w:val="auto"/>
                      <w:sz w:val="22"/>
                      <w:szCs w:val="22"/>
                      <w:u w:val="none" w:color="auto"/>
                    </w:rPr>
                  </w:pPr>
                  <w:r>
                    <w:rPr>
                      <w:rFonts w:hint="eastAsia"/>
                      <w:color w:val="auto"/>
                      <w:sz w:val="22"/>
                      <w:szCs w:val="22"/>
                      <w:u w:val="none" w:color="auto"/>
                    </w:rPr>
                    <w:t>点源</w:t>
                  </w:r>
                </w:p>
              </w:tc>
              <w:tc>
                <w:tcPr>
                  <w:tcW w:w="906" w:type="dxa"/>
                  <w:tcBorders>
                    <w:tl2br w:val="nil"/>
                    <w:tr2bl w:val="nil"/>
                  </w:tcBorders>
                  <w:noWrap w:val="0"/>
                  <w:vAlign w:val="center"/>
                </w:tcPr>
                <w:p>
                  <w:pPr>
                    <w:pStyle w:val="186"/>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VOC</w:t>
                  </w:r>
                  <w:r>
                    <w:rPr>
                      <w:rFonts w:hint="eastAsia"/>
                      <w:color w:val="auto"/>
                      <w:sz w:val="22"/>
                      <w:szCs w:val="22"/>
                      <w:u w:val="none" w:color="auto"/>
                      <w:vertAlign w:val="subscript"/>
                      <w:lang w:val="en-US" w:eastAsia="zh-CN"/>
                    </w:rPr>
                    <w:t>S</w:t>
                  </w:r>
                </w:p>
              </w:tc>
              <w:tc>
                <w:tcPr>
                  <w:tcW w:w="734" w:type="dxa"/>
                  <w:tcBorders>
                    <w:tl2br w:val="nil"/>
                    <w:tr2bl w:val="nil"/>
                  </w:tcBorders>
                  <w:noWrap w:val="0"/>
                  <w:vAlign w:val="center"/>
                </w:tcPr>
                <w:p>
                  <w:pPr>
                    <w:pStyle w:val="186"/>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1200</w:t>
                  </w:r>
                </w:p>
              </w:tc>
              <w:tc>
                <w:tcPr>
                  <w:tcW w:w="1558" w:type="dxa"/>
                  <w:tcBorders>
                    <w:tl2br w:val="nil"/>
                    <w:tr2bl w:val="nil"/>
                  </w:tcBorders>
                  <w:noWrap w:val="0"/>
                  <w:vAlign w:val="center"/>
                </w:tcPr>
                <w:p>
                  <w:pPr>
                    <w:pStyle w:val="186"/>
                    <w:bidi w:val="0"/>
                    <w:jc w:val="center"/>
                    <w:rPr>
                      <w:rFonts w:hint="default" w:ascii="Times New Roman" w:hAnsi="Times New Roman"/>
                      <w:color w:val="auto"/>
                      <w:kern w:val="2"/>
                      <w:sz w:val="22"/>
                      <w:szCs w:val="22"/>
                      <w:u w:val="none" w:color="auto"/>
                      <w:lang w:val="en-US" w:eastAsia="zh-CN" w:bidi="ar-SA"/>
                    </w:rPr>
                  </w:pPr>
                  <w:r>
                    <w:rPr>
                      <w:rFonts w:hint="eastAsia"/>
                      <w:color w:val="auto"/>
                      <w:kern w:val="2"/>
                      <w:sz w:val="22"/>
                      <w:szCs w:val="22"/>
                      <w:u w:val="none" w:color="auto"/>
                      <w:lang w:val="en-US" w:eastAsia="zh-CN" w:bidi="ar-SA"/>
                    </w:rPr>
                    <w:t>1.3260</w:t>
                  </w:r>
                </w:p>
              </w:tc>
              <w:tc>
                <w:tcPr>
                  <w:tcW w:w="1185" w:type="dxa"/>
                  <w:tcBorders>
                    <w:tl2br w:val="nil"/>
                    <w:tr2bl w:val="nil"/>
                  </w:tcBorders>
                  <w:noWrap w:val="0"/>
                  <w:vAlign w:val="center"/>
                </w:tcPr>
                <w:p>
                  <w:pPr>
                    <w:pStyle w:val="186"/>
                    <w:bidi w:val="0"/>
                    <w:jc w:val="center"/>
                    <w:rPr>
                      <w:rFonts w:hint="default" w:ascii="Times New Roman" w:hAnsi="Times New Roman"/>
                      <w:color w:val="auto"/>
                      <w:kern w:val="2"/>
                      <w:sz w:val="22"/>
                      <w:szCs w:val="22"/>
                      <w:u w:val="none" w:color="auto"/>
                      <w:lang w:val="en-US" w:eastAsia="zh-CN" w:bidi="ar-SA"/>
                    </w:rPr>
                  </w:pPr>
                  <w:r>
                    <w:rPr>
                      <w:rFonts w:hint="eastAsia"/>
                      <w:color w:val="auto"/>
                      <w:kern w:val="2"/>
                      <w:sz w:val="22"/>
                      <w:szCs w:val="22"/>
                      <w:u w:val="none" w:color="auto"/>
                      <w:lang w:val="en-US" w:eastAsia="zh-CN" w:bidi="ar-SA"/>
                    </w:rPr>
                    <w:t>187</w:t>
                  </w:r>
                </w:p>
              </w:tc>
              <w:tc>
                <w:tcPr>
                  <w:tcW w:w="983" w:type="dxa"/>
                  <w:tcBorders>
                    <w:tl2br w:val="nil"/>
                    <w:tr2bl w:val="nil"/>
                  </w:tcBorders>
                  <w:noWrap w:val="0"/>
                  <w:vAlign w:val="center"/>
                </w:tcPr>
                <w:p>
                  <w:pPr>
                    <w:pStyle w:val="186"/>
                    <w:bidi w:val="0"/>
                    <w:jc w:val="center"/>
                    <w:rPr>
                      <w:rFonts w:hint="default" w:ascii="Times New Roman" w:hAnsi="Times New Roman"/>
                      <w:color w:val="auto"/>
                      <w:kern w:val="2"/>
                      <w:sz w:val="22"/>
                      <w:szCs w:val="22"/>
                      <w:u w:val="none" w:color="auto"/>
                      <w:lang w:val="en-US" w:eastAsia="zh-CN" w:bidi="ar-SA"/>
                    </w:rPr>
                  </w:pPr>
                  <w:r>
                    <w:rPr>
                      <w:rFonts w:hint="eastAsia" w:ascii="Times New Roman" w:hAnsi="Times New Roman"/>
                      <w:color w:val="auto"/>
                      <w:kern w:val="2"/>
                      <w:sz w:val="22"/>
                      <w:szCs w:val="22"/>
                      <w:u w:val="none" w:color="auto"/>
                      <w:lang w:val="en-US" w:eastAsia="zh-CN" w:bidi="ar-SA"/>
                    </w:rPr>
                    <w:t>0.65</w:t>
                  </w:r>
                </w:p>
              </w:tc>
              <w:tc>
                <w:tcPr>
                  <w:tcW w:w="897" w:type="dxa"/>
                  <w:vMerge w:val="restart"/>
                  <w:tcBorders>
                    <w:tl2br w:val="nil"/>
                    <w:tr2bl w:val="nil"/>
                  </w:tcBorders>
                  <w:noWrap w:val="0"/>
                  <w:vAlign w:val="center"/>
                </w:tcPr>
                <w:p>
                  <w:pPr>
                    <w:pStyle w:val="186"/>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2.31</w:t>
                  </w:r>
                </w:p>
              </w:tc>
              <w:tc>
                <w:tcPr>
                  <w:tcW w:w="895" w:type="dxa"/>
                  <w:tcBorders>
                    <w:tl2br w:val="nil"/>
                    <w:tr2bl w:val="nil"/>
                  </w:tcBorders>
                  <w:noWrap w:val="0"/>
                  <w:vAlign w:val="center"/>
                </w:tcPr>
                <w:p>
                  <w:pPr>
                    <w:pStyle w:val="186"/>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9" w:type="dxa"/>
                  <w:vMerge w:val="continue"/>
                  <w:tcBorders>
                    <w:tl2br w:val="nil"/>
                    <w:tr2bl w:val="nil"/>
                  </w:tcBorders>
                  <w:noWrap w:val="0"/>
                  <w:vAlign w:val="center"/>
                </w:tcPr>
                <w:p>
                  <w:pPr>
                    <w:pStyle w:val="186"/>
                    <w:bidi w:val="0"/>
                    <w:jc w:val="center"/>
                    <w:rPr>
                      <w:rFonts w:hint="eastAsia"/>
                      <w:color w:val="auto"/>
                      <w:sz w:val="22"/>
                      <w:szCs w:val="22"/>
                      <w:u w:val="none" w:color="auto"/>
                      <w:lang w:eastAsia="zh-CN"/>
                    </w:rPr>
                  </w:pPr>
                </w:p>
              </w:tc>
              <w:tc>
                <w:tcPr>
                  <w:tcW w:w="795" w:type="dxa"/>
                  <w:vMerge w:val="continue"/>
                  <w:tcBorders>
                    <w:tl2br w:val="nil"/>
                    <w:tr2bl w:val="nil"/>
                  </w:tcBorders>
                  <w:noWrap w:val="0"/>
                  <w:vAlign w:val="center"/>
                </w:tcPr>
                <w:p>
                  <w:pPr>
                    <w:pStyle w:val="186"/>
                    <w:bidi w:val="0"/>
                    <w:jc w:val="center"/>
                    <w:rPr>
                      <w:rFonts w:hint="eastAsia"/>
                      <w:color w:val="auto"/>
                      <w:sz w:val="22"/>
                      <w:szCs w:val="22"/>
                      <w:u w:val="none" w:color="auto"/>
                    </w:rPr>
                  </w:pPr>
                </w:p>
              </w:tc>
              <w:tc>
                <w:tcPr>
                  <w:tcW w:w="906" w:type="dxa"/>
                  <w:tcBorders>
                    <w:tl2br w:val="nil"/>
                    <w:tr2bl w:val="nil"/>
                  </w:tcBorders>
                  <w:noWrap w:val="0"/>
                  <w:vAlign w:val="center"/>
                </w:tcPr>
                <w:p>
                  <w:pPr>
                    <w:pStyle w:val="186"/>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颗粒物</w:t>
                  </w:r>
                </w:p>
              </w:tc>
              <w:tc>
                <w:tcPr>
                  <w:tcW w:w="734" w:type="dxa"/>
                  <w:tcBorders>
                    <w:tl2br w:val="nil"/>
                    <w:tr2bl w:val="nil"/>
                  </w:tcBorders>
                  <w:noWrap w:val="0"/>
                  <w:vAlign w:val="center"/>
                </w:tcPr>
                <w:p>
                  <w:pPr>
                    <w:pStyle w:val="186"/>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900</w:t>
                  </w:r>
                </w:p>
              </w:tc>
              <w:tc>
                <w:tcPr>
                  <w:tcW w:w="1558" w:type="dxa"/>
                  <w:tcBorders>
                    <w:tl2br w:val="nil"/>
                    <w:tr2bl w:val="nil"/>
                  </w:tcBorders>
                  <w:noWrap w:val="0"/>
                  <w:vAlign w:val="center"/>
                </w:tcPr>
                <w:p>
                  <w:pPr>
                    <w:pStyle w:val="186"/>
                    <w:bidi w:val="0"/>
                    <w:jc w:val="center"/>
                    <w:rPr>
                      <w:rFonts w:hint="default" w:ascii="Times New Roman" w:hAnsi="Times New Roman"/>
                      <w:color w:val="auto"/>
                      <w:kern w:val="2"/>
                      <w:sz w:val="22"/>
                      <w:szCs w:val="22"/>
                      <w:u w:val="none" w:color="auto"/>
                      <w:lang w:val="en-US" w:eastAsia="zh-CN" w:bidi="ar-SA"/>
                    </w:rPr>
                  </w:pPr>
                  <w:r>
                    <w:rPr>
                      <w:rFonts w:hint="eastAsia"/>
                      <w:color w:val="auto"/>
                      <w:kern w:val="2"/>
                      <w:sz w:val="22"/>
                      <w:szCs w:val="22"/>
                      <w:u w:val="none" w:color="auto"/>
                      <w:lang w:val="en-US" w:eastAsia="zh-CN" w:bidi="ar-SA"/>
                    </w:rPr>
                    <w:t>3.6510</w:t>
                  </w:r>
                </w:p>
              </w:tc>
              <w:tc>
                <w:tcPr>
                  <w:tcW w:w="1185" w:type="dxa"/>
                  <w:tcBorders>
                    <w:tl2br w:val="nil"/>
                    <w:tr2bl w:val="nil"/>
                  </w:tcBorders>
                  <w:noWrap w:val="0"/>
                  <w:vAlign w:val="center"/>
                </w:tcPr>
                <w:p>
                  <w:pPr>
                    <w:pStyle w:val="186"/>
                    <w:bidi w:val="0"/>
                    <w:jc w:val="center"/>
                    <w:rPr>
                      <w:rFonts w:hint="default" w:ascii="Times New Roman" w:hAnsi="Times New Roman"/>
                      <w:color w:val="auto"/>
                      <w:kern w:val="2"/>
                      <w:sz w:val="22"/>
                      <w:szCs w:val="22"/>
                      <w:u w:val="none" w:color="auto"/>
                      <w:lang w:val="en-US" w:eastAsia="zh-CN" w:bidi="ar-SA"/>
                    </w:rPr>
                  </w:pPr>
                  <w:r>
                    <w:rPr>
                      <w:rFonts w:hint="eastAsia"/>
                      <w:color w:val="auto"/>
                      <w:kern w:val="2"/>
                      <w:sz w:val="22"/>
                      <w:szCs w:val="22"/>
                      <w:u w:val="none" w:color="auto"/>
                      <w:lang w:val="en-US" w:eastAsia="zh-CN" w:bidi="ar-SA"/>
                    </w:rPr>
                    <w:t>187</w:t>
                  </w:r>
                </w:p>
              </w:tc>
              <w:tc>
                <w:tcPr>
                  <w:tcW w:w="983" w:type="dxa"/>
                  <w:tcBorders>
                    <w:tl2br w:val="nil"/>
                    <w:tr2bl w:val="nil"/>
                  </w:tcBorders>
                  <w:noWrap w:val="0"/>
                  <w:vAlign w:val="center"/>
                </w:tcPr>
                <w:p>
                  <w:pPr>
                    <w:pStyle w:val="186"/>
                    <w:bidi w:val="0"/>
                    <w:jc w:val="center"/>
                    <w:rPr>
                      <w:rFonts w:hint="default" w:ascii="Times New Roman" w:hAnsi="Times New Roman"/>
                      <w:color w:val="auto"/>
                      <w:kern w:val="2"/>
                      <w:sz w:val="22"/>
                      <w:szCs w:val="22"/>
                      <w:u w:val="none" w:color="auto"/>
                      <w:lang w:val="en-US" w:eastAsia="zh-CN" w:bidi="ar-SA"/>
                    </w:rPr>
                  </w:pPr>
                  <w:r>
                    <w:rPr>
                      <w:rFonts w:hint="eastAsia"/>
                      <w:color w:val="auto"/>
                      <w:kern w:val="2"/>
                      <w:sz w:val="22"/>
                      <w:szCs w:val="22"/>
                      <w:u w:val="none" w:color="auto"/>
                      <w:lang w:val="en-US" w:eastAsia="zh-CN" w:bidi="ar-SA"/>
                    </w:rPr>
                    <w:t>0.54</w:t>
                  </w:r>
                </w:p>
              </w:tc>
              <w:tc>
                <w:tcPr>
                  <w:tcW w:w="897" w:type="dxa"/>
                  <w:vMerge w:val="continue"/>
                  <w:tcBorders>
                    <w:tl2br w:val="nil"/>
                    <w:tr2bl w:val="nil"/>
                  </w:tcBorders>
                  <w:noWrap w:val="0"/>
                  <w:vAlign w:val="center"/>
                </w:tcPr>
                <w:p>
                  <w:pPr>
                    <w:pStyle w:val="186"/>
                    <w:bidi w:val="0"/>
                    <w:jc w:val="center"/>
                    <w:rPr>
                      <w:rFonts w:hint="eastAsia"/>
                      <w:color w:val="auto"/>
                      <w:sz w:val="22"/>
                      <w:szCs w:val="22"/>
                      <w:u w:val="none" w:color="auto"/>
                      <w:lang w:val="en-US" w:eastAsia="zh-CN"/>
                    </w:rPr>
                  </w:pPr>
                </w:p>
              </w:tc>
              <w:tc>
                <w:tcPr>
                  <w:tcW w:w="895" w:type="dxa"/>
                  <w:tcBorders>
                    <w:tl2br w:val="nil"/>
                    <w:tr2bl w:val="nil"/>
                  </w:tcBorders>
                  <w:noWrap w:val="0"/>
                  <w:vAlign w:val="center"/>
                </w:tcPr>
                <w:p>
                  <w:pPr>
                    <w:pStyle w:val="186"/>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9" w:type="dxa"/>
                  <w:vMerge w:val="restart"/>
                  <w:tcBorders>
                    <w:tl2br w:val="nil"/>
                    <w:tr2bl w:val="nil"/>
                  </w:tcBorders>
                  <w:noWrap w:val="0"/>
                  <w:vAlign w:val="center"/>
                </w:tcPr>
                <w:p>
                  <w:pPr>
                    <w:pStyle w:val="186"/>
                    <w:jc w:val="center"/>
                    <w:rPr>
                      <w:rFonts w:hint="default" w:ascii="Times New Roman" w:hAnsi="Times New Roman"/>
                      <w:color w:val="auto"/>
                      <w:kern w:val="2"/>
                      <w:sz w:val="22"/>
                      <w:szCs w:val="22"/>
                      <w:u w:val="none" w:color="auto"/>
                      <w:lang w:val="en-US" w:eastAsia="zh-CN" w:bidi="ar-SA"/>
                    </w:rPr>
                  </w:pPr>
                  <w:r>
                    <w:rPr>
                      <w:rFonts w:hint="eastAsia"/>
                      <w:color w:val="auto"/>
                      <w:sz w:val="22"/>
                      <w:szCs w:val="22"/>
                      <w:u w:val="none" w:color="auto"/>
                      <w:lang w:val="en-US" w:eastAsia="zh-CN"/>
                    </w:rPr>
                    <w:t>印刷、固化、分切</w:t>
                  </w:r>
                  <w:r>
                    <w:rPr>
                      <w:rFonts w:hint="eastAsia" w:ascii="Times New Roman" w:hAnsi="Times New Roman"/>
                      <w:color w:val="auto"/>
                      <w:kern w:val="2"/>
                      <w:sz w:val="22"/>
                      <w:szCs w:val="22"/>
                      <w:u w:val="none" w:color="auto"/>
                      <w:lang w:val="en-US" w:eastAsia="zh-CN" w:bidi="ar-SA"/>
                    </w:rPr>
                    <w:t>无组织废气</w:t>
                  </w:r>
                </w:p>
              </w:tc>
              <w:tc>
                <w:tcPr>
                  <w:tcW w:w="795" w:type="dxa"/>
                  <w:vMerge w:val="restart"/>
                  <w:tcBorders>
                    <w:tl2br w:val="nil"/>
                    <w:tr2bl w:val="nil"/>
                  </w:tcBorders>
                  <w:noWrap w:val="0"/>
                  <w:vAlign w:val="center"/>
                </w:tcPr>
                <w:p>
                  <w:pPr>
                    <w:pStyle w:val="186"/>
                    <w:bidi w:val="0"/>
                    <w:jc w:val="center"/>
                    <w:rPr>
                      <w:rFonts w:hint="eastAsia"/>
                      <w:color w:val="auto"/>
                      <w:sz w:val="22"/>
                      <w:szCs w:val="22"/>
                      <w:u w:val="none" w:color="auto"/>
                    </w:rPr>
                  </w:pPr>
                  <w:r>
                    <w:rPr>
                      <w:rFonts w:hint="eastAsia"/>
                      <w:color w:val="auto"/>
                      <w:sz w:val="22"/>
                      <w:szCs w:val="22"/>
                      <w:u w:val="none" w:color="auto"/>
                    </w:rPr>
                    <w:t>面源</w:t>
                  </w:r>
                </w:p>
              </w:tc>
              <w:tc>
                <w:tcPr>
                  <w:tcW w:w="906" w:type="dxa"/>
                  <w:tcBorders>
                    <w:tl2br w:val="nil"/>
                    <w:tr2bl w:val="nil"/>
                  </w:tcBorders>
                  <w:noWrap w:val="0"/>
                  <w:vAlign w:val="center"/>
                </w:tcPr>
                <w:p>
                  <w:pPr>
                    <w:pStyle w:val="186"/>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VOC</w:t>
                  </w:r>
                  <w:r>
                    <w:rPr>
                      <w:rFonts w:hint="eastAsia"/>
                      <w:color w:val="auto"/>
                      <w:sz w:val="22"/>
                      <w:szCs w:val="22"/>
                      <w:u w:val="none" w:color="auto"/>
                      <w:vertAlign w:val="subscript"/>
                      <w:lang w:val="en-US" w:eastAsia="zh-CN"/>
                    </w:rPr>
                    <w:t>S</w:t>
                  </w:r>
                </w:p>
              </w:tc>
              <w:tc>
                <w:tcPr>
                  <w:tcW w:w="734" w:type="dxa"/>
                  <w:tcBorders>
                    <w:tl2br w:val="nil"/>
                    <w:tr2bl w:val="nil"/>
                  </w:tcBorders>
                  <w:noWrap w:val="0"/>
                  <w:vAlign w:val="center"/>
                </w:tcPr>
                <w:p>
                  <w:pPr>
                    <w:pStyle w:val="186"/>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1200</w:t>
                  </w:r>
                </w:p>
              </w:tc>
              <w:tc>
                <w:tcPr>
                  <w:tcW w:w="1558" w:type="dxa"/>
                  <w:tcBorders>
                    <w:tl2br w:val="nil"/>
                    <w:tr2bl w:val="nil"/>
                  </w:tcBorders>
                  <w:noWrap w:val="0"/>
                  <w:vAlign w:val="center"/>
                </w:tcPr>
                <w:p>
                  <w:pPr>
                    <w:pStyle w:val="186"/>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23.3254</w:t>
                  </w:r>
                </w:p>
              </w:tc>
              <w:tc>
                <w:tcPr>
                  <w:tcW w:w="1185" w:type="dxa"/>
                  <w:tcBorders>
                    <w:tl2br w:val="nil"/>
                    <w:tr2bl w:val="nil"/>
                  </w:tcBorders>
                  <w:noWrap w:val="0"/>
                  <w:vAlign w:val="center"/>
                </w:tcPr>
                <w:p>
                  <w:pPr>
                    <w:pStyle w:val="186"/>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76</w:t>
                  </w:r>
                </w:p>
              </w:tc>
              <w:tc>
                <w:tcPr>
                  <w:tcW w:w="983" w:type="dxa"/>
                  <w:tcBorders>
                    <w:tl2br w:val="nil"/>
                    <w:tr2bl w:val="nil"/>
                  </w:tcBorders>
                  <w:noWrap w:val="0"/>
                  <w:vAlign w:val="center"/>
                </w:tcPr>
                <w:p>
                  <w:pPr>
                    <w:pStyle w:val="186"/>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1.86</w:t>
                  </w:r>
                </w:p>
              </w:tc>
              <w:tc>
                <w:tcPr>
                  <w:tcW w:w="897" w:type="dxa"/>
                  <w:vMerge w:val="continue"/>
                  <w:tcBorders>
                    <w:tl2br w:val="nil"/>
                    <w:tr2bl w:val="nil"/>
                  </w:tcBorders>
                  <w:noWrap w:val="0"/>
                  <w:vAlign w:val="center"/>
                </w:tcPr>
                <w:p>
                  <w:pPr>
                    <w:pStyle w:val="186"/>
                    <w:bidi w:val="0"/>
                    <w:jc w:val="center"/>
                    <w:rPr>
                      <w:rFonts w:hint="eastAsia"/>
                      <w:color w:val="auto"/>
                      <w:sz w:val="22"/>
                      <w:szCs w:val="22"/>
                      <w:u w:val="none" w:color="auto"/>
                      <w:lang w:val="en-US" w:eastAsia="zh-CN"/>
                    </w:rPr>
                  </w:pPr>
                </w:p>
              </w:tc>
              <w:tc>
                <w:tcPr>
                  <w:tcW w:w="895" w:type="dxa"/>
                  <w:tcBorders>
                    <w:tl2br w:val="nil"/>
                    <w:tr2bl w:val="nil"/>
                  </w:tcBorders>
                  <w:noWrap w:val="0"/>
                  <w:vAlign w:val="center"/>
                </w:tcPr>
                <w:p>
                  <w:pPr>
                    <w:pStyle w:val="186"/>
                    <w:bidi w:val="0"/>
                    <w:jc w:val="center"/>
                    <w:rPr>
                      <w:rFonts w:hint="eastAsia"/>
                      <w:color w:val="auto"/>
                      <w:sz w:val="22"/>
                      <w:szCs w:val="22"/>
                      <w:u w:val="none" w:color="auto"/>
                      <w:lang w:val="en-US" w:eastAsia="zh-CN"/>
                    </w:rPr>
                  </w:pPr>
                  <w:r>
                    <w:rPr>
                      <w:rFonts w:hint="eastAsia"/>
                      <w:color w:val="auto"/>
                      <w:sz w:val="22"/>
                      <w:szCs w:val="22"/>
                      <w:u w:val="none" w:color="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89" w:type="dxa"/>
                  <w:vMerge w:val="continue"/>
                  <w:tcBorders>
                    <w:tl2br w:val="nil"/>
                    <w:tr2bl w:val="nil"/>
                  </w:tcBorders>
                  <w:noWrap w:val="0"/>
                  <w:vAlign w:val="center"/>
                </w:tcPr>
                <w:p>
                  <w:pPr>
                    <w:pStyle w:val="186"/>
                    <w:jc w:val="center"/>
                    <w:rPr>
                      <w:rFonts w:hint="eastAsia" w:ascii="Times New Roman" w:hAnsi="Times New Roman"/>
                      <w:color w:val="auto"/>
                      <w:kern w:val="2"/>
                      <w:sz w:val="22"/>
                      <w:szCs w:val="22"/>
                      <w:u w:val="none" w:color="auto"/>
                      <w:lang w:val="en-US" w:eastAsia="zh-CN" w:bidi="ar-SA"/>
                    </w:rPr>
                  </w:pPr>
                </w:p>
              </w:tc>
              <w:tc>
                <w:tcPr>
                  <w:tcW w:w="795" w:type="dxa"/>
                  <w:vMerge w:val="continue"/>
                  <w:tcBorders>
                    <w:tl2br w:val="nil"/>
                    <w:tr2bl w:val="nil"/>
                  </w:tcBorders>
                  <w:noWrap w:val="0"/>
                  <w:vAlign w:val="center"/>
                </w:tcPr>
                <w:p>
                  <w:pPr>
                    <w:pStyle w:val="186"/>
                    <w:bidi w:val="0"/>
                    <w:jc w:val="center"/>
                    <w:rPr>
                      <w:rFonts w:hint="eastAsia"/>
                      <w:color w:val="auto"/>
                      <w:sz w:val="22"/>
                      <w:szCs w:val="22"/>
                      <w:u w:val="none" w:color="auto"/>
                    </w:rPr>
                  </w:pPr>
                </w:p>
              </w:tc>
              <w:tc>
                <w:tcPr>
                  <w:tcW w:w="906" w:type="dxa"/>
                  <w:tcBorders>
                    <w:tl2br w:val="nil"/>
                    <w:tr2bl w:val="nil"/>
                  </w:tcBorders>
                  <w:noWrap w:val="0"/>
                  <w:vAlign w:val="center"/>
                </w:tcPr>
                <w:p>
                  <w:pPr>
                    <w:pStyle w:val="186"/>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颗粒物</w:t>
                  </w:r>
                </w:p>
              </w:tc>
              <w:tc>
                <w:tcPr>
                  <w:tcW w:w="734" w:type="dxa"/>
                  <w:tcBorders>
                    <w:tl2br w:val="nil"/>
                    <w:tr2bl w:val="nil"/>
                  </w:tcBorders>
                  <w:noWrap w:val="0"/>
                  <w:vAlign w:val="center"/>
                </w:tcPr>
                <w:p>
                  <w:pPr>
                    <w:pStyle w:val="186"/>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900</w:t>
                  </w:r>
                </w:p>
              </w:tc>
              <w:tc>
                <w:tcPr>
                  <w:tcW w:w="1558" w:type="dxa"/>
                  <w:tcBorders>
                    <w:tl2br w:val="nil"/>
                    <w:tr2bl w:val="nil"/>
                  </w:tcBorders>
                  <w:noWrap w:val="0"/>
                  <w:vAlign w:val="center"/>
                </w:tcPr>
                <w:p>
                  <w:pPr>
                    <w:pStyle w:val="186"/>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39.2614</w:t>
                  </w:r>
                </w:p>
              </w:tc>
              <w:tc>
                <w:tcPr>
                  <w:tcW w:w="1185" w:type="dxa"/>
                  <w:tcBorders>
                    <w:tl2br w:val="nil"/>
                    <w:tr2bl w:val="nil"/>
                  </w:tcBorders>
                  <w:noWrap w:val="0"/>
                  <w:vAlign w:val="center"/>
                </w:tcPr>
                <w:p>
                  <w:pPr>
                    <w:pStyle w:val="186"/>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136</w:t>
                  </w:r>
                </w:p>
              </w:tc>
              <w:tc>
                <w:tcPr>
                  <w:tcW w:w="983" w:type="dxa"/>
                  <w:tcBorders>
                    <w:tl2br w:val="nil"/>
                    <w:tr2bl w:val="nil"/>
                  </w:tcBorders>
                  <w:noWrap w:val="0"/>
                  <w:vAlign w:val="center"/>
                </w:tcPr>
                <w:p>
                  <w:pPr>
                    <w:pStyle w:val="186"/>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2.31</w:t>
                  </w:r>
                </w:p>
              </w:tc>
              <w:tc>
                <w:tcPr>
                  <w:tcW w:w="897" w:type="dxa"/>
                  <w:vMerge w:val="continue"/>
                  <w:tcBorders>
                    <w:tl2br w:val="nil"/>
                    <w:tr2bl w:val="nil"/>
                  </w:tcBorders>
                  <w:noWrap w:val="0"/>
                  <w:vAlign w:val="center"/>
                </w:tcPr>
                <w:p>
                  <w:pPr>
                    <w:pStyle w:val="186"/>
                    <w:bidi w:val="0"/>
                    <w:jc w:val="center"/>
                    <w:rPr>
                      <w:rFonts w:hint="eastAsia"/>
                      <w:color w:val="auto"/>
                      <w:sz w:val="22"/>
                      <w:szCs w:val="22"/>
                      <w:u w:val="none" w:color="auto"/>
                      <w:lang w:val="en-US" w:eastAsia="zh-CN"/>
                    </w:rPr>
                  </w:pPr>
                </w:p>
              </w:tc>
              <w:tc>
                <w:tcPr>
                  <w:tcW w:w="895" w:type="dxa"/>
                  <w:tcBorders>
                    <w:tl2br w:val="nil"/>
                    <w:tr2bl w:val="nil"/>
                  </w:tcBorders>
                  <w:noWrap w:val="0"/>
                  <w:vAlign w:val="center"/>
                </w:tcPr>
                <w:p>
                  <w:pPr>
                    <w:pStyle w:val="186"/>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w:t>
                  </w:r>
                </w:p>
              </w:tc>
            </w:tr>
          </w:tbl>
          <w:p>
            <w:pPr>
              <w:spacing w:line="360" w:lineRule="auto"/>
              <w:ind w:firstLine="466" w:firstLineChars="200"/>
              <w:outlineLvl w:val="9"/>
              <w:rPr>
                <w:rFonts w:hint="default" w:ascii="Times New Roman" w:hAnsi="Times New Roman" w:eastAsia="宋体" w:cs="Times New Roman"/>
                <w:color w:val="auto"/>
                <w:sz w:val="24"/>
                <w:szCs w:val="24"/>
                <w:u w:val="none" w:color="auto"/>
              </w:rPr>
            </w:pPr>
            <w:r>
              <w:rPr>
                <w:rFonts w:hint="default" w:ascii="Times New Roman" w:hAnsi="Times New Roman" w:cs="Times New Roman"/>
                <w:color w:val="auto"/>
                <w:sz w:val="24"/>
                <w:szCs w:val="24"/>
                <w:u w:val="none" w:color="auto"/>
                <w:lang w:val="en-US" w:eastAsia="zh-CN"/>
              </w:rPr>
              <w:t>由表7-</w:t>
            </w:r>
            <w:r>
              <w:rPr>
                <w:rFonts w:hint="eastAsia" w:cs="Times New Roman"/>
                <w:color w:val="auto"/>
                <w:sz w:val="24"/>
                <w:szCs w:val="24"/>
                <w:u w:val="none" w:color="auto"/>
                <w:lang w:val="en-US" w:eastAsia="zh-CN"/>
              </w:rPr>
              <w:t>7</w:t>
            </w:r>
            <w:r>
              <w:rPr>
                <w:rFonts w:hint="default" w:ascii="Times New Roman" w:hAnsi="Times New Roman" w:cs="Times New Roman"/>
                <w:color w:val="auto"/>
                <w:sz w:val="24"/>
                <w:szCs w:val="24"/>
                <w:u w:val="none" w:color="auto"/>
                <w:lang w:val="en-US" w:eastAsia="zh-CN"/>
              </w:rPr>
              <w:t>可以看出，项目各大气污染物下风向最大占标率</w:t>
            </w:r>
            <w:r>
              <w:rPr>
                <w:rFonts w:hint="eastAsia" w:ascii="Times New Roman" w:hAnsi="Times New Roman" w:cs="Times New Roman"/>
                <w:color w:val="auto"/>
                <w:sz w:val="24"/>
                <w:szCs w:val="24"/>
                <w:u w:val="none" w:color="auto"/>
                <w:lang w:val="en-US" w:eastAsia="zh-CN"/>
              </w:rPr>
              <w:t>小</w:t>
            </w:r>
            <w:r>
              <w:rPr>
                <w:rFonts w:hint="default" w:ascii="Times New Roman" w:hAnsi="Times New Roman" w:cs="Times New Roman"/>
                <w:color w:val="auto"/>
                <w:sz w:val="24"/>
                <w:szCs w:val="24"/>
                <w:u w:val="none" w:color="auto"/>
                <w:lang w:val="en-US" w:eastAsia="zh-CN"/>
              </w:rPr>
              <w:t>于相应环境质量标准的1</w:t>
            </w:r>
            <w:r>
              <w:rPr>
                <w:rFonts w:hint="eastAsia" w:cs="Times New Roman"/>
                <w:color w:val="auto"/>
                <w:sz w:val="24"/>
                <w:szCs w:val="24"/>
                <w:u w:val="none" w:color="auto"/>
                <w:lang w:val="en-US" w:eastAsia="zh-CN"/>
              </w:rPr>
              <w:t>0</w:t>
            </w:r>
            <w:r>
              <w:rPr>
                <w:rFonts w:hint="default" w:ascii="Times New Roman" w:hAnsi="Times New Roman" w:cs="Times New Roman"/>
                <w:color w:val="auto"/>
                <w:sz w:val="24"/>
                <w:szCs w:val="24"/>
                <w:u w:val="none" w:color="auto"/>
                <w:lang w:val="en-US" w:eastAsia="zh-CN"/>
              </w:rPr>
              <w:t>%</w:t>
            </w:r>
            <w:r>
              <w:rPr>
                <w:rFonts w:hint="eastAsia" w:cs="Times New Roman"/>
                <w:color w:val="auto"/>
                <w:sz w:val="24"/>
                <w:szCs w:val="24"/>
                <w:u w:val="none" w:color="auto"/>
                <w:lang w:val="en-US" w:eastAsia="zh-CN"/>
              </w:rPr>
              <w:t>，大于1%</w:t>
            </w:r>
            <w:r>
              <w:rPr>
                <w:rFonts w:hint="default" w:ascii="Times New Roman" w:hAnsi="Times New Roman" w:cs="Times New Roman"/>
                <w:color w:val="auto"/>
                <w:sz w:val="24"/>
                <w:szCs w:val="24"/>
                <w:u w:val="none" w:color="auto"/>
                <w:lang w:val="en-US" w:eastAsia="zh-CN"/>
              </w:rPr>
              <w:t>，确定本项目环境空气影响评价等级为</w:t>
            </w:r>
            <w:r>
              <w:rPr>
                <w:rFonts w:hint="eastAsia" w:cs="Times New Roman"/>
                <w:color w:val="auto"/>
                <w:sz w:val="24"/>
                <w:szCs w:val="24"/>
                <w:u w:val="none" w:color="auto"/>
                <w:lang w:val="en-US" w:eastAsia="zh-CN"/>
              </w:rPr>
              <w:t>二</w:t>
            </w:r>
            <w:r>
              <w:rPr>
                <w:rFonts w:hint="default" w:ascii="Times New Roman" w:hAnsi="Times New Roman" w:cs="Times New Roman"/>
                <w:color w:val="auto"/>
                <w:sz w:val="24"/>
                <w:szCs w:val="24"/>
                <w:u w:val="none" w:color="auto"/>
                <w:lang w:val="en-US" w:eastAsia="zh-CN"/>
              </w:rPr>
              <w:t>级。正常工况下，排放的大气污染物贡献值较小，污染物下风向最大浓度均小于标准要求，因此，项目正常情况排放的大气污染物对大气环境影响较小</w:t>
            </w:r>
            <w:r>
              <w:rPr>
                <w:rFonts w:hint="default" w:ascii="Times New Roman" w:hAnsi="Times New Roman" w:eastAsia="宋体" w:cs="Times New Roman"/>
                <w:color w:val="auto"/>
                <w:sz w:val="24"/>
                <w:szCs w:val="24"/>
                <w:u w:val="none" w:color="auto"/>
              </w:rPr>
              <w:t>。</w:t>
            </w:r>
          </w:p>
          <w:p>
            <w:pPr>
              <w:spacing w:line="360" w:lineRule="auto"/>
              <w:ind w:firstLine="466" w:firstLineChars="200"/>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w:t>
            </w:r>
            <w:r>
              <w:rPr>
                <w:rFonts w:hint="eastAsia" w:cs="Times New Roman"/>
                <w:color w:val="auto"/>
                <w:sz w:val="24"/>
                <w:szCs w:val="24"/>
                <w:u w:val="none" w:color="auto"/>
                <w:lang w:val="en-US" w:eastAsia="zh-CN"/>
              </w:rPr>
              <w:t>2</w:t>
            </w:r>
            <w:r>
              <w:rPr>
                <w:rFonts w:hint="default" w:ascii="Times New Roman" w:hAnsi="Times New Roman" w:eastAsia="宋体" w:cs="Times New Roman"/>
                <w:color w:val="auto"/>
                <w:sz w:val="24"/>
                <w:szCs w:val="24"/>
                <w:u w:val="none" w:color="auto"/>
              </w:rPr>
              <w:t>）大气环境影响评价结论与建议</w:t>
            </w:r>
          </w:p>
          <w:p>
            <w:pPr>
              <w:spacing w:line="360" w:lineRule="auto"/>
              <w:ind w:firstLine="466" w:firstLineChars="200"/>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A、大气环境影响评价结论</w:t>
            </w:r>
          </w:p>
          <w:p>
            <w:pPr>
              <w:spacing w:line="360" w:lineRule="auto"/>
              <w:ind w:firstLine="466" w:firstLineChars="200"/>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项目大气环境影响评价等级为</w:t>
            </w:r>
            <w:r>
              <w:rPr>
                <w:rFonts w:hint="eastAsia" w:cs="Times New Roman"/>
                <w:color w:val="auto"/>
                <w:sz w:val="24"/>
                <w:szCs w:val="24"/>
                <w:u w:val="none" w:color="auto"/>
                <w:lang w:val="en-US" w:eastAsia="zh-CN"/>
              </w:rPr>
              <w:t>二</w:t>
            </w:r>
            <w:r>
              <w:rPr>
                <w:rFonts w:hint="default" w:ascii="Times New Roman" w:hAnsi="Times New Roman" w:eastAsia="宋体" w:cs="Times New Roman"/>
                <w:color w:val="auto"/>
                <w:sz w:val="24"/>
                <w:szCs w:val="24"/>
                <w:u w:val="none" w:color="auto"/>
              </w:rPr>
              <w:t>级，根据工程分析以及上述估算结果可知，项目</w:t>
            </w:r>
            <w:r>
              <w:rPr>
                <w:rFonts w:hint="eastAsia" w:ascii="Times New Roman" w:hAnsi="Times New Roman" w:eastAsia="宋体" w:cs="Times New Roman"/>
                <w:color w:val="auto"/>
                <w:sz w:val="24"/>
                <w:szCs w:val="24"/>
                <w:u w:val="none" w:color="auto"/>
                <w:lang w:eastAsia="zh-CN"/>
              </w:rPr>
              <w:t>排放的废气</w:t>
            </w:r>
            <w:r>
              <w:rPr>
                <w:rFonts w:hint="eastAsia" w:ascii="Times New Roman" w:hAnsi="Times New Roman" w:cs="Times New Roman"/>
                <w:color w:val="auto"/>
                <w:sz w:val="24"/>
                <w:szCs w:val="24"/>
                <w:u w:val="none" w:color="auto"/>
                <w:lang w:val="en-US" w:eastAsia="zh-CN"/>
              </w:rPr>
              <w:t>能够满足</w:t>
            </w:r>
            <w:r>
              <w:rPr>
                <w:rFonts w:hint="eastAsia" w:cs="Times New Roman"/>
                <w:color w:val="auto"/>
                <w:kern w:val="0"/>
                <w:sz w:val="24"/>
                <w:szCs w:val="24"/>
                <w:u w:val="none" w:color="auto"/>
                <w:lang w:val="en-US" w:eastAsia="zh-CN" w:bidi="ar"/>
              </w:rPr>
              <w:t>《印刷业挥发性有机物排放标准》（DB43/1357-2017）中排放标准</w:t>
            </w:r>
            <w:r>
              <w:rPr>
                <w:rFonts w:hint="eastAsia"/>
                <w:sz w:val="24"/>
                <w:szCs w:val="24"/>
                <w:u w:val="none" w:color="auto"/>
                <w:lang w:eastAsia="zh-CN"/>
              </w:rPr>
              <w:t>、</w:t>
            </w:r>
            <w:r>
              <w:rPr>
                <w:rFonts w:hint="default" w:ascii="Times New Roman" w:hAnsi="Times New Roman" w:eastAsia="宋体" w:cs="Times New Roman"/>
                <w:color w:val="auto"/>
                <w:kern w:val="0"/>
                <w:sz w:val="24"/>
                <w:szCs w:val="24"/>
                <w:u w:val="none" w:color="auto"/>
                <w:lang w:val="en-US" w:eastAsia="zh-CN" w:bidi="ar"/>
              </w:rPr>
              <w:t>《大气污染物综合排放标准》（GB16297-1996）表2的二级标准</w:t>
            </w:r>
            <w:r>
              <w:rPr>
                <w:rFonts w:hint="default" w:ascii="Times New Roman" w:hAnsi="Times New Roman" w:cs="Times New Roman"/>
                <w:color w:val="auto"/>
                <w:kern w:val="0"/>
                <w:sz w:val="24"/>
                <w:szCs w:val="24"/>
                <w:u w:val="none" w:color="auto"/>
                <w:lang w:val="en-US" w:eastAsia="zh-CN" w:bidi="ar"/>
              </w:rPr>
              <w:t>和无组织排放标准</w:t>
            </w:r>
            <w:r>
              <w:rPr>
                <w:rFonts w:hint="default" w:ascii="Times New Roman" w:hAnsi="Times New Roman" w:eastAsia="宋体" w:cs="Times New Roman"/>
                <w:color w:val="auto"/>
                <w:sz w:val="24"/>
                <w:szCs w:val="24"/>
                <w:u w:val="none" w:color="auto"/>
              </w:rPr>
              <w:t>。</w:t>
            </w:r>
          </w:p>
          <w:p>
            <w:pPr>
              <w:spacing w:line="360" w:lineRule="auto"/>
              <w:ind w:firstLine="466" w:firstLineChars="200"/>
              <w:rPr>
                <w:rFonts w:hint="default" w:ascii="Times New Roman" w:hAnsi="Times New Roman" w:cs="Times New Roman"/>
                <w:sz w:val="24"/>
                <w:szCs w:val="24"/>
                <w:u w:val="none" w:color="auto"/>
                <w:lang w:val="en-US" w:eastAsia="zh-CN"/>
              </w:rPr>
            </w:pPr>
            <w:r>
              <w:rPr>
                <w:rFonts w:hint="default" w:ascii="Times New Roman" w:hAnsi="Times New Roman" w:eastAsia="宋体" w:cs="Times New Roman"/>
                <w:color w:val="auto"/>
                <w:sz w:val="24"/>
                <w:szCs w:val="24"/>
                <w:u w:val="none" w:color="auto"/>
              </w:rPr>
              <w:t>综上分析，项目大气环境影响可接受</w:t>
            </w:r>
            <w:r>
              <w:rPr>
                <w:rFonts w:hint="default" w:ascii="Times New Roman" w:hAnsi="Times New Roman" w:cs="Times New Roman"/>
                <w:sz w:val="24"/>
                <w:szCs w:val="24"/>
                <w:u w:val="none" w:color="auto"/>
                <w:lang w:val="en-US" w:eastAsia="zh-CN"/>
              </w:rPr>
              <w:t>。</w:t>
            </w:r>
          </w:p>
          <w:p>
            <w:pPr>
              <w:pStyle w:val="167"/>
              <w:numPr>
                <w:ilvl w:val="0"/>
                <w:numId w:val="0"/>
              </w:numPr>
              <w:spacing w:line="360" w:lineRule="auto"/>
              <w:ind w:left="400" w:leftChars="0"/>
              <w:jc w:val="left"/>
              <w:rPr>
                <w:rFonts w:hint="default" w:ascii="Times New Roman" w:hAnsi="Times New Roman" w:cs="Times New Roman"/>
                <w:sz w:val="24"/>
                <w:szCs w:val="24"/>
                <w:u w:val="single" w:color="auto"/>
              </w:rPr>
            </w:pPr>
            <w:r>
              <w:rPr>
                <w:rFonts w:hint="eastAsia" w:cs="Times New Roman"/>
                <w:sz w:val="24"/>
                <w:szCs w:val="24"/>
                <w:u w:val="single" w:color="auto"/>
                <w:lang w:eastAsia="zh-CN"/>
              </w:rPr>
              <w:t>（</w:t>
            </w:r>
            <w:r>
              <w:rPr>
                <w:rFonts w:hint="eastAsia" w:cs="Times New Roman"/>
                <w:sz w:val="24"/>
                <w:szCs w:val="24"/>
                <w:u w:val="single" w:color="auto"/>
                <w:lang w:val="en-US" w:eastAsia="zh-CN"/>
              </w:rPr>
              <w:t>4</w:t>
            </w:r>
            <w:r>
              <w:rPr>
                <w:rFonts w:hint="eastAsia" w:cs="Times New Roman"/>
                <w:sz w:val="24"/>
                <w:szCs w:val="24"/>
                <w:u w:val="single" w:color="auto"/>
                <w:lang w:eastAsia="zh-CN"/>
              </w:rPr>
              <w:t>）排气筒高度合理性</w:t>
            </w:r>
            <w:r>
              <w:rPr>
                <w:rFonts w:hint="default" w:ascii="Times New Roman" w:hAnsi="Times New Roman" w:cs="Times New Roman"/>
                <w:sz w:val="24"/>
                <w:szCs w:val="24"/>
                <w:u w:val="single" w:color="auto"/>
              </w:rPr>
              <w:t>分析</w:t>
            </w:r>
          </w:p>
          <w:p>
            <w:pPr>
              <w:spacing w:line="360" w:lineRule="auto"/>
              <w:ind w:firstLine="466" w:firstLineChars="20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根据《大气污染物综合排放标准》（GB16297-1996）由“7.4新污染源的排气筒一般不低于15米”；“7.1还应高出周围200米半径范围的建筑5m以上”；</w:t>
            </w:r>
          </w:p>
          <w:p>
            <w:pPr>
              <w:spacing w:line="360" w:lineRule="auto"/>
              <w:ind w:firstLine="466" w:firstLineChars="20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本项目</w:t>
            </w:r>
            <w:r>
              <w:rPr>
                <w:rFonts w:hint="eastAsia" w:cs="Times New Roman"/>
                <w:sz w:val="24"/>
                <w:szCs w:val="24"/>
                <w:u w:val="single" w:color="auto"/>
                <w:lang w:eastAsia="zh-CN"/>
              </w:rPr>
              <w:t>共</w:t>
            </w:r>
            <w:r>
              <w:rPr>
                <w:rFonts w:hint="default" w:ascii="Times New Roman" w:hAnsi="Times New Roman" w:cs="Times New Roman"/>
                <w:sz w:val="24"/>
                <w:szCs w:val="24"/>
                <w:u w:val="single" w:color="auto"/>
              </w:rPr>
              <w:t>设置</w:t>
            </w:r>
            <w:r>
              <w:rPr>
                <w:rFonts w:hint="eastAsia" w:cs="Times New Roman"/>
                <w:sz w:val="24"/>
                <w:szCs w:val="24"/>
                <w:u w:val="single" w:color="auto"/>
                <w:lang w:val="en-US" w:eastAsia="zh-CN"/>
              </w:rPr>
              <w:t>1个排气筒，其</w:t>
            </w:r>
            <w:r>
              <w:rPr>
                <w:rFonts w:hint="default" w:ascii="Times New Roman" w:hAnsi="Times New Roman" w:cs="Times New Roman"/>
                <w:sz w:val="24"/>
                <w:szCs w:val="24"/>
                <w:u w:val="single" w:color="auto"/>
              </w:rPr>
              <w:t>排气筒高度为</w:t>
            </w:r>
            <w:r>
              <w:rPr>
                <w:rFonts w:hint="eastAsia" w:cs="Times New Roman"/>
                <w:sz w:val="24"/>
                <w:szCs w:val="24"/>
                <w:u w:val="single" w:color="auto"/>
                <w:lang w:val="en-US" w:eastAsia="zh-CN"/>
              </w:rPr>
              <w:t>24</w:t>
            </w:r>
            <w:r>
              <w:rPr>
                <w:rFonts w:hint="default" w:ascii="Times New Roman" w:hAnsi="Times New Roman" w:cs="Times New Roman"/>
                <w:sz w:val="24"/>
                <w:szCs w:val="24"/>
                <w:u w:val="single" w:color="auto"/>
              </w:rPr>
              <w:t>m，根据现场调查，项目厂区附近200m范围内所有建筑高度不超过</w:t>
            </w:r>
            <w:r>
              <w:rPr>
                <w:rFonts w:hint="eastAsia" w:cs="Times New Roman"/>
                <w:sz w:val="24"/>
                <w:szCs w:val="24"/>
                <w:u w:val="single" w:color="auto"/>
                <w:lang w:val="en-US" w:eastAsia="zh-CN"/>
              </w:rPr>
              <w:t>19</w:t>
            </w:r>
            <w:r>
              <w:rPr>
                <w:rFonts w:hint="default" w:ascii="Times New Roman" w:hAnsi="Times New Roman" w:cs="Times New Roman"/>
                <w:sz w:val="24"/>
                <w:szCs w:val="24"/>
                <w:u w:val="single" w:color="auto"/>
              </w:rPr>
              <w:t>米，项目生产车间等标高约为</w:t>
            </w:r>
            <w:r>
              <w:rPr>
                <w:rFonts w:hint="eastAsia" w:cs="Times New Roman"/>
                <w:sz w:val="24"/>
                <w:szCs w:val="24"/>
                <w:u w:val="single" w:color="auto"/>
                <w:lang w:val="en-US" w:eastAsia="zh-CN"/>
              </w:rPr>
              <w:t>18.3</w:t>
            </w:r>
            <w:r>
              <w:rPr>
                <w:rFonts w:hint="default" w:ascii="Times New Roman" w:hAnsi="Times New Roman" w:cs="Times New Roman"/>
                <w:sz w:val="24"/>
                <w:szCs w:val="24"/>
                <w:u w:val="single" w:color="auto"/>
              </w:rPr>
              <w:t>m。项目排气筒位置、高度均严格按照生产工艺特征、国家标准进行设置，总体而言是合理的。</w:t>
            </w:r>
          </w:p>
          <w:p>
            <w:pPr>
              <w:spacing w:line="360" w:lineRule="auto"/>
              <w:ind w:firstLine="466" w:firstLineChars="200"/>
              <w:jc w:val="left"/>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w:t>
            </w:r>
            <w:r>
              <w:rPr>
                <w:rFonts w:hint="eastAsia" w:cs="Times New Roman"/>
                <w:sz w:val="24"/>
                <w:szCs w:val="24"/>
                <w:u w:val="none" w:color="auto"/>
                <w:lang w:val="en-US" w:eastAsia="zh-CN"/>
              </w:rPr>
              <w:t>5</w:t>
            </w:r>
            <w:r>
              <w:rPr>
                <w:rFonts w:hint="default" w:ascii="Times New Roman" w:hAnsi="Times New Roman" w:cs="Times New Roman"/>
                <w:sz w:val="24"/>
                <w:szCs w:val="24"/>
                <w:u w:val="none" w:color="auto"/>
              </w:rPr>
              <w:t>）污染物排放量核算</w:t>
            </w:r>
          </w:p>
          <w:p>
            <w:pPr>
              <w:spacing w:line="360" w:lineRule="auto"/>
              <w:ind w:firstLine="466" w:firstLineChars="200"/>
              <w:jc w:val="left"/>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①有组织排放量核算</w:t>
            </w:r>
          </w:p>
          <w:p>
            <w:pPr>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表7-</w:t>
            </w:r>
            <w:r>
              <w:rPr>
                <w:rFonts w:hint="eastAsia" w:cs="Times New Roman"/>
                <w:sz w:val="24"/>
                <w:szCs w:val="24"/>
                <w:u w:val="none" w:color="auto"/>
                <w:lang w:val="en-US" w:eastAsia="zh-CN"/>
              </w:rPr>
              <w:t>8</w:t>
            </w:r>
            <w:r>
              <w:rPr>
                <w:rFonts w:hint="default" w:ascii="Times New Roman" w:hAnsi="Times New Roman" w:cs="Times New Roman"/>
                <w:sz w:val="24"/>
                <w:szCs w:val="24"/>
                <w:u w:val="none" w:color="auto"/>
              </w:rPr>
              <w:t xml:space="preserve"> 大气污染物有组织排放量核算表</w:t>
            </w:r>
          </w:p>
          <w:tbl>
            <w:tblPr>
              <w:tblStyle w:val="4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8"/>
              <w:gridCol w:w="1593"/>
              <w:gridCol w:w="1135"/>
              <w:gridCol w:w="2126"/>
              <w:gridCol w:w="1844"/>
              <w:gridCol w:w="17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98" w:type="pct"/>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序号</w:t>
                  </w:r>
                </w:p>
              </w:tc>
              <w:tc>
                <w:tcPr>
                  <w:tcW w:w="883" w:type="pct"/>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排放口编号</w:t>
                  </w:r>
                </w:p>
              </w:tc>
              <w:tc>
                <w:tcPr>
                  <w:tcW w:w="629" w:type="pct"/>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污染物</w:t>
                  </w:r>
                </w:p>
              </w:tc>
              <w:tc>
                <w:tcPr>
                  <w:tcW w:w="1178" w:type="pct"/>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核算排放浓度</w:t>
                  </w:r>
                </w:p>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（mg/m</w:t>
                  </w:r>
                  <w:r>
                    <w:rPr>
                      <w:rFonts w:hint="default" w:ascii="Times New Roman" w:hAnsi="Times New Roman" w:cs="Times New Roman"/>
                      <w:sz w:val="22"/>
                      <w:szCs w:val="22"/>
                      <w:u w:val="none" w:color="auto"/>
                      <w:vertAlign w:val="superscript"/>
                    </w:rPr>
                    <w:t>3</w:t>
                  </w:r>
                  <w:r>
                    <w:rPr>
                      <w:rFonts w:hint="default" w:ascii="Times New Roman" w:hAnsi="Times New Roman" w:cs="Times New Roman"/>
                      <w:sz w:val="22"/>
                      <w:szCs w:val="22"/>
                      <w:u w:val="none" w:color="auto"/>
                    </w:rPr>
                    <w:t>）</w:t>
                  </w:r>
                </w:p>
              </w:tc>
              <w:tc>
                <w:tcPr>
                  <w:tcW w:w="1020" w:type="pct"/>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核算排放速率（kg/h）</w:t>
                  </w:r>
                </w:p>
              </w:tc>
              <w:tc>
                <w:tcPr>
                  <w:tcW w:w="989" w:type="pct"/>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核算年排放量</w:t>
                  </w:r>
                </w:p>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7" w:hRule="atLeast"/>
              </w:trPr>
              <w:tc>
                <w:tcPr>
                  <w:tcW w:w="5000" w:type="pct"/>
                  <w:gridSpan w:val="6"/>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主要排放口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298" w:type="pct"/>
                  <w:vMerge w:val="restart"/>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1</w:t>
                  </w:r>
                </w:p>
              </w:tc>
              <w:tc>
                <w:tcPr>
                  <w:tcW w:w="883" w:type="pct"/>
                  <w:vMerge w:val="restart"/>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eastAsia" w:cs="Times New Roman"/>
                      <w:sz w:val="22"/>
                      <w:szCs w:val="22"/>
                      <w:u w:val="none" w:color="auto"/>
                      <w:lang w:val="en-US" w:eastAsia="zh-CN"/>
                    </w:rPr>
                    <w:t>印刷、固化、分切</w:t>
                  </w:r>
                  <w:r>
                    <w:rPr>
                      <w:rFonts w:hint="eastAsia" w:cs="Times New Roman"/>
                      <w:sz w:val="22"/>
                      <w:szCs w:val="22"/>
                      <w:u w:val="none" w:color="auto"/>
                      <w:lang w:eastAsia="zh-CN"/>
                    </w:rPr>
                    <w:t>废气</w:t>
                  </w:r>
                  <w:r>
                    <w:rPr>
                      <w:rFonts w:hint="default" w:ascii="Times New Roman" w:hAnsi="Times New Roman" w:cs="Times New Roman"/>
                      <w:sz w:val="22"/>
                      <w:szCs w:val="22"/>
                      <w:u w:val="none" w:color="auto"/>
                    </w:rPr>
                    <w:t>排气筒</w:t>
                  </w:r>
                </w:p>
              </w:tc>
              <w:tc>
                <w:tcPr>
                  <w:tcW w:w="629" w:type="pct"/>
                  <w:tcBorders>
                    <w:tl2br w:val="nil"/>
                    <w:tr2bl w:val="nil"/>
                  </w:tcBorders>
                  <w:vAlign w:val="center"/>
                </w:tcPr>
                <w:p>
                  <w:pPr>
                    <w:spacing w:line="360" w:lineRule="auto"/>
                    <w:jc w:val="center"/>
                    <w:rPr>
                      <w:rFonts w:hint="default" w:ascii="Times New Roman" w:hAnsi="Times New Roman" w:eastAsia="宋体" w:cs="Times New Roman"/>
                      <w:sz w:val="22"/>
                      <w:szCs w:val="22"/>
                      <w:u w:val="none" w:color="auto"/>
                      <w:lang w:val="en-US" w:eastAsia="zh-CN"/>
                    </w:rPr>
                  </w:pPr>
                  <w:r>
                    <w:rPr>
                      <w:rFonts w:hint="eastAsia" w:cs="Times New Roman"/>
                      <w:sz w:val="22"/>
                      <w:szCs w:val="22"/>
                      <w:u w:val="none" w:color="auto"/>
                      <w:lang w:val="en-US" w:eastAsia="zh-CN"/>
                    </w:rPr>
                    <w:t>VOC</w:t>
                  </w:r>
                  <w:r>
                    <w:rPr>
                      <w:rFonts w:hint="eastAsia" w:cs="Times New Roman"/>
                      <w:sz w:val="22"/>
                      <w:szCs w:val="22"/>
                      <w:u w:val="none" w:color="auto"/>
                      <w:vertAlign w:val="subscript"/>
                      <w:lang w:val="en-US" w:eastAsia="zh-CN"/>
                    </w:rPr>
                    <w:t>S</w:t>
                  </w:r>
                </w:p>
              </w:tc>
              <w:tc>
                <w:tcPr>
                  <w:tcW w:w="1178" w:type="pct"/>
                  <w:tcBorders>
                    <w:tl2br w:val="nil"/>
                    <w:tr2bl w:val="nil"/>
                  </w:tcBorders>
                  <w:vAlign w:val="center"/>
                </w:tcPr>
                <w:p>
                  <w:pPr>
                    <w:spacing w:line="360" w:lineRule="auto"/>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4.43</w:t>
                  </w:r>
                </w:p>
              </w:tc>
              <w:tc>
                <w:tcPr>
                  <w:tcW w:w="1020" w:type="pct"/>
                  <w:tcBorders>
                    <w:tl2br w:val="nil"/>
                    <w:tr2bl w:val="nil"/>
                  </w:tcBorders>
                  <w:vAlign w:val="center"/>
                </w:tcPr>
                <w:p>
                  <w:pPr>
                    <w:spacing w:line="360" w:lineRule="auto"/>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0.0133</w:t>
                  </w:r>
                </w:p>
              </w:tc>
              <w:tc>
                <w:tcPr>
                  <w:tcW w:w="989" w:type="pct"/>
                  <w:tcBorders>
                    <w:tl2br w:val="nil"/>
                    <w:tr2bl w:val="nil"/>
                  </w:tcBorders>
                  <w:vAlign w:val="center"/>
                </w:tcPr>
                <w:p>
                  <w:pPr>
                    <w:spacing w:line="360" w:lineRule="auto"/>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0.032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6" w:hRule="atLeast"/>
              </w:trPr>
              <w:tc>
                <w:tcPr>
                  <w:tcW w:w="298" w:type="pct"/>
                  <w:vMerge w:val="continue"/>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p>
              </w:tc>
              <w:tc>
                <w:tcPr>
                  <w:tcW w:w="883" w:type="pct"/>
                  <w:vMerge w:val="continue"/>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p>
              </w:tc>
              <w:tc>
                <w:tcPr>
                  <w:tcW w:w="629" w:type="pct"/>
                  <w:tcBorders>
                    <w:tl2br w:val="nil"/>
                    <w:tr2bl w:val="nil"/>
                  </w:tcBorders>
                  <w:vAlign w:val="center"/>
                </w:tcPr>
                <w:p>
                  <w:pPr>
                    <w:spacing w:line="360" w:lineRule="auto"/>
                    <w:jc w:val="center"/>
                    <w:rPr>
                      <w:rFonts w:hint="default" w:cs="Times New Roman"/>
                      <w:sz w:val="22"/>
                      <w:szCs w:val="22"/>
                      <w:u w:val="none" w:color="auto"/>
                      <w:lang w:val="en-US" w:eastAsia="zh-CN"/>
                    </w:rPr>
                  </w:pPr>
                  <w:r>
                    <w:rPr>
                      <w:rFonts w:hint="eastAsia" w:cs="Times New Roman"/>
                      <w:sz w:val="22"/>
                      <w:szCs w:val="22"/>
                      <w:u w:val="none" w:color="auto"/>
                      <w:lang w:val="en-US" w:eastAsia="zh-CN"/>
                    </w:rPr>
                    <w:t>颗粒物</w:t>
                  </w:r>
                </w:p>
              </w:tc>
              <w:tc>
                <w:tcPr>
                  <w:tcW w:w="1178" w:type="pct"/>
                  <w:tcBorders>
                    <w:tl2br w:val="nil"/>
                    <w:tr2bl w:val="nil"/>
                  </w:tcBorders>
                  <w:vAlign w:val="center"/>
                </w:tcPr>
                <w:p>
                  <w:pPr>
                    <w:spacing w:line="360" w:lineRule="auto"/>
                    <w:jc w:val="center"/>
                    <w:rPr>
                      <w:rFonts w:hint="default" w:cs="Times New Roman"/>
                      <w:sz w:val="22"/>
                      <w:szCs w:val="22"/>
                      <w:u w:val="none" w:color="auto"/>
                      <w:lang w:val="en-US" w:eastAsia="zh-CN"/>
                    </w:rPr>
                  </w:pPr>
                  <w:r>
                    <w:rPr>
                      <w:rFonts w:hint="eastAsia" w:cs="Times New Roman"/>
                      <w:sz w:val="22"/>
                      <w:szCs w:val="22"/>
                      <w:u w:val="none" w:color="auto"/>
                      <w:lang w:val="en-US" w:eastAsia="zh-CN"/>
                    </w:rPr>
                    <w:t>16.25</w:t>
                  </w:r>
                </w:p>
              </w:tc>
              <w:tc>
                <w:tcPr>
                  <w:tcW w:w="1020" w:type="pct"/>
                  <w:tcBorders>
                    <w:tl2br w:val="nil"/>
                    <w:tr2bl w:val="nil"/>
                  </w:tcBorders>
                  <w:vAlign w:val="center"/>
                </w:tcPr>
                <w:p>
                  <w:pPr>
                    <w:spacing w:line="360" w:lineRule="auto"/>
                    <w:jc w:val="center"/>
                    <w:rPr>
                      <w:rFonts w:hint="default" w:cs="Times New Roman"/>
                      <w:sz w:val="22"/>
                      <w:szCs w:val="22"/>
                      <w:u w:val="none" w:color="auto"/>
                      <w:lang w:val="en-US" w:eastAsia="zh-CN"/>
                    </w:rPr>
                  </w:pPr>
                  <w:r>
                    <w:rPr>
                      <w:rFonts w:hint="eastAsia" w:cs="Times New Roman"/>
                      <w:sz w:val="22"/>
                      <w:szCs w:val="22"/>
                      <w:u w:val="none" w:color="auto"/>
                      <w:lang w:val="en-US" w:eastAsia="zh-CN"/>
                    </w:rPr>
                    <w:t>0.04875</w:t>
                  </w:r>
                </w:p>
              </w:tc>
              <w:tc>
                <w:tcPr>
                  <w:tcW w:w="989" w:type="pct"/>
                  <w:tcBorders>
                    <w:tl2br w:val="nil"/>
                    <w:tr2bl w:val="nil"/>
                  </w:tcBorders>
                  <w:vAlign w:val="center"/>
                </w:tcPr>
                <w:p>
                  <w:pPr>
                    <w:spacing w:line="360" w:lineRule="auto"/>
                    <w:jc w:val="center"/>
                    <w:rPr>
                      <w:rFonts w:hint="default" w:cs="Times New Roman"/>
                      <w:sz w:val="22"/>
                      <w:szCs w:val="22"/>
                      <w:u w:val="none" w:color="auto"/>
                      <w:lang w:val="en-US" w:eastAsia="zh-CN"/>
                    </w:rPr>
                  </w:pPr>
                  <w:r>
                    <w:rPr>
                      <w:rFonts w:hint="eastAsia" w:cs="Times New Roman"/>
                      <w:sz w:val="22"/>
                      <w:szCs w:val="22"/>
                      <w:u w:val="none" w:color="auto"/>
                      <w:lang w:val="en-US" w:eastAsia="zh-CN"/>
                    </w:rPr>
                    <w:t>0.117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4010" w:type="pct"/>
                  <w:gridSpan w:val="5"/>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有组织排放总计</w:t>
                  </w:r>
                </w:p>
              </w:tc>
              <w:tc>
                <w:tcPr>
                  <w:tcW w:w="989" w:type="pct"/>
                  <w:tcBorders>
                    <w:tl2br w:val="nil"/>
                    <w:tr2bl w:val="nil"/>
                  </w:tcBorders>
                  <w:vAlign w:val="center"/>
                </w:tcPr>
                <w:p>
                  <w:pPr>
                    <w:spacing w:line="360" w:lineRule="auto"/>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0.149</w:t>
                  </w:r>
                </w:p>
              </w:tc>
            </w:tr>
          </w:tbl>
          <w:p>
            <w:pPr>
              <w:spacing w:line="360" w:lineRule="auto"/>
              <w:ind w:firstLine="466" w:firstLineChars="200"/>
              <w:jc w:val="left"/>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②无组织排放量核算</w:t>
            </w:r>
          </w:p>
          <w:p>
            <w:pPr>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表7-</w:t>
            </w:r>
            <w:r>
              <w:rPr>
                <w:rFonts w:hint="eastAsia" w:cs="Times New Roman"/>
                <w:sz w:val="24"/>
                <w:szCs w:val="24"/>
                <w:u w:val="none" w:color="auto"/>
                <w:lang w:val="en-US" w:eastAsia="zh-CN"/>
              </w:rPr>
              <w:t>9</w:t>
            </w:r>
            <w:r>
              <w:rPr>
                <w:rFonts w:hint="default" w:ascii="Times New Roman" w:hAnsi="Times New Roman" w:cs="Times New Roman"/>
                <w:sz w:val="24"/>
                <w:szCs w:val="24"/>
                <w:u w:val="none" w:color="auto"/>
              </w:rPr>
              <w:t xml:space="preserve"> 大气污染物无组织排放量核算表</w:t>
            </w:r>
          </w:p>
          <w:tbl>
            <w:tblPr>
              <w:tblStyle w:val="40"/>
              <w:tblW w:w="90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23"/>
              <w:gridCol w:w="1044"/>
              <w:gridCol w:w="1337"/>
              <w:gridCol w:w="785"/>
              <w:gridCol w:w="1031"/>
              <w:gridCol w:w="1996"/>
              <w:gridCol w:w="1265"/>
              <w:gridCol w:w="11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423" w:type="dxa"/>
                  <w:vMerge w:val="restart"/>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序号</w:t>
                  </w:r>
                </w:p>
              </w:tc>
              <w:tc>
                <w:tcPr>
                  <w:tcW w:w="1044" w:type="dxa"/>
                  <w:vMerge w:val="restart"/>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排放口</w:t>
                  </w:r>
                </w:p>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编号</w:t>
                  </w:r>
                </w:p>
              </w:tc>
              <w:tc>
                <w:tcPr>
                  <w:tcW w:w="1337" w:type="dxa"/>
                  <w:vMerge w:val="restart"/>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产污环节</w:t>
                  </w:r>
                </w:p>
              </w:tc>
              <w:tc>
                <w:tcPr>
                  <w:tcW w:w="785" w:type="dxa"/>
                  <w:vMerge w:val="restart"/>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污染物</w:t>
                  </w:r>
                </w:p>
              </w:tc>
              <w:tc>
                <w:tcPr>
                  <w:tcW w:w="1031" w:type="dxa"/>
                  <w:vMerge w:val="restart"/>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主要污染防治措施</w:t>
                  </w:r>
                </w:p>
              </w:tc>
              <w:tc>
                <w:tcPr>
                  <w:tcW w:w="3261" w:type="dxa"/>
                  <w:gridSpan w:val="2"/>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国家或地方污染物排放标准</w:t>
                  </w:r>
                </w:p>
              </w:tc>
              <w:tc>
                <w:tcPr>
                  <w:tcW w:w="1141" w:type="dxa"/>
                  <w:vMerge w:val="restart"/>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年排放量（t/a）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423" w:type="dxa"/>
                  <w:vMerge w:val="continue"/>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p>
              </w:tc>
              <w:tc>
                <w:tcPr>
                  <w:tcW w:w="1044" w:type="dxa"/>
                  <w:vMerge w:val="continue"/>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p>
              </w:tc>
              <w:tc>
                <w:tcPr>
                  <w:tcW w:w="1337" w:type="dxa"/>
                  <w:vMerge w:val="continue"/>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p>
              </w:tc>
              <w:tc>
                <w:tcPr>
                  <w:tcW w:w="785" w:type="dxa"/>
                  <w:vMerge w:val="continue"/>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p>
              </w:tc>
              <w:tc>
                <w:tcPr>
                  <w:tcW w:w="1031" w:type="dxa"/>
                  <w:vMerge w:val="continue"/>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p>
              </w:tc>
              <w:tc>
                <w:tcPr>
                  <w:tcW w:w="1996" w:type="dxa"/>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标准名称</w:t>
                  </w:r>
                </w:p>
              </w:tc>
              <w:tc>
                <w:tcPr>
                  <w:tcW w:w="1265" w:type="dxa"/>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浓度限值（mg/m</w:t>
                  </w:r>
                  <w:r>
                    <w:rPr>
                      <w:rFonts w:hint="default" w:ascii="Times New Roman" w:hAnsi="Times New Roman" w:cs="Times New Roman"/>
                      <w:sz w:val="22"/>
                      <w:szCs w:val="22"/>
                      <w:u w:val="none" w:color="auto"/>
                      <w:vertAlign w:val="superscript"/>
                    </w:rPr>
                    <w:t>3</w:t>
                  </w:r>
                  <w:r>
                    <w:rPr>
                      <w:rFonts w:hint="default" w:ascii="Times New Roman" w:hAnsi="Times New Roman" w:cs="Times New Roman"/>
                      <w:sz w:val="22"/>
                      <w:szCs w:val="22"/>
                      <w:u w:val="none" w:color="auto"/>
                    </w:rPr>
                    <w:t>）</w:t>
                  </w:r>
                </w:p>
              </w:tc>
              <w:tc>
                <w:tcPr>
                  <w:tcW w:w="1141" w:type="dxa"/>
                  <w:vMerge w:val="continue"/>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423" w:type="dxa"/>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1</w:t>
                  </w:r>
                </w:p>
              </w:tc>
              <w:tc>
                <w:tcPr>
                  <w:tcW w:w="1044" w:type="dxa"/>
                  <w:tcBorders>
                    <w:tl2br w:val="nil"/>
                    <w:tr2bl w:val="nil"/>
                  </w:tcBorders>
                  <w:vAlign w:val="center"/>
                </w:tcPr>
                <w:p>
                  <w:pPr>
                    <w:spacing w:line="360" w:lineRule="auto"/>
                    <w:jc w:val="center"/>
                    <w:rPr>
                      <w:rFonts w:hint="eastAsia" w:ascii="Times New Roman" w:hAnsi="Times New Roman" w:eastAsia="宋体" w:cs="Times New Roman"/>
                      <w:sz w:val="22"/>
                      <w:szCs w:val="22"/>
                      <w:u w:val="none" w:color="auto"/>
                      <w:lang w:eastAsia="zh-CN"/>
                    </w:rPr>
                  </w:pPr>
                  <w:r>
                    <w:rPr>
                      <w:rFonts w:hint="eastAsia" w:cs="Times New Roman"/>
                      <w:sz w:val="22"/>
                      <w:szCs w:val="22"/>
                      <w:u w:val="none" w:color="auto"/>
                      <w:lang w:val="en-US" w:eastAsia="zh-CN"/>
                    </w:rPr>
                    <w:t>分切</w:t>
                  </w:r>
                  <w:r>
                    <w:rPr>
                      <w:rFonts w:hint="eastAsia" w:cs="Times New Roman"/>
                      <w:sz w:val="22"/>
                      <w:szCs w:val="22"/>
                      <w:u w:val="none" w:color="auto"/>
                      <w:lang w:eastAsia="zh-CN"/>
                    </w:rPr>
                    <w:t>区</w:t>
                  </w:r>
                </w:p>
              </w:tc>
              <w:tc>
                <w:tcPr>
                  <w:tcW w:w="1337" w:type="dxa"/>
                  <w:tcBorders>
                    <w:tl2br w:val="nil"/>
                    <w:tr2bl w:val="nil"/>
                  </w:tcBorders>
                  <w:vAlign w:val="center"/>
                </w:tcPr>
                <w:p>
                  <w:pPr>
                    <w:spacing w:line="360" w:lineRule="auto"/>
                    <w:jc w:val="center"/>
                    <w:rPr>
                      <w:rFonts w:hint="eastAsia" w:ascii="Times New Roman" w:hAnsi="Times New Roman" w:eastAsia="宋体" w:cs="Times New Roman"/>
                      <w:sz w:val="22"/>
                      <w:szCs w:val="22"/>
                      <w:u w:val="none" w:color="auto"/>
                      <w:lang w:eastAsia="zh-CN"/>
                    </w:rPr>
                  </w:pPr>
                  <w:r>
                    <w:rPr>
                      <w:rFonts w:hint="eastAsia" w:cs="Times New Roman"/>
                      <w:sz w:val="22"/>
                      <w:szCs w:val="22"/>
                      <w:u w:val="none" w:color="auto"/>
                      <w:lang w:val="en-US" w:eastAsia="zh-CN"/>
                    </w:rPr>
                    <w:t>分切</w:t>
                  </w:r>
                </w:p>
              </w:tc>
              <w:tc>
                <w:tcPr>
                  <w:tcW w:w="785" w:type="dxa"/>
                  <w:tcBorders>
                    <w:tl2br w:val="nil"/>
                    <w:tr2bl w:val="nil"/>
                  </w:tcBorders>
                  <w:vAlign w:val="center"/>
                </w:tcPr>
                <w:p>
                  <w:pPr>
                    <w:spacing w:line="360" w:lineRule="auto"/>
                    <w:jc w:val="center"/>
                    <w:rPr>
                      <w:rFonts w:hint="eastAsia" w:ascii="Times New Roman" w:hAnsi="Times New Roman" w:eastAsia="宋体" w:cs="Times New Roman"/>
                      <w:sz w:val="22"/>
                      <w:szCs w:val="22"/>
                      <w:u w:val="none" w:color="auto"/>
                      <w:lang w:eastAsia="zh-CN"/>
                    </w:rPr>
                  </w:pPr>
                  <w:r>
                    <w:rPr>
                      <w:rFonts w:hint="eastAsia" w:cs="Times New Roman"/>
                      <w:sz w:val="22"/>
                      <w:szCs w:val="22"/>
                      <w:u w:val="none" w:color="auto"/>
                      <w:lang w:val="en-US" w:eastAsia="zh-CN"/>
                    </w:rPr>
                    <w:t>颗粒物</w:t>
                  </w:r>
                </w:p>
              </w:tc>
              <w:tc>
                <w:tcPr>
                  <w:tcW w:w="1031" w:type="dxa"/>
                  <w:tcBorders>
                    <w:tl2br w:val="nil"/>
                    <w:tr2bl w:val="nil"/>
                  </w:tcBorders>
                  <w:vAlign w:val="center"/>
                </w:tcPr>
                <w:p>
                  <w:pPr>
                    <w:spacing w:line="360" w:lineRule="auto"/>
                    <w:jc w:val="center"/>
                    <w:rPr>
                      <w:rFonts w:hint="eastAsia" w:ascii="Times New Roman" w:hAnsi="Times New Roman" w:eastAsia="宋体" w:cs="Times New Roman"/>
                      <w:sz w:val="22"/>
                      <w:szCs w:val="22"/>
                      <w:u w:val="none" w:color="auto"/>
                      <w:lang w:eastAsia="zh-CN"/>
                    </w:rPr>
                  </w:pPr>
                  <w:r>
                    <w:rPr>
                      <w:rFonts w:hint="eastAsia" w:cs="Times New Roman"/>
                      <w:sz w:val="22"/>
                      <w:szCs w:val="22"/>
                      <w:u w:val="none" w:color="auto"/>
                      <w:lang w:val="en-US" w:eastAsia="zh-CN"/>
                    </w:rPr>
                    <w:t>/</w:t>
                  </w:r>
                </w:p>
              </w:tc>
              <w:tc>
                <w:tcPr>
                  <w:tcW w:w="1996" w:type="dxa"/>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eastAsia="宋体" w:cs="Times New Roman"/>
                      <w:color w:val="auto"/>
                      <w:kern w:val="0"/>
                      <w:sz w:val="24"/>
                      <w:szCs w:val="24"/>
                      <w:u w:val="none" w:color="auto"/>
                      <w:lang w:val="en-US" w:eastAsia="zh-CN" w:bidi="ar"/>
                    </w:rPr>
                    <w:t>（GB16297-1996）</w:t>
                  </w:r>
                </w:p>
              </w:tc>
              <w:tc>
                <w:tcPr>
                  <w:tcW w:w="1265" w:type="dxa"/>
                  <w:tcBorders>
                    <w:tl2br w:val="nil"/>
                    <w:tr2bl w:val="nil"/>
                  </w:tcBorders>
                  <w:vAlign w:val="center"/>
                </w:tcPr>
                <w:p>
                  <w:pPr>
                    <w:spacing w:line="360" w:lineRule="auto"/>
                    <w:jc w:val="center"/>
                    <w:rPr>
                      <w:rFonts w:hint="default" w:ascii="Times New Roman" w:hAnsi="Times New Roman" w:eastAsia="宋体" w:cs="Times New Roman"/>
                      <w:sz w:val="22"/>
                      <w:szCs w:val="22"/>
                      <w:u w:val="none" w:color="auto"/>
                      <w:lang w:val="en-US" w:eastAsia="zh-CN"/>
                    </w:rPr>
                  </w:pPr>
                  <w:r>
                    <w:rPr>
                      <w:rFonts w:hint="eastAsia" w:cs="Times New Roman"/>
                      <w:sz w:val="22"/>
                      <w:szCs w:val="22"/>
                      <w:u w:val="none" w:color="auto"/>
                      <w:lang w:val="en-US" w:eastAsia="zh-CN"/>
                    </w:rPr>
                    <w:t>1.0</w:t>
                  </w:r>
                </w:p>
              </w:tc>
              <w:tc>
                <w:tcPr>
                  <w:tcW w:w="1141" w:type="dxa"/>
                  <w:tcBorders>
                    <w:tl2br w:val="nil"/>
                    <w:tr2bl w:val="nil"/>
                  </w:tcBorders>
                  <w:vAlign w:val="center"/>
                </w:tcPr>
                <w:p>
                  <w:pPr>
                    <w:spacing w:line="360" w:lineRule="auto"/>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0.2958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423" w:type="dxa"/>
                  <w:tcBorders>
                    <w:tl2br w:val="nil"/>
                    <w:tr2bl w:val="nil"/>
                  </w:tcBorders>
                  <w:vAlign w:val="center"/>
                </w:tcPr>
                <w:p>
                  <w:pPr>
                    <w:spacing w:line="360" w:lineRule="auto"/>
                    <w:jc w:val="center"/>
                    <w:rPr>
                      <w:rFonts w:hint="eastAsia" w:ascii="Times New Roman" w:hAnsi="Times New Roman" w:eastAsia="宋体" w:cs="Times New Roman"/>
                      <w:sz w:val="22"/>
                      <w:szCs w:val="22"/>
                      <w:u w:val="none" w:color="auto"/>
                      <w:lang w:val="en-US" w:eastAsia="zh-CN"/>
                    </w:rPr>
                  </w:pPr>
                  <w:r>
                    <w:rPr>
                      <w:rFonts w:hint="eastAsia" w:cs="Times New Roman"/>
                      <w:sz w:val="22"/>
                      <w:szCs w:val="22"/>
                      <w:u w:val="none" w:color="auto"/>
                      <w:lang w:val="en-US" w:eastAsia="zh-CN"/>
                    </w:rPr>
                    <w:t>2</w:t>
                  </w:r>
                </w:p>
              </w:tc>
              <w:tc>
                <w:tcPr>
                  <w:tcW w:w="1044" w:type="dxa"/>
                  <w:tcBorders>
                    <w:tl2br w:val="nil"/>
                    <w:tr2bl w:val="nil"/>
                  </w:tcBorders>
                  <w:vAlign w:val="center"/>
                </w:tcPr>
                <w:p>
                  <w:pPr>
                    <w:spacing w:line="360" w:lineRule="auto"/>
                    <w:jc w:val="center"/>
                    <w:rPr>
                      <w:rFonts w:hint="eastAsia" w:cs="Times New Roman"/>
                      <w:sz w:val="22"/>
                      <w:szCs w:val="22"/>
                      <w:u w:val="none" w:color="auto"/>
                      <w:lang w:eastAsia="zh-CN"/>
                    </w:rPr>
                  </w:pPr>
                  <w:r>
                    <w:rPr>
                      <w:rFonts w:hint="eastAsia" w:cs="Times New Roman"/>
                      <w:sz w:val="22"/>
                      <w:szCs w:val="22"/>
                      <w:u w:val="none" w:color="auto"/>
                      <w:lang w:eastAsia="zh-CN"/>
                    </w:rPr>
                    <w:t>印刷、</w:t>
                  </w:r>
                  <w:r>
                    <w:rPr>
                      <w:rFonts w:hint="eastAsia" w:cs="Times New Roman"/>
                      <w:sz w:val="22"/>
                      <w:szCs w:val="22"/>
                      <w:u w:val="none" w:color="auto"/>
                      <w:lang w:val="en-US" w:eastAsia="zh-CN"/>
                    </w:rPr>
                    <w:t>固化</w:t>
                  </w:r>
                  <w:r>
                    <w:rPr>
                      <w:rFonts w:hint="eastAsia" w:cs="Times New Roman"/>
                      <w:sz w:val="22"/>
                      <w:szCs w:val="22"/>
                      <w:u w:val="none" w:color="auto"/>
                      <w:lang w:eastAsia="zh-CN"/>
                    </w:rPr>
                    <w:t>区</w:t>
                  </w:r>
                </w:p>
              </w:tc>
              <w:tc>
                <w:tcPr>
                  <w:tcW w:w="1337" w:type="dxa"/>
                  <w:tcBorders>
                    <w:tl2br w:val="nil"/>
                    <w:tr2bl w:val="nil"/>
                  </w:tcBorders>
                  <w:vAlign w:val="center"/>
                </w:tcPr>
                <w:p>
                  <w:pPr>
                    <w:spacing w:line="360" w:lineRule="auto"/>
                    <w:jc w:val="center"/>
                    <w:rPr>
                      <w:rFonts w:hint="default" w:cs="Times New Roman"/>
                      <w:sz w:val="22"/>
                      <w:szCs w:val="22"/>
                      <w:u w:val="none" w:color="auto"/>
                      <w:lang w:val="en-US" w:eastAsia="zh-CN"/>
                    </w:rPr>
                  </w:pPr>
                  <w:r>
                    <w:rPr>
                      <w:rFonts w:hint="eastAsia" w:cs="Times New Roman"/>
                      <w:sz w:val="22"/>
                      <w:szCs w:val="22"/>
                      <w:u w:val="none" w:color="auto"/>
                      <w:lang w:eastAsia="zh-CN"/>
                    </w:rPr>
                    <w:t>印刷、</w:t>
                  </w:r>
                  <w:r>
                    <w:rPr>
                      <w:rFonts w:hint="eastAsia" w:cs="Times New Roman"/>
                      <w:sz w:val="22"/>
                      <w:szCs w:val="22"/>
                      <w:u w:val="none" w:color="auto"/>
                      <w:lang w:val="en-US" w:eastAsia="zh-CN"/>
                    </w:rPr>
                    <w:t>固化</w:t>
                  </w:r>
                </w:p>
              </w:tc>
              <w:tc>
                <w:tcPr>
                  <w:tcW w:w="785" w:type="dxa"/>
                  <w:tcBorders>
                    <w:tl2br w:val="nil"/>
                    <w:tr2bl w:val="nil"/>
                  </w:tcBorders>
                  <w:vAlign w:val="center"/>
                </w:tcPr>
                <w:p>
                  <w:pPr>
                    <w:spacing w:line="360" w:lineRule="auto"/>
                    <w:jc w:val="center"/>
                    <w:rPr>
                      <w:rFonts w:hint="eastAsia" w:cs="Times New Roman"/>
                      <w:sz w:val="22"/>
                      <w:szCs w:val="22"/>
                      <w:u w:val="none" w:color="auto"/>
                      <w:lang w:eastAsia="zh-CN"/>
                    </w:rPr>
                  </w:pPr>
                  <w:r>
                    <w:rPr>
                      <w:rFonts w:hint="eastAsia" w:cs="Times New Roman"/>
                      <w:sz w:val="22"/>
                      <w:szCs w:val="22"/>
                      <w:u w:val="none" w:color="auto"/>
                      <w:lang w:val="en-US" w:eastAsia="zh-CN"/>
                    </w:rPr>
                    <w:t>VOC</w:t>
                  </w:r>
                  <w:r>
                    <w:rPr>
                      <w:rFonts w:hint="eastAsia" w:cs="Times New Roman"/>
                      <w:sz w:val="22"/>
                      <w:szCs w:val="22"/>
                      <w:u w:val="none" w:color="auto"/>
                      <w:vertAlign w:val="subscript"/>
                      <w:lang w:val="en-US" w:eastAsia="zh-CN"/>
                    </w:rPr>
                    <w:t>S</w:t>
                  </w:r>
                </w:p>
              </w:tc>
              <w:tc>
                <w:tcPr>
                  <w:tcW w:w="1031" w:type="dxa"/>
                  <w:tcBorders>
                    <w:tl2br w:val="nil"/>
                    <w:tr2bl w:val="nil"/>
                  </w:tcBorders>
                  <w:vAlign w:val="center"/>
                </w:tcPr>
                <w:p>
                  <w:pPr>
                    <w:spacing w:line="360" w:lineRule="auto"/>
                    <w:jc w:val="center"/>
                    <w:rPr>
                      <w:rFonts w:hint="eastAsia" w:cs="Times New Roman"/>
                      <w:sz w:val="22"/>
                      <w:szCs w:val="22"/>
                      <w:u w:val="none" w:color="auto"/>
                      <w:lang w:val="en-US" w:eastAsia="zh-CN"/>
                    </w:rPr>
                  </w:pPr>
                  <w:r>
                    <w:rPr>
                      <w:rFonts w:hint="eastAsia" w:cs="Times New Roman"/>
                      <w:sz w:val="22"/>
                      <w:szCs w:val="22"/>
                      <w:u w:val="none" w:color="auto"/>
                      <w:lang w:val="en-US" w:eastAsia="zh-CN"/>
                    </w:rPr>
                    <w:t>/</w:t>
                  </w:r>
                </w:p>
              </w:tc>
              <w:tc>
                <w:tcPr>
                  <w:tcW w:w="1996" w:type="dxa"/>
                  <w:tcBorders>
                    <w:tl2br w:val="nil"/>
                    <w:tr2bl w:val="nil"/>
                  </w:tcBorders>
                  <w:vAlign w:val="center"/>
                </w:tcPr>
                <w:p>
                  <w:pPr>
                    <w:spacing w:line="360" w:lineRule="auto"/>
                    <w:jc w:val="center"/>
                    <w:rPr>
                      <w:rFonts w:hint="eastAsia" w:ascii="Times New Roman" w:hAnsi="Times New Roman" w:eastAsia="宋体" w:cs="Times New Roman"/>
                      <w:sz w:val="22"/>
                      <w:szCs w:val="22"/>
                      <w:u w:val="none" w:color="auto"/>
                      <w:lang w:val="en-US" w:eastAsia="zh-CN"/>
                    </w:rPr>
                  </w:pPr>
                  <w:r>
                    <w:rPr>
                      <w:rFonts w:hint="eastAsia" w:cs="Times New Roman"/>
                      <w:color w:val="auto"/>
                      <w:kern w:val="0"/>
                      <w:sz w:val="24"/>
                      <w:szCs w:val="24"/>
                      <w:u w:val="none" w:color="auto"/>
                      <w:lang w:val="en-US" w:eastAsia="zh-CN" w:bidi="ar"/>
                    </w:rPr>
                    <w:t>（DB43/1357-2017）</w:t>
                  </w:r>
                </w:p>
              </w:tc>
              <w:tc>
                <w:tcPr>
                  <w:tcW w:w="1265" w:type="dxa"/>
                  <w:tcBorders>
                    <w:tl2br w:val="nil"/>
                    <w:tr2bl w:val="nil"/>
                  </w:tcBorders>
                  <w:vAlign w:val="center"/>
                </w:tcPr>
                <w:p>
                  <w:pPr>
                    <w:spacing w:line="360" w:lineRule="auto"/>
                    <w:jc w:val="center"/>
                    <w:rPr>
                      <w:rFonts w:hint="default" w:cs="Times New Roman"/>
                      <w:sz w:val="22"/>
                      <w:szCs w:val="22"/>
                      <w:u w:val="none" w:color="auto"/>
                      <w:lang w:val="en-US" w:eastAsia="zh-CN"/>
                    </w:rPr>
                  </w:pPr>
                  <w:r>
                    <w:rPr>
                      <w:rFonts w:hint="eastAsia" w:cs="Times New Roman"/>
                      <w:sz w:val="22"/>
                      <w:szCs w:val="22"/>
                      <w:u w:val="none" w:color="auto"/>
                      <w:lang w:val="en-US" w:eastAsia="zh-CN"/>
                    </w:rPr>
                    <w:t>4.0</w:t>
                  </w:r>
                </w:p>
              </w:tc>
              <w:tc>
                <w:tcPr>
                  <w:tcW w:w="1141" w:type="dxa"/>
                  <w:tcBorders>
                    <w:tl2br w:val="nil"/>
                    <w:tr2bl w:val="nil"/>
                  </w:tcBorders>
                  <w:vAlign w:val="center"/>
                </w:tcPr>
                <w:p>
                  <w:pPr>
                    <w:spacing w:line="360" w:lineRule="auto"/>
                    <w:jc w:val="center"/>
                    <w:rPr>
                      <w:rFonts w:hint="default" w:cs="Times New Roman"/>
                      <w:sz w:val="22"/>
                      <w:szCs w:val="22"/>
                      <w:u w:val="none" w:color="auto"/>
                      <w:lang w:val="en-US" w:eastAsia="zh-CN"/>
                    </w:rPr>
                  </w:pPr>
                  <w:r>
                    <w:rPr>
                      <w:rFonts w:hint="eastAsia" w:cs="Times New Roman"/>
                      <w:sz w:val="22"/>
                      <w:szCs w:val="22"/>
                      <w:u w:val="none" w:color="auto"/>
                      <w:lang w:val="en-US" w:eastAsia="zh-CN"/>
                    </w:rPr>
                    <w:t>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36" w:hRule="atLeast"/>
              </w:trPr>
              <w:tc>
                <w:tcPr>
                  <w:tcW w:w="7881" w:type="dxa"/>
                  <w:gridSpan w:val="7"/>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无组织排放量总计</w:t>
                  </w:r>
                </w:p>
              </w:tc>
              <w:tc>
                <w:tcPr>
                  <w:tcW w:w="1141" w:type="dxa"/>
                  <w:tcBorders>
                    <w:tl2br w:val="nil"/>
                    <w:tr2bl w:val="nil"/>
                  </w:tcBorders>
                  <w:vAlign w:val="center"/>
                </w:tcPr>
                <w:p>
                  <w:pPr>
                    <w:spacing w:line="360" w:lineRule="auto"/>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0.3358</w:t>
                  </w:r>
                </w:p>
              </w:tc>
            </w:tr>
          </w:tbl>
          <w:p>
            <w:pPr>
              <w:spacing w:line="360" w:lineRule="auto"/>
              <w:ind w:firstLine="466" w:firstLineChars="200"/>
              <w:jc w:val="left"/>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③项目大气污染物年排放量核算</w:t>
            </w:r>
          </w:p>
          <w:p>
            <w:pPr>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表7-</w:t>
            </w:r>
            <w:r>
              <w:rPr>
                <w:rFonts w:hint="eastAsia" w:cs="Times New Roman"/>
                <w:sz w:val="24"/>
                <w:szCs w:val="24"/>
                <w:u w:val="none" w:color="auto"/>
                <w:lang w:val="en-US" w:eastAsia="zh-CN"/>
              </w:rPr>
              <w:t>10</w:t>
            </w:r>
            <w:r>
              <w:rPr>
                <w:rFonts w:hint="default" w:ascii="Times New Roman" w:hAnsi="Times New Roman" w:cs="Times New Roman"/>
                <w:sz w:val="24"/>
                <w:szCs w:val="24"/>
                <w:u w:val="none" w:color="auto"/>
              </w:rPr>
              <w:t xml:space="preserve"> 大气污染物年排放量核算表</w:t>
            </w:r>
          </w:p>
          <w:tbl>
            <w:tblPr>
              <w:tblStyle w:val="40"/>
              <w:tblW w:w="90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12"/>
              <w:gridCol w:w="2999"/>
              <w:gridCol w:w="42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trPr>
              <w:tc>
                <w:tcPr>
                  <w:tcW w:w="1812" w:type="dxa"/>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序号</w:t>
                  </w:r>
                </w:p>
              </w:tc>
              <w:tc>
                <w:tcPr>
                  <w:tcW w:w="2999" w:type="dxa"/>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污染物</w:t>
                  </w:r>
                </w:p>
              </w:tc>
              <w:tc>
                <w:tcPr>
                  <w:tcW w:w="4211" w:type="dxa"/>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年排放量（t/a）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trPr>
              <w:tc>
                <w:tcPr>
                  <w:tcW w:w="1812" w:type="dxa"/>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1</w:t>
                  </w:r>
                </w:p>
              </w:tc>
              <w:tc>
                <w:tcPr>
                  <w:tcW w:w="2999" w:type="dxa"/>
                  <w:vAlign w:val="center"/>
                </w:tcPr>
                <w:p>
                  <w:pPr>
                    <w:spacing w:line="360" w:lineRule="auto"/>
                    <w:jc w:val="center"/>
                    <w:rPr>
                      <w:rFonts w:hint="eastAsia" w:ascii="Times New Roman" w:hAnsi="Times New Roman" w:eastAsia="宋体" w:cs="Times New Roman"/>
                      <w:sz w:val="22"/>
                      <w:szCs w:val="22"/>
                      <w:u w:val="none" w:color="auto"/>
                      <w:lang w:eastAsia="zh-CN"/>
                    </w:rPr>
                  </w:pPr>
                  <w:r>
                    <w:rPr>
                      <w:rFonts w:hint="eastAsia" w:cs="Times New Roman"/>
                      <w:sz w:val="22"/>
                      <w:szCs w:val="22"/>
                      <w:u w:val="none" w:color="auto"/>
                      <w:lang w:val="en-US" w:eastAsia="zh-CN"/>
                    </w:rPr>
                    <w:t>颗粒物</w:t>
                  </w:r>
                </w:p>
              </w:tc>
              <w:tc>
                <w:tcPr>
                  <w:tcW w:w="4211" w:type="dxa"/>
                  <w:vAlign w:val="center"/>
                </w:tcPr>
                <w:p>
                  <w:pPr>
                    <w:spacing w:line="360" w:lineRule="auto"/>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0.117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trPr>
              <w:tc>
                <w:tcPr>
                  <w:tcW w:w="1812" w:type="dxa"/>
                  <w:vAlign w:val="center"/>
                </w:tcPr>
                <w:p>
                  <w:pPr>
                    <w:spacing w:line="360" w:lineRule="auto"/>
                    <w:jc w:val="center"/>
                    <w:rPr>
                      <w:rFonts w:hint="eastAsia" w:ascii="Times New Roman" w:hAnsi="Times New Roman" w:eastAsia="宋体" w:cs="Times New Roman"/>
                      <w:sz w:val="22"/>
                      <w:szCs w:val="22"/>
                      <w:u w:val="none" w:color="auto"/>
                      <w:lang w:val="en-US" w:eastAsia="zh-CN"/>
                    </w:rPr>
                  </w:pPr>
                  <w:r>
                    <w:rPr>
                      <w:rFonts w:hint="eastAsia" w:cs="Times New Roman"/>
                      <w:sz w:val="22"/>
                      <w:szCs w:val="22"/>
                      <w:u w:val="none" w:color="auto"/>
                      <w:lang w:val="en-US" w:eastAsia="zh-CN"/>
                    </w:rPr>
                    <w:t>2</w:t>
                  </w:r>
                </w:p>
              </w:tc>
              <w:tc>
                <w:tcPr>
                  <w:tcW w:w="2999" w:type="dxa"/>
                  <w:vAlign w:val="center"/>
                </w:tcPr>
                <w:p>
                  <w:pPr>
                    <w:spacing w:line="360" w:lineRule="auto"/>
                    <w:jc w:val="center"/>
                    <w:rPr>
                      <w:rFonts w:hint="eastAsia" w:cs="Times New Roman"/>
                      <w:sz w:val="22"/>
                      <w:szCs w:val="22"/>
                      <w:u w:val="none" w:color="auto"/>
                      <w:lang w:eastAsia="zh-CN"/>
                    </w:rPr>
                  </w:pPr>
                  <w:r>
                    <w:rPr>
                      <w:rFonts w:hint="eastAsia" w:cs="Times New Roman"/>
                      <w:sz w:val="22"/>
                      <w:szCs w:val="22"/>
                      <w:u w:val="none" w:color="auto"/>
                      <w:lang w:val="en-US" w:eastAsia="zh-CN"/>
                    </w:rPr>
                    <w:t>VOC</w:t>
                  </w:r>
                  <w:r>
                    <w:rPr>
                      <w:rFonts w:hint="eastAsia" w:cs="Times New Roman"/>
                      <w:sz w:val="22"/>
                      <w:szCs w:val="22"/>
                      <w:u w:val="none" w:color="auto"/>
                      <w:vertAlign w:val="subscript"/>
                      <w:lang w:val="en-US" w:eastAsia="zh-CN"/>
                    </w:rPr>
                    <w:t>S</w:t>
                  </w:r>
                </w:p>
              </w:tc>
              <w:tc>
                <w:tcPr>
                  <w:tcW w:w="4211" w:type="dxa"/>
                  <w:vAlign w:val="center"/>
                </w:tcPr>
                <w:p>
                  <w:pPr>
                    <w:spacing w:line="360" w:lineRule="auto"/>
                    <w:jc w:val="center"/>
                    <w:rPr>
                      <w:rFonts w:hint="default" w:cs="Times New Roman"/>
                      <w:sz w:val="22"/>
                      <w:szCs w:val="22"/>
                      <w:u w:val="none" w:color="auto"/>
                      <w:lang w:val="en-US" w:eastAsia="zh-CN"/>
                    </w:rPr>
                  </w:pPr>
                  <w:r>
                    <w:rPr>
                      <w:rFonts w:hint="eastAsia" w:cs="Times New Roman"/>
                      <w:sz w:val="22"/>
                      <w:szCs w:val="22"/>
                      <w:u w:val="none" w:color="auto"/>
                      <w:lang w:val="en-US" w:eastAsia="zh-CN"/>
                    </w:rPr>
                    <w:t>0.032</w:t>
                  </w:r>
                </w:p>
              </w:tc>
            </w:tr>
          </w:tbl>
          <w:p>
            <w:pPr>
              <w:pStyle w:val="34"/>
              <w:spacing w:line="360" w:lineRule="auto"/>
              <w:ind w:left="4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w:t>
            </w:r>
            <w:r>
              <w:rPr>
                <w:rFonts w:hint="eastAsia" w:cs="Times New Roman"/>
                <w:sz w:val="24"/>
                <w:szCs w:val="24"/>
                <w:u w:val="none" w:color="auto"/>
                <w:lang w:val="en-US" w:eastAsia="zh-CN"/>
              </w:rPr>
              <w:t>4</w:t>
            </w:r>
            <w:r>
              <w:rPr>
                <w:rFonts w:hint="default" w:ascii="Times New Roman" w:hAnsi="Times New Roman" w:cs="Times New Roman"/>
                <w:sz w:val="24"/>
                <w:szCs w:val="24"/>
                <w:u w:val="none" w:color="auto"/>
              </w:rPr>
              <w:t>）废气处理措施可行性分析</w:t>
            </w:r>
          </w:p>
          <w:p>
            <w:pPr>
              <w:pStyle w:val="174"/>
              <w:spacing w:line="360" w:lineRule="auto"/>
              <w:ind w:firstLine="466" w:firstLineChars="200"/>
              <w:rPr>
                <w:rFonts w:hint="eastAsia" w:ascii="Times New Roman" w:hAnsi="Times New Roman" w:cs="Times New Roman"/>
                <w:color w:val="auto"/>
                <w:sz w:val="24"/>
                <w:szCs w:val="32"/>
                <w:u w:val="none" w:color="auto"/>
                <w:lang w:eastAsia="zh-CN"/>
              </w:rPr>
            </w:pPr>
            <w:r>
              <w:rPr>
                <w:rFonts w:hint="eastAsia" w:cs="Times New Roman"/>
                <w:color w:val="auto"/>
                <w:sz w:val="24"/>
                <w:szCs w:val="32"/>
                <w:u w:val="none" w:color="auto"/>
                <w:lang w:eastAsia="zh-CN"/>
              </w:rPr>
              <w:t>废气经</w:t>
            </w:r>
            <w:r>
              <w:rPr>
                <w:rFonts w:hint="eastAsia" w:cs="Times New Roman"/>
                <w:color w:val="auto"/>
                <w:sz w:val="24"/>
                <w:szCs w:val="32"/>
                <w:u w:val="none" w:color="auto"/>
                <w:lang w:val="en-US" w:eastAsia="zh-CN"/>
              </w:rPr>
              <w:t>集气罩+UV光解设备+活性炭吸附设备处理后由24m高排气筒高空排放</w:t>
            </w:r>
            <w:r>
              <w:rPr>
                <w:rFonts w:hint="default"/>
                <w:color w:val="auto"/>
                <w:sz w:val="24"/>
                <w:szCs w:val="24"/>
                <w:u w:val="none" w:color="auto"/>
              </w:rPr>
              <w:t xml:space="preserve">。 </w:t>
            </w:r>
          </w:p>
          <w:p>
            <w:pPr>
              <w:pStyle w:val="174"/>
              <w:spacing w:line="360" w:lineRule="auto"/>
              <w:ind w:firstLine="480"/>
              <w:rPr>
                <w:rFonts w:hint="default" w:ascii="Times New Roman" w:hAnsi="Times New Roman" w:cs="Times New Roman"/>
                <w:color w:val="auto"/>
                <w:sz w:val="24"/>
                <w:szCs w:val="24"/>
                <w:u w:val="none" w:color="auto"/>
              </w:rPr>
            </w:pPr>
            <w:r>
              <w:rPr>
                <w:rFonts w:hint="eastAsia"/>
                <w:b/>
                <w:color w:val="auto"/>
                <w:sz w:val="24"/>
                <w:szCs w:val="24"/>
                <w:u w:val="none" w:color="auto"/>
              </w:rPr>
              <w:t>UV 光解净化</w:t>
            </w:r>
            <w:r>
              <w:rPr>
                <w:rFonts w:hint="eastAsia"/>
                <w:b/>
                <w:color w:val="auto"/>
                <w:sz w:val="24"/>
                <w:szCs w:val="24"/>
                <w:u w:val="none" w:color="auto"/>
                <w:lang w:val="en-US" w:eastAsia="zh-CN"/>
              </w:rPr>
              <w:t>设施</w:t>
            </w:r>
            <w:r>
              <w:rPr>
                <w:rFonts w:hint="eastAsia"/>
                <w:b/>
                <w:color w:val="auto"/>
                <w:sz w:val="24"/>
                <w:szCs w:val="24"/>
                <w:u w:val="none" w:color="auto"/>
              </w:rPr>
              <w:t>：</w:t>
            </w:r>
            <w:r>
              <w:rPr>
                <w:rFonts w:hint="eastAsia"/>
                <w:color w:val="auto"/>
                <w:sz w:val="24"/>
                <w:szCs w:val="24"/>
                <w:u w:val="none" w:color="auto"/>
              </w:rPr>
              <w:t>为保证处理效率，利用排风系统输入到 UV 光解净化设备。其工作原理为：利用特制的高能高臭氧UV 紫外线光束照射气体，裂解苯、甲苯、二甲苯、有机废气等的分子键，使呈游离状态的污染物分子与臭氧（高能高臭氧 UV 紫外线光束分解空气中的氧分子产生游离氧，即活性氧，因游离氧所携正负电子部平衡所以需与氧分子结合，进而产生臭氧。氧化结合成小分子无害或低害的化合物，如CO</w:t>
            </w:r>
            <w:r>
              <w:rPr>
                <w:rFonts w:hint="eastAsia"/>
                <w:color w:val="auto"/>
                <w:sz w:val="24"/>
                <w:szCs w:val="24"/>
                <w:u w:val="none" w:color="auto"/>
                <w:vertAlign w:val="subscript"/>
              </w:rPr>
              <w:t>2</w:t>
            </w:r>
            <w:r>
              <w:rPr>
                <w:rFonts w:hint="eastAsia"/>
                <w:color w:val="auto"/>
                <w:sz w:val="24"/>
                <w:szCs w:val="24"/>
                <w:u w:val="none" w:color="auto"/>
              </w:rPr>
              <w:t>、H</w:t>
            </w:r>
            <w:r>
              <w:rPr>
                <w:rFonts w:hint="eastAsia"/>
                <w:color w:val="auto"/>
                <w:sz w:val="24"/>
                <w:szCs w:val="24"/>
                <w:u w:val="none" w:color="auto"/>
                <w:vertAlign w:val="subscript"/>
              </w:rPr>
              <w:t>2</w:t>
            </w:r>
            <w:r>
              <w:rPr>
                <w:rFonts w:hint="eastAsia"/>
                <w:color w:val="auto"/>
                <w:sz w:val="24"/>
                <w:szCs w:val="24"/>
                <w:u w:val="none" w:color="auto"/>
              </w:rPr>
              <w:t>O。该法不产生危险废物，而且低能耗，处理效率高</w:t>
            </w:r>
            <w:r>
              <w:rPr>
                <w:rFonts w:hint="default" w:ascii="Times New Roman" w:hAnsi="Times New Roman" w:cs="Times New Roman"/>
                <w:color w:val="auto"/>
                <w:sz w:val="24"/>
                <w:szCs w:val="24"/>
                <w:u w:val="none" w:color="auto"/>
              </w:rPr>
              <w:t>。</w:t>
            </w:r>
          </w:p>
          <w:p>
            <w:pPr>
              <w:spacing w:line="360" w:lineRule="auto"/>
              <w:ind w:firstLine="466" w:firstLineChars="200"/>
              <w:rPr>
                <w:rFonts w:hint="eastAsia"/>
                <w:color w:val="auto"/>
                <w:sz w:val="24"/>
                <w:szCs w:val="24"/>
                <w:u w:val="none" w:color="auto"/>
                <w:lang w:eastAsia="zh-CN"/>
              </w:rPr>
            </w:pPr>
            <w:r>
              <w:rPr>
                <w:rFonts w:hint="eastAsia"/>
                <w:b/>
                <w:color w:val="auto"/>
                <w:sz w:val="24"/>
                <w:szCs w:val="24"/>
                <w:u w:val="none" w:color="auto"/>
              </w:rPr>
              <w:t>活性炭吸附：</w:t>
            </w:r>
            <w:r>
              <w:rPr>
                <w:rFonts w:hint="eastAsia"/>
                <w:color w:val="auto"/>
                <w:sz w:val="24"/>
                <w:szCs w:val="24"/>
                <w:u w:val="none" w:color="auto"/>
                <w:lang w:eastAsia="zh-CN"/>
              </w:rPr>
              <w:t>为了进一步处理有机废气</w:t>
            </w:r>
            <w:r>
              <w:rPr>
                <w:rFonts w:hint="eastAsia"/>
                <w:color w:val="auto"/>
                <w:sz w:val="24"/>
                <w:szCs w:val="24"/>
                <w:u w:val="none" w:color="auto"/>
              </w:rPr>
              <w:t>采用活性炭吸附处理，活性炭是国内最为有效的办法。吸附作用是一种界面现象。所谓吸附，是当两相存在时，在相与相的界面附近的浓度与相内部不一样的现象，吸附的物质称作吸附剂或吸附载体。活性炭的吸附是用活性炭作为载体的吸附。吸附的作用力是吸附载体与吸附物质（有机废气）之间在能量方面的相互作用，承担这种相互作用的是电子。吸附载体表面上的原子与吸附质（有机废气）分子互相接近时，即使是无极性，也会瞬时性地造成电子分布的不对称而形成电极，并诱导与其相对应的原子或分子产生分电极。在这两个分电极之间，便产生微弱的静电相互作用力。活性炭也能通过使用氧化剂、还原剂进行处理，让比表面积及比孔容积大，单位重量的吸附量也大</w:t>
            </w:r>
            <w:r>
              <w:rPr>
                <w:rFonts w:hint="eastAsia"/>
                <w:color w:val="auto"/>
                <w:sz w:val="24"/>
                <w:szCs w:val="24"/>
                <w:u w:val="none" w:color="auto"/>
                <w:lang w:eastAsia="zh-CN"/>
              </w:rPr>
              <w:t>。</w:t>
            </w:r>
          </w:p>
          <w:p>
            <w:pPr>
              <w:spacing w:line="360" w:lineRule="auto"/>
              <w:ind w:firstLine="466" w:firstLineChars="200"/>
              <w:rPr>
                <w:rFonts w:hint="default" w:ascii="Times New Roman" w:hAnsi="Times New Roman" w:cs="Times New Roman"/>
                <w:sz w:val="24"/>
                <w:szCs w:val="24"/>
                <w:u w:val="none" w:color="auto"/>
              </w:rPr>
            </w:pPr>
            <w:r>
              <w:rPr>
                <w:rFonts w:hint="eastAsia"/>
                <w:color w:val="auto"/>
                <w:sz w:val="24"/>
                <w:szCs w:val="24"/>
                <w:u w:val="none" w:color="auto"/>
                <w:lang w:val="en-US" w:eastAsia="zh-CN"/>
              </w:rPr>
              <w:t>项目有机废气经上述处理设施处理后，可达到国家相关排放标准，因此项目有机废气处理设施可行</w:t>
            </w:r>
            <w:r>
              <w:rPr>
                <w:rFonts w:hint="eastAsia" w:cs="Times New Roman"/>
                <w:color w:val="auto"/>
                <w:sz w:val="24"/>
                <w:szCs w:val="24"/>
                <w:u w:val="none" w:color="auto"/>
                <w:lang w:eastAsia="zh-CN"/>
              </w:rPr>
              <w:t>。</w:t>
            </w:r>
          </w:p>
          <w:p>
            <w:pPr>
              <w:numPr>
                <w:ilvl w:val="0"/>
                <w:numId w:val="8"/>
              </w:numPr>
              <w:adjustRightInd w:val="0"/>
              <w:snapToGrid w:val="0"/>
              <w:spacing w:line="360" w:lineRule="auto"/>
              <w:ind w:firstLine="466"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地表水环境影响分析</w:t>
            </w:r>
          </w:p>
          <w:p>
            <w:pPr>
              <w:pStyle w:val="34"/>
              <w:adjustRightInd w:val="0"/>
              <w:snapToGrid w:val="0"/>
              <w:spacing w:line="360" w:lineRule="auto"/>
              <w:ind w:left="0" w:leftChars="0" w:firstLine="466"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根据工程分析内容可知，本项目产生的废水主要来自于员工的生活污水</w:t>
            </w:r>
            <w:r>
              <w:rPr>
                <w:rFonts w:hint="eastAsia" w:cs="Times New Roman"/>
                <w:sz w:val="24"/>
                <w:szCs w:val="24"/>
                <w:u w:val="none" w:color="auto"/>
                <w:lang w:eastAsia="zh-CN"/>
              </w:rPr>
              <w:t>和</w:t>
            </w:r>
            <w:r>
              <w:rPr>
                <w:rFonts w:hint="eastAsia" w:cs="Times New Roman"/>
                <w:sz w:val="24"/>
                <w:szCs w:val="24"/>
                <w:u w:val="none" w:color="auto"/>
                <w:lang w:val="en-US" w:eastAsia="zh-CN"/>
              </w:rPr>
              <w:t>印刷工序擦洗废水</w:t>
            </w:r>
            <w:r>
              <w:rPr>
                <w:rFonts w:hint="default" w:ascii="Times New Roman" w:hAnsi="Times New Roman" w:cs="Times New Roman"/>
                <w:sz w:val="24"/>
                <w:szCs w:val="24"/>
                <w:u w:val="none" w:color="auto"/>
              </w:rPr>
              <w:t>。</w:t>
            </w:r>
          </w:p>
          <w:p>
            <w:pPr>
              <w:pStyle w:val="4"/>
              <w:adjustRightInd w:val="0"/>
              <w:snapToGrid w:val="0"/>
              <w:spacing w:line="360" w:lineRule="auto"/>
              <w:ind w:firstLineChars="175"/>
              <w:rPr>
                <w:rFonts w:hint="default" w:ascii="Times New Roman" w:hAnsi="Times New Roman" w:cs="Times New Roman"/>
                <w:color w:val="auto"/>
                <w:sz w:val="24"/>
                <w:szCs w:val="24"/>
                <w:u w:val="none" w:color="auto"/>
                <w:lang w:val="en-US" w:eastAsia="zh-CN"/>
              </w:rPr>
            </w:pPr>
            <w:r>
              <w:rPr>
                <w:sz w:val="24"/>
                <w:u w:val="none" w:color="auto"/>
              </w:rPr>
              <w:t>项目厂区排水管网按雨污分流考虑。雨水经屋面雨水斗汇集后排入工业区雨水管网，</w:t>
            </w:r>
            <w:r>
              <w:rPr>
                <w:rFonts w:hint="eastAsia"/>
                <w:sz w:val="24"/>
                <w:szCs w:val="24"/>
                <w:u w:val="none" w:color="auto"/>
                <w:lang w:val="en-US" w:eastAsia="zh-CN"/>
              </w:rPr>
              <w:t>湘阴县第三污水处理厂建成且接通前：</w:t>
            </w:r>
            <w:r>
              <w:rPr>
                <w:sz w:val="24"/>
                <w:szCs w:val="24"/>
                <w:u w:val="none" w:color="auto"/>
              </w:rPr>
              <w:t>项目</w:t>
            </w:r>
            <w:r>
              <w:rPr>
                <w:rFonts w:hint="eastAsia"/>
                <w:sz w:val="24"/>
                <w:szCs w:val="24"/>
                <w:u w:val="none" w:color="auto"/>
                <w:lang w:val="en-US" w:eastAsia="zh-CN"/>
              </w:rPr>
              <w:t>生活</w:t>
            </w:r>
            <w:r>
              <w:rPr>
                <w:sz w:val="24"/>
                <w:szCs w:val="24"/>
                <w:u w:val="none" w:color="auto"/>
              </w:rPr>
              <w:t>污水通过化粪池处理后排入园区污水管网再进入</w:t>
            </w:r>
            <w:r>
              <w:rPr>
                <w:rFonts w:hint="eastAsia"/>
                <w:sz w:val="24"/>
                <w:szCs w:val="24"/>
                <w:u w:val="none" w:color="auto"/>
                <w:lang w:eastAsia="zh-CN"/>
              </w:rPr>
              <w:t>卓达金谷创业园自建的污水处理站</w:t>
            </w:r>
            <w:r>
              <w:rPr>
                <w:sz w:val="24"/>
                <w:szCs w:val="24"/>
                <w:u w:val="none" w:color="auto"/>
              </w:rPr>
              <w:t>处理</w:t>
            </w:r>
            <w:r>
              <w:rPr>
                <w:rFonts w:hAnsi="宋体"/>
                <w:sz w:val="24"/>
                <w:szCs w:val="24"/>
                <w:u w:val="none" w:color="auto"/>
              </w:rPr>
              <w:t>达</w:t>
            </w:r>
            <w:r>
              <w:rPr>
                <w:rFonts w:hint="eastAsia" w:hAnsi="宋体"/>
                <w:sz w:val="24"/>
                <w:szCs w:val="24"/>
                <w:u w:val="none" w:color="auto"/>
                <w:lang w:eastAsia="zh-CN"/>
              </w:rPr>
              <w:t>到</w:t>
            </w:r>
            <w:r>
              <w:rPr>
                <w:sz w:val="24"/>
                <w:szCs w:val="24"/>
                <w:u w:val="none" w:color="auto"/>
              </w:rPr>
              <w:t>《城镇污水处理厂污染物排放标准（GB18918—2002）》中一级标准的A类标准后</w:t>
            </w:r>
            <w:r>
              <w:rPr>
                <w:rFonts w:hint="eastAsia"/>
                <w:sz w:val="24"/>
                <w:szCs w:val="24"/>
                <w:u w:val="none" w:color="auto"/>
                <w:lang w:eastAsia="zh-CN"/>
              </w:rPr>
              <w:t>进入洋沙河</w:t>
            </w:r>
            <w:r>
              <w:rPr>
                <w:rFonts w:hint="eastAsia"/>
                <w:sz w:val="24"/>
                <w:szCs w:val="24"/>
                <w:u w:val="none" w:color="auto"/>
                <w:lang w:val="en-US" w:eastAsia="zh-CN"/>
              </w:rPr>
              <w:t>排入洋沙湖</w:t>
            </w:r>
            <w:r>
              <w:rPr>
                <w:sz w:val="24"/>
                <w:szCs w:val="24"/>
                <w:u w:val="none" w:color="auto"/>
              </w:rPr>
              <w:t>，最终汇入湘江</w:t>
            </w:r>
            <w:r>
              <w:rPr>
                <w:rFonts w:hint="eastAsia"/>
                <w:sz w:val="24"/>
                <w:szCs w:val="24"/>
                <w:u w:val="none" w:color="auto"/>
                <w:lang w:eastAsia="zh-CN"/>
              </w:rPr>
              <w:t>。</w:t>
            </w:r>
            <w:r>
              <w:rPr>
                <w:rFonts w:hint="eastAsia"/>
                <w:sz w:val="24"/>
                <w:szCs w:val="24"/>
                <w:u w:val="none" w:color="auto"/>
                <w:lang w:val="en-US" w:eastAsia="zh-CN"/>
              </w:rPr>
              <w:t>湘阴县第三污水处理厂建成且接通后：</w:t>
            </w:r>
            <w:r>
              <w:rPr>
                <w:sz w:val="24"/>
                <w:szCs w:val="24"/>
                <w:u w:val="none" w:color="auto"/>
              </w:rPr>
              <w:t>项目</w:t>
            </w:r>
            <w:r>
              <w:rPr>
                <w:rFonts w:hint="eastAsia"/>
                <w:sz w:val="24"/>
                <w:szCs w:val="24"/>
                <w:u w:val="none" w:color="auto"/>
                <w:lang w:val="en-US" w:eastAsia="zh-CN"/>
              </w:rPr>
              <w:t>生活</w:t>
            </w:r>
            <w:r>
              <w:rPr>
                <w:sz w:val="24"/>
                <w:szCs w:val="24"/>
                <w:u w:val="none" w:color="auto"/>
              </w:rPr>
              <w:t>污水通过化粪池处理后排入园区污水管网</w:t>
            </w:r>
            <w:r>
              <w:rPr>
                <w:rFonts w:hint="eastAsia"/>
                <w:sz w:val="24"/>
                <w:szCs w:val="24"/>
                <w:u w:val="none" w:color="auto"/>
                <w:lang w:val="en-US" w:eastAsia="zh-CN"/>
              </w:rPr>
              <w:t>进入湘阴县第三污水处理厂处理后排入洋沙河流入洋沙湖，最终进入湘江</w:t>
            </w:r>
            <w:r>
              <w:rPr>
                <w:rFonts w:hint="eastAsia"/>
                <w:sz w:val="24"/>
                <w:u w:val="none" w:color="auto"/>
                <w:lang w:eastAsia="zh-CN"/>
              </w:rPr>
              <w:t>；</w:t>
            </w:r>
            <w:r>
              <w:rPr>
                <w:rFonts w:hint="eastAsia"/>
                <w:sz w:val="24"/>
                <w:u w:val="none" w:color="auto"/>
                <w:lang w:val="en-US" w:eastAsia="zh-CN"/>
              </w:rPr>
              <w:t>由于印刷工序擦洗废为危险废物，</w:t>
            </w:r>
            <w:r>
              <w:rPr>
                <w:rFonts w:hint="eastAsia"/>
                <w:sz w:val="24"/>
                <w:u w:val="single" w:color="auto"/>
                <w:lang w:val="en-US" w:eastAsia="zh-CN"/>
              </w:rPr>
              <w:t>故本项目擦洗废水收集后</w:t>
            </w:r>
            <w:r>
              <w:rPr>
                <w:rFonts w:hint="eastAsia"/>
                <w:color w:val="auto"/>
                <w:sz w:val="24"/>
                <w:szCs w:val="24"/>
                <w:u w:val="single" w:color="auto"/>
                <w:lang w:val="en-US" w:eastAsia="zh-CN"/>
              </w:rPr>
              <w:t>交由湖南洋沙湖危险废物治理有限公司进行托运和处置（处理协议详见附件8）</w:t>
            </w:r>
            <w:r>
              <w:rPr>
                <w:rFonts w:hint="default" w:ascii="Times New Roman" w:hAnsi="Times New Roman" w:cs="Times New Roman"/>
                <w:sz w:val="24"/>
                <w:szCs w:val="24"/>
                <w:u w:val="single" w:color="auto"/>
              </w:rPr>
              <w:t>。</w:t>
            </w:r>
            <w:r>
              <w:rPr>
                <w:rFonts w:hint="default" w:ascii="Times New Roman" w:hAnsi="Times New Roman" w:cs="Times New Roman"/>
                <w:sz w:val="24"/>
                <w:szCs w:val="24"/>
                <w:u w:val="none" w:color="auto"/>
              </w:rPr>
              <w:t>因此对区域水环境影响较小。</w:t>
            </w:r>
          </w:p>
          <w:p>
            <w:pPr>
              <w:pStyle w:val="185"/>
              <w:keepNext w:val="0"/>
              <w:keepLines w:val="0"/>
              <w:pageBreakBefore w:val="0"/>
              <w:widowControl w:val="0"/>
              <w:kinsoku/>
              <w:wordWrap/>
              <w:overflowPunct/>
              <w:topLinePunct w:val="0"/>
              <w:autoSpaceDE/>
              <w:autoSpaceDN/>
              <w:bidi w:val="0"/>
              <w:adjustRightInd/>
              <w:snapToGrid/>
              <w:spacing w:line="360" w:lineRule="auto"/>
              <w:ind w:left="0" w:right="0"/>
              <w:jc w:val="both"/>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地表水评价等级确定</w:t>
            </w:r>
          </w:p>
          <w:p>
            <w:pPr>
              <w:pStyle w:val="34"/>
              <w:adjustRightInd w:val="0"/>
              <w:snapToGrid w:val="0"/>
              <w:spacing w:line="360" w:lineRule="auto"/>
              <w:ind w:left="0" w:leftChars="0" w:firstLine="466" w:firstLineChars="200"/>
              <w:rPr>
                <w:rFonts w:hint="default" w:ascii="Times New Roman" w:hAnsi="Times New Roman" w:cs="Times New Roman"/>
                <w:sz w:val="24"/>
                <w:szCs w:val="24"/>
                <w:u w:val="none" w:color="auto"/>
              </w:rPr>
            </w:pPr>
            <w:r>
              <w:rPr>
                <w:rFonts w:hint="default" w:ascii="Times New Roman" w:hAnsi="Times New Roman" w:cs="Times New Roman"/>
                <w:color w:val="auto"/>
                <w:sz w:val="24"/>
                <w:szCs w:val="24"/>
                <w:u w:val="none" w:color="auto"/>
                <w:lang w:val="en-US" w:eastAsia="zh-CN"/>
              </w:rPr>
              <w:t>根据《环境评价技术导则</w:t>
            </w:r>
            <w:r>
              <w:rPr>
                <w:rFonts w:hint="eastAsia" w:cs="Times New Roman"/>
                <w:color w:val="auto"/>
                <w:sz w:val="24"/>
                <w:szCs w:val="24"/>
                <w:u w:val="none" w:color="auto"/>
                <w:lang w:val="en-US" w:eastAsia="zh-CN"/>
              </w:rPr>
              <w:t xml:space="preserve">   </w:t>
            </w:r>
            <w:r>
              <w:rPr>
                <w:rFonts w:hint="default" w:ascii="Times New Roman" w:hAnsi="Times New Roman" w:cs="Times New Roman"/>
                <w:color w:val="auto"/>
                <w:sz w:val="24"/>
                <w:szCs w:val="24"/>
                <w:u w:val="none" w:color="auto"/>
                <w:lang w:val="en-US" w:eastAsia="zh-CN"/>
              </w:rPr>
              <w:t>地</w:t>
            </w:r>
            <w:r>
              <w:rPr>
                <w:rFonts w:hint="eastAsia" w:cs="Times New Roman"/>
                <w:color w:val="auto"/>
                <w:sz w:val="24"/>
                <w:szCs w:val="24"/>
                <w:u w:val="none" w:color="auto"/>
                <w:lang w:val="en-US" w:eastAsia="zh-CN"/>
              </w:rPr>
              <w:t>表</w:t>
            </w:r>
            <w:r>
              <w:rPr>
                <w:rFonts w:hint="default" w:ascii="Times New Roman" w:hAnsi="Times New Roman" w:cs="Times New Roman"/>
                <w:color w:val="auto"/>
                <w:sz w:val="24"/>
                <w:szCs w:val="24"/>
                <w:u w:val="none" w:color="auto"/>
                <w:lang w:val="en-US" w:eastAsia="zh-CN"/>
              </w:rPr>
              <w:t>水环境》（HJ/T2.3-2018）分级原则</w:t>
            </w:r>
            <w:r>
              <w:rPr>
                <w:rFonts w:hint="eastAsia" w:cs="Times New Roman"/>
                <w:color w:val="auto"/>
                <w:sz w:val="24"/>
                <w:szCs w:val="24"/>
                <w:u w:val="none" w:color="auto"/>
                <w:lang w:val="en-US" w:eastAsia="zh-CN"/>
              </w:rPr>
              <w:t>，</w:t>
            </w:r>
            <w:r>
              <w:rPr>
                <w:rFonts w:hint="eastAsia"/>
                <w:sz w:val="24"/>
                <w:szCs w:val="24"/>
                <w:u w:val="none" w:color="auto"/>
                <w:lang w:val="en-US" w:eastAsia="zh-CN"/>
              </w:rPr>
              <w:t>湘阴县第三污水处理厂建成且接通前：</w:t>
            </w:r>
            <w:r>
              <w:rPr>
                <w:sz w:val="24"/>
                <w:szCs w:val="24"/>
                <w:u w:val="none" w:color="auto"/>
              </w:rPr>
              <w:t>项目</w:t>
            </w:r>
            <w:r>
              <w:rPr>
                <w:rFonts w:hint="eastAsia"/>
                <w:sz w:val="24"/>
                <w:szCs w:val="24"/>
                <w:u w:val="none" w:color="auto"/>
                <w:lang w:val="en-US" w:eastAsia="zh-CN"/>
              </w:rPr>
              <w:t>生活</w:t>
            </w:r>
            <w:r>
              <w:rPr>
                <w:sz w:val="24"/>
                <w:szCs w:val="24"/>
                <w:u w:val="none" w:color="auto"/>
              </w:rPr>
              <w:t>污水通过化粪池处理后排入园区污水管网再进入</w:t>
            </w:r>
            <w:r>
              <w:rPr>
                <w:rFonts w:hint="eastAsia"/>
                <w:sz w:val="24"/>
                <w:szCs w:val="24"/>
                <w:u w:val="none" w:color="auto"/>
                <w:lang w:eastAsia="zh-CN"/>
              </w:rPr>
              <w:t>卓达金谷创业园自建的污水处理站</w:t>
            </w:r>
            <w:r>
              <w:rPr>
                <w:sz w:val="24"/>
                <w:szCs w:val="24"/>
                <w:u w:val="none" w:color="auto"/>
              </w:rPr>
              <w:t>处理</w:t>
            </w:r>
            <w:r>
              <w:rPr>
                <w:rFonts w:hAnsi="宋体"/>
                <w:sz w:val="24"/>
                <w:szCs w:val="24"/>
                <w:u w:val="none" w:color="auto"/>
              </w:rPr>
              <w:t>达</w:t>
            </w:r>
            <w:r>
              <w:rPr>
                <w:rFonts w:hint="eastAsia" w:hAnsi="宋体"/>
                <w:sz w:val="24"/>
                <w:szCs w:val="24"/>
                <w:u w:val="none" w:color="auto"/>
                <w:lang w:eastAsia="zh-CN"/>
              </w:rPr>
              <w:t>到</w:t>
            </w:r>
            <w:r>
              <w:rPr>
                <w:sz w:val="24"/>
                <w:szCs w:val="24"/>
                <w:u w:val="none" w:color="auto"/>
              </w:rPr>
              <w:t>《城镇污水处理厂污染物排放标准（GB18918—2002）》中一级标准的A类标准后</w:t>
            </w:r>
            <w:r>
              <w:rPr>
                <w:rFonts w:hint="eastAsia"/>
                <w:sz w:val="24"/>
                <w:szCs w:val="24"/>
                <w:u w:val="none" w:color="auto"/>
                <w:lang w:eastAsia="zh-CN"/>
              </w:rPr>
              <w:t>进入洋沙河</w:t>
            </w:r>
            <w:r>
              <w:rPr>
                <w:rFonts w:hint="eastAsia"/>
                <w:sz w:val="24"/>
                <w:szCs w:val="24"/>
                <w:u w:val="none" w:color="auto"/>
                <w:lang w:val="en-US" w:eastAsia="zh-CN"/>
              </w:rPr>
              <w:t>排入洋沙湖</w:t>
            </w:r>
            <w:r>
              <w:rPr>
                <w:sz w:val="24"/>
                <w:szCs w:val="24"/>
                <w:u w:val="none" w:color="auto"/>
              </w:rPr>
              <w:t>，最终汇入湘江</w:t>
            </w:r>
            <w:r>
              <w:rPr>
                <w:rFonts w:hint="eastAsia"/>
                <w:sz w:val="24"/>
                <w:szCs w:val="24"/>
                <w:u w:val="none" w:color="auto"/>
                <w:lang w:eastAsia="zh-CN"/>
              </w:rPr>
              <w:t>。</w:t>
            </w:r>
            <w:r>
              <w:rPr>
                <w:rFonts w:hint="eastAsia"/>
                <w:sz w:val="24"/>
                <w:szCs w:val="24"/>
                <w:u w:val="none" w:color="auto"/>
                <w:lang w:val="en-US" w:eastAsia="zh-CN"/>
              </w:rPr>
              <w:t>湘阴县第三污水处理厂建成且接通后：</w:t>
            </w:r>
            <w:r>
              <w:rPr>
                <w:sz w:val="24"/>
                <w:szCs w:val="24"/>
                <w:u w:val="none" w:color="auto"/>
              </w:rPr>
              <w:t>项目</w:t>
            </w:r>
            <w:r>
              <w:rPr>
                <w:rFonts w:hint="eastAsia"/>
                <w:sz w:val="24"/>
                <w:szCs w:val="24"/>
                <w:u w:val="none" w:color="auto"/>
                <w:lang w:val="en-US" w:eastAsia="zh-CN"/>
              </w:rPr>
              <w:t>生活</w:t>
            </w:r>
            <w:r>
              <w:rPr>
                <w:sz w:val="24"/>
                <w:szCs w:val="24"/>
                <w:u w:val="none" w:color="auto"/>
              </w:rPr>
              <w:t>污水通过化粪池处理后排入园区污水管网</w:t>
            </w:r>
            <w:r>
              <w:rPr>
                <w:rFonts w:hint="eastAsia"/>
                <w:sz w:val="24"/>
                <w:szCs w:val="24"/>
                <w:u w:val="none" w:color="auto"/>
                <w:lang w:val="en-US" w:eastAsia="zh-CN"/>
              </w:rPr>
              <w:t>进入湘阴县第三污水处理厂处理后排入洋沙河流入洋沙湖，最终进入湘江</w:t>
            </w:r>
            <w:r>
              <w:rPr>
                <w:rFonts w:hint="default" w:ascii="Times New Roman" w:hAnsi="Times New Roman" w:cs="Times New Roman"/>
                <w:color w:val="auto"/>
                <w:sz w:val="24"/>
                <w:szCs w:val="24"/>
                <w:u w:val="none" w:color="auto"/>
                <w:lang w:val="en-US" w:eastAsia="zh-CN"/>
              </w:rPr>
              <w:t>，结合本项目的工程特点和项目所在地的环境特征，确定项目地表水环境影响评价等级为</w:t>
            </w:r>
            <w:r>
              <w:rPr>
                <w:rFonts w:hint="default" w:ascii="Times New Roman" w:hAnsi="Times New Roman" w:cs="Times New Roman"/>
                <w:b w:val="0"/>
                <w:bCs w:val="0"/>
                <w:color w:val="auto"/>
                <w:sz w:val="24"/>
                <w:szCs w:val="24"/>
                <w:u w:val="none" w:color="auto"/>
                <w:lang w:val="en-US" w:eastAsia="zh-CN"/>
              </w:rPr>
              <w:t>三级</w:t>
            </w:r>
            <w:r>
              <w:rPr>
                <w:rFonts w:hint="eastAsia" w:cs="Times New Roman"/>
                <w:b w:val="0"/>
                <w:bCs w:val="0"/>
                <w:color w:val="auto"/>
                <w:sz w:val="24"/>
                <w:szCs w:val="24"/>
                <w:u w:val="none" w:color="auto"/>
                <w:lang w:val="en-US" w:eastAsia="zh-CN"/>
              </w:rPr>
              <w:t>B。需对其进行简单分析</w:t>
            </w:r>
            <w:r>
              <w:rPr>
                <w:rFonts w:hint="eastAsia" w:ascii="Times New Roman" w:hAnsi="Times New Roman"/>
                <w:color w:val="auto"/>
                <w:sz w:val="24"/>
                <w:szCs w:val="24"/>
                <w:highlight w:val="none"/>
                <w:u w:val="none" w:color="auto"/>
                <w:lang w:val="en-US" w:eastAsia="zh-CN"/>
              </w:rPr>
              <w:t>。</w:t>
            </w:r>
          </w:p>
          <w:p>
            <w:pPr>
              <w:adjustRightInd w:val="0"/>
              <w:snapToGrid w:val="0"/>
              <w:spacing w:line="360" w:lineRule="auto"/>
              <w:ind w:firstLine="466" w:firstLineChars="200"/>
              <w:rPr>
                <w:b/>
                <w:bCs/>
                <w:sz w:val="24"/>
                <w:szCs w:val="24"/>
                <w:u w:val="none" w:color="auto"/>
              </w:rPr>
            </w:pPr>
            <w:r>
              <w:rPr>
                <w:rFonts w:hint="eastAsia" w:cs="Times New Roman"/>
                <w:b/>
                <w:bCs/>
                <w:sz w:val="24"/>
                <w:szCs w:val="24"/>
                <w:u w:val="none" w:color="auto"/>
                <w:lang w:eastAsia="zh-CN"/>
              </w:rPr>
              <w:t>卓达金谷创业园自建污水处理站</w:t>
            </w:r>
            <w:r>
              <w:rPr>
                <w:b/>
                <w:bCs/>
                <w:sz w:val="24"/>
                <w:szCs w:val="24"/>
                <w:u w:val="none" w:color="auto"/>
              </w:rPr>
              <w:t>可行性分析</w:t>
            </w:r>
          </w:p>
          <w:p>
            <w:pPr>
              <w:pStyle w:val="4"/>
              <w:adjustRightInd w:val="0"/>
              <w:snapToGrid w:val="0"/>
              <w:spacing w:line="360" w:lineRule="auto"/>
              <w:ind w:firstLineChars="175"/>
              <w:rPr>
                <w:rFonts w:hint="eastAsia"/>
                <w:sz w:val="24"/>
                <w:szCs w:val="24"/>
                <w:u w:val="none" w:color="auto"/>
                <w:lang w:eastAsia="zh-CN"/>
              </w:rPr>
            </w:pPr>
            <w:r>
              <w:rPr>
                <w:rFonts w:hint="eastAsia"/>
                <w:sz w:val="24"/>
                <w:u w:val="none" w:color="auto"/>
                <w:lang w:val="en-US" w:eastAsia="zh-CN"/>
              </w:rPr>
              <w:t>本项目建成后若湘阴县第三污水处理厂尚未投入运行，本</w:t>
            </w:r>
            <w:r>
              <w:rPr>
                <w:sz w:val="24"/>
                <w:szCs w:val="24"/>
                <w:u w:val="none" w:color="auto"/>
              </w:rPr>
              <w:t>项目</w:t>
            </w:r>
            <w:r>
              <w:rPr>
                <w:rFonts w:hint="eastAsia"/>
                <w:sz w:val="24"/>
                <w:szCs w:val="24"/>
                <w:u w:val="none" w:color="auto"/>
                <w:lang w:val="en-US" w:eastAsia="zh-CN"/>
              </w:rPr>
              <w:t>生活</w:t>
            </w:r>
            <w:r>
              <w:rPr>
                <w:sz w:val="24"/>
                <w:szCs w:val="24"/>
                <w:u w:val="none" w:color="auto"/>
              </w:rPr>
              <w:t>污水通过化粪池处理后排入园区污水管网再进入</w:t>
            </w:r>
            <w:r>
              <w:rPr>
                <w:rFonts w:hint="eastAsia"/>
                <w:sz w:val="24"/>
                <w:szCs w:val="24"/>
                <w:u w:val="none" w:color="auto"/>
                <w:lang w:eastAsia="zh-CN"/>
              </w:rPr>
              <w:t>卓达金谷创业园自建的污水处理站</w:t>
            </w:r>
            <w:r>
              <w:rPr>
                <w:sz w:val="24"/>
                <w:szCs w:val="24"/>
                <w:u w:val="none" w:color="auto"/>
              </w:rPr>
              <w:t>处理</w:t>
            </w:r>
            <w:r>
              <w:rPr>
                <w:rFonts w:hAnsi="宋体"/>
                <w:sz w:val="24"/>
                <w:szCs w:val="24"/>
                <w:u w:val="none" w:color="auto"/>
              </w:rPr>
              <w:t>达</w:t>
            </w:r>
            <w:r>
              <w:rPr>
                <w:rFonts w:hint="eastAsia" w:hAnsi="宋体"/>
                <w:sz w:val="24"/>
                <w:szCs w:val="24"/>
                <w:u w:val="none" w:color="auto"/>
                <w:lang w:eastAsia="zh-CN"/>
              </w:rPr>
              <w:t>到</w:t>
            </w:r>
            <w:r>
              <w:rPr>
                <w:sz w:val="24"/>
                <w:szCs w:val="24"/>
                <w:u w:val="none" w:color="auto"/>
              </w:rPr>
              <w:t>《城镇污水处理厂污染物排放标准（GB18918—2002）》中一级标准的A类标准后</w:t>
            </w:r>
            <w:r>
              <w:rPr>
                <w:rFonts w:hint="eastAsia"/>
                <w:sz w:val="24"/>
                <w:szCs w:val="24"/>
                <w:u w:val="none" w:color="auto"/>
                <w:lang w:eastAsia="zh-CN"/>
              </w:rPr>
              <w:t>进入洋沙河</w:t>
            </w:r>
            <w:r>
              <w:rPr>
                <w:rFonts w:hint="eastAsia"/>
                <w:sz w:val="24"/>
                <w:szCs w:val="24"/>
                <w:u w:val="none" w:color="auto"/>
                <w:lang w:val="en-US" w:eastAsia="zh-CN"/>
              </w:rPr>
              <w:t>排入洋沙湖</w:t>
            </w:r>
            <w:r>
              <w:rPr>
                <w:sz w:val="24"/>
                <w:szCs w:val="24"/>
                <w:u w:val="none" w:color="auto"/>
              </w:rPr>
              <w:t>，最终汇入湘江</w:t>
            </w:r>
            <w:r>
              <w:rPr>
                <w:rFonts w:hint="eastAsia"/>
                <w:sz w:val="24"/>
                <w:szCs w:val="24"/>
                <w:u w:val="none" w:color="auto"/>
                <w:lang w:eastAsia="zh-CN"/>
              </w:rPr>
              <w:t>。</w:t>
            </w:r>
          </w:p>
          <w:p>
            <w:pPr>
              <w:pStyle w:val="4"/>
              <w:adjustRightInd w:val="0"/>
              <w:snapToGrid w:val="0"/>
              <w:spacing w:line="360" w:lineRule="auto"/>
              <w:ind w:firstLineChars="175"/>
              <w:rPr>
                <w:rFonts w:hint="eastAsia"/>
                <w:sz w:val="24"/>
                <w:u w:val="none" w:color="auto"/>
                <w:lang w:val="en-US" w:eastAsia="zh-CN"/>
              </w:rPr>
            </w:pPr>
            <w:r>
              <w:rPr>
                <w:rFonts w:hint="eastAsia"/>
                <w:sz w:val="24"/>
                <w:u w:val="none" w:color="auto"/>
                <w:lang w:eastAsia="zh-CN"/>
              </w:rPr>
              <w:t>卓达金谷</w:t>
            </w:r>
            <w:r>
              <w:rPr>
                <w:rFonts w:hint="eastAsia"/>
                <w:sz w:val="24"/>
                <w:u w:val="none" w:color="auto"/>
                <w:lang w:val="en-US" w:eastAsia="zh-CN"/>
              </w:rPr>
              <w:t>创业园</w:t>
            </w:r>
            <w:r>
              <w:rPr>
                <w:rFonts w:hint="eastAsia"/>
                <w:sz w:val="24"/>
                <w:u w:val="none" w:color="auto"/>
                <w:lang w:eastAsia="zh-CN"/>
              </w:rPr>
              <w:t>自建污水处理站位于金谷</w:t>
            </w:r>
            <w:r>
              <w:rPr>
                <w:rFonts w:hint="eastAsia"/>
                <w:sz w:val="24"/>
                <w:u w:val="none" w:color="auto"/>
                <w:lang w:val="en-US" w:eastAsia="zh-CN"/>
              </w:rPr>
              <w:t>置业公司</w:t>
            </w:r>
            <w:r>
              <w:rPr>
                <w:rFonts w:hint="eastAsia"/>
                <w:sz w:val="24"/>
                <w:u w:val="none" w:color="auto"/>
                <w:lang w:eastAsia="zh-CN"/>
              </w:rPr>
              <w:t>内，</w:t>
            </w:r>
            <w:r>
              <w:rPr>
                <w:rFonts w:hint="eastAsia"/>
                <w:sz w:val="24"/>
                <w:u w:val="none" w:color="auto"/>
                <w:lang w:val="en-US" w:eastAsia="zh-CN"/>
              </w:rPr>
              <w:t>其污水处理工艺主要为：污水收集--预处理--生化处理--生物过滤--物化处理--过滤--消毒--达标排放，污水处理过程中产生的废气统一收集，采用UV光解工艺处理后达标排放，污水处理站主体结构为地埋式。建设有格栅池、沉砂池、调节池、事故池、水解酸化池、缺氧池、接触氧化池、中间沉淀池、IBAF池、加药池、二级沉淀池、中间水池、清水池、排放堰、污泥池、污泥脱水间、风机房、设备间、办公室、电控室、在线监控室等设施。</w:t>
            </w:r>
          </w:p>
          <w:p>
            <w:pPr>
              <w:pStyle w:val="4"/>
              <w:adjustRightInd w:val="0"/>
              <w:snapToGrid w:val="0"/>
              <w:spacing w:line="360" w:lineRule="auto"/>
              <w:ind w:firstLineChars="175"/>
              <w:rPr>
                <w:rFonts w:hint="eastAsia"/>
                <w:sz w:val="24"/>
                <w:u w:val="none" w:color="auto"/>
                <w:lang w:val="en-US" w:eastAsia="zh-CN"/>
              </w:rPr>
            </w:pPr>
            <w:r>
              <w:rPr>
                <w:rFonts w:hint="eastAsia"/>
                <w:sz w:val="24"/>
                <w:u w:val="none" w:color="auto"/>
                <w:lang w:val="en-US" w:eastAsia="zh-CN"/>
              </w:rPr>
              <w:drawing>
                <wp:anchor distT="0" distB="0" distL="114300" distR="114300" simplePos="0" relativeHeight="1862439936" behindDoc="0" locked="0" layoutInCell="1" allowOverlap="1">
                  <wp:simplePos x="0" y="0"/>
                  <wp:positionH relativeFrom="column">
                    <wp:posOffset>168275</wp:posOffset>
                  </wp:positionH>
                  <wp:positionV relativeFrom="paragraph">
                    <wp:posOffset>6985</wp:posOffset>
                  </wp:positionV>
                  <wp:extent cx="5345430" cy="2580640"/>
                  <wp:effectExtent l="0" t="0" r="7620" b="10160"/>
                  <wp:wrapNone/>
                  <wp:docPr id="46" name="图片 46" descr="15971354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1597135463(1)"/>
                          <pic:cNvPicPr>
                            <a:picLocks noChangeAspect="1"/>
                          </pic:cNvPicPr>
                        </pic:nvPicPr>
                        <pic:blipFill>
                          <a:blip r:embed="rId21"/>
                          <a:stretch>
                            <a:fillRect/>
                          </a:stretch>
                        </pic:blipFill>
                        <pic:spPr>
                          <a:xfrm>
                            <a:off x="0" y="0"/>
                            <a:ext cx="5345430" cy="2580640"/>
                          </a:xfrm>
                          <a:prstGeom prst="rect">
                            <a:avLst/>
                          </a:prstGeom>
                        </pic:spPr>
                      </pic:pic>
                    </a:graphicData>
                  </a:graphic>
                </wp:anchor>
              </w:drawing>
            </w:r>
          </w:p>
          <w:p>
            <w:pPr>
              <w:pStyle w:val="4"/>
              <w:adjustRightInd w:val="0"/>
              <w:snapToGrid w:val="0"/>
              <w:spacing w:line="360" w:lineRule="auto"/>
              <w:ind w:firstLineChars="175"/>
              <w:rPr>
                <w:rFonts w:hint="eastAsia"/>
                <w:sz w:val="24"/>
                <w:u w:val="none" w:color="auto"/>
                <w:lang w:val="en-US" w:eastAsia="zh-CN"/>
              </w:rPr>
            </w:pPr>
          </w:p>
          <w:p>
            <w:pPr>
              <w:pStyle w:val="4"/>
              <w:adjustRightInd w:val="0"/>
              <w:snapToGrid w:val="0"/>
              <w:spacing w:line="360" w:lineRule="auto"/>
              <w:ind w:firstLineChars="175"/>
              <w:rPr>
                <w:rFonts w:hint="eastAsia"/>
                <w:sz w:val="24"/>
                <w:u w:val="none" w:color="auto"/>
                <w:lang w:val="en-US" w:eastAsia="zh-CN"/>
              </w:rPr>
            </w:pPr>
          </w:p>
          <w:p>
            <w:pPr>
              <w:pStyle w:val="4"/>
              <w:adjustRightInd w:val="0"/>
              <w:snapToGrid w:val="0"/>
              <w:spacing w:line="360" w:lineRule="auto"/>
              <w:ind w:firstLineChars="175"/>
              <w:rPr>
                <w:rFonts w:hint="eastAsia"/>
                <w:sz w:val="24"/>
                <w:u w:val="none" w:color="auto"/>
                <w:lang w:val="en-US" w:eastAsia="zh-CN"/>
              </w:rPr>
            </w:pPr>
          </w:p>
          <w:p>
            <w:pPr>
              <w:pStyle w:val="4"/>
              <w:adjustRightInd w:val="0"/>
              <w:snapToGrid w:val="0"/>
              <w:spacing w:line="360" w:lineRule="auto"/>
              <w:ind w:left="0" w:leftChars="0" w:firstLine="0" w:firstLineChars="0"/>
              <w:rPr>
                <w:rFonts w:hint="eastAsia"/>
                <w:sz w:val="24"/>
                <w:u w:val="none" w:color="auto"/>
                <w:lang w:val="en-US" w:eastAsia="zh-CN"/>
              </w:rPr>
            </w:pPr>
          </w:p>
          <w:p>
            <w:pPr>
              <w:pStyle w:val="4"/>
              <w:adjustRightInd w:val="0"/>
              <w:snapToGrid w:val="0"/>
              <w:spacing w:line="360" w:lineRule="auto"/>
              <w:ind w:firstLineChars="175"/>
              <w:jc w:val="center"/>
              <w:rPr>
                <w:rFonts w:hint="eastAsia"/>
                <w:sz w:val="24"/>
                <w:u w:val="none" w:color="auto"/>
                <w:lang w:val="en-US" w:eastAsia="zh-CN"/>
              </w:rPr>
            </w:pPr>
          </w:p>
          <w:p>
            <w:pPr>
              <w:pStyle w:val="4"/>
              <w:adjustRightInd w:val="0"/>
              <w:snapToGrid w:val="0"/>
              <w:spacing w:line="360" w:lineRule="auto"/>
              <w:ind w:firstLineChars="175"/>
              <w:jc w:val="center"/>
              <w:rPr>
                <w:rFonts w:hint="eastAsia"/>
                <w:sz w:val="24"/>
                <w:u w:val="none" w:color="auto"/>
                <w:lang w:val="en-US" w:eastAsia="zh-CN"/>
              </w:rPr>
            </w:pPr>
          </w:p>
          <w:p>
            <w:pPr>
              <w:pStyle w:val="4"/>
              <w:adjustRightInd w:val="0"/>
              <w:snapToGrid w:val="0"/>
              <w:spacing w:line="360" w:lineRule="auto"/>
              <w:ind w:firstLineChars="175"/>
              <w:jc w:val="center"/>
              <w:rPr>
                <w:rFonts w:hint="default"/>
                <w:sz w:val="24"/>
                <w:u w:val="none" w:color="auto"/>
                <w:lang w:val="en-US" w:eastAsia="zh-CN"/>
              </w:rPr>
            </w:pPr>
            <w:r>
              <w:rPr>
                <w:rFonts w:hint="eastAsia"/>
                <w:sz w:val="24"/>
                <w:u w:val="none" w:color="auto"/>
                <w:lang w:val="en-US" w:eastAsia="zh-CN"/>
              </w:rPr>
              <w:t>表7-1  卓达金谷创业园污水处理工艺</w:t>
            </w:r>
          </w:p>
          <w:p>
            <w:pPr>
              <w:pStyle w:val="4"/>
              <w:adjustRightInd w:val="0"/>
              <w:snapToGrid w:val="0"/>
              <w:spacing w:line="360" w:lineRule="auto"/>
              <w:ind w:firstLineChars="175"/>
              <w:rPr>
                <w:rFonts w:hint="default" w:eastAsia="宋体"/>
                <w:sz w:val="24"/>
                <w:u w:val="none" w:color="auto"/>
                <w:lang w:val="en-US" w:eastAsia="zh-CN"/>
              </w:rPr>
            </w:pPr>
            <w:r>
              <w:rPr>
                <w:rFonts w:hint="eastAsia"/>
                <w:sz w:val="24"/>
                <w:u w:val="none" w:color="auto"/>
                <w:lang w:val="en-US" w:eastAsia="zh-CN"/>
              </w:rPr>
              <w:t>本项目生活污水总排放量为600m</w:t>
            </w:r>
            <w:r>
              <w:rPr>
                <w:rFonts w:hint="eastAsia"/>
                <w:sz w:val="24"/>
                <w:u w:val="none" w:color="auto"/>
                <w:vertAlign w:val="superscript"/>
                <w:lang w:val="en-US" w:eastAsia="zh-CN"/>
              </w:rPr>
              <w:t>3</w:t>
            </w:r>
            <w:r>
              <w:rPr>
                <w:rFonts w:hint="eastAsia"/>
                <w:sz w:val="24"/>
                <w:u w:val="none" w:color="auto"/>
                <w:lang w:val="en-US" w:eastAsia="zh-CN"/>
              </w:rPr>
              <w:t>/a（约</w:t>
            </w:r>
            <w:r>
              <w:rPr>
                <w:rFonts w:hint="eastAsia" w:cs="Times New Roman"/>
                <w:sz w:val="24"/>
                <w:szCs w:val="24"/>
                <w:u w:val="none" w:color="auto"/>
                <w:lang w:val="en-US" w:eastAsia="zh-CN"/>
              </w:rPr>
              <w:t>2</w:t>
            </w:r>
            <w:r>
              <w:rPr>
                <w:rFonts w:hint="default" w:ascii="Times New Roman" w:hAnsi="Times New Roman" w:cs="Times New Roman"/>
                <w:bCs/>
                <w:sz w:val="24"/>
                <w:szCs w:val="24"/>
                <w:u w:val="none" w:color="auto"/>
              </w:rPr>
              <w:t>m</w:t>
            </w:r>
            <w:r>
              <w:rPr>
                <w:rFonts w:hint="default" w:ascii="Times New Roman" w:hAnsi="Times New Roman" w:cs="Times New Roman"/>
                <w:bCs/>
                <w:sz w:val="24"/>
                <w:szCs w:val="24"/>
                <w:u w:val="none" w:color="auto"/>
                <w:vertAlign w:val="superscript"/>
              </w:rPr>
              <w:t>3</w:t>
            </w:r>
            <w:r>
              <w:rPr>
                <w:rFonts w:hint="default" w:ascii="Times New Roman" w:hAnsi="Times New Roman" w:cs="Times New Roman"/>
                <w:bCs/>
                <w:sz w:val="24"/>
                <w:szCs w:val="24"/>
                <w:u w:val="none" w:color="auto"/>
              </w:rPr>
              <w:t>/d</w:t>
            </w:r>
            <w:r>
              <w:rPr>
                <w:rFonts w:hint="eastAsia"/>
                <w:sz w:val="24"/>
                <w:u w:val="none" w:color="auto"/>
                <w:lang w:val="en-US" w:eastAsia="zh-CN"/>
              </w:rPr>
              <w:t>），自建的污水处理站处理量为1500m</w:t>
            </w:r>
            <w:r>
              <w:rPr>
                <w:rFonts w:hint="eastAsia"/>
                <w:sz w:val="24"/>
                <w:u w:val="none" w:color="auto"/>
                <w:vertAlign w:val="superscript"/>
                <w:lang w:val="en-US" w:eastAsia="zh-CN"/>
              </w:rPr>
              <w:t>3</w:t>
            </w:r>
            <w:r>
              <w:rPr>
                <w:rFonts w:hint="eastAsia"/>
                <w:sz w:val="24"/>
                <w:u w:val="none" w:color="auto"/>
                <w:lang w:val="en-US" w:eastAsia="zh-CN"/>
              </w:rPr>
              <w:t>/d，目前自建的污水处理站实际处理水量约为1075</w:t>
            </w:r>
            <w:r>
              <w:rPr>
                <w:rFonts w:hint="default" w:ascii="Times New Roman" w:hAnsi="Times New Roman" w:cs="Times New Roman"/>
                <w:bCs/>
                <w:sz w:val="24"/>
                <w:szCs w:val="24"/>
                <w:u w:val="none" w:color="auto"/>
              </w:rPr>
              <w:t>m</w:t>
            </w:r>
            <w:r>
              <w:rPr>
                <w:rFonts w:hint="default" w:ascii="Times New Roman" w:hAnsi="Times New Roman" w:cs="Times New Roman"/>
                <w:bCs/>
                <w:sz w:val="24"/>
                <w:szCs w:val="24"/>
                <w:u w:val="none" w:color="auto"/>
                <w:vertAlign w:val="superscript"/>
              </w:rPr>
              <w:t>3</w:t>
            </w:r>
            <w:r>
              <w:rPr>
                <w:rFonts w:hint="default" w:ascii="Times New Roman" w:hAnsi="Times New Roman" w:cs="Times New Roman"/>
                <w:bCs/>
                <w:sz w:val="24"/>
                <w:szCs w:val="24"/>
                <w:u w:val="none" w:color="auto"/>
              </w:rPr>
              <w:t>/d</w:t>
            </w:r>
            <w:r>
              <w:rPr>
                <w:rFonts w:hint="eastAsia" w:cs="Times New Roman"/>
                <w:bCs/>
                <w:sz w:val="24"/>
                <w:szCs w:val="24"/>
                <w:u w:val="none" w:color="auto"/>
                <w:lang w:eastAsia="zh-CN"/>
              </w:rPr>
              <w:t>，</w:t>
            </w:r>
            <w:r>
              <w:rPr>
                <w:rFonts w:hint="eastAsia" w:cs="Times New Roman"/>
                <w:bCs/>
                <w:sz w:val="24"/>
                <w:szCs w:val="24"/>
                <w:u w:val="none" w:color="auto"/>
                <w:lang w:val="en-US" w:eastAsia="zh-CN"/>
              </w:rPr>
              <w:t>还有余量接收本项目产生的生活污水。该自建的污水处理站现处理金龙新区工业园污水（在湘阴县第三污水处理厂未建成前的过渡污水处理设施），本项目位于该自建的污水处理站纳污范围内，废水可排入污水处理站内处理，本项目生活污水经自建的污水处理站处理后，各污染物的浓度均可达到相关排放要求，故本项目污水排入园区自建的污水处理站是可行的。</w:t>
            </w:r>
          </w:p>
          <w:p>
            <w:pPr>
              <w:pStyle w:val="187"/>
              <w:spacing w:line="360" w:lineRule="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污水进入湖南</w:t>
            </w:r>
            <w:r>
              <w:rPr>
                <w:rFonts w:hint="default" w:ascii="Times New Roman" w:hAnsi="Times New Roman" w:cs="Times New Roman"/>
                <w:color w:val="auto"/>
                <w:sz w:val="24"/>
                <w:szCs w:val="24"/>
                <w:u w:val="none" w:color="auto"/>
                <w:lang w:eastAsia="zh-CN"/>
              </w:rPr>
              <w:t>湘阴县</w:t>
            </w:r>
            <w:r>
              <w:rPr>
                <w:rFonts w:hint="default" w:ascii="Times New Roman" w:hAnsi="Times New Roman" w:cs="Times New Roman"/>
                <w:color w:val="auto"/>
                <w:sz w:val="24"/>
                <w:szCs w:val="24"/>
                <w:u w:val="none" w:color="auto"/>
              </w:rPr>
              <w:t>金龙新区污水处理厂</w:t>
            </w:r>
            <w:r>
              <w:rPr>
                <w:rFonts w:hint="eastAsia" w:cs="Times New Roman"/>
                <w:color w:val="auto"/>
                <w:sz w:val="24"/>
                <w:szCs w:val="24"/>
                <w:u w:val="none" w:color="auto"/>
                <w:lang w:eastAsia="zh-CN"/>
              </w:rPr>
              <w:t>（湘阴县第三污水处理厂）</w:t>
            </w:r>
            <w:r>
              <w:rPr>
                <w:rFonts w:hint="default" w:ascii="Times New Roman" w:hAnsi="Times New Roman" w:cs="Times New Roman"/>
                <w:color w:val="auto"/>
                <w:sz w:val="24"/>
                <w:szCs w:val="24"/>
                <w:u w:val="none" w:color="auto"/>
              </w:rPr>
              <w:t>可行性分析</w:t>
            </w:r>
          </w:p>
          <w:p>
            <w:pPr>
              <w:pStyle w:val="174"/>
              <w:spacing w:line="360" w:lineRule="auto"/>
              <w:ind w:firstLine="466" w:firstLineChars="200"/>
              <w:rPr>
                <w:rFonts w:hint="default" w:ascii="Times New Roman" w:hAnsi="Times New Roman" w:cs="Times New Roman"/>
                <w:color w:val="auto"/>
                <w:sz w:val="24"/>
                <w:szCs w:val="24"/>
                <w:u w:val="none" w:color="auto"/>
              </w:rPr>
            </w:pPr>
            <w:r>
              <w:rPr>
                <w:rFonts w:hint="eastAsia" w:ascii="宋体" w:hAnsi="宋体"/>
                <w:color w:val="auto"/>
                <w:sz w:val="24"/>
                <w:u w:val="none" w:color="auto"/>
              </w:rPr>
              <w:t>湖南湘阴县第三污水处理厂位于湖南</w:t>
            </w:r>
            <w:r>
              <w:rPr>
                <w:rFonts w:hint="eastAsia"/>
                <w:snapToGrid w:val="0"/>
                <w:color w:val="auto"/>
                <w:sz w:val="24"/>
                <w:u w:val="none" w:color="auto"/>
              </w:rPr>
              <w:t>金龙镇金华村</w:t>
            </w:r>
            <w:r>
              <w:rPr>
                <w:rFonts w:hint="eastAsia" w:ascii="宋体" w:hAnsi="宋体"/>
                <w:color w:val="auto"/>
                <w:sz w:val="24"/>
                <w:u w:val="none" w:color="auto"/>
              </w:rPr>
              <w:t>，处理能力为</w:t>
            </w:r>
            <w:r>
              <w:rPr>
                <w:rFonts w:hint="eastAsia"/>
                <w:color w:val="auto"/>
                <w:sz w:val="24"/>
                <w:u w:val="none" w:color="auto"/>
              </w:rPr>
              <w:t>2</w:t>
            </w:r>
            <w:r>
              <w:rPr>
                <w:rFonts w:hint="eastAsia" w:ascii="宋体" w:hAnsi="宋体"/>
                <w:color w:val="auto"/>
                <w:sz w:val="24"/>
                <w:u w:val="none" w:color="auto"/>
              </w:rPr>
              <w:t>万</w:t>
            </w:r>
            <w:r>
              <w:rPr>
                <w:rFonts w:hint="eastAsia"/>
                <w:color w:val="auto"/>
                <w:sz w:val="24"/>
                <w:u w:val="none" w:color="auto"/>
              </w:rPr>
              <w:t>t/d</w:t>
            </w:r>
            <w:r>
              <w:rPr>
                <w:rFonts w:hint="eastAsia" w:ascii="宋体" w:hAnsi="宋体"/>
                <w:color w:val="auto"/>
                <w:sz w:val="24"/>
                <w:u w:val="none" w:color="auto"/>
              </w:rPr>
              <w:t>，采用卡鲁塞尔氧化沟工艺，污水经进水泵房提升后，进入细格栅间及涡流沉砂池处理，然后进入氧化沟进行生物处理，再进入二沉池进行泥水分离后达标排放。二沉池泥水分离过程中产生的污泥一部分通过回流泵房进入氧化沟循环利用，一部分以剩余污泥的形式进入脱水车间经脱水后形成干污泥，再外运填埋处理。湖南湘阴县第三污水处理厂主要收集金龙镇区域和金龙工业小区，项目建成后将接纳金龙镇区域生活污水和金龙工业小区工业污水</w:t>
            </w:r>
            <w:r>
              <w:rPr>
                <w:rFonts w:hint="default" w:ascii="Times New Roman" w:hAnsi="Times New Roman" w:cs="Times New Roman"/>
                <w:color w:val="auto"/>
                <w:sz w:val="24"/>
                <w:szCs w:val="24"/>
                <w:u w:val="none" w:color="auto"/>
              </w:rPr>
              <w:t>。</w:t>
            </w:r>
          </w:p>
          <w:p>
            <w:pPr>
              <w:pStyle w:val="174"/>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湖南</w:t>
            </w:r>
            <w:r>
              <w:rPr>
                <w:rFonts w:hint="default" w:ascii="Times New Roman" w:hAnsi="Times New Roman" w:cs="Times New Roman"/>
                <w:color w:val="auto"/>
                <w:sz w:val="24"/>
                <w:szCs w:val="24"/>
                <w:u w:val="none" w:color="auto"/>
                <w:lang w:eastAsia="zh-CN"/>
              </w:rPr>
              <w:t>湘阴县</w:t>
            </w:r>
            <w:r>
              <w:rPr>
                <w:rFonts w:hint="default" w:ascii="Times New Roman" w:hAnsi="Times New Roman" w:cs="Times New Roman"/>
                <w:color w:val="auto"/>
                <w:sz w:val="24"/>
                <w:szCs w:val="24"/>
                <w:u w:val="none" w:color="auto"/>
              </w:rPr>
              <w:t>金龙新区污水处理厂</w:t>
            </w:r>
            <w:r>
              <w:rPr>
                <w:rFonts w:hint="eastAsia" w:cs="Times New Roman"/>
                <w:color w:val="auto"/>
                <w:sz w:val="24"/>
                <w:szCs w:val="24"/>
                <w:u w:val="none" w:color="auto"/>
                <w:lang w:eastAsia="zh-CN"/>
              </w:rPr>
              <w:t>（湘阴县第三污水处理厂）</w:t>
            </w:r>
            <w:r>
              <w:rPr>
                <w:rFonts w:hint="default" w:ascii="Times New Roman" w:hAnsi="Times New Roman" w:cs="Times New Roman"/>
                <w:color w:val="auto"/>
                <w:sz w:val="24"/>
                <w:szCs w:val="24"/>
                <w:u w:val="none" w:color="auto"/>
              </w:rPr>
              <w:t>主要收集金龙新区工业园区、金龙镇的生活污水和工业废水。根据调查，本项目位于</w:t>
            </w:r>
            <w:r>
              <w:rPr>
                <w:rFonts w:hint="eastAsia" w:cs="Times New Roman"/>
                <w:color w:val="auto"/>
                <w:sz w:val="24"/>
                <w:szCs w:val="24"/>
                <w:u w:val="none" w:color="auto"/>
                <w:lang w:val="en-US" w:eastAsia="zh-CN"/>
              </w:rPr>
              <w:t>岳阳市金龙新区工业园内，属于</w:t>
            </w:r>
            <w:r>
              <w:rPr>
                <w:rFonts w:hint="default" w:ascii="Times New Roman" w:hAnsi="Times New Roman" w:cs="Times New Roman"/>
                <w:color w:val="auto"/>
                <w:sz w:val="24"/>
                <w:szCs w:val="24"/>
                <w:u w:val="none" w:color="auto"/>
              </w:rPr>
              <w:t>湖南</w:t>
            </w:r>
            <w:r>
              <w:rPr>
                <w:rFonts w:hint="default" w:ascii="Times New Roman" w:hAnsi="Times New Roman" w:cs="Times New Roman"/>
                <w:color w:val="auto"/>
                <w:sz w:val="24"/>
                <w:szCs w:val="24"/>
                <w:u w:val="none" w:color="auto"/>
                <w:lang w:eastAsia="zh-CN"/>
              </w:rPr>
              <w:t>湘阴县</w:t>
            </w:r>
            <w:r>
              <w:rPr>
                <w:rFonts w:hint="default" w:ascii="Times New Roman" w:hAnsi="Times New Roman" w:cs="Times New Roman"/>
                <w:color w:val="auto"/>
                <w:sz w:val="24"/>
                <w:szCs w:val="24"/>
                <w:u w:val="none" w:color="auto"/>
              </w:rPr>
              <w:t>金龙新区污水处理厂纳污区域</w:t>
            </w:r>
            <w:r>
              <w:rPr>
                <w:rFonts w:hint="eastAsia" w:cs="Times New Roman"/>
                <w:color w:val="auto"/>
                <w:sz w:val="24"/>
                <w:szCs w:val="24"/>
                <w:u w:val="none" w:color="auto"/>
                <w:lang w:val="en-US" w:eastAsia="zh-CN"/>
              </w:rPr>
              <w:t>内</w:t>
            </w:r>
            <w:r>
              <w:rPr>
                <w:rFonts w:hint="default" w:ascii="Times New Roman" w:hAnsi="Times New Roman" w:cs="Times New Roman"/>
                <w:color w:val="auto"/>
                <w:sz w:val="24"/>
                <w:szCs w:val="24"/>
                <w:u w:val="none" w:color="auto"/>
              </w:rPr>
              <w:t>。</w:t>
            </w:r>
          </w:p>
          <w:p>
            <w:pPr>
              <w:pStyle w:val="174"/>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项目处于湖南</w:t>
            </w:r>
            <w:r>
              <w:rPr>
                <w:rFonts w:hint="default" w:ascii="Times New Roman" w:hAnsi="Times New Roman" w:cs="Times New Roman"/>
                <w:color w:val="auto"/>
                <w:sz w:val="24"/>
                <w:szCs w:val="24"/>
                <w:u w:val="none" w:color="auto"/>
                <w:lang w:eastAsia="zh-CN"/>
              </w:rPr>
              <w:t>湘阴县</w:t>
            </w:r>
            <w:r>
              <w:rPr>
                <w:rFonts w:hint="default" w:ascii="Times New Roman" w:hAnsi="Times New Roman" w:cs="Times New Roman"/>
                <w:color w:val="auto"/>
                <w:sz w:val="24"/>
                <w:szCs w:val="24"/>
                <w:u w:val="none" w:color="auto"/>
              </w:rPr>
              <w:t>金龙新区污水处理厂</w:t>
            </w:r>
            <w:r>
              <w:rPr>
                <w:rFonts w:hint="eastAsia" w:cs="Times New Roman"/>
                <w:color w:val="auto"/>
                <w:sz w:val="24"/>
                <w:szCs w:val="24"/>
                <w:u w:val="none" w:color="auto"/>
                <w:lang w:eastAsia="zh-CN"/>
              </w:rPr>
              <w:t>（湘阴县第三污水处理厂）</w:t>
            </w:r>
            <w:r>
              <w:rPr>
                <w:rFonts w:hint="default" w:ascii="Times New Roman" w:hAnsi="Times New Roman" w:cs="Times New Roman"/>
                <w:color w:val="auto"/>
                <w:sz w:val="24"/>
                <w:szCs w:val="24"/>
                <w:u w:val="none" w:color="auto"/>
              </w:rPr>
              <w:t>纳污范围内，区域污水管网正在加紧建设中。</w:t>
            </w:r>
            <w:r>
              <w:rPr>
                <w:rFonts w:hint="eastAsia" w:cs="Times New Roman"/>
                <w:color w:val="auto"/>
                <w:sz w:val="24"/>
                <w:szCs w:val="24"/>
                <w:u w:val="none" w:color="auto"/>
                <w:lang w:val="en-US" w:eastAsia="zh-CN"/>
              </w:rPr>
              <w:t>本</w:t>
            </w:r>
            <w:r>
              <w:rPr>
                <w:rFonts w:hint="default" w:ascii="Times New Roman" w:hAnsi="Times New Roman" w:cs="Times New Roman"/>
                <w:color w:val="auto"/>
                <w:sz w:val="24"/>
                <w:szCs w:val="24"/>
                <w:u w:val="none" w:color="auto"/>
              </w:rPr>
              <w:t>项目建成营运后，污水排放量为</w:t>
            </w:r>
            <w:r>
              <w:rPr>
                <w:rFonts w:hint="eastAsia" w:cs="Times New Roman"/>
                <w:color w:val="auto"/>
                <w:sz w:val="24"/>
                <w:szCs w:val="24"/>
                <w:u w:val="none" w:color="auto"/>
                <w:lang w:val="en-US" w:eastAsia="zh-CN"/>
              </w:rPr>
              <w:t>2</w:t>
            </w:r>
            <w:r>
              <w:rPr>
                <w:rFonts w:hint="default" w:ascii="Times New Roman" w:hAnsi="Times New Roman" w:cs="Times New Roman"/>
                <w:color w:val="auto"/>
                <w:sz w:val="24"/>
                <w:szCs w:val="24"/>
                <w:u w:val="none" w:color="auto"/>
              </w:rPr>
              <w:t>m</w:t>
            </w:r>
            <w:r>
              <w:rPr>
                <w:rFonts w:hint="default" w:ascii="Times New Roman" w:hAnsi="Times New Roman" w:cs="Times New Roman"/>
                <w:color w:val="auto"/>
                <w:sz w:val="24"/>
                <w:szCs w:val="24"/>
                <w:u w:val="none" w:color="auto"/>
                <w:vertAlign w:val="superscript"/>
              </w:rPr>
              <w:t>3</w:t>
            </w:r>
            <w:r>
              <w:rPr>
                <w:rFonts w:hint="default" w:ascii="Times New Roman" w:hAnsi="Times New Roman" w:cs="Times New Roman"/>
                <w:color w:val="auto"/>
                <w:sz w:val="24"/>
                <w:szCs w:val="24"/>
                <w:u w:val="none" w:color="auto"/>
              </w:rPr>
              <w:t>/d，主要来自于管理人员的生活</w:t>
            </w:r>
            <w:r>
              <w:rPr>
                <w:rFonts w:hint="default" w:ascii="Times New Roman" w:hAnsi="Times New Roman" w:cs="Times New Roman"/>
                <w:color w:val="auto"/>
                <w:sz w:val="24"/>
                <w:szCs w:val="24"/>
                <w:u w:val="none" w:color="auto"/>
                <w:lang w:eastAsia="zh-CN"/>
              </w:rPr>
              <w:t>污水</w:t>
            </w:r>
            <w:r>
              <w:rPr>
                <w:rFonts w:hint="default" w:ascii="Times New Roman" w:hAnsi="Times New Roman" w:cs="Times New Roman"/>
                <w:color w:val="auto"/>
                <w:sz w:val="24"/>
                <w:szCs w:val="24"/>
                <w:u w:val="none" w:color="auto"/>
              </w:rPr>
              <w:t>，主要污染物为COD</w:t>
            </w:r>
            <w:r>
              <w:rPr>
                <w:rFonts w:hint="default" w:ascii="Times New Roman" w:hAnsi="Times New Roman" w:cs="Times New Roman"/>
                <w:color w:val="auto"/>
                <w:sz w:val="24"/>
                <w:szCs w:val="24"/>
                <w:u w:val="none" w:color="auto"/>
                <w:vertAlign w:val="subscript"/>
              </w:rPr>
              <w:t>Cr</w:t>
            </w:r>
            <w:r>
              <w:rPr>
                <w:rFonts w:hint="default" w:ascii="Times New Roman" w:hAnsi="Times New Roman" w:cs="Times New Roman"/>
                <w:color w:val="auto"/>
                <w:sz w:val="24"/>
                <w:szCs w:val="24"/>
                <w:u w:val="none" w:color="auto"/>
              </w:rPr>
              <w:t>、BOD</w:t>
            </w:r>
            <w:r>
              <w:rPr>
                <w:rFonts w:hint="default" w:ascii="Times New Roman" w:hAnsi="Times New Roman" w:cs="Times New Roman"/>
                <w:color w:val="auto"/>
                <w:sz w:val="24"/>
                <w:szCs w:val="24"/>
                <w:u w:val="none" w:color="auto"/>
                <w:vertAlign w:val="subscript"/>
              </w:rPr>
              <w:t>5</w:t>
            </w:r>
            <w:r>
              <w:rPr>
                <w:rFonts w:hint="default" w:ascii="Times New Roman" w:hAnsi="Times New Roman" w:cs="Times New Roman"/>
                <w:color w:val="auto"/>
                <w:sz w:val="24"/>
                <w:szCs w:val="24"/>
                <w:u w:val="none" w:color="auto"/>
              </w:rPr>
              <w:t>、NH</w:t>
            </w:r>
            <w:r>
              <w:rPr>
                <w:rFonts w:hint="default" w:ascii="Times New Roman" w:hAnsi="Times New Roman" w:cs="Times New Roman"/>
                <w:color w:val="auto"/>
                <w:sz w:val="24"/>
                <w:szCs w:val="24"/>
                <w:u w:val="none" w:color="auto"/>
                <w:vertAlign w:val="subscript"/>
              </w:rPr>
              <w:t>3</w:t>
            </w:r>
            <w:r>
              <w:rPr>
                <w:rFonts w:hint="default" w:ascii="Times New Roman" w:hAnsi="Times New Roman" w:cs="Times New Roman"/>
                <w:color w:val="auto"/>
                <w:sz w:val="24"/>
                <w:szCs w:val="24"/>
                <w:u w:val="none" w:color="auto"/>
              </w:rPr>
              <w:t>-N、SS、动植物油，均为工业园污水处理厂常规处理项目。污水经</w:t>
            </w:r>
            <w:r>
              <w:rPr>
                <w:rFonts w:hint="default" w:ascii="Times New Roman" w:hAnsi="Times New Roman" w:cs="Times New Roman"/>
                <w:color w:val="auto"/>
                <w:sz w:val="24"/>
                <w:szCs w:val="24"/>
                <w:u w:val="none" w:color="auto"/>
                <w:lang w:eastAsia="zh-CN"/>
              </w:rPr>
              <w:t>化粪池</w:t>
            </w:r>
            <w:r>
              <w:rPr>
                <w:rFonts w:hint="default" w:ascii="Times New Roman" w:hAnsi="Times New Roman" w:cs="Times New Roman"/>
                <w:color w:val="auto"/>
                <w:sz w:val="24"/>
                <w:szCs w:val="24"/>
                <w:u w:val="none" w:color="auto"/>
              </w:rPr>
              <w:t>处理后进入园区污水管网汇入湖南</w:t>
            </w:r>
            <w:r>
              <w:rPr>
                <w:rFonts w:hint="default" w:ascii="Times New Roman" w:hAnsi="Times New Roman" w:cs="Times New Roman"/>
                <w:color w:val="auto"/>
                <w:sz w:val="24"/>
                <w:szCs w:val="24"/>
                <w:u w:val="none" w:color="auto"/>
                <w:lang w:eastAsia="zh-CN"/>
              </w:rPr>
              <w:t>湘阴县</w:t>
            </w:r>
            <w:r>
              <w:rPr>
                <w:rFonts w:hint="default" w:ascii="Times New Roman" w:hAnsi="Times New Roman" w:cs="Times New Roman"/>
                <w:color w:val="auto"/>
                <w:sz w:val="24"/>
                <w:szCs w:val="24"/>
                <w:u w:val="none" w:color="auto"/>
              </w:rPr>
              <w:t>金龙新区污水处理厂，不会对该厂水质、水量造成冲击。因此，本项目污水纳入工业园污水处理厂集中处理是可行可靠的。</w:t>
            </w:r>
          </w:p>
          <w:p>
            <w:pPr>
              <w:pStyle w:val="174"/>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项目废水经湖南</w:t>
            </w:r>
            <w:r>
              <w:rPr>
                <w:rFonts w:hint="default" w:ascii="Times New Roman" w:hAnsi="Times New Roman" w:cs="Times New Roman"/>
                <w:color w:val="auto"/>
                <w:sz w:val="24"/>
                <w:szCs w:val="24"/>
                <w:u w:val="none" w:color="auto"/>
                <w:lang w:eastAsia="zh-CN"/>
              </w:rPr>
              <w:t>湘阴县</w:t>
            </w:r>
            <w:r>
              <w:rPr>
                <w:rFonts w:hint="default" w:ascii="Times New Roman" w:hAnsi="Times New Roman" w:cs="Times New Roman"/>
                <w:color w:val="auto"/>
                <w:sz w:val="24"/>
                <w:szCs w:val="24"/>
                <w:u w:val="none" w:color="auto"/>
              </w:rPr>
              <w:t>金龙新区污水处理厂处理后，达到《城镇污水处理厂污染物排放标准》（GB18918-2002）中的一级标准（A标准）后排入</w:t>
            </w:r>
            <w:r>
              <w:rPr>
                <w:rFonts w:hint="default" w:ascii="Times New Roman" w:hAnsi="Times New Roman" w:cs="Times New Roman"/>
                <w:color w:val="auto"/>
                <w:sz w:val="24"/>
                <w:szCs w:val="24"/>
                <w:u w:val="none" w:color="auto"/>
                <w:lang w:eastAsia="zh-CN"/>
              </w:rPr>
              <w:t>洋沙河</w:t>
            </w:r>
            <w:r>
              <w:rPr>
                <w:rFonts w:hint="eastAsia" w:cs="Times New Roman"/>
                <w:color w:val="auto"/>
                <w:sz w:val="24"/>
                <w:szCs w:val="24"/>
                <w:u w:val="none" w:color="auto"/>
                <w:lang w:val="en-US" w:eastAsia="zh-CN"/>
              </w:rPr>
              <w:t>进入洋沙湖</w:t>
            </w:r>
            <w:r>
              <w:rPr>
                <w:rFonts w:hint="default" w:ascii="Times New Roman" w:hAnsi="Times New Roman" w:cs="Times New Roman"/>
                <w:color w:val="auto"/>
                <w:sz w:val="24"/>
                <w:szCs w:val="24"/>
                <w:u w:val="none" w:color="auto"/>
                <w:lang w:eastAsia="zh-CN"/>
              </w:rPr>
              <w:t>，最终汇入</w:t>
            </w:r>
            <w:r>
              <w:rPr>
                <w:rFonts w:hint="default" w:ascii="Times New Roman" w:hAnsi="Times New Roman" w:cs="Times New Roman"/>
                <w:color w:val="auto"/>
                <w:sz w:val="24"/>
                <w:szCs w:val="24"/>
                <w:u w:val="none" w:color="auto"/>
              </w:rPr>
              <w:t>湘江。因此，项目废水达标排放后对</w:t>
            </w:r>
            <w:r>
              <w:rPr>
                <w:rFonts w:hint="eastAsia" w:cs="Times New Roman"/>
                <w:color w:val="auto"/>
                <w:sz w:val="24"/>
                <w:szCs w:val="24"/>
                <w:u w:val="none" w:color="auto"/>
                <w:lang w:val="en-US" w:eastAsia="zh-CN"/>
              </w:rPr>
              <w:t>洋沙河、洋沙湖和</w:t>
            </w:r>
            <w:r>
              <w:rPr>
                <w:rFonts w:hint="default" w:ascii="Times New Roman" w:hAnsi="Times New Roman" w:cs="Times New Roman"/>
                <w:color w:val="auto"/>
                <w:sz w:val="24"/>
                <w:szCs w:val="24"/>
                <w:u w:val="none" w:color="auto"/>
              </w:rPr>
              <w:t>湘江水质影响较小。</w:t>
            </w:r>
          </w:p>
          <w:p>
            <w:pPr>
              <w:pStyle w:val="4"/>
              <w:adjustRightInd w:val="0"/>
              <w:snapToGrid w:val="0"/>
              <w:spacing w:line="360" w:lineRule="auto"/>
              <w:ind w:firstLineChars="175"/>
              <w:rPr>
                <w:rFonts w:hint="default" w:eastAsia="宋体"/>
                <w:sz w:val="24"/>
                <w:szCs w:val="24"/>
                <w:u w:val="none" w:color="auto"/>
                <w:lang w:val="en-US" w:eastAsia="zh-CN"/>
              </w:rPr>
            </w:pPr>
            <w:r>
              <w:rPr>
                <w:rFonts w:hint="default" w:ascii="Times New Roman" w:hAnsi="Times New Roman" w:cs="Times New Roman"/>
                <w:color w:val="auto"/>
                <w:sz w:val="24"/>
                <w:szCs w:val="24"/>
                <w:u w:val="none" w:color="auto"/>
              </w:rPr>
              <w:t>故本项目</w:t>
            </w:r>
            <w:r>
              <w:rPr>
                <w:rFonts w:hint="default" w:ascii="Times New Roman" w:hAnsi="Times New Roman" w:cs="Times New Roman"/>
                <w:color w:val="auto"/>
                <w:sz w:val="24"/>
                <w:szCs w:val="24"/>
                <w:u w:val="none" w:color="auto"/>
                <w:lang w:eastAsia="zh-CN"/>
              </w:rPr>
              <w:t>生活污水</w:t>
            </w:r>
            <w:r>
              <w:rPr>
                <w:rFonts w:hint="default" w:ascii="Times New Roman" w:hAnsi="Times New Roman" w:cs="Times New Roman"/>
                <w:color w:val="auto"/>
                <w:sz w:val="24"/>
                <w:szCs w:val="24"/>
                <w:u w:val="none" w:color="auto"/>
              </w:rPr>
              <w:t>通过上述措施处理后可达标排放，不会对周边环境造成明显的影响</w:t>
            </w:r>
            <w:r>
              <w:rPr>
                <w:rFonts w:hint="eastAsia"/>
                <w:sz w:val="24"/>
                <w:szCs w:val="24"/>
                <w:u w:val="none" w:color="auto"/>
                <w:lang w:eastAsia="zh-CN"/>
              </w:rPr>
              <w:t>。</w:t>
            </w:r>
          </w:p>
          <w:p>
            <w:pPr>
              <w:pStyle w:val="185"/>
              <w:keepNext w:val="0"/>
              <w:keepLines w:val="0"/>
              <w:pageBreakBefore w:val="0"/>
              <w:widowControl w:val="0"/>
              <w:kinsoku/>
              <w:wordWrap/>
              <w:overflowPunct/>
              <w:topLinePunct w:val="0"/>
              <w:autoSpaceDE/>
              <w:autoSpaceDN/>
              <w:bidi w:val="0"/>
              <w:adjustRightInd/>
              <w:snapToGrid/>
              <w:spacing w:line="360" w:lineRule="auto"/>
              <w:ind w:left="0" w:leftChars="0" w:right="0" w:firstLine="466" w:firstLineChars="200"/>
              <w:jc w:val="both"/>
              <w:textAlignment w:val="baseline"/>
              <w:rPr>
                <w:rFonts w:hint="default" w:cs="Times New Roman"/>
                <w:b/>
                <w:bCs/>
                <w:color w:val="auto"/>
                <w:sz w:val="24"/>
                <w:szCs w:val="24"/>
                <w:u w:val="single" w:color="auto"/>
                <w:lang w:val="en-US" w:eastAsia="zh-CN"/>
              </w:rPr>
            </w:pPr>
            <w:r>
              <w:rPr>
                <w:rFonts w:hint="eastAsia" w:cs="Times New Roman"/>
                <w:b/>
                <w:bCs/>
                <w:color w:val="auto"/>
                <w:sz w:val="24"/>
                <w:szCs w:val="24"/>
                <w:u w:val="single" w:color="auto"/>
                <w:lang w:val="en-US" w:eastAsia="zh-CN"/>
              </w:rPr>
              <w:t>印刷工序擦洗废水外委处理可行性分析</w:t>
            </w:r>
          </w:p>
          <w:p>
            <w:pPr>
              <w:pStyle w:val="185"/>
              <w:keepNext w:val="0"/>
              <w:keepLines w:val="0"/>
              <w:pageBreakBefore w:val="0"/>
              <w:widowControl w:val="0"/>
              <w:kinsoku/>
              <w:wordWrap/>
              <w:overflowPunct/>
              <w:topLinePunct w:val="0"/>
              <w:autoSpaceDE/>
              <w:autoSpaceDN/>
              <w:bidi w:val="0"/>
              <w:adjustRightInd/>
              <w:snapToGrid/>
              <w:spacing w:line="360" w:lineRule="auto"/>
              <w:ind w:left="0" w:leftChars="0" w:right="0" w:firstLine="466" w:firstLineChars="200"/>
              <w:jc w:val="both"/>
              <w:textAlignment w:val="baseline"/>
              <w:rPr>
                <w:rFonts w:hint="default" w:cs="Times New Roman"/>
                <w:b w:val="0"/>
                <w:bCs w:val="0"/>
                <w:color w:val="auto"/>
                <w:sz w:val="24"/>
                <w:szCs w:val="24"/>
                <w:u w:val="single" w:color="auto"/>
                <w:lang w:val="en-US" w:eastAsia="zh-CN"/>
              </w:rPr>
            </w:pPr>
            <w:r>
              <w:rPr>
                <w:rFonts w:hint="eastAsia" w:cs="Times New Roman"/>
                <w:b w:val="0"/>
                <w:bCs w:val="0"/>
                <w:color w:val="auto"/>
                <w:sz w:val="24"/>
                <w:szCs w:val="24"/>
                <w:u w:val="single" w:color="auto"/>
                <w:lang w:val="en-US" w:eastAsia="zh-CN"/>
              </w:rPr>
              <w:t>根据业主提供的相关资料和工程分析可知，项目在印刷工序中产生的擦洗废水量为21t/a。根据其成分分析可知，擦洗废水中有机物含量较高，直接排放将对周边水体造成影响。由于废水产生量不多，且自建污水处理站成本过高，故公司委托有资质的单位（湖南洋沙湖危险废物治理公司）运输和处置本项目产生的擦洗废水（具体详见附件8），湖南洋沙湖危险废物治理公司于2019年12月委托河南金环环境影响评价有限公司编制了其报告表，并于2020年1月17日由岳阳市生态环境局出具了该项目环评批复，文号为岳环评【2020】13号，根据其环评报告及批复可知，湖南洋沙湖危险废物治理有限公司可处置本项目产生的擦洗废水，因此本项目擦洗废水交由湖南洋沙湖危险废物治理有限公司处置是可行的。</w:t>
            </w:r>
          </w:p>
          <w:p>
            <w:pPr>
              <w:pStyle w:val="185"/>
              <w:keepNext w:val="0"/>
              <w:keepLines w:val="0"/>
              <w:pageBreakBefore w:val="0"/>
              <w:widowControl w:val="0"/>
              <w:kinsoku/>
              <w:wordWrap/>
              <w:overflowPunct/>
              <w:topLinePunct w:val="0"/>
              <w:autoSpaceDE/>
              <w:autoSpaceDN/>
              <w:bidi w:val="0"/>
              <w:adjustRightInd/>
              <w:snapToGrid/>
              <w:spacing w:line="360" w:lineRule="auto"/>
              <w:ind w:left="0" w:leftChars="0" w:right="0" w:firstLine="466" w:firstLineChars="200"/>
              <w:jc w:val="both"/>
              <w:textAlignment w:val="baseline"/>
              <w:rPr>
                <w:rFonts w:hint="default" w:ascii="Times New Roman" w:hAnsi="Times New Roman" w:cs="Times New Roman"/>
                <w:b w:val="0"/>
                <w:bCs w:val="0"/>
                <w:color w:val="auto"/>
                <w:sz w:val="24"/>
                <w:szCs w:val="24"/>
                <w:u w:val="none" w:color="auto"/>
                <w:lang w:val="en-US" w:eastAsia="zh-CN"/>
              </w:rPr>
            </w:pPr>
            <w:r>
              <w:rPr>
                <w:rFonts w:hint="default" w:ascii="Times New Roman" w:hAnsi="Times New Roman" w:cs="Times New Roman"/>
                <w:b w:val="0"/>
                <w:bCs w:val="0"/>
                <w:color w:val="auto"/>
                <w:sz w:val="24"/>
                <w:szCs w:val="24"/>
                <w:u w:val="none" w:color="auto"/>
                <w:lang w:val="en-US" w:eastAsia="zh-CN"/>
              </w:rPr>
              <w:t>污染物排放量核算表</w:t>
            </w:r>
          </w:p>
          <w:p>
            <w:pPr>
              <w:spacing w:line="360" w:lineRule="auto"/>
              <w:ind w:firstLine="466" w:firstLineChars="200"/>
              <w:jc w:val="both"/>
              <w:rPr>
                <w:rFonts w:hint="default" w:ascii="Times New Roman" w:hAnsi="Times New Roman" w:cs="Times New Roman"/>
                <w:color w:val="auto"/>
                <w:sz w:val="24"/>
                <w:szCs w:val="32"/>
                <w:u w:val="none" w:color="auto"/>
                <w:lang w:eastAsia="zh-CN"/>
              </w:rPr>
            </w:pPr>
            <w:r>
              <w:rPr>
                <w:rFonts w:hint="default" w:ascii="Times New Roman" w:hAnsi="Times New Roman" w:cs="Times New Roman"/>
                <w:b w:val="0"/>
                <w:bCs w:val="0"/>
                <w:color w:val="auto"/>
                <w:sz w:val="24"/>
                <w:szCs w:val="24"/>
                <w:u w:val="none" w:color="auto"/>
                <w:lang w:val="en-US" w:eastAsia="zh-CN"/>
              </w:rPr>
              <w:t>综上，</w:t>
            </w:r>
            <w:r>
              <w:rPr>
                <w:rFonts w:hint="default" w:ascii="Times New Roman" w:hAnsi="Times New Roman" w:cs="Times New Roman"/>
                <w:b w:val="0"/>
                <w:bCs w:val="0"/>
                <w:color w:val="auto"/>
                <w:sz w:val="24"/>
                <w:szCs w:val="24"/>
                <w:u w:val="none" w:color="auto"/>
              </w:rPr>
              <w:t xml:space="preserve">根据《环境评价技术导则  </w:t>
            </w:r>
            <w:r>
              <w:rPr>
                <w:rFonts w:hint="eastAsia" w:cs="Times New Roman"/>
                <w:b w:val="0"/>
                <w:bCs w:val="0"/>
                <w:color w:val="auto"/>
                <w:sz w:val="24"/>
                <w:szCs w:val="24"/>
                <w:u w:val="none" w:color="auto"/>
                <w:lang w:eastAsia="zh-CN"/>
              </w:rPr>
              <w:t>地表水</w:t>
            </w:r>
            <w:r>
              <w:rPr>
                <w:rFonts w:hint="default" w:ascii="Times New Roman" w:hAnsi="Times New Roman" w:cs="Times New Roman"/>
                <w:b w:val="0"/>
                <w:bCs w:val="0"/>
                <w:color w:val="auto"/>
                <w:sz w:val="24"/>
                <w:szCs w:val="24"/>
                <w:u w:val="none" w:color="auto"/>
              </w:rPr>
              <w:t>环境》</w:t>
            </w:r>
            <w:r>
              <w:rPr>
                <w:rFonts w:hint="default" w:ascii="Times New Roman" w:hAnsi="Times New Roman" w:cs="Times New Roman"/>
                <w:b w:val="0"/>
                <w:bCs w:val="0"/>
                <w:color w:val="auto"/>
                <w:sz w:val="24"/>
                <w:szCs w:val="24"/>
                <w:highlight w:val="none"/>
                <w:u w:val="none" w:color="auto"/>
              </w:rPr>
              <w:t>（HJ2.</w:t>
            </w:r>
            <w:r>
              <w:rPr>
                <w:rFonts w:hint="eastAsia" w:cs="Times New Roman"/>
                <w:b w:val="0"/>
                <w:bCs w:val="0"/>
                <w:color w:val="auto"/>
                <w:sz w:val="24"/>
                <w:szCs w:val="24"/>
                <w:highlight w:val="none"/>
                <w:u w:val="none" w:color="auto"/>
                <w:lang w:val="en-US" w:eastAsia="zh-CN"/>
              </w:rPr>
              <w:t>3</w:t>
            </w:r>
            <w:r>
              <w:rPr>
                <w:rFonts w:hint="default" w:ascii="Times New Roman" w:hAnsi="Times New Roman" w:cs="Times New Roman"/>
                <w:b w:val="0"/>
                <w:bCs w:val="0"/>
                <w:color w:val="auto"/>
                <w:sz w:val="24"/>
                <w:szCs w:val="24"/>
                <w:highlight w:val="none"/>
                <w:u w:val="none" w:color="auto"/>
              </w:rPr>
              <w:t>-20</w:t>
            </w:r>
            <w:r>
              <w:rPr>
                <w:rFonts w:hint="default" w:ascii="Times New Roman" w:hAnsi="Times New Roman" w:cs="Times New Roman"/>
                <w:b w:val="0"/>
                <w:bCs w:val="0"/>
                <w:color w:val="auto"/>
                <w:sz w:val="24"/>
                <w:szCs w:val="24"/>
                <w:highlight w:val="none"/>
                <w:u w:val="none" w:color="auto"/>
                <w:lang w:val="en-US" w:eastAsia="zh-CN"/>
              </w:rPr>
              <w:t>1</w:t>
            </w:r>
            <w:r>
              <w:rPr>
                <w:rFonts w:hint="default" w:ascii="Times New Roman" w:hAnsi="Times New Roman" w:cs="Times New Roman"/>
                <w:b w:val="0"/>
                <w:bCs w:val="0"/>
                <w:color w:val="auto"/>
                <w:sz w:val="24"/>
                <w:szCs w:val="24"/>
                <w:highlight w:val="none"/>
                <w:u w:val="none" w:color="auto"/>
              </w:rPr>
              <w:t>8）</w:t>
            </w:r>
            <w:r>
              <w:rPr>
                <w:rFonts w:hint="default" w:ascii="Times New Roman" w:hAnsi="Times New Roman" w:cs="Times New Roman"/>
                <w:b w:val="0"/>
                <w:bCs w:val="0"/>
                <w:color w:val="auto"/>
                <w:sz w:val="24"/>
                <w:szCs w:val="24"/>
                <w:highlight w:val="none"/>
                <w:u w:val="none" w:color="auto"/>
                <w:lang w:val="en-US" w:eastAsia="zh-CN"/>
              </w:rPr>
              <w:t>要求</w:t>
            </w:r>
            <w:r>
              <w:rPr>
                <w:rFonts w:hint="default" w:ascii="Times New Roman" w:hAnsi="Times New Roman" w:cs="Times New Roman"/>
                <w:b w:val="0"/>
                <w:bCs w:val="0"/>
                <w:color w:val="auto"/>
                <w:sz w:val="24"/>
                <w:szCs w:val="24"/>
                <w:highlight w:val="none"/>
                <w:u w:val="none" w:color="auto"/>
                <w:lang w:eastAsia="zh-CN"/>
              </w:rPr>
              <w:t>，</w:t>
            </w:r>
            <w:r>
              <w:rPr>
                <w:rFonts w:hint="eastAsia" w:cs="Times New Roman"/>
                <w:b w:val="0"/>
                <w:bCs w:val="0"/>
                <w:color w:val="auto"/>
                <w:sz w:val="24"/>
                <w:szCs w:val="24"/>
                <w:u w:val="none" w:color="auto"/>
                <w:lang w:val="en-US" w:eastAsia="zh-CN"/>
              </w:rPr>
              <w:t>水</w:t>
            </w:r>
            <w:r>
              <w:rPr>
                <w:rFonts w:hint="default" w:ascii="Times New Roman" w:hAnsi="Times New Roman" w:cs="Times New Roman"/>
                <w:b w:val="0"/>
                <w:bCs w:val="0"/>
                <w:color w:val="auto"/>
                <w:sz w:val="24"/>
                <w:szCs w:val="24"/>
                <w:u w:val="none" w:color="auto"/>
                <w:lang w:val="en-US" w:eastAsia="zh-CN"/>
              </w:rPr>
              <w:t>污染物排放核算表见下表：</w:t>
            </w:r>
          </w:p>
          <w:p>
            <w:pPr>
              <w:jc w:val="center"/>
              <w:rPr>
                <w:rFonts w:hint="default" w:ascii="Times New Roman" w:hAnsi="Times New Roman" w:cs="Times New Roman"/>
                <w:color w:val="auto"/>
                <w:sz w:val="24"/>
                <w:szCs w:val="32"/>
                <w:u w:val="none" w:color="auto"/>
                <w:lang w:eastAsia="zh-CN"/>
              </w:rPr>
            </w:pPr>
            <w:r>
              <w:rPr>
                <w:rFonts w:hint="eastAsia" w:cs="Times New Roman"/>
                <w:color w:val="auto"/>
                <w:sz w:val="24"/>
                <w:szCs w:val="32"/>
                <w:u w:val="none" w:color="auto"/>
                <w:lang w:eastAsia="zh-CN"/>
              </w:rPr>
              <w:t>表</w:t>
            </w:r>
            <w:r>
              <w:rPr>
                <w:rFonts w:hint="eastAsia" w:cs="Times New Roman"/>
                <w:color w:val="auto"/>
                <w:sz w:val="24"/>
                <w:szCs w:val="32"/>
                <w:u w:val="none" w:color="auto"/>
                <w:lang w:val="en-US" w:eastAsia="zh-CN"/>
              </w:rPr>
              <w:t xml:space="preserve">7-11   </w:t>
            </w:r>
            <w:r>
              <w:rPr>
                <w:rFonts w:hint="eastAsia" w:cs="Times New Roman"/>
                <w:color w:val="auto"/>
                <w:sz w:val="24"/>
                <w:szCs w:val="32"/>
                <w:u w:val="none" w:color="auto"/>
                <w:lang w:eastAsia="zh-CN"/>
              </w:rPr>
              <w:t>废水类别、污染物及污染治理设施信息表</w:t>
            </w:r>
          </w:p>
          <w:tbl>
            <w:tblPr>
              <w:tblStyle w:val="41"/>
              <w:tblW w:w="9062"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23"/>
              <w:gridCol w:w="823"/>
              <w:gridCol w:w="824"/>
              <w:gridCol w:w="824"/>
              <w:gridCol w:w="825"/>
              <w:gridCol w:w="824"/>
              <w:gridCol w:w="824"/>
              <w:gridCol w:w="824"/>
              <w:gridCol w:w="824"/>
              <w:gridCol w:w="8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23"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u w:val="none" w:color="auto"/>
                      <w:vertAlign w:val="baseline"/>
                      <w:lang w:eastAsia="zh-CN"/>
                    </w:rPr>
                  </w:pPr>
                  <w:r>
                    <w:rPr>
                      <w:rFonts w:hint="eastAsia"/>
                      <w:color w:val="auto"/>
                      <w:u w:val="none" w:color="auto"/>
                      <w:vertAlign w:val="baseline"/>
                      <w:lang w:eastAsia="zh-CN"/>
                    </w:rPr>
                    <w:t>序号</w:t>
                  </w:r>
                </w:p>
              </w:tc>
              <w:tc>
                <w:tcPr>
                  <w:tcW w:w="823"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u w:val="none" w:color="auto"/>
                      <w:vertAlign w:val="baseline"/>
                      <w:lang w:eastAsia="zh-CN"/>
                    </w:rPr>
                  </w:pPr>
                  <w:r>
                    <w:rPr>
                      <w:rFonts w:hint="eastAsia"/>
                      <w:color w:val="auto"/>
                      <w:u w:val="none" w:color="auto"/>
                      <w:vertAlign w:val="baseline"/>
                      <w:lang w:eastAsia="zh-CN"/>
                    </w:rPr>
                    <w:t>废水类别</w:t>
                  </w:r>
                </w:p>
              </w:tc>
              <w:tc>
                <w:tcPr>
                  <w:tcW w:w="823"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u w:val="none" w:color="auto"/>
                      <w:vertAlign w:val="baseline"/>
                      <w:lang w:eastAsia="zh-CN"/>
                    </w:rPr>
                  </w:pPr>
                  <w:r>
                    <w:rPr>
                      <w:rFonts w:hint="eastAsia"/>
                      <w:color w:val="auto"/>
                      <w:u w:val="none" w:color="auto"/>
                      <w:vertAlign w:val="baseline"/>
                      <w:lang w:eastAsia="zh-CN"/>
                    </w:rPr>
                    <w:t>污染物种类</w:t>
                  </w:r>
                </w:p>
              </w:tc>
              <w:tc>
                <w:tcPr>
                  <w:tcW w:w="824"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u w:val="none" w:color="auto"/>
                      <w:vertAlign w:val="baseline"/>
                      <w:lang w:eastAsia="zh-CN"/>
                    </w:rPr>
                  </w:pPr>
                  <w:r>
                    <w:rPr>
                      <w:rFonts w:hint="eastAsia"/>
                      <w:color w:val="auto"/>
                      <w:u w:val="none" w:color="auto"/>
                      <w:vertAlign w:val="baseline"/>
                      <w:lang w:eastAsia="zh-CN"/>
                    </w:rPr>
                    <w:t>排放去向</w:t>
                  </w:r>
                </w:p>
              </w:tc>
              <w:tc>
                <w:tcPr>
                  <w:tcW w:w="824"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u w:val="none" w:color="auto"/>
                      <w:vertAlign w:val="baseline"/>
                      <w:lang w:eastAsia="zh-CN"/>
                    </w:rPr>
                  </w:pPr>
                  <w:r>
                    <w:rPr>
                      <w:rFonts w:hint="eastAsia"/>
                      <w:color w:val="auto"/>
                      <w:u w:val="none" w:color="auto"/>
                      <w:vertAlign w:val="baseline"/>
                      <w:lang w:eastAsia="zh-CN"/>
                    </w:rPr>
                    <w:t>排放规律</w:t>
                  </w:r>
                </w:p>
              </w:tc>
              <w:tc>
                <w:tcPr>
                  <w:tcW w:w="2473" w:type="dxa"/>
                  <w:gridSpan w:val="3"/>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u w:val="none" w:color="auto"/>
                      <w:vertAlign w:val="baseline"/>
                      <w:lang w:eastAsia="zh-CN"/>
                    </w:rPr>
                  </w:pPr>
                  <w:r>
                    <w:rPr>
                      <w:rFonts w:hint="eastAsia"/>
                      <w:color w:val="auto"/>
                      <w:u w:val="none" w:color="auto"/>
                      <w:vertAlign w:val="baseline"/>
                      <w:lang w:eastAsia="zh-CN"/>
                    </w:rPr>
                    <w:t>污染治理设施</w:t>
                  </w:r>
                </w:p>
              </w:tc>
              <w:tc>
                <w:tcPr>
                  <w:tcW w:w="824"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u w:val="none" w:color="auto"/>
                      <w:vertAlign w:val="baseline"/>
                      <w:lang w:eastAsia="zh-CN"/>
                    </w:rPr>
                  </w:pPr>
                  <w:r>
                    <w:rPr>
                      <w:rFonts w:hint="eastAsia"/>
                      <w:color w:val="auto"/>
                      <w:u w:val="none" w:color="auto"/>
                      <w:vertAlign w:val="baseline"/>
                      <w:lang w:eastAsia="zh-CN"/>
                    </w:rPr>
                    <w:t>排放口编号</w:t>
                  </w:r>
                </w:p>
              </w:tc>
              <w:tc>
                <w:tcPr>
                  <w:tcW w:w="824"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u w:val="none" w:color="auto"/>
                      <w:vertAlign w:val="baseline"/>
                      <w:lang w:eastAsia="zh-CN"/>
                    </w:rPr>
                  </w:pPr>
                  <w:r>
                    <w:rPr>
                      <w:rFonts w:hint="eastAsia"/>
                      <w:color w:val="auto"/>
                      <w:u w:val="none" w:color="auto"/>
                      <w:vertAlign w:val="baseline"/>
                      <w:lang w:eastAsia="zh-CN"/>
                    </w:rPr>
                    <w:t>排放口设置是否符合要求</w:t>
                  </w:r>
                </w:p>
              </w:tc>
              <w:tc>
                <w:tcPr>
                  <w:tcW w:w="824"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u w:val="none" w:color="auto"/>
                      <w:vertAlign w:val="baseline"/>
                      <w:lang w:eastAsia="zh-CN"/>
                    </w:rPr>
                  </w:pPr>
                  <w:r>
                    <w:rPr>
                      <w:rFonts w:hint="eastAsia"/>
                      <w:color w:val="auto"/>
                      <w:u w:val="none" w:color="auto"/>
                      <w:vertAlign w:val="baseline"/>
                      <w:lang w:eastAsia="zh-CN"/>
                    </w:rPr>
                    <w:t>排放口类型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823"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u w:val="none" w:color="auto"/>
                      <w:vertAlign w:val="baseline"/>
                      <w:lang w:eastAsia="zh-CN"/>
                    </w:rPr>
                  </w:pPr>
                </w:p>
              </w:tc>
              <w:tc>
                <w:tcPr>
                  <w:tcW w:w="823"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u w:val="none" w:color="auto"/>
                      <w:vertAlign w:val="baseline"/>
                      <w:lang w:eastAsia="zh-CN"/>
                    </w:rPr>
                  </w:pPr>
                </w:p>
              </w:tc>
              <w:tc>
                <w:tcPr>
                  <w:tcW w:w="823"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u w:val="none" w:color="auto"/>
                      <w:vertAlign w:val="baseline"/>
                      <w:lang w:eastAsia="zh-CN"/>
                    </w:rPr>
                  </w:pPr>
                </w:p>
              </w:tc>
              <w:tc>
                <w:tcPr>
                  <w:tcW w:w="824"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u w:val="none" w:color="auto"/>
                      <w:vertAlign w:val="baseline"/>
                      <w:lang w:eastAsia="zh-CN"/>
                    </w:rPr>
                  </w:pPr>
                </w:p>
              </w:tc>
              <w:tc>
                <w:tcPr>
                  <w:tcW w:w="824"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u w:val="none" w:color="auto"/>
                      <w:vertAlign w:val="baseline"/>
                      <w:lang w:eastAsia="zh-CN"/>
                    </w:rPr>
                  </w:pPr>
                </w:p>
              </w:tc>
              <w:tc>
                <w:tcPr>
                  <w:tcW w:w="825"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u w:val="none" w:color="auto"/>
                      <w:vertAlign w:val="baseline"/>
                      <w:lang w:eastAsia="zh-CN"/>
                    </w:rPr>
                  </w:pPr>
                  <w:r>
                    <w:rPr>
                      <w:rFonts w:hint="eastAsia"/>
                      <w:color w:val="auto"/>
                      <w:u w:val="none" w:color="auto"/>
                      <w:vertAlign w:val="baseline"/>
                      <w:lang w:eastAsia="zh-CN"/>
                    </w:rPr>
                    <w:t>污染治理设施编号</w:t>
                  </w:r>
                </w:p>
              </w:tc>
              <w:tc>
                <w:tcPr>
                  <w:tcW w:w="824"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u w:val="none" w:color="auto"/>
                      <w:vertAlign w:val="baseline"/>
                      <w:lang w:eastAsia="zh-CN"/>
                    </w:rPr>
                  </w:pPr>
                  <w:r>
                    <w:rPr>
                      <w:rFonts w:hint="eastAsia"/>
                      <w:color w:val="auto"/>
                      <w:u w:val="none" w:color="auto"/>
                      <w:vertAlign w:val="baseline"/>
                      <w:lang w:eastAsia="zh-CN"/>
                    </w:rPr>
                    <w:t>污染治理设施名称</w:t>
                  </w:r>
                </w:p>
              </w:tc>
              <w:tc>
                <w:tcPr>
                  <w:tcW w:w="824"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u w:val="none" w:color="auto"/>
                      <w:vertAlign w:val="baseline"/>
                      <w:lang w:eastAsia="zh-CN"/>
                    </w:rPr>
                  </w:pPr>
                  <w:r>
                    <w:rPr>
                      <w:rFonts w:hint="eastAsia"/>
                      <w:color w:val="auto"/>
                      <w:u w:val="none" w:color="auto"/>
                      <w:vertAlign w:val="baseline"/>
                      <w:lang w:eastAsia="zh-CN"/>
                    </w:rPr>
                    <w:t>污染治理设施工艺</w:t>
                  </w:r>
                </w:p>
              </w:tc>
              <w:tc>
                <w:tcPr>
                  <w:tcW w:w="824"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u w:val="none" w:color="auto"/>
                      <w:vertAlign w:val="baseline"/>
                      <w:lang w:eastAsia="zh-CN"/>
                    </w:rPr>
                  </w:pPr>
                </w:p>
              </w:tc>
              <w:tc>
                <w:tcPr>
                  <w:tcW w:w="824"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u w:val="none" w:color="auto"/>
                      <w:vertAlign w:val="baseline"/>
                      <w:lang w:eastAsia="zh-CN"/>
                    </w:rPr>
                  </w:pPr>
                </w:p>
              </w:tc>
              <w:tc>
                <w:tcPr>
                  <w:tcW w:w="824"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u w:val="none" w:color="auto"/>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139" w:hRule="atLeast"/>
              </w:trPr>
              <w:tc>
                <w:tcPr>
                  <w:tcW w:w="823"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1</w:t>
                  </w:r>
                </w:p>
              </w:tc>
              <w:tc>
                <w:tcPr>
                  <w:tcW w:w="823"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生活废水</w:t>
                  </w:r>
                </w:p>
              </w:tc>
              <w:tc>
                <w:tcPr>
                  <w:tcW w:w="823"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化学需氧量；氨氮</w:t>
                  </w:r>
                </w:p>
              </w:tc>
              <w:tc>
                <w:tcPr>
                  <w:tcW w:w="824"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val="en-US" w:eastAsia="zh-CN"/>
                    </w:rPr>
                    <w:t>洋沙河</w:t>
                  </w:r>
                </w:p>
              </w:tc>
              <w:tc>
                <w:tcPr>
                  <w:tcW w:w="824"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间断排放</w:t>
                  </w:r>
                </w:p>
              </w:tc>
              <w:tc>
                <w:tcPr>
                  <w:tcW w:w="825"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01</w:t>
                  </w:r>
                </w:p>
              </w:tc>
              <w:tc>
                <w:tcPr>
                  <w:tcW w:w="824"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eastAsia="zh-CN"/>
                    </w:rPr>
                    <w:t>化粪池</w:t>
                  </w:r>
                  <w:r>
                    <w:rPr>
                      <w:rFonts w:hint="eastAsia"/>
                      <w:color w:val="auto"/>
                      <w:sz w:val="22"/>
                      <w:szCs w:val="22"/>
                      <w:u w:val="none" w:color="auto"/>
                      <w:vertAlign w:val="baseline"/>
                      <w:lang w:val="en-US" w:eastAsia="zh-CN"/>
                    </w:rPr>
                    <w:t>（依托园区）</w:t>
                  </w:r>
                </w:p>
              </w:tc>
              <w:tc>
                <w:tcPr>
                  <w:tcW w:w="824"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auto"/>
                      <w:sz w:val="22"/>
                      <w:szCs w:val="22"/>
                      <w:u w:val="none" w:color="auto"/>
                      <w:vertAlign w:val="baseline"/>
                      <w:lang w:eastAsia="zh-CN"/>
                    </w:rPr>
                  </w:pPr>
                  <w:r>
                    <w:rPr>
                      <w:rFonts w:hint="eastAsia"/>
                      <w:color w:val="auto"/>
                      <w:sz w:val="22"/>
                      <w:szCs w:val="22"/>
                      <w:u w:val="none" w:color="auto"/>
                      <w:vertAlign w:val="baseline"/>
                      <w:lang w:eastAsia="zh-CN"/>
                    </w:rPr>
                    <w:t>化粪池</w:t>
                  </w:r>
                </w:p>
              </w:tc>
              <w:tc>
                <w:tcPr>
                  <w:tcW w:w="824"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TA001</w:t>
                  </w:r>
                </w:p>
              </w:tc>
              <w:tc>
                <w:tcPr>
                  <w:tcW w:w="824"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符合</w:t>
                  </w:r>
                </w:p>
              </w:tc>
              <w:tc>
                <w:tcPr>
                  <w:tcW w:w="824"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湘阴县第三污水处理厂</w:t>
                  </w:r>
                </w:p>
              </w:tc>
            </w:tr>
          </w:tbl>
          <w:p>
            <w:pPr>
              <w:pStyle w:val="39"/>
              <w:jc w:val="center"/>
              <w:rPr>
                <w:rFonts w:hint="default"/>
                <w:color w:val="auto"/>
                <w:sz w:val="24"/>
                <w:szCs w:val="32"/>
                <w:u w:val="none" w:color="auto"/>
                <w:lang w:eastAsia="zh-CN"/>
              </w:rPr>
            </w:pPr>
            <w:r>
              <w:rPr>
                <w:rFonts w:hint="eastAsia"/>
                <w:color w:val="auto"/>
                <w:sz w:val="24"/>
                <w:szCs w:val="32"/>
                <w:u w:val="none" w:color="auto"/>
                <w:lang w:eastAsia="zh-CN"/>
              </w:rPr>
              <w:t>表</w:t>
            </w:r>
            <w:r>
              <w:rPr>
                <w:rFonts w:hint="eastAsia"/>
                <w:color w:val="auto"/>
                <w:sz w:val="24"/>
                <w:szCs w:val="32"/>
                <w:u w:val="none" w:color="auto"/>
                <w:lang w:val="en-US" w:eastAsia="zh-CN"/>
              </w:rPr>
              <w:t xml:space="preserve">7-12   </w:t>
            </w:r>
            <w:r>
              <w:rPr>
                <w:rFonts w:hint="eastAsia"/>
                <w:color w:val="auto"/>
                <w:sz w:val="24"/>
                <w:szCs w:val="32"/>
                <w:u w:val="none" w:color="auto"/>
                <w:lang w:eastAsia="zh-CN"/>
              </w:rPr>
              <w:t>废水间接排放口基本情况表</w:t>
            </w:r>
          </w:p>
          <w:tbl>
            <w:tblPr>
              <w:tblStyle w:val="41"/>
              <w:tblW w:w="9072"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46"/>
              <w:gridCol w:w="824"/>
              <w:gridCol w:w="1253"/>
              <w:gridCol w:w="1151"/>
              <w:gridCol w:w="967"/>
              <w:gridCol w:w="632"/>
              <w:gridCol w:w="618"/>
              <w:gridCol w:w="452"/>
              <w:gridCol w:w="717"/>
              <w:gridCol w:w="868"/>
              <w:gridCol w:w="114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728" w:hRule="atLeast"/>
              </w:trPr>
              <w:tc>
                <w:tcPr>
                  <w:tcW w:w="446"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序号</w:t>
                  </w:r>
                </w:p>
              </w:tc>
              <w:tc>
                <w:tcPr>
                  <w:tcW w:w="824"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排放口编号</w:t>
                  </w:r>
                </w:p>
              </w:tc>
              <w:tc>
                <w:tcPr>
                  <w:tcW w:w="2404" w:type="dxa"/>
                  <w:gridSpan w:val="2"/>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排放口地理坐标</w:t>
                  </w:r>
                </w:p>
              </w:tc>
              <w:tc>
                <w:tcPr>
                  <w:tcW w:w="967"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eastAsia="zh-CN"/>
                    </w:rPr>
                    <w:t>废水排放量</w:t>
                  </w:r>
                  <w:r>
                    <w:rPr>
                      <w:rFonts w:hint="eastAsia"/>
                      <w:color w:val="auto"/>
                      <w:sz w:val="22"/>
                      <w:szCs w:val="22"/>
                      <w:u w:val="none" w:color="auto"/>
                      <w:vertAlign w:val="baseline"/>
                      <w:lang w:val="en-US" w:eastAsia="zh-CN"/>
                    </w:rPr>
                    <w:t>/（万t/a）</w:t>
                  </w:r>
                </w:p>
              </w:tc>
              <w:tc>
                <w:tcPr>
                  <w:tcW w:w="632"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排放去向</w:t>
                  </w:r>
                </w:p>
              </w:tc>
              <w:tc>
                <w:tcPr>
                  <w:tcW w:w="618"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排放规律</w:t>
                  </w:r>
                </w:p>
              </w:tc>
              <w:tc>
                <w:tcPr>
                  <w:tcW w:w="452"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间歇排放时段</w:t>
                  </w:r>
                </w:p>
              </w:tc>
              <w:tc>
                <w:tcPr>
                  <w:tcW w:w="2729" w:type="dxa"/>
                  <w:gridSpan w:val="3"/>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汇入受纳自然水体处地理坐标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446"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eastAsia="zh-CN"/>
                    </w:rPr>
                  </w:pPr>
                </w:p>
              </w:tc>
              <w:tc>
                <w:tcPr>
                  <w:tcW w:w="824"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eastAsia="zh-CN"/>
                    </w:rPr>
                  </w:pPr>
                </w:p>
              </w:tc>
              <w:tc>
                <w:tcPr>
                  <w:tcW w:w="1253"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经度</w:t>
                  </w:r>
                </w:p>
              </w:tc>
              <w:tc>
                <w:tcPr>
                  <w:tcW w:w="1151"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维度</w:t>
                  </w:r>
                </w:p>
              </w:tc>
              <w:tc>
                <w:tcPr>
                  <w:tcW w:w="967"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p>
              </w:tc>
              <w:tc>
                <w:tcPr>
                  <w:tcW w:w="632"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p>
              </w:tc>
              <w:tc>
                <w:tcPr>
                  <w:tcW w:w="618"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p>
              </w:tc>
              <w:tc>
                <w:tcPr>
                  <w:tcW w:w="452"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p>
              </w:tc>
              <w:tc>
                <w:tcPr>
                  <w:tcW w:w="717"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名称</w:t>
                  </w:r>
                </w:p>
              </w:tc>
              <w:tc>
                <w:tcPr>
                  <w:tcW w:w="868"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eastAsia="zh-CN"/>
                    </w:rPr>
                  </w:pPr>
                  <w:r>
                    <w:rPr>
                      <w:rFonts w:hint="eastAsia"/>
                      <w:color w:val="auto"/>
                      <w:sz w:val="22"/>
                      <w:szCs w:val="22"/>
                      <w:u w:val="none" w:color="auto"/>
                      <w:vertAlign w:val="baseline"/>
                      <w:lang w:eastAsia="zh-CN"/>
                    </w:rPr>
                    <w:t>污染物</w:t>
                  </w:r>
                </w:p>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种类</w:t>
                  </w:r>
                </w:p>
              </w:tc>
              <w:tc>
                <w:tcPr>
                  <w:tcW w:w="1144"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eastAsia="zh-CN"/>
                    </w:rPr>
                    <w:t>国家或地方污染物排放标准浓度限值</w:t>
                  </w:r>
                  <w:r>
                    <w:rPr>
                      <w:rFonts w:hint="eastAsia"/>
                      <w:color w:val="auto"/>
                      <w:sz w:val="22"/>
                      <w:szCs w:val="22"/>
                      <w:u w:val="none" w:color="auto"/>
                      <w:vertAlign w:val="baseline"/>
                      <w:lang w:val="en-US" w:eastAsia="zh-CN"/>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446"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1</w:t>
                  </w:r>
                </w:p>
              </w:tc>
              <w:tc>
                <w:tcPr>
                  <w:tcW w:w="824"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TA001</w:t>
                  </w:r>
                </w:p>
              </w:tc>
              <w:tc>
                <w:tcPr>
                  <w:tcW w:w="1253"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default"/>
                      <w:color w:val="auto"/>
                      <w:sz w:val="22"/>
                      <w:szCs w:val="22"/>
                      <w:u w:val="none" w:color="auto"/>
                      <w:vertAlign w:val="baseline"/>
                      <w:lang w:eastAsia="zh-CN"/>
                    </w:rPr>
                    <w:t>112.938571</w:t>
                  </w:r>
                </w:p>
              </w:tc>
              <w:tc>
                <w:tcPr>
                  <w:tcW w:w="1151"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default"/>
                      <w:color w:val="auto"/>
                      <w:sz w:val="22"/>
                      <w:szCs w:val="22"/>
                      <w:u w:val="none" w:color="auto"/>
                      <w:vertAlign w:val="baseline"/>
                      <w:lang w:eastAsia="zh-CN"/>
                    </w:rPr>
                    <w:t>28.529688</w:t>
                  </w:r>
                </w:p>
              </w:tc>
              <w:tc>
                <w:tcPr>
                  <w:tcW w:w="967"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0.06</w:t>
                  </w:r>
                </w:p>
              </w:tc>
              <w:tc>
                <w:tcPr>
                  <w:tcW w:w="632"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外排</w:t>
                  </w:r>
                </w:p>
              </w:tc>
              <w:tc>
                <w:tcPr>
                  <w:tcW w:w="618"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间接排放</w:t>
                  </w:r>
                </w:p>
              </w:tc>
              <w:tc>
                <w:tcPr>
                  <w:tcW w:w="452"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w:t>
                  </w:r>
                </w:p>
              </w:tc>
              <w:tc>
                <w:tcPr>
                  <w:tcW w:w="717"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val="en-US" w:eastAsia="zh-CN"/>
                    </w:rPr>
                    <w:t>湘阴县第三污水处理厂</w:t>
                  </w:r>
                </w:p>
              </w:tc>
              <w:tc>
                <w:tcPr>
                  <w:tcW w:w="868"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eastAsia="zh-CN"/>
                    </w:rPr>
                  </w:pPr>
                  <w:r>
                    <w:rPr>
                      <w:rFonts w:hint="eastAsia"/>
                      <w:color w:val="auto"/>
                      <w:sz w:val="22"/>
                      <w:szCs w:val="22"/>
                      <w:u w:val="none" w:color="auto"/>
                      <w:vertAlign w:val="baseline"/>
                      <w:lang w:eastAsia="zh-CN"/>
                    </w:rPr>
                    <w:t>化学需</w:t>
                  </w:r>
                </w:p>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2"/>
                      <w:sz w:val="22"/>
                      <w:szCs w:val="22"/>
                      <w:u w:val="none" w:color="auto"/>
                      <w:vertAlign w:val="baseline"/>
                      <w:lang w:val="en-US" w:eastAsia="zh-CN" w:bidi="ar-SA"/>
                    </w:rPr>
                  </w:pPr>
                  <w:r>
                    <w:rPr>
                      <w:rFonts w:hint="eastAsia"/>
                      <w:color w:val="auto"/>
                      <w:sz w:val="22"/>
                      <w:szCs w:val="22"/>
                      <w:u w:val="none" w:color="auto"/>
                      <w:vertAlign w:val="baseline"/>
                      <w:lang w:eastAsia="zh-CN"/>
                    </w:rPr>
                    <w:t>氧量</w:t>
                  </w:r>
                </w:p>
              </w:tc>
              <w:tc>
                <w:tcPr>
                  <w:tcW w:w="1144"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446"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val="en-US" w:eastAsia="zh-CN"/>
                    </w:rPr>
                  </w:pPr>
                </w:p>
              </w:tc>
              <w:tc>
                <w:tcPr>
                  <w:tcW w:w="824"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val="en-US" w:eastAsia="zh-CN"/>
                    </w:rPr>
                  </w:pPr>
                </w:p>
              </w:tc>
              <w:tc>
                <w:tcPr>
                  <w:tcW w:w="1253"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p>
              </w:tc>
              <w:tc>
                <w:tcPr>
                  <w:tcW w:w="1151"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p>
              </w:tc>
              <w:tc>
                <w:tcPr>
                  <w:tcW w:w="967"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val="en-US" w:eastAsia="zh-CN"/>
                    </w:rPr>
                  </w:pPr>
                </w:p>
              </w:tc>
              <w:tc>
                <w:tcPr>
                  <w:tcW w:w="632"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eastAsia="zh-CN"/>
                    </w:rPr>
                  </w:pPr>
                </w:p>
              </w:tc>
              <w:tc>
                <w:tcPr>
                  <w:tcW w:w="618"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eastAsia="zh-CN"/>
                    </w:rPr>
                  </w:pPr>
                </w:p>
              </w:tc>
              <w:tc>
                <w:tcPr>
                  <w:tcW w:w="452"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val="en-US" w:eastAsia="zh-CN"/>
                    </w:rPr>
                  </w:pPr>
                </w:p>
              </w:tc>
              <w:tc>
                <w:tcPr>
                  <w:tcW w:w="717"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eastAsia="zh-CN"/>
                    </w:rPr>
                  </w:pPr>
                </w:p>
              </w:tc>
              <w:tc>
                <w:tcPr>
                  <w:tcW w:w="868"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eastAsia="zh-CN"/>
                    </w:rPr>
                  </w:pPr>
                  <w:r>
                    <w:rPr>
                      <w:rFonts w:hint="eastAsia"/>
                      <w:color w:val="auto"/>
                      <w:sz w:val="22"/>
                      <w:szCs w:val="22"/>
                      <w:u w:val="none" w:color="auto"/>
                      <w:vertAlign w:val="baseline"/>
                      <w:lang w:eastAsia="zh-CN"/>
                    </w:rPr>
                    <w:t>氨氮</w:t>
                  </w:r>
                </w:p>
              </w:tc>
              <w:tc>
                <w:tcPr>
                  <w:tcW w:w="1144"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8</w:t>
                  </w:r>
                </w:p>
              </w:tc>
            </w:tr>
          </w:tbl>
          <w:p>
            <w:pPr>
              <w:pStyle w:val="39"/>
              <w:ind w:firstLine="3029" w:firstLineChars="1300"/>
              <w:jc w:val="both"/>
              <w:rPr>
                <w:rFonts w:hint="eastAsia"/>
                <w:color w:val="auto"/>
                <w:sz w:val="24"/>
                <w:szCs w:val="32"/>
                <w:u w:val="none" w:color="auto"/>
                <w:lang w:eastAsia="zh-CN"/>
              </w:rPr>
            </w:pPr>
          </w:p>
          <w:p>
            <w:pPr>
              <w:pStyle w:val="39"/>
              <w:ind w:firstLine="3029" w:firstLineChars="1300"/>
              <w:jc w:val="both"/>
              <w:rPr>
                <w:rFonts w:hint="eastAsia"/>
                <w:color w:val="auto"/>
                <w:sz w:val="24"/>
                <w:szCs w:val="32"/>
                <w:u w:val="none" w:color="auto"/>
                <w:lang w:eastAsia="zh-CN"/>
              </w:rPr>
            </w:pPr>
          </w:p>
          <w:p>
            <w:pPr>
              <w:pStyle w:val="39"/>
              <w:ind w:firstLine="3029" w:firstLineChars="1300"/>
              <w:jc w:val="both"/>
              <w:rPr>
                <w:rFonts w:hint="default"/>
                <w:color w:val="auto"/>
                <w:sz w:val="24"/>
                <w:szCs w:val="32"/>
                <w:u w:val="none" w:color="auto"/>
                <w:lang w:eastAsia="zh-CN"/>
              </w:rPr>
            </w:pPr>
            <w:r>
              <w:rPr>
                <w:rFonts w:hint="eastAsia"/>
                <w:color w:val="auto"/>
                <w:sz w:val="24"/>
                <w:szCs w:val="32"/>
                <w:u w:val="none" w:color="auto"/>
                <w:lang w:eastAsia="zh-CN"/>
              </w:rPr>
              <w:t>表</w:t>
            </w:r>
            <w:r>
              <w:rPr>
                <w:rFonts w:hint="eastAsia"/>
                <w:color w:val="auto"/>
                <w:sz w:val="24"/>
                <w:szCs w:val="32"/>
                <w:u w:val="none" w:color="auto"/>
                <w:lang w:val="en-US" w:eastAsia="zh-CN"/>
              </w:rPr>
              <w:t xml:space="preserve">7-13   </w:t>
            </w:r>
            <w:r>
              <w:rPr>
                <w:rFonts w:hint="eastAsia"/>
                <w:color w:val="auto"/>
                <w:sz w:val="24"/>
                <w:szCs w:val="32"/>
                <w:u w:val="none" w:color="auto"/>
                <w:lang w:eastAsia="zh-CN"/>
              </w:rPr>
              <w:t>废水污染物排放执行标准表</w:t>
            </w:r>
          </w:p>
          <w:tbl>
            <w:tblPr>
              <w:tblStyle w:val="41"/>
              <w:tblW w:w="9072"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68"/>
              <w:gridCol w:w="1282"/>
              <w:gridCol w:w="2686"/>
              <w:gridCol w:w="280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732"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序号</w:t>
                  </w:r>
                </w:p>
              </w:tc>
              <w:tc>
                <w:tcPr>
                  <w:tcW w:w="1568"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排放口编号</w:t>
                  </w:r>
                </w:p>
              </w:tc>
              <w:tc>
                <w:tcPr>
                  <w:tcW w:w="1282"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污染物种类</w:t>
                  </w:r>
                </w:p>
              </w:tc>
              <w:tc>
                <w:tcPr>
                  <w:tcW w:w="5490" w:type="dxa"/>
                  <w:gridSpan w:val="2"/>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国家或地方污染物排放标准及其他按规定商定</w:t>
                  </w:r>
                </w:p>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的排放协议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732"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p>
              </w:tc>
              <w:tc>
                <w:tcPr>
                  <w:tcW w:w="1568"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p>
              </w:tc>
              <w:tc>
                <w:tcPr>
                  <w:tcW w:w="1282"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p>
              </w:tc>
              <w:tc>
                <w:tcPr>
                  <w:tcW w:w="2686"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名称</w:t>
                  </w:r>
                </w:p>
              </w:tc>
              <w:tc>
                <w:tcPr>
                  <w:tcW w:w="2804"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eastAsia="zh-CN"/>
                    </w:rPr>
                    <w:t>浓度限值</w:t>
                  </w:r>
                  <w:r>
                    <w:rPr>
                      <w:rFonts w:hint="default" w:ascii="Times New Roman" w:hAnsi="Times New Roman" w:cs="Times New Roman"/>
                      <w:color w:val="auto"/>
                      <w:sz w:val="22"/>
                      <w:szCs w:val="22"/>
                      <w:u w:val="none" w:color="auto"/>
                      <w:vertAlign w:val="baseline"/>
                      <w:lang w:val="en-US" w:eastAsia="zh-CN"/>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737" w:hRule="atLeast"/>
              </w:trPr>
              <w:tc>
                <w:tcPr>
                  <w:tcW w:w="732"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1</w:t>
                  </w:r>
                </w:p>
              </w:tc>
              <w:tc>
                <w:tcPr>
                  <w:tcW w:w="1568"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TA001</w:t>
                  </w:r>
                </w:p>
              </w:tc>
              <w:tc>
                <w:tcPr>
                  <w:tcW w:w="1282"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化学需</w:t>
                  </w:r>
                </w:p>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氧量</w:t>
                  </w:r>
                </w:p>
              </w:tc>
              <w:tc>
                <w:tcPr>
                  <w:tcW w:w="2686"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sz w:val="22"/>
                      <w:szCs w:val="22"/>
                      <w:u w:val="none" w:color="auto"/>
                    </w:rPr>
                    <w:t>《城镇污水处理厂污染物排放标准（GB18918—2002）》中一级标准的A类标准</w:t>
                  </w:r>
                </w:p>
              </w:tc>
              <w:tc>
                <w:tcPr>
                  <w:tcW w:w="2804"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eastAsia" w:ascii="Times New Roman" w:hAnsi="Times New Roman" w:cs="Times New Roman"/>
                      <w:color w:val="auto"/>
                      <w:sz w:val="22"/>
                      <w:szCs w:val="22"/>
                      <w:u w:val="none" w:color="auto"/>
                      <w:vertAlign w:val="baseline"/>
                      <w:lang w:val="en-US" w:eastAsia="zh-CN"/>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32"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2</w:t>
                  </w:r>
                </w:p>
              </w:tc>
              <w:tc>
                <w:tcPr>
                  <w:tcW w:w="1568"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p>
              </w:tc>
              <w:tc>
                <w:tcPr>
                  <w:tcW w:w="1282"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氨氮</w:t>
                  </w:r>
                </w:p>
              </w:tc>
              <w:tc>
                <w:tcPr>
                  <w:tcW w:w="2686"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p>
              </w:tc>
              <w:tc>
                <w:tcPr>
                  <w:tcW w:w="2804"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eastAsia" w:ascii="Times New Roman" w:hAnsi="Times New Roman" w:cs="Times New Roman"/>
                      <w:color w:val="auto"/>
                      <w:sz w:val="22"/>
                      <w:szCs w:val="22"/>
                      <w:u w:val="none" w:color="auto"/>
                      <w:vertAlign w:val="baseline"/>
                      <w:lang w:val="en-US" w:eastAsia="zh-CN"/>
                    </w:rPr>
                    <w:t>8</w:t>
                  </w:r>
                </w:p>
              </w:tc>
            </w:tr>
          </w:tbl>
          <w:p>
            <w:pPr>
              <w:jc w:val="center"/>
              <w:rPr>
                <w:rFonts w:hint="default" w:ascii="Times New Roman" w:hAnsi="Times New Roman" w:cs="Times New Roman"/>
                <w:color w:val="auto"/>
                <w:sz w:val="24"/>
                <w:szCs w:val="32"/>
                <w:u w:val="none" w:color="auto"/>
                <w:lang w:eastAsia="zh-CN"/>
              </w:rPr>
            </w:pPr>
            <w:r>
              <w:rPr>
                <w:rFonts w:hint="eastAsia" w:cs="Times New Roman"/>
                <w:color w:val="auto"/>
                <w:sz w:val="24"/>
                <w:szCs w:val="32"/>
                <w:u w:val="none" w:color="auto"/>
                <w:lang w:eastAsia="zh-CN"/>
              </w:rPr>
              <w:t>表</w:t>
            </w:r>
            <w:r>
              <w:rPr>
                <w:rFonts w:hint="eastAsia" w:cs="Times New Roman"/>
                <w:color w:val="auto"/>
                <w:sz w:val="24"/>
                <w:szCs w:val="32"/>
                <w:u w:val="none" w:color="auto"/>
                <w:lang w:val="en-US" w:eastAsia="zh-CN"/>
              </w:rPr>
              <w:t xml:space="preserve">7-14  </w:t>
            </w:r>
            <w:r>
              <w:rPr>
                <w:rFonts w:hint="default" w:ascii="Times New Roman" w:hAnsi="Times New Roman" w:cs="Times New Roman"/>
                <w:color w:val="auto"/>
                <w:sz w:val="24"/>
                <w:szCs w:val="32"/>
                <w:u w:val="none" w:color="auto"/>
                <w:lang w:eastAsia="zh-CN"/>
              </w:rPr>
              <w:t>废水污染物排放信息表</w:t>
            </w:r>
          </w:p>
          <w:tbl>
            <w:tblPr>
              <w:tblStyle w:val="41"/>
              <w:tblW w:w="907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74"/>
              <w:gridCol w:w="1549"/>
              <w:gridCol w:w="1549"/>
              <w:gridCol w:w="1550"/>
              <w:gridCol w:w="22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1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序号</w:t>
                  </w:r>
                </w:p>
              </w:tc>
              <w:tc>
                <w:tcPr>
                  <w:tcW w:w="154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排放口编号</w:t>
                  </w:r>
                </w:p>
              </w:tc>
              <w:tc>
                <w:tcPr>
                  <w:tcW w:w="154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污染物种类</w:t>
                  </w:r>
                </w:p>
              </w:tc>
              <w:tc>
                <w:tcPr>
                  <w:tcW w:w="155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排放浓度（</w:t>
                  </w:r>
                  <w:r>
                    <w:rPr>
                      <w:rFonts w:hint="default" w:ascii="Times New Roman" w:hAnsi="Times New Roman" w:cs="Times New Roman"/>
                      <w:color w:val="auto"/>
                      <w:sz w:val="22"/>
                      <w:szCs w:val="22"/>
                      <w:u w:val="none" w:color="auto"/>
                      <w:vertAlign w:val="baseline"/>
                      <w:lang w:val="en-US" w:eastAsia="zh-CN"/>
                    </w:rPr>
                    <w:t>mg/L</w:t>
                  </w:r>
                  <w:r>
                    <w:rPr>
                      <w:rFonts w:hint="default" w:ascii="Times New Roman" w:hAnsi="Times New Roman" w:cs="Times New Roman"/>
                      <w:color w:val="auto"/>
                      <w:sz w:val="22"/>
                      <w:szCs w:val="22"/>
                      <w:u w:val="none" w:color="auto"/>
                      <w:vertAlign w:val="baseline"/>
                      <w:lang w:eastAsia="zh-CN"/>
                    </w:rPr>
                    <w:t>）</w:t>
                  </w:r>
                </w:p>
              </w:tc>
              <w:tc>
                <w:tcPr>
                  <w:tcW w:w="225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年排放量（</w:t>
                  </w:r>
                  <w:r>
                    <w:rPr>
                      <w:rFonts w:hint="default" w:ascii="Times New Roman" w:hAnsi="Times New Roman" w:cs="Times New Roman"/>
                      <w:color w:val="auto"/>
                      <w:sz w:val="22"/>
                      <w:szCs w:val="22"/>
                      <w:u w:val="none" w:color="auto"/>
                      <w:vertAlign w:val="baseline"/>
                      <w:lang w:val="en-US" w:eastAsia="zh-CN"/>
                    </w:rPr>
                    <w:t>t/a</w:t>
                  </w:r>
                  <w:r>
                    <w:rPr>
                      <w:rFonts w:hint="default" w:ascii="Times New Roman" w:hAnsi="Times New Roman" w:cs="Times New Roman"/>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1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1</w:t>
                  </w:r>
                </w:p>
              </w:tc>
              <w:tc>
                <w:tcPr>
                  <w:tcW w:w="154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TA001</w:t>
                  </w:r>
                </w:p>
              </w:tc>
              <w:tc>
                <w:tcPr>
                  <w:tcW w:w="154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化学需氧量</w:t>
                  </w:r>
                </w:p>
              </w:tc>
              <w:tc>
                <w:tcPr>
                  <w:tcW w:w="155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eastAsia" w:cs="Times New Roman"/>
                      <w:color w:val="auto"/>
                      <w:sz w:val="22"/>
                      <w:szCs w:val="22"/>
                      <w:u w:val="none" w:color="auto"/>
                      <w:vertAlign w:val="baseline"/>
                      <w:lang w:val="en-US" w:eastAsia="zh-CN"/>
                    </w:rPr>
                    <w:t>50</w:t>
                  </w:r>
                </w:p>
              </w:tc>
              <w:tc>
                <w:tcPr>
                  <w:tcW w:w="225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eastAsia" w:ascii="Times New Roman" w:hAnsi="Times New Roman" w:cs="Times New Roman"/>
                      <w:color w:val="auto"/>
                      <w:sz w:val="22"/>
                      <w:szCs w:val="22"/>
                      <w:u w:val="none" w:color="auto"/>
                      <w:vertAlign w:val="baseline"/>
                      <w:lang w:val="en-US" w:eastAsia="zh-CN"/>
                    </w:rPr>
                    <w:t>0.0</w:t>
                  </w:r>
                  <w:r>
                    <w:rPr>
                      <w:rFonts w:hint="eastAsia" w:cs="Times New Roman"/>
                      <w:color w:val="auto"/>
                      <w:sz w:val="22"/>
                      <w:szCs w:val="22"/>
                      <w:u w:val="none" w:color="auto"/>
                      <w:vertAlign w:val="baseline"/>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1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2</w:t>
                  </w:r>
                </w:p>
              </w:tc>
              <w:tc>
                <w:tcPr>
                  <w:tcW w:w="154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TA00</w:t>
                  </w:r>
                  <w:r>
                    <w:rPr>
                      <w:rFonts w:hint="eastAsia" w:cs="Times New Roman"/>
                      <w:color w:val="auto"/>
                      <w:sz w:val="22"/>
                      <w:szCs w:val="22"/>
                      <w:u w:val="none" w:color="auto"/>
                      <w:vertAlign w:val="baseline"/>
                      <w:lang w:val="en-US" w:eastAsia="zh-CN"/>
                    </w:rPr>
                    <w:t>1</w:t>
                  </w:r>
                </w:p>
              </w:tc>
              <w:tc>
                <w:tcPr>
                  <w:tcW w:w="154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氨氮</w:t>
                  </w:r>
                </w:p>
              </w:tc>
              <w:tc>
                <w:tcPr>
                  <w:tcW w:w="155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eastAsia" w:cs="Times New Roman"/>
                      <w:color w:val="auto"/>
                      <w:sz w:val="22"/>
                      <w:szCs w:val="22"/>
                      <w:u w:val="none" w:color="auto"/>
                      <w:vertAlign w:val="baseline"/>
                      <w:lang w:val="en-US" w:eastAsia="zh-CN"/>
                    </w:rPr>
                    <w:t>8</w:t>
                  </w:r>
                </w:p>
              </w:tc>
              <w:tc>
                <w:tcPr>
                  <w:tcW w:w="225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eastAsia" w:cs="Times New Roman"/>
                      <w:color w:val="auto"/>
                      <w:sz w:val="22"/>
                      <w:szCs w:val="22"/>
                      <w:u w:val="none" w:color="auto"/>
                      <w:vertAlign w:val="baseline"/>
                      <w:lang w:val="en-US" w:eastAsia="zh-CN"/>
                    </w:rPr>
                    <w:t>0.048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174"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全厂排放口合计</w:t>
                  </w:r>
                </w:p>
              </w:tc>
              <w:tc>
                <w:tcPr>
                  <w:tcW w:w="4648"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化学需氧量</w:t>
                  </w:r>
                </w:p>
              </w:tc>
              <w:tc>
                <w:tcPr>
                  <w:tcW w:w="225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eastAsia" w:ascii="Times New Roman" w:hAnsi="Times New Roman" w:cs="Times New Roman"/>
                      <w:color w:val="auto"/>
                      <w:sz w:val="22"/>
                      <w:szCs w:val="22"/>
                      <w:u w:val="none" w:color="auto"/>
                      <w:vertAlign w:val="baseline"/>
                      <w:lang w:val="en-US" w:eastAsia="zh-CN"/>
                    </w:rPr>
                    <w:t>0.0</w:t>
                  </w:r>
                  <w:r>
                    <w:rPr>
                      <w:rFonts w:hint="eastAsia" w:cs="Times New Roman"/>
                      <w:color w:val="auto"/>
                      <w:sz w:val="22"/>
                      <w:szCs w:val="22"/>
                      <w:u w:val="none" w:color="auto"/>
                      <w:vertAlign w:val="baseline"/>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174"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p>
              </w:tc>
              <w:tc>
                <w:tcPr>
                  <w:tcW w:w="4648"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氨氮</w:t>
                  </w:r>
                </w:p>
              </w:tc>
              <w:tc>
                <w:tcPr>
                  <w:tcW w:w="225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eastAsia" w:cs="Times New Roman"/>
                      <w:color w:val="auto"/>
                      <w:sz w:val="22"/>
                      <w:szCs w:val="22"/>
                      <w:u w:val="none" w:color="auto"/>
                      <w:vertAlign w:val="baseline"/>
                      <w:lang w:val="en-US" w:eastAsia="zh-CN"/>
                    </w:rPr>
                    <w:t>0.048</w:t>
                  </w:r>
                </w:p>
              </w:tc>
            </w:tr>
          </w:tbl>
          <w:p>
            <w:pPr>
              <w:pStyle w:val="34"/>
              <w:adjustRightInd w:val="0"/>
              <w:snapToGrid w:val="0"/>
              <w:spacing w:line="360" w:lineRule="auto"/>
              <w:ind w:left="0" w:leftChars="0" w:firstLine="466"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3、声环境影响分析</w:t>
            </w:r>
          </w:p>
          <w:p>
            <w:pPr>
              <w:snapToGrid w:val="0"/>
              <w:spacing w:line="360" w:lineRule="auto"/>
              <w:ind w:firstLine="457" w:firstLineChars="196"/>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（1）噪声污染源</w:t>
            </w:r>
          </w:p>
          <w:p>
            <w:pPr>
              <w:pStyle w:val="174"/>
              <w:spacing w:line="360" w:lineRule="auto"/>
              <w:ind w:firstLine="466" w:firstLineChars="200"/>
              <w:rPr>
                <w:rFonts w:hint="eastAsia" w:ascii="Times New Roman" w:hAnsi="Times New Roman" w:eastAsia="宋体" w:cs="Times New Roman"/>
                <w:color w:val="auto"/>
                <w:sz w:val="24"/>
                <w:szCs w:val="24"/>
                <w:u w:val="none" w:color="auto"/>
                <w:lang w:eastAsia="zh-CN"/>
              </w:rPr>
            </w:pPr>
            <w:r>
              <w:rPr>
                <w:rFonts w:hint="default" w:ascii="Times New Roman" w:hAnsi="Times New Roman" w:cs="Times New Roman"/>
                <w:color w:val="auto"/>
                <w:sz w:val="24"/>
                <w:szCs w:val="24"/>
                <w:u w:val="none" w:color="auto"/>
              </w:rPr>
              <w:t>本项目噪声污染源主要为设备运行过程中产生的噪声，噪声功率级为</w:t>
            </w:r>
            <w:r>
              <w:rPr>
                <w:rFonts w:hint="eastAsia" w:cs="Times New Roman"/>
                <w:color w:val="auto"/>
                <w:sz w:val="24"/>
                <w:szCs w:val="24"/>
                <w:u w:val="none" w:color="auto"/>
                <w:lang w:val="en-US" w:eastAsia="zh-CN"/>
              </w:rPr>
              <w:t>6</w:t>
            </w:r>
            <w:r>
              <w:rPr>
                <w:rFonts w:hint="default" w:ascii="Times New Roman" w:hAnsi="Times New Roman" w:cs="Times New Roman"/>
                <w:color w:val="auto"/>
                <w:sz w:val="24"/>
                <w:szCs w:val="24"/>
                <w:u w:val="none" w:color="auto"/>
                <w:lang w:val="en-US" w:eastAsia="zh-CN"/>
              </w:rPr>
              <w:t>5</w:t>
            </w:r>
            <w:r>
              <w:rPr>
                <w:rFonts w:hint="default" w:ascii="Times New Roman" w:hAnsi="Times New Roman" w:cs="Times New Roman"/>
                <w:color w:val="auto"/>
                <w:sz w:val="24"/>
                <w:szCs w:val="24"/>
                <w:u w:val="none" w:color="auto"/>
              </w:rPr>
              <w:t>~</w:t>
            </w:r>
            <w:r>
              <w:rPr>
                <w:rFonts w:hint="default" w:ascii="Times New Roman" w:hAnsi="Times New Roman" w:cs="Times New Roman"/>
                <w:color w:val="auto"/>
                <w:sz w:val="24"/>
                <w:szCs w:val="24"/>
                <w:u w:val="none" w:color="auto"/>
                <w:lang w:val="en-US" w:eastAsia="zh-CN"/>
              </w:rPr>
              <w:t>80</w:t>
            </w:r>
            <w:r>
              <w:rPr>
                <w:rFonts w:hint="default" w:ascii="Times New Roman" w:hAnsi="Times New Roman" w:cs="Times New Roman"/>
                <w:color w:val="auto"/>
                <w:sz w:val="24"/>
                <w:szCs w:val="24"/>
                <w:u w:val="none" w:color="auto"/>
              </w:rPr>
              <w:t>dB（A）。通过选用低噪声设备，基础减震并经距离衰减后可有效减轻噪声对外界的影响</w:t>
            </w:r>
            <w:r>
              <w:rPr>
                <w:rFonts w:hint="eastAsia" w:cs="Times New Roman"/>
                <w:color w:val="auto"/>
                <w:sz w:val="24"/>
                <w:szCs w:val="24"/>
                <w:u w:val="none" w:color="auto"/>
                <w:lang w:eastAsia="zh-CN"/>
              </w:rPr>
              <w:t>。</w:t>
            </w:r>
          </w:p>
          <w:p>
            <w:pPr>
              <w:pStyle w:val="174"/>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（2）预测模式</w:t>
            </w:r>
          </w:p>
          <w:p>
            <w:pPr>
              <w:pStyle w:val="174"/>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①建设项目声源在预测点产生的等效声级贡献值计算公式：</w:t>
            </w:r>
          </w:p>
          <w:p>
            <w:pPr>
              <w:pStyle w:val="174"/>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drawing>
                <wp:anchor distT="0" distB="0" distL="114300" distR="114300" simplePos="0" relativeHeight="1405927424" behindDoc="0" locked="0" layoutInCell="1" allowOverlap="1">
                  <wp:simplePos x="0" y="0"/>
                  <wp:positionH relativeFrom="column">
                    <wp:posOffset>407035</wp:posOffset>
                  </wp:positionH>
                  <wp:positionV relativeFrom="paragraph">
                    <wp:posOffset>78740</wp:posOffset>
                  </wp:positionV>
                  <wp:extent cx="2486025" cy="714375"/>
                  <wp:effectExtent l="0" t="0" r="9525" b="9525"/>
                  <wp:wrapTopAndBottom/>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22"/>
                          <a:stretch>
                            <a:fillRect/>
                          </a:stretch>
                        </pic:blipFill>
                        <pic:spPr>
                          <a:xfrm>
                            <a:off x="0" y="0"/>
                            <a:ext cx="2486025" cy="714375"/>
                          </a:xfrm>
                          <a:prstGeom prst="rect">
                            <a:avLst/>
                          </a:prstGeom>
                          <a:noFill/>
                          <a:ln>
                            <a:noFill/>
                          </a:ln>
                        </pic:spPr>
                      </pic:pic>
                    </a:graphicData>
                  </a:graphic>
                </wp:anchor>
              </w:drawing>
            </w:r>
          </w:p>
          <w:p>
            <w:pPr>
              <w:pStyle w:val="174"/>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式中：Leqg——建设项目声源在预测点的等效声级贡献值，dB(A)；</w:t>
            </w:r>
          </w:p>
          <w:p>
            <w:pPr>
              <w:pStyle w:val="174"/>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LAi ——i 声源在预测点产生的 A 声级，dB(A)；</w:t>
            </w:r>
          </w:p>
          <w:p>
            <w:pPr>
              <w:pStyle w:val="174"/>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T——预测计算的时间段，s；</w:t>
            </w:r>
          </w:p>
          <w:p>
            <w:pPr>
              <w:pStyle w:val="174"/>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ti ——i 声源在 T 时段内的运行时间，s。</w:t>
            </w:r>
          </w:p>
          <w:p>
            <w:pPr>
              <w:pStyle w:val="174"/>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②预测点的预测等效声级计算公式：</w:t>
            </w:r>
          </w:p>
          <w:p>
            <w:pPr>
              <w:pStyle w:val="174"/>
              <w:spacing w:line="360" w:lineRule="auto"/>
              <w:jc w:val="both"/>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drawing>
                <wp:anchor distT="0" distB="0" distL="114300" distR="114300" simplePos="0" relativeHeight="1405928448" behindDoc="0" locked="0" layoutInCell="1" allowOverlap="1">
                  <wp:simplePos x="0" y="0"/>
                  <wp:positionH relativeFrom="column">
                    <wp:posOffset>312420</wp:posOffset>
                  </wp:positionH>
                  <wp:positionV relativeFrom="paragraph">
                    <wp:posOffset>3175</wp:posOffset>
                  </wp:positionV>
                  <wp:extent cx="2486025" cy="438150"/>
                  <wp:effectExtent l="0" t="0" r="9525" b="0"/>
                  <wp:wrapTopAndBottom/>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23"/>
                          <a:stretch>
                            <a:fillRect/>
                          </a:stretch>
                        </pic:blipFill>
                        <pic:spPr>
                          <a:xfrm>
                            <a:off x="0" y="0"/>
                            <a:ext cx="2486025" cy="438150"/>
                          </a:xfrm>
                          <a:prstGeom prst="rect">
                            <a:avLst/>
                          </a:prstGeom>
                          <a:noFill/>
                          <a:ln>
                            <a:noFill/>
                          </a:ln>
                        </pic:spPr>
                      </pic:pic>
                    </a:graphicData>
                  </a:graphic>
                </wp:anchor>
              </w:drawing>
            </w:r>
          </w:p>
          <w:p>
            <w:pPr>
              <w:pStyle w:val="174"/>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式中：Leqg——建设项目声源在预测点的等效声级贡献值，dB(A)；</w:t>
            </w:r>
          </w:p>
          <w:p>
            <w:pPr>
              <w:pStyle w:val="174"/>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Leqb——预测点的背景值，dB(A)。</w:t>
            </w:r>
          </w:p>
          <w:p>
            <w:pPr>
              <w:pStyle w:val="174"/>
              <w:spacing w:line="360" w:lineRule="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（3）噪声预测结果及影响分析根据噪声预测模式，场界四周噪声</w:t>
            </w:r>
            <w:r>
              <w:rPr>
                <w:rFonts w:hint="eastAsia" w:cs="Times New Roman"/>
                <w:color w:val="auto"/>
                <w:sz w:val="24"/>
                <w:szCs w:val="24"/>
                <w:u w:val="none" w:color="auto"/>
                <w:lang w:eastAsia="zh-CN"/>
              </w:rPr>
              <w:t>预测</w:t>
            </w:r>
            <w:r>
              <w:rPr>
                <w:rFonts w:hint="default" w:ascii="Times New Roman" w:hAnsi="Times New Roman" w:cs="Times New Roman"/>
                <w:color w:val="auto"/>
                <w:sz w:val="24"/>
                <w:szCs w:val="24"/>
                <w:u w:val="none" w:color="auto"/>
              </w:rPr>
              <w:t>值见表</w:t>
            </w:r>
            <w:r>
              <w:rPr>
                <w:rFonts w:hint="default" w:ascii="Times New Roman" w:hAnsi="Times New Roman" w:cs="Times New Roman"/>
                <w:color w:val="auto"/>
                <w:sz w:val="24"/>
                <w:szCs w:val="24"/>
                <w:u w:val="none" w:color="auto"/>
                <w:lang w:val="en-US" w:eastAsia="zh-CN"/>
              </w:rPr>
              <w:t>7-</w:t>
            </w:r>
            <w:r>
              <w:rPr>
                <w:rFonts w:hint="eastAsia" w:cs="Times New Roman"/>
                <w:color w:val="auto"/>
                <w:sz w:val="24"/>
                <w:szCs w:val="24"/>
                <w:u w:val="none" w:color="auto"/>
                <w:lang w:val="en-US" w:eastAsia="zh-CN"/>
              </w:rPr>
              <w:t>15</w:t>
            </w:r>
            <w:r>
              <w:rPr>
                <w:rFonts w:hint="default" w:ascii="Times New Roman" w:hAnsi="Times New Roman" w:cs="Times New Roman"/>
                <w:color w:val="auto"/>
                <w:sz w:val="24"/>
                <w:szCs w:val="24"/>
                <w:u w:val="none" w:color="auto"/>
                <w:lang w:val="en-US" w:eastAsia="zh-CN"/>
              </w:rPr>
              <w:t>。</w:t>
            </w:r>
          </w:p>
          <w:p>
            <w:pPr>
              <w:pStyle w:val="188"/>
              <w:bidi w:val="0"/>
              <w:spacing w:line="360" w:lineRule="auto"/>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表</w:t>
            </w:r>
            <w:r>
              <w:rPr>
                <w:rFonts w:hint="default" w:ascii="Times New Roman" w:hAnsi="Times New Roman" w:cs="Times New Roman"/>
                <w:sz w:val="24"/>
                <w:szCs w:val="24"/>
                <w:u w:val="none" w:color="auto"/>
                <w:lang w:val="en-US" w:eastAsia="zh-CN"/>
              </w:rPr>
              <w:t>7-</w:t>
            </w:r>
            <w:r>
              <w:rPr>
                <w:rFonts w:hint="eastAsia" w:cs="Times New Roman"/>
                <w:sz w:val="24"/>
                <w:szCs w:val="24"/>
                <w:u w:val="none" w:color="auto"/>
                <w:lang w:val="en-US" w:eastAsia="zh-CN"/>
              </w:rPr>
              <w:t>15</w:t>
            </w:r>
            <w:r>
              <w:rPr>
                <w:rFonts w:hint="default" w:ascii="Times New Roman" w:hAnsi="Times New Roman" w:cs="Times New Roman"/>
                <w:sz w:val="24"/>
                <w:szCs w:val="24"/>
                <w:u w:val="none" w:color="auto"/>
                <w:lang w:val="en-US" w:eastAsia="zh-CN"/>
              </w:rPr>
              <w:t xml:space="preserve">  </w:t>
            </w:r>
            <w:r>
              <w:rPr>
                <w:rFonts w:hint="default" w:ascii="Times New Roman" w:hAnsi="Times New Roman" w:cs="Times New Roman"/>
                <w:sz w:val="24"/>
                <w:szCs w:val="24"/>
                <w:u w:val="none" w:color="auto"/>
              </w:rPr>
              <w:t>项目场界噪声预测结果一览表</w:t>
            </w:r>
            <w:r>
              <w:rPr>
                <w:rFonts w:hint="default" w:ascii="Times New Roman" w:hAnsi="Times New Roman" w:cs="Times New Roman"/>
                <w:sz w:val="24"/>
                <w:szCs w:val="24"/>
                <w:u w:val="none" w:color="auto"/>
              </w:rPr>
              <w:tab/>
            </w:r>
            <w:r>
              <w:rPr>
                <w:rFonts w:hint="default" w:ascii="Times New Roman" w:hAnsi="Times New Roman" w:cs="Times New Roman"/>
                <w:sz w:val="24"/>
                <w:szCs w:val="24"/>
                <w:u w:val="none" w:color="auto"/>
              </w:rPr>
              <w:t>单位： dB(A)</w:t>
            </w:r>
          </w:p>
          <w:tbl>
            <w:tblPr>
              <w:tblStyle w:val="40"/>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674"/>
              <w:gridCol w:w="2301"/>
              <w:gridCol w:w="2281"/>
              <w:gridCol w:w="167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601" w:type="pct"/>
                  <w:vMerge w:val="restar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序号</w:t>
                  </w:r>
                </w:p>
              </w:tc>
              <w:tc>
                <w:tcPr>
                  <w:tcW w:w="928" w:type="pct"/>
                  <w:vMerge w:val="restar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点位</w:t>
                  </w:r>
                </w:p>
              </w:tc>
              <w:tc>
                <w:tcPr>
                  <w:tcW w:w="1276" w:type="pct"/>
                  <w:vMerge w:val="restar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预测点距本项目</w:t>
                  </w:r>
                </w:p>
                <w:p>
                  <w:pPr>
                    <w:pStyle w:val="186"/>
                    <w:bidi w:val="0"/>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边界水平距离</w:t>
                  </w:r>
                </w:p>
              </w:tc>
              <w:tc>
                <w:tcPr>
                  <w:tcW w:w="2192" w:type="pct"/>
                  <w:gridSpan w:val="2"/>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预测</w:t>
                  </w:r>
                  <w:r>
                    <w:rPr>
                      <w:rFonts w:hint="default" w:ascii="Times New Roman" w:hAnsi="Times New Roman" w:cs="Times New Roman"/>
                      <w:color w:val="auto"/>
                      <w:sz w:val="22"/>
                      <w:szCs w:val="22"/>
                      <w:u w:val="none" w:color="auto"/>
                    </w:rPr>
                    <w:t>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601" w:type="pct"/>
                  <w:vMerge w:val="continue"/>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rPr>
                  </w:pPr>
                </w:p>
              </w:tc>
              <w:tc>
                <w:tcPr>
                  <w:tcW w:w="928" w:type="pct"/>
                  <w:vMerge w:val="continue"/>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rPr>
                  </w:pPr>
                </w:p>
              </w:tc>
              <w:tc>
                <w:tcPr>
                  <w:tcW w:w="1276" w:type="pct"/>
                  <w:vMerge w:val="continue"/>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rPr>
                  </w:pPr>
                </w:p>
              </w:tc>
              <w:tc>
                <w:tcPr>
                  <w:tcW w:w="1265"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昼间</w:t>
                  </w:r>
                </w:p>
              </w:tc>
              <w:tc>
                <w:tcPr>
                  <w:tcW w:w="927"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夜间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01"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w:t>
                  </w:r>
                </w:p>
              </w:tc>
              <w:tc>
                <w:tcPr>
                  <w:tcW w:w="928"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东场界</w:t>
                  </w:r>
                </w:p>
              </w:tc>
              <w:tc>
                <w:tcPr>
                  <w:tcW w:w="1276"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7</w:t>
                  </w:r>
                  <w:r>
                    <w:rPr>
                      <w:rFonts w:hint="default" w:ascii="Times New Roman" w:hAnsi="Times New Roman" w:cs="Times New Roman"/>
                      <w:color w:val="auto"/>
                      <w:sz w:val="22"/>
                      <w:szCs w:val="22"/>
                      <w:u w:val="none" w:color="auto"/>
                    </w:rPr>
                    <w:t>m</w:t>
                  </w:r>
                </w:p>
              </w:tc>
              <w:tc>
                <w:tcPr>
                  <w:tcW w:w="1265"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6</w:t>
                  </w:r>
                  <w:r>
                    <w:rPr>
                      <w:rFonts w:hint="eastAsia" w:cs="Times New Roman"/>
                      <w:color w:val="auto"/>
                      <w:sz w:val="22"/>
                      <w:szCs w:val="22"/>
                      <w:u w:val="none" w:color="auto"/>
                      <w:lang w:val="en-US" w:eastAsia="zh-CN"/>
                    </w:rPr>
                    <w:t>0.2</w:t>
                  </w:r>
                </w:p>
              </w:tc>
              <w:tc>
                <w:tcPr>
                  <w:tcW w:w="927"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4</w:t>
                  </w:r>
                  <w:r>
                    <w:rPr>
                      <w:rFonts w:hint="eastAsia" w:cs="Times New Roman"/>
                      <w:color w:val="auto"/>
                      <w:sz w:val="22"/>
                      <w:szCs w:val="22"/>
                      <w:u w:val="none" w:color="auto"/>
                      <w:lang w:val="en-US" w:eastAsia="zh-CN"/>
                    </w:rPr>
                    <w:t>2</w:t>
                  </w:r>
                  <w:r>
                    <w:rPr>
                      <w:rFonts w:hint="default" w:ascii="Times New Roman" w:hAnsi="Times New Roman" w:cs="Times New Roman"/>
                      <w:color w:val="auto"/>
                      <w:sz w:val="22"/>
                      <w:szCs w:val="22"/>
                      <w:u w:val="none" w:color="auto"/>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01"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2</w:t>
                  </w:r>
                </w:p>
              </w:tc>
              <w:tc>
                <w:tcPr>
                  <w:tcW w:w="928"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南场界</w:t>
                  </w:r>
                </w:p>
              </w:tc>
              <w:tc>
                <w:tcPr>
                  <w:tcW w:w="1276"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13</w:t>
                  </w:r>
                  <w:r>
                    <w:rPr>
                      <w:rFonts w:hint="default" w:ascii="Times New Roman" w:hAnsi="Times New Roman" w:cs="Times New Roman"/>
                      <w:color w:val="auto"/>
                      <w:sz w:val="22"/>
                      <w:szCs w:val="22"/>
                      <w:u w:val="none" w:color="auto"/>
                    </w:rPr>
                    <w:t>m</w:t>
                  </w:r>
                </w:p>
              </w:tc>
              <w:tc>
                <w:tcPr>
                  <w:tcW w:w="1265"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w:t>
                  </w:r>
                  <w:r>
                    <w:rPr>
                      <w:rFonts w:hint="eastAsia" w:cs="Times New Roman"/>
                      <w:color w:val="auto"/>
                      <w:sz w:val="22"/>
                      <w:szCs w:val="22"/>
                      <w:u w:val="none" w:color="auto"/>
                      <w:lang w:val="en-US" w:eastAsia="zh-CN"/>
                    </w:rPr>
                    <w:t>9</w:t>
                  </w:r>
                  <w:r>
                    <w:rPr>
                      <w:rFonts w:hint="default" w:ascii="Times New Roman" w:hAnsi="Times New Roman" w:cs="Times New Roman"/>
                      <w:color w:val="auto"/>
                      <w:sz w:val="22"/>
                      <w:szCs w:val="22"/>
                      <w:u w:val="none" w:color="auto"/>
                      <w:lang w:val="en-US" w:eastAsia="zh-CN"/>
                    </w:rPr>
                    <w:t>.9</w:t>
                  </w:r>
                </w:p>
              </w:tc>
              <w:tc>
                <w:tcPr>
                  <w:tcW w:w="927"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4</w:t>
                  </w:r>
                  <w:r>
                    <w:rPr>
                      <w:rFonts w:hint="eastAsia" w:cs="Times New Roman"/>
                      <w:color w:val="auto"/>
                      <w:sz w:val="22"/>
                      <w:szCs w:val="22"/>
                      <w:u w:val="none" w:color="auto"/>
                      <w:lang w:val="en-US" w:eastAsia="zh-CN"/>
                    </w:rPr>
                    <w:t>0</w:t>
                  </w:r>
                  <w:r>
                    <w:rPr>
                      <w:rFonts w:hint="default" w:ascii="Times New Roman" w:hAnsi="Times New Roman" w:cs="Times New Roman"/>
                      <w:color w:val="auto"/>
                      <w:sz w:val="22"/>
                      <w:szCs w:val="22"/>
                      <w:u w:val="none" w:color="auto"/>
                      <w:lang w:val="en-US" w:eastAsia="zh-CN"/>
                    </w:rPr>
                    <w:t>.</w:t>
                  </w:r>
                  <w:r>
                    <w:rPr>
                      <w:rFonts w:hint="eastAsia" w:cs="Times New Roman"/>
                      <w:color w:val="auto"/>
                      <w:sz w:val="22"/>
                      <w:szCs w:val="22"/>
                      <w:u w:val="none" w:color="auto"/>
                      <w:lang w:val="en-US" w:eastAsia="zh-CN"/>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01"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3</w:t>
                  </w:r>
                </w:p>
              </w:tc>
              <w:tc>
                <w:tcPr>
                  <w:tcW w:w="928"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西场界</w:t>
                  </w:r>
                </w:p>
              </w:tc>
              <w:tc>
                <w:tcPr>
                  <w:tcW w:w="1276"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16</w:t>
                  </w:r>
                  <w:r>
                    <w:rPr>
                      <w:rFonts w:hint="default" w:ascii="Times New Roman" w:hAnsi="Times New Roman" w:cs="Times New Roman"/>
                      <w:color w:val="auto"/>
                      <w:sz w:val="22"/>
                      <w:szCs w:val="22"/>
                      <w:u w:val="none" w:color="auto"/>
                    </w:rPr>
                    <w:t>m</w:t>
                  </w:r>
                </w:p>
              </w:tc>
              <w:tc>
                <w:tcPr>
                  <w:tcW w:w="1265"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w:t>
                  </w:r>
                  <w:r>
                    <w:rPr>
                      <w:rFonts w:hint="eastAsia" w:cs="Times New Roman"/>
                      <w:color w:val="auto"/>
                      <w:sz w:val="22"/>
                      <w:szCs w:val="22"/>
                      <w:u w:val="none" w:color="auto"/>
                      <w:lang w:val="en-US" w:eastAsia="zh-CN"/>
                    </w:rPr>
                    <w:t>7</w:t>
                  </w:r>
                  <w:r>
                    <w:rPr>
                      <w:rFonts w:hint="default" w:ascii="Times New Roman" w:hAnsi="Times New Roman" w:cs="Times New Roman"/>
                      <w:color w:val="auto"/>
                      <w:sz w:val="22"/>
                      <w:szCs w:val="22"/>
                      <w:u w:val="none" w:color="auto"/>
                      <w:lang w:val="en-US" w:eastAsia="zh-CN"/>
                    </w:rPr>
                    <w:t>.1</w:t>
                  </w:r>
                </w:p>
              </w:tc>
              <w:tc>
                <w:tcPr>
                  <w:tcW w:w="927"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39.9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01"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4</w:t>
                  </w:r>
                </w:p>
              </w:tc>
              <w:tc>
                <w:tcPr>
                  <w:tcW w:w="928"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北场界</w:t>
                  </w:r>
                </w:p>
              </w:tc>
              <w:tc>
                <w:tcPr>
                  <w:tcW w:w="1276"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9</w:t>
                  </w:r>
                  <w:r>
                    <w:rPr>
                      <w:rFonts w:hint="default" w:ascii="Times New Roman" w:hAnsi="Times New Roman" w:cs="Times New Roman"/>
                      <w:color w:val="auto"/>
                      <w:sz w:val="22"/>
                      <w:szCs w:val="22"/>
                      <w:u w:val="none" w:color="auto"/>
                    </w:rPr>
                    <w:t>m</w:t>
                  </w:r>
                </w:p>
              </w:tc>
              <w:tc>
                <w:tcPr>
                  <w:tcW w:w="1265"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w:t>
                  </w:r>
                  <w:r>
                    <w:rPr>
                      <w:rFonts w:hint="eastAsia" w:cs="Times New Roman"/>
                      <w:color w:val="auto"/>
                      <w:sz w:val="22"/>
                      <w:szCs w:val="22"/>
                      <w:u w:val="none" w:color="auto"/>
                      <w:lang w:val="en-US" w:eastAsia="zh-CN"/>
                    </w:rPr>
                    <w:t>8</w:t>
                  </w:r>
                  <w:r>
                    <w:rPr>
                      <w:rFonts w:hint="default" w:ascii="Times New Roman" w:hAnsi="Times New Roman" w:cs="Times New Roman"/>
                      <w:color w:val="auto"/>
                      <w:sz w:val="22"/>
                      <w:szCs w:val="22"/>
                      <w:u w:val="none" w:color="auto"/>
                      <w:lang w:val="en-US" w:eastAsia="zh-CN"/>
                    </w:rPr>
                    <w:t>.</w:t>
                  </w:r>
                  <w:r>
                    <w:rPr>
                      <w:rFonts w:hint="eastAsia" w:cs="Times New Roman"/>
                      <w:color w:val="auto"/>
                      <w:sz w:val="22"/>
                      <w:szCs w:val="22"/>
                      <w:u w:val="none" w:color="auto"/>
                      <w:lang w:val="en-US" w:eastAsia="zh-CN"/>
                    </w:rPr>
                    <w:t>8</w:t>
                  </w:r>
                </w:p>
              </w:tc>
              <w:tc>
                <w:tcPr>
                  <w:tcW w:w="927"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41.3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000" w:type="pct"/>
                  <w:gridSpan w:val="5"/>
                  <w:tcBorders>
                    <w:tl2br w:val="nil"/>
                    <w:tr2bl w:val="nil"/>
                  </w:tcBorders>
                  <w:noWrap w:val="0"/>
                  <w:vAlign w:val="center"/>
                </w:tcPr>
                <w:p>
                  <w:pPr>
                    <w:pStyle w:val="186"/>
                    <w:spacing w:line="360" w:lineRule="auto"/>
                    <w:jc w:val="left"/>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排放限值：</w:t>
                  </w:r>
                  <w:r>
                    <w:rPr>
                      <w:rFonts w:hint="eastAsia" w:ascii="Times New Roman" w:hAnsi="Times New Roman" w:cs="Times New Roman"/>
                      <w:color w:val="auto"/>
                      <w:sz w:val="22"/>
                      <w:szCs w:val="22"/>
                      <w:u w:val="none" w:color="auto"/>
                      <w:lang w:val="en-US" w:eastAsia="zh-CN"/>
                    </w:rPr>
                    <w:t>3</w:t>
                  </w:r>
                  <w:r>
                    <w:rPr>
                      <w:rFonts w:hint="default" w:ascii="Times New Roman" w:hAnsi="Times New Roman" w:cs="Times New Roman"/>
                      <w:color w:val="auto"/>
                      <w:sz w:val="22"/>
                      <w:szCs w:val="22"/>
                      <w:u w:val="none" w:color="auto"/>
                      <w:lang w:val="en-US" w:eastAsia="zh-CN"/>
                    </w:rPr>
                    <w:t>类标准：昼间6</w:t>
                  </w:r>
                  <w:r>
                    <w:rPr>
                      <w:rFonts w:hint="eastAsia" w:ascii="Times New Roman" w:hAnsi="Times New Roman" w:cs="Times New Roman"/>
                      <w:color w:val="auto"/>
                      <w:sz w:val="22"/>
                      <w:szCs w:val="22"/>
                      <w:u w:val="none" w:color="auto"/>
                      <w:lang w:val="en-US" w:eastAsia="zh-CN"/>
                    </w:rPr>
                    <w:t>5</w:t>
                  </w:r>
                  <w:r>
                    <w:rPr>
                      <w:rFonts w:hint="default" w:ascii="Times New Roman" w:hAnsi="Times New Roman" w:cs="Times New Roman"/>
                      <w:color w:val="auto"/>
                      <w:sz w:val="22"/>
                      <w:szCs w:val="22"/>
                      <w:u w:val="none" w:color="auto"/>
                      <w:lang w:val="en-US" w:eastAsia="zh-CN"/>
                    </w:rPr>
                    <w:t>dB（A），夜间5</w:t>
                  </w:r>
                  <w:r>
                    <w:rPr>
                      <w:rFonts w:hint="eastAsia" w:ascii="Times New Roman" w:hAnsi="Times New Roman" w:cs="Times New Roman"/>
                      <w:color w:val="auto"/>
                      <w:sz w:val="22"/>
                      <w:szCs w:val="22"/>
                      <w:u w:val="none" w:color="auto"/>
                      <w:lang w:val="en-US" w:eastAsia="zh-CN"/>
                    </w:rPr>
                    <w:t>5</w:t>
                  </w:r>
                  <w:r>
                    <w:rPr>
                      <w:rFonts w:hint="default" w:ascii="Times New Roman" w:hAnsi="Times New Roman" w:cs="Times New Roman"/>
                      <w:color w:val="auto"/>
                      <w:sz w:val="22"/>
                      <w:szCs w:val="22"/>
                      <w:u w:val="none" w:color="auto"/>
                      <w:lang w:val="en-US" w:eastAsia="zh-CN"/>
                    </w:rPr>
                    <w:t>dB（A）。</w:t>
                  </w:r>
                </w:p>
              </w:tc>
            </w:tr>
          </w:tbl>
          <w:p>
            <w:pPr>
              <w:pStyle w:val="174"/>
              <w:spacing w:line="360" w:lineRule="auto"/>
              <w:ind w:firstLine="480"/>
              <w:rPr>
                <w:rFonts w:hint="default" w:ascii="Times New Roman" w:hAnsi="Times New Roman" w:cs="Times New Roman"/>
                <w:color w:val="auto"/>
                <w:sz w:val="24"/>
                <w:szCs w:val="24"/>
                <w:u w:val="none" w:color="auto"/>
              </w:rPr>
            </w:pPr>
            <w:r>
              <w:rPr>
                <w:rFonts w:hint="default" w:ascii="Times New Roman" w:hAnsi="Times New Roman" w:cs="Times New Roman"/>
                <w:color w:val="auto"/>
                <w:kern w:val="2"/>
                <w:sz w:val="24"/>
                <w:szCs w:val="24"/>
                <w:u w:val="none" w:color="auto"/>
                <w:lang w:val="en-US" w:eastAsia="zh-CN"/>
              </w:rPr>
              <w:t>监测结果表明，</w:t>
            </w:r>
            <w:r>
              <w:rPr>
                <w:rFonts w:hint="default" w:ascii="Times New Roman" w:hAnsi="Times New Roman" w:cs="Times New Roman"/>
                <w:color w:val="auto"/>
                <w:sz w:val="24"/>
                <w:szCs w:val="24"/>
                <w:u w:val="none" w:color="auto"/>
              </w:rPr>
              <w:t>本项</w:t>
            </w:r>
            <w:r>
              <w:rPr>
                <w:rFonts w:hint="default" w:ascii="Times New Roman" w:hAnsi="Times New Roman" w:cs="Times New Roman"/>
                <w:color w:val="auto"/>
                <w:sz w:val="24"/>
                <w:szCs w:val="24"/>
                <w:u w:val="none" w:color="auto"/>
                <w:lang w:eastAsia="zh-CN"/>
              </w:rPr>
              <w:t>目东</w:t>
            </w:r>
            <w:r>
              <w:rPr>
                <w:rFonts w:hint="eastAsia" w:ascii="Times New Roman" w:hAnsi="Times New Roman" w:cs="Times New Roman"/>
                <w:color w:val="auto"/>
                <w:sz w:val="24"/>
                <w:szCs w:val="24"/>
                <w:u w:val="none" w:color="auto"/>
                <w:lang w:eastAsia="zh-CN"/>
              </w:rPr>
              <w:t>、南、西、北</w:t>
            </w:r>
            <w:r>
              <w:rPr>
                <w:rFonts w:hint="default" w:ascii="Times New Roman" w:hAnsi="Times New Roman" w:cs="Times New Roman"/>
                <w:color w:val="auto"/>
                <w:sz w:val="24"/>
                <w:szCs w:val="24"/>
                <w:u w:val="none" w:color="auto"/>
                <w:lang w:eastAsia="zh-CN"/>
              </w:rPr>
              <w:t>厂界</w:t>
            </w:r>
            <w:r>
              <w:rPr>
                <w:rFonts w:hint="default" w:ascii="Times New Roman" w:hAnsi="Times New Roman" w:cs="Times New Roman"/>
                <w:color w:val="auto"/>
                <w:sz w:val="24"/>
                <w:szCs w:val="24"/>
                <w:u w:val="none" w:color="auto"/>
              </w:rPr>
              <w:t>噪声可满足</w:t>
            </w:r>
            <w:r>
              <w:rPr>
                <w:rFonts w:hint="default" w:ascii="Times New Roman" w:hAnsi="Times New Roman" w:cs="Times New Roman"/>
                <w:color w:val="auto"/>
                <w:kern w:val="2"/>
                <w:sz w:val="24"/>
                <w:szCs w:val="24"/>
                <w:u w:val="none" w:color="auto"/>
                <w:lang w:val="en-US" w:eastAsia="zh-CN"/>
              </w:rPr>
              <w:t>《工业企业厂界环境噪声排放标准》（GB12348-</w:t>
            </w:r>
            <w:r>
              <w:rPr>
                <w:rFonts w:hint="eastAsia" w:ascii="Times New Roman" w:hAnsi="Times New Roman" w:cs="Times New Roman"/>
                <w:color w:val="auto"/>
                <w:kern w:val="2"/>
                <w:sz w:val="24"/>
                <w:szCs w:val="24"/>
                <w:u w:val="none" w:color="auto"/>
                <w:lang w:val="en-US" w:eastAsia="zh-CN"/>
              </w:rPr>
              <w:t>20</w:t>
            </w:r>
            <w:r>
              <w:rPr>
                <w:rFonts w:hint="default" w:ascii="Times New Roman" w:hAnsi="Times New Roman" w:cs="Times New Roman"/>
                <w:color w:val="auto"/>
                <w:kern w:val="2"/>
                <w:sz w:val="24"/>
                <w:szCs w:val="24"/>
                <w:u w:val="none" w:color="auto"/>
                <w:lang w:val="en-US" w:eastAsia="zh-CN"/>
              </w:rPr>
              <w:t>08）</w:t>
            </w:r>
            <w:r>
              <w:rPr>
                <w:rFonts w:hint="eastAsia" w:ascii="Times New Roman" w:hAnsi="Times New Roman" w:cs="Times New Roman"/>
                <w:color w:val="auto"/>
                <w:kern w:val="2"/>
                <w:sz w:val="24"/>
                <w:szCs w:val="24"/>
                <w:u w:val="none" w:color="auto"/>
                <w:lang w:val="en-US" w:eastAsia="zh-CN"/>
              </w:rPr>
              <w:t>3</w:t>
            </w:r>
            <w:r>
              <w:rPr>
                <w:rFonts w:hint="default" w:ascii="Times New Roman" w:hAnsi="Times New Roman" w:cs="Times New Roman"/>
                <w:color w:val="auto"/>
                <w:kern w:val="2"/>
                <w:sz w:val="24"/>
                <w:szCs w:val="24"/>
                <w:u w:val="none" w:color="auto"/>
                <w:lang w:val="en-US" w:eastAsia="zh-CN"/>
              </w:rPr>
              <w:t>类标准</w:t>
            </w:r>
            <w:r>
              <w:rPr>
                <w:rFonts w:hint="default" w:ascii="Times New Roman" w:hAnsi="Times New Roman" w:cs="Times New Roman"/>
                <w:color w:val="auto"/>
                <w:sz w:val="24"/>
                <w:szCs w:val="24"/>
                <w:u w:val="none" w:color="auto"/>
              </w:rPr>
              <w:t>。说明正常工况下，项目运营对周围声环境影响较小。</w:t>
            </w:r>
          </w:p>
          <w:p>
            <w:pPr>
              <w:pStyle w:val="174"/>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本项目选用的设备均属于低噪声设备，且主要噪声源均设在封闭的厂房内。但为了进一步降低噪声对周围环境的影响，根据噪声源规划分布以及发声特性，本环评提出如下噪声污染防治措施：</w:t>
            </w:r>
          </w:p>
          <w:p>
            <w:pPr>
              <w:pStyle w:val="174"/>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①制定相关操作规程，做好对生产、装卸过程中的管理，对原料、成品的搬运、装卸做到轻拿轻放，减少原料和成品装卸时的落差，尽量减少噪声对周边环境产生的影响。</w:t>
            </w:r>
          </w:p>
          <w:p>
            <w:pPr>
              <w:pStyle w:val="174"/>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②在设计和设备采购阶段，应优先选用先进的低噪音设备，从声源上降低设备本身噪音。风机等动力设备选用满足国际标准的低噪声、低振动设备，通风系统通风系统的风机也采用符合国家标准的设备，同时主要应选择本身带减振底座的风机。</w:t>
            </w:r>
          </w:p>
          <w:p>
            <w:pPr>
              <w:pStyle w:val="174"/>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③在设备安装时，对高噪声设备采取减震、隔震措施。除选择低噪设备外，在设备四周设置防震沟，采用隔声屏或局部隔声罩；设备安装位置设置减振台，将其噪声影响控制在最小范围内。对于设置的风机或排气口考虑加设风机隔声罩，排风管道进出口加柔性软接头，以降低风机噪声对周围环境的影响。噪声较大的设备如各类车床等应设置相应的消声装置或者改变噪音源的运动方式（如用阻尼、隔振等措施降低固体发声体的振动）。</w:t>
            </w:r>
          </w:p>
          <w:p>
            <w:pPr>
              <w:pStyle w:val="174"/>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④建筑物隔声。本项目所有生产设备均布置在车间内，因此噪声源均封闭在室内。车间所有门窗均采用双层隔声门窗，平时生产时尽量少开门窗以封闭隔声，并在房屋内壁铺设吸声材料，</w:t>
            </w:r>
            <w:r>
              <w:rPr>
                <w:rFonts w:hint="default" w:ascii="Times New Roman" w:hAnsi="Times New Roman" w:cs="Times New Roman"/>
                <w:color w:val="auto"/>
                <w:sz w:val="24"/>
                <w:szCs w:val="24"/>
                <w:u w:val="none" w:color="auto"/>
                <w:lang w:eastAsia="zh-CN"/>
              </w:rPr>
              <w:t>厂房内进行多层隔间，</w:t>
            </w:r>
            <w:r>
              <w:rPr>
                <w:rFonts w:hint="default" w:ascii="Times New Roman" w:hAnsi="Times New Roman" w:cs="Times New Roman"/>
                <w:color w:val="auto"/>
                <w:sz w:val="24"/>
                <w:szCs w:val="24"/>
                <w:u w:val="none" w:color="auto"/>
              </w:rPr>
              <w:t>充分利用生产厂房</w:t>
            </w:r>
            <w:r>
              <w:rPr>
                <w:rFonts w:hint="default" w:ascii="Times New Roman" w:hAnsi="Times New Roman" w:cs="Times New Roman"/>
                <w:color w:val="auto"/>
                <w:sz w:val="24"/>
                <w:szCs w:val="24"/>
                <w:u w:val="none" w:color="auto"/>
                <w:lang w:eastAsia="zh-CN"/>
              </w:rPr>
              <w:t>墙壁和</w:t>
            </w:r>
            <w:r>
              <w:rPr>
                <w:rFonts w:hint="default" w:ascii="Times New Roman" w:hAnsi="Times New Roman" w:cs="Times New Roman"/>
                <w:color w:val="auto"/>
                <w:sz w:val="24"/>
                <w:szCs w:val="24"/>
                <w:u w:val="none" w:color="auto"/>
              </w:rPr>
              <w:t>围墙隔声。应至少可以降低噪声20个分贝以上。</w:t>
            </w:r>
          </w:p>
          <w:p>
            <w:pPr>
              <w:pStyle w:val="174"/>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⑤日常生产需加强对各设备的维修、保养，确保设备处于良好的运转状态，杜绝因设备不正常运转而产生的高噪音现象。</w:t>
            </w:r>
          </w:p>
          <w:p>
            <w:pPr>
              <w:pStyle w:val="174"/>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⑥加强运输车辆的管理：在原辅材料及产品运输、装卸时做到文明操作，严格规范运输车辆停车秩序、禁鸣喇叭、减少启动和怠速等。</w:t>
            </w:r>
          </w:p>
          <w:p>
            <w:pPr>
              <w:spacing w:line="360" w:lineRule="auto"/>
              <w:ind w:firstLine="466" w:firstLineChars="200"/>
              <w:rPr>
                <w:rFonts w:hint="default" w:ascii="Times New Roman" w:hAnsi="Times New Roman" w:cs="Times New Roman"/>
                <w:sz w:val="24"/>
                <w:szCs w:val="24"/>
                <w:u w:val="none" w:color="auto"/>
              </w:rPr>
            </w:pPr>
            <w:r>
              <w:rPr>
                <w:rFonts w:hint="default" w:ascii="Times New Roman" w:hAnsi="Times New Roman" w:cs="Times New Roman"/>
                <w:color w:val="auto"/>
                <w:sz w:val="24"/>
                <w:szCs w:val="24"/>
                <w:u w:val="none" w:color="auto"/>
              </w:rPr>
              <w:t>综上所述，项目在采取上述措施治理后</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可确保本项目东</w:t>
            </w:r>
            <w:r>
              <w:rPr>
                <w:rFonts w:hint="eastAsia" w:cs="Times New Roman"/>
                <w:color w:val="auto"/>
                <w:sz w:val="24"/>
                <w:szCs w:val="24"/>
                <w:u w:val="none" w:color="auto"/>
                <w:lang w:eastAsia="zh-CN"/>
              </w:rPr>
              <w:t>、南、西、北</w:t>
            </w:r>
            <w:r>
              <w:rPr>
                <w:rFonts w:hint="default" w:ascii="Times New Roman" w:hAnsi="Times New Roman" w:cs="Times New Roman"/>
                <w:color w:val="auto"/>
                <w:sz w:val="24"/>
                <w:szCs w:val="24"/>
                <w:u w:val="none" w:color="auto"/>
              </w:rPr>
              <w:t>厂界噪声可满足</w:t>
            </w:r>
            <w:r>
              <w:rPr>
                <w:rFonts w:hint="default" w:ascii="Times New Roman" w:hAnsi="Times New Roman" w:cs="Times New Roman"/>
                <w:color w:val="auto"/>
                <w:sz w:val="24"/>
                <w:szCs w:val="24"/>
                <w:u w:val="none" w:color="auto"/>
                <w:lang w:eastAsia="zh-CN"/>
              </w:rPr>
              <w:t>《工业企业厂界环境噪声排放标准》</w:t>
            </w:r>
            <w:r>
              <w:rPr>
                <w:rFonts w:hint="default" w:ascii="Times New Roman" w:hAnsi="Times New Roman" w:cs="Times New Roman"/>
                <w:color w:val="auto"/>
                <w:sz w:val="24"/>
                <w:szCs w:val="24"/>
                <w:u w:val="none" w:color="auto"/>
              </w:rPr>
              <w:t>（GB12348-08）</w:t>
            </w:r>
            <w:r>
              <w:rPr>
                <w:rFonts w:hint="eastAsia" w:cs="Times New Roman"/>
                <w:color w:val="auto"/>
                <w:sz w:val="24"/>
                <w:szCs w:val="24"/>
                <w:u w:val="none" w:color="auto"/>
                <w:lang w:val="en-US" w:eastAsia="zh-CN"/>
              </w:rPr>
              <w:t>3</w:t>
            </w:r>
            <w:r>
              <w:rPr>
                <w:rFonts w:hint="default" w:ascii="Times New Roman" w:hAnsi="Times New Roman" w:cs="Times New Roman"/>
                <w:color w:val="auto"/>
                <w:sz w:val="24"/>
                <w:szCs w:val="24"/>
                <w:u w:val="none" w:color="auto"/>
              </w:rPr>
              <w:t>类标准</w:t>
            </w:r>
            <w:r>
              <w:rPr>
                <w:rFonts w:hint="default" w:ascii="Times New Roman" w:hAnsi="Times New Roman" w:cs="Times New Roman"/>
                <w:sz w:val="24"/>
                <w:szCs w:val="24"/>
                <w:u w:val="none" w:color="auto"/>
              </w:rPr>
              <w:t>。</w:t>
            </w:r>
          </w:p>
          <w:p>
            <w:pPr>
              <w:adjustRightInd w:val="0"/>
              <w:snapToGrid w:val="0"/>
              <w:spacing w:line="360" w:lineRule="auto"/>
              <w:ind w:firstLine="466"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4、固体废物影响分析</w:t>
            </w:r>
          </w:p>
          <w:p>
            <w:pPr>
              <w:pStyle w:val="34"/>
              <w:spacing w:line="360" w:lineRule="auto"/>
              <w:ind w:left="0" w:leftChars="0" w:firstLine="466" w:firstLineChars="200"/>
              <w:rPr>
                <w:rFonts w:ascii="宋体" w:hAnsi="宋体"/>
                <w:sz w:val="24"/>
                <w:szCs w:val="32"/>
                <w:u w:val="none" w:color="auto"/>
              </w:rPr>
            </w:pPr>
            <w:r>
              <w:rPr>
                <w:rFonts w:hint="eastAsia" w:ascii="宋体" w:hAnsi="宋体"/>
                <w:sz w:val="24"/>
                <w:szCs w:val="32"/>
                <w:u w:val="none" w:color="auto"/>
              </w:rPr>
              <w:t>本项目产生的固体废物有废</w:t>
            </w:r>
            <w:r>
              <w:rPr>
                <w:rFonts w:hint="eastAsia" w:ascii="宋体" w:hAnsi="宋体"/>
                <w:sz w:val="24"/>
                <w:szCs w:val="32"/>
                <w:u w:val="none" w:color="auto"/>
                <w:lang w:eastAsia="zh-CN"/>
              </w:rPr>
              <w:t>边角料、</w:t>
            </w:r>
            <w:r>
              <w:rPr>
                <w:rFonts w:hint="eastAsia" w:ascii="宋体" w:hAnsi="宋体"/>
                <w:sz w:val="24"/>
                <w:szCs w:val="32"/>
                <w:u w:val="none" w:color="auto"/>
                <w:lang w:val="en-US" w:eastAsia="zh-CN"/>
              </w:rPr>
              <w:t>不合格产品</w:t>
            </w:r>
            <w:r>
              <w:rPr>
                <w:rFonts w:hint="eastAsia" w:ascii="宋体" w:hAnsi="宋体"/>
                <w:sz w:val="24"/>
                <w:szCs w:val="32"/>
                <w:u w:val="none" w:color="auto"/>
              </w:rPr>
              <w:t>、生活垃圾</w:t>
            </w:r>
            <w:r>
              <w:rPr>
                <w:rFonts w:hint="eastAsia" w:ascii="宋体" w:hAnsi="宋体"/>
                <w:sz w:val="24"/>
                <w:szCs w:val="32"/>
                <w:u w:val="none" w:color="auto"/>
                <w:lang w:eastAsia="zh-CN"/>
              </w:rPr>
              <w:t>、废油墨桶、废活性炭</w:t>
            </w:r>
            <w:r>
              <w:rPr>
                <w:rFonts w:hint="default" w:ascii="Times New Roman" w:hAnsi="Times New Roman" w:cs="Times New Roman"/>
                <w:sz w:val="24"/>
                <w:szCs w:val="32"/>
                <w:u w:val="none" w:color="auto"/>
                <w:lang w:eastAsia="zh-CN"/>
              </w:rPr>
              <w:t>、</w:t>
            </w:r>
            <w:r>
              <w:rPr>
                <w:rFonts w:hint="default" w:ascii="Times New Roman" w:hAnsi="Times New Roman" w:cs="Times New Roman"/>
                <w:sz w:val="24"/>
                <w:szCs w:val="32"/>
                <w:u w:val="none" w:color="auto"/>
                <w:lang w:val="en-US" w:eastAsia="zh-CN"/>
              </w:rPr>
              <w:t>废UV灯管</w:t>
            </w:r>
            <w:r>
              <w:rPr>
                <w:rFonts w:hint="eastAsia" w:ascii="宋体" w:hAnsi="宋体"/>
                <w:sz w:val="24"/>
                <w:szCs w:val="32"/>
                <w:u w:val="none" w:color="auto"/>
                <w:lang w:val="en-US" w:eastAsia="zh-CN"/>
              </w:rPr>
              <w:t>、废包装袋、废印刷版、印刷工序擦洗的抹布手套、布袋除尘器收集的粉尘</w:t>
            </w:r>
            <w:r>
              <w:rPr>
                <w:rFonts w:hint="eastAsia" w:ascii="宋体" w:hAnsi="宋体"/>
                <w:sz w:val="24"/>
                <w:szCs w:val="32"/>
                <w:u w:val="none" w:color="auto"/>
              </w:rPr>
              <w:t>等。</w:t>
            </w:r>
          </w:p>
          <w:p>
            <w:pPr>
              <w:pStyle w:val="34"/>
              <w:spacing w:line="360" w:lineRule="auto"/>
              <w:ind w:left="0" w:leftChars="0" w:firstLine="466" w:firstLineChars="200"/>
              <w:jc w:val="left"/>
              <w:rPr>
                <w:rFonts w:hint="default" w:ascii="Times New Roman" w:hAnsi="Times New Roman" w:cs="Times New Roman"/>
                <w:sz w:val="24"/>
                <w:u w:val="none" w:color="auto"/>
                <w:lang w:val="en-US" w:eastAsia="zh-CN"/>
              </w:rPr>
            </w:pPr>
            <w:r>
              <w:rPr>
                <w:rFonts w:hint="eastAsia" w:ascii="宋体" w:hAnsi="宋体"/>
                <w:sz w:val="24"/>
                <w:szCs w:val="32"/>
                <w:u w:val="none" w:color="auto"/>
                <w:lang w:val="en-US" w:eastAsia="zh-CN"/>
              </w:rPr>
              <w:t>其中</w:t>
            </w:r>
            <w:r>
              <w:rPr>
                <w:rFonts w:hint="eastAsia" w:ascii="宋体" w:hAnsi="宋体"/>
                <w:sz w:val="24"/>
                <w:szCs w:val="32"/>
                <w:u w:val="none" w:color="auto"/>
                <w:lang w:eastAsia="zh-CN"/>
              </w:rPr>
              <w:t>废边角料、</w:t>
            </w:r>
            <w:r>
              <w:rPr>
                <w:rFonts w:hint="eastAsia" w:ascii="宋体" w:hAnsi="宋体"/>
                <w:sz w:val="24"/>
                <w:szCs w:val="32"/>
                <w:u w:val="none" w:color="auto"/>
                <w:lang w:val="en-US" w:eastAsia="zh-CN"/>
              </w:rPr>
              <w:t>不合格产品</w:t>
            </w:r>
            <w:r>
              <w:rPr>
                <w:rFonts w:hint="eastAsia" w:ascii="宋体" w:hAnsi="宋体"/>
                <w:sz w:val="24"/>
                <w:szCs w:val="32"/>
                <w:u w:val="none" w:color="auto"/>
                <w:lang w:eastAsia="zh-CN"/>
              </w:rPr>
              <w:t>、</w:t>
            </w:r>
            <w:r>
              <w:rPr>
                <w:rFonts w:hint="eastAsia" w:ascii="宋体" w:hAnsi="宋体"/>
                <w:sz w:val="24"/>
                <w:szCs w:val="32"/>
                <w:u w:val="none" w:color="auto"/>
                <w:lang w:val="en-US" w:eastAsia="zh-CN"/>
              </w:rPr>
              <w:t>废包装袋</w:t>
            </w:r>
            <w:r>
              <w:rPr>
                <w:rFonts w:hint="default" w:ascii="Times New Roman" w:hAnsi="Times New Roman" w:cs="Times New Roman"/>
                <w:sz w:val="24"/>
                <w:u w:val="none" w:color="auto"/>
              </w:rPr>
              <w:t>收集后均</w:t>
            </w:r>
            <w:r>
              <w:rPr>
                <w:rFonts w:hint="eastAsia" w:cs="Times New Roman"/>
                <w:sz w:val="24"/>
                <w:u w:val="none" w:color="auto"/>
                <w:lang w:val="en-US" w:eastAsia="zh-CN"/>
              </w:rPr>
              <w:t>外售废品回收站综合利用</w:t>
            </w:r>
            <w:r>
              <w:rPr>
                <w:rFonts w:hint="default" w:ascii="Times New Roman" w:hAnsi="Times New Roman" w:cs="Times New Roman"/>
                <w:sz w:val="24"/>
                <w:u w:val="none" w:color="auto"/>
              </w:rPr>
              <w:t>。</w:t>
            </w:r>
            <w:r>
              <w:rPr>
                <w:rFonts w:hint="default" w:ascii="Times New Roman" w:hAnsi="Times New Roman" w:cs="Times New Roman"/>
                <w:sz w:val="24"/>
                <w:szCs w:val="24"/>
                <w:u w:val="none" w:color="auto"/>
              </w:rPr>
              <w:t>生活垃圾集中收集后交环卫部门统一清运处理。</w:t>
            </w:r>
            <w:r>
              <w:rPr>
                <w:rFonts w:hint="eastAsia" w:cs="Times New Roman"/>
                <w:sz w:val="24"/>
                <w:u w:val="none" w:color="auto"/>
                <w:lang w:val="en-US" w:eastAsia="zh-CN"/>
              </w:rPr>
              <w:t>布袋除尘器收集的粉尘收集后外售废品回收站综合利用。</w:t>
            </w:r>
          </w:p>
          <w:p>
            <w:pPr>
              <w:spacing w:line="360" w:lineRule="auto"/>
              <w:ind w:firstLine="466" w:firstLineChars="200"/>
              <w:jc w:val="left"/>
              <w:rPr>
                <w:rFonts w:hint="default"/>
                <w:sz w:val="24"/>
                <w:szCs w:val="24"/>
                <w:u w:val="none" w:color="auto"/>
                <w:lang w:val="en-US" w:eastAsia="zh-CN"/>
              </w:rPr>
            </w:pPr>
            <w:r>
              <w:rPr>
                <w:rFonts w:hint="eastAsia" w:hAnsi="宋体"/>
                <w:sz w:val="24"/>
                <w:u w:val="none" w:color="auto"/>
                <w:lang w:val="en-US" w:eastAsia="zh-CN"/>
              </w:rPr>
              <w:t>废活性炭、</w:t>
            </w:r>
            <w:r>
              <w:rPr>
                <w:rFonts w:hint="default" w:ascii="Times New Roman" w:hAnsi="Times New Roman" w:cs="Times New Roman"/>
                <w:color w:val="auto"/>
                <w:kern w:val="2"/>
                <w:sz w:val="24"/>
                <w:szCs w:val="24"/>
                <w:u w:val="none" w:color="auto"/>
                <w:lang w:val="en-US" w:eastAsia="zh-CN" w:bidi="ar-SA"/>
              </w:rPr>
              <w:t>废灯管</w:t>
            </w:r>
            <w:r>
              <w:rPr>
                <w:rFonts w:hint="eastAsia" w:cs="Times New Roman"/>
                <w:color w:val="auto"/>
                <w:kern w:val="2"/>
                <w:sz w:val="24"/>
                <w:szCs w:val="24"/>
                <w:u w:val="none" w:color="auto"/>
                <w:lang w:val="en-US" w:eastAsia="zh-CN" w:bidi="ar-SA"/>
              </w:rPr>
              <w:t>、</w:t>
            </w:r>
            <w:r>
              <w:rPr>
                <w:rFonts w:hint="eastAsia" w:hAnsi="宋体"/>
                <w:sz w:val="24"/>
                <w:u w:val="none" w:color="auto"/>
                <w:lang w:val="en-US" w:eastAsia="zh-CN"/>
              </w:rPr>
              <w:t>废油墨桶、印刷工序擦洗抹布手套、废印刷版属于危险废物，均</w:t>
            </w:r>
            <w:r>
              <w:rPr>
                <w:rFonts w:hint="eastAsia" w:hAnsi="宋体"/>
                <w:sz w:val="24"/>
                <w:u w:val="none" w:color="auto"/>
                <w:lang w:eastAsia="zh-CN"/>
              </w:rPr>
              <w:t>收集于危险废物储存间内，再交由有资质单位进行处理</w:t>
            </w:r>
            <w:r>
              <w:rPr>
                <w:rFonts w:hint="eastAsia"/>
                <w:sz w:val="24"/>
                <w:szCs w:val="24"/>
                <w:u w:val="none" w:color="auto"/>
                <w:lang w:val="en-US" w:eastAsia="zh-CN"/>
              </w:rPr>
              <w:t>。</w:t>
            </w:r>
          </w:p>
          <w:p>
            <w:pPr>
              <w:keepNext w:val="0"/>
              <w:keepLines w:val="0"/>
              <w:pageBreakBefore w:val="0"/>
              <w:widowControl w:val="0"/>
              <w:kinsoku/>
              <w:wordWrap/>
              <w:overflowPunct/>
              <w:topLinePunct w:val="0"/>
              <w:autoSpaceDE/>
              <w:autoSpaceDN/>
              <w:bidi w:val="0"/>
              <w:spacing w:line="360" w:lineRule="auto"/>
              <w:ind w:firstLine="512"/>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固体废物在外售前，分类放入仓库暂存，避免下雨冲刷，污染环境，并做好防渗措施，避免因雨水淋溶而污染区域地表水和地下水。</w:t>
            </w:r>
          </w:p>
          <w:p>
            <w:pPr>
              <w:keepNext w:val="0"/>
              <w:keepLines w:val="0"/>
              <w:pageBreakBefore w:val="0"/>
              <w:widowControl w:val="0"/>
              <w:kinsoku/>
              <w:wordWrap/>
              <w:overflowPunct/>
              <w:topLinePunct w:val="0"/>
              <w:autoSpaceDE/>
              <w:autoSpaceDN/>
              <w:bidi w:val="0"/>
              <w:spacing w:line="360" w:lineRule="auto"/>
              <w:ind w:firstLine="480"/>
              <w:textAlignment w:val="auto"/>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一般固体废物暂存库建设要求：</w:t>
            </w:r>
          </w:p>
          <w:p>
            <w:pPr>
              <w:keepNext w:val="0"/>
              <w:keepLines w:val="0"/>
              <w:pageBreakBefore w:val="0"/>
              <w:widowControl w:val="0"/>
              <w:numPr>
                <w:ilvl w:val="0"/>
                <w:numId w:val="9"/>
              </w:numPr>
              <w:kinsoku/>
              <w:wordWrap/>
              <w:overflowPunct/>
              <w:topLinePunct w:val="0"/>
              <w:autoSpaceDE/>
              <w:autoSpaceDN/>
              <w:bidi w:val="0"/>
              <w:spacing w:line="360" w:lineRule="auto"/>
              <w:ind w:firstLine="480"/>
              <w:textAlignment w:val="auto"/>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为防止雨水径流进入暂存场地，场地周边应设置导流渠和集水池；</w:t>
            </w:r>
          </w:p>
          <w:p>
            <w:pPr>
              <w:keepNext w:val="0"/>
              <w:keepLines w:val="0"/>
              <w:pageBreakBefore w:val="0"/>
              <w:widowControl w:val="0"/>
              <w:numPr>
                <w:ilvl w:val="0"/>
                <w:numId w:val="9"/>
              </w:numPr>
              <w:kinsoku/>
              <w:wordWrap/>
              <w:overflowPunct/>
              <w:topLinePunct w:val="0"/>
              <w:autoSpaceDE/>
              <w:autoSpaceDN/>
              <w:bidi w:val="0"/>
              <w:spacing w:line="360" w:lineRule="auto"/>
              <w:ind w:firstLine="480"/>
              <w:textAlignment w:val="auto"/>
              <w:rPr>
                <w:rFonts w:hint="default" w:ascii="Times New Roman" w:hAnsi="Times New Roman" w:cs="Times New Roman"/>
                <w:color w:val="auto"/>
                <w:sz w:val="24"/>
                <w:szCs w:val="24"/>
                <w:u w:val="single" w:color="auto"/>
                <w:lang w:eastAsia="zh-CN"/>
              </w:rPr>
            </w:pPr>
            <w:r>
              <w:rPr>
                <w:rFonts w:hint="default" w:ascii="Times New Roman" w:hAnsi="Times New Roman" w:cs="Times New Roman"/>
                <w:color w:val="auto"/>
                <w:sz w:val="24"/>
                <w:szCs w:val="24"/>
                <w:u w:val="single" w:color="auto"/>
              </w:rPr>
              <w:t>为加强监督管理，暂存场地应按环境《保护图形标志--固体废物贮存(处置)场》(GB 15562.2-1995) 设置环境保护图形标志</w:t>
            </w:r>
            <w:r>
              <w:rPr>
                <w:rFonts w:hint="default" w:ascii="Times New Roman" w:hAnsi="Times New Roman" w:cs="Times New Roman"/>
                <w:color w:val="auto"/>
                <w:sz w:val="24"/>
                <w:szCs w:val="24"/>
                <w:u w:val="single" w:color="auto"/>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66" w:firstLineChars="200"/>
              <w:textAlignment w:val="auto"/>
              <w:rPr>
                <w:rFonts w:hint="default" w:ascii="Times New Roman" w:hAnsi="Times New Roman" w:cs="Times New Roman"/>
                <w:color w:val="auto"/>
                <w:sz w:val="24"/>
                <w:szCs w:val="24"/>
                <w:u w:val="single" w:color="auto"/>
              </w:rPr>
            </w:pPr>
            <w:r>
              <w:rPr>
                <w:rFonts w:hint="eastAsia" w:cs="Times New Roman"/>
                <w:color w:val="auto"/>
                <w:sz w:val="24"/>
                <w:szCs w:val="24"/>
                <w:u w:val="single" w:color="auto"/>
                <w:lang w:val="en-US" w:eastAsia="zh-CN"/>
              </w:rPr>
              <w:t>本项目危险废物储存间位于二楼，面积约为5m</w:t>
            </w:r>
            <w:r>
              <w:rPr>
                <w:rFonts w:hint="eastAsia" w:cs="Times New Roman"/>
                <w:color w:val="auto"/>
                <w:sz w:val="24"/>
                <w:szCs w:val="24"/>
                <w:u w:val="single" w:color="auto"/>
                <w:vertAlign w:val="superscript"/>
                <w:lang w:val="en-US" w:eastAsia="zh-CN"/>
              </w:rPr>
              <w:t>2</w:t>
            </w:r>
            <w:r>
              <w:rPr>
                <w:rFonts w:hint="default" w:ascii="Times New Roman" w:hAnsi="Times New Roman" w:cs="Times New Roman"/>
                <w:color w:val="auto"/>
                <w:sz w:val="24"/>
                <w:szCs w:val="24"/>
                <w:u w:val="single" w:color="auto"/>
                <w:lang w:eastAsia="zh-CN"/>
              </w:rPr>
              <w:t>，且危险废物储存区</w:t>
            </w:r>
            <w:r>
              <w:rPr>
                <w:rFonts w:hint="eastAsia" w:cs="Times New Roman"/>
                <w:color w:val="auto"/>
                <w:sz w:val="24"/>
                <w:szCs w:val="24"/>
                <w:u w:val="single" w:color="auto"/>
                <w:lang w:val="en-US" w:eastAsia="zh-CN"/>
              </w:rPr>
              <w:t>需</w:t>
            </w:r>
            <w:r>
              <w:rPr>
                <w:rFonts w:hint="eastAsia" w:cs="Times New Roman"/>
                <w:color w:val="auto"/>
                <w:sz w:val="24"/>
                <w:szCs w:val="24"/>
                <w:u w:val="single" w:color="auto"/>
                <w:lang w:eastAsia="zh-CN"/>
              </w:rPr>
              <w:t>按照要求</w:t>
            </w:r>
            <w:r>
              <w:rPr>
                <w:rFonts w:hint="default" w:ascii="Times New Roman" w:hAnsi="Times New Roman" w:cs="Times New Roman"/>
                <w:color w:val="auto"/>
                <w:sz w:val="24"/>
                <w:szCs w:val="24"/>
                <w:u w:val="single" w:color="auto"/>
                <w:lang w:eastAsia="zh-CN"/>
              </w:rPr>
              <w:t>建设：</w:t>
            </w:r>
            <w:r>
              <w:rPr>
                <w:rFonts w:hint="default" w:ascii="Times New Roman" w:hAnsi="Times New Roman" w:cs="Times New Roman"/>
                <w:color w:val="auto"/>
                <w:sz w:val="24"/>
                <w:szCs w:val="24"/>
                <w:u w:val="single" w:color="auto"/>
              </w:rPr>
              <w:t>根据《危险废物贮存污染控制标准》（GB18597-2001）和《危险废物收集贮存运输技术规范》的要求，本项目危废贮存场所应按以下要求设置：</w:t>
            </w:r>
          </w:p>
          <w:p>
            <w:pPr>
              <w:keepNext w:val="0"/>
              <w:keepLines w:val="0"/>
              <w:pageBreakBefore w:val="0"/>
              <w:widowControl w:val="0"/>
              <w:kinsoku/>
              <w:wordWrap/>
              <w:overflowPunct/>
              <w:topLinePunct w:val="0"/>
              <w:autoSpaceDE/>
              <w:autoSpaceDN/>
              <w:bidi w:val="0"/>
              <w:adjustRightInd w:val="0"/>
              <w:snapToGrid w:val="0"/>
              <w:spacing w:line="360" w:lineRule="auto"/>
              <w:ind w:firstLine="466" w:firstLineChars="200"/>
              <w:textAlignment w:val="auto"/>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①产生危废的车间，必须设置专用的危废收集容器，产生的危废随时放置在容器中，绝不能和其他废物一起混合收集，贮存危险废物时应按危险废物的种类和特性进行分区贮存，每个贮存区域之间宜设置挡墙间隔，并应设置防雨、防火、防雷、防扬尘装置。</w:t>
            </w:r>
          </w:p>
          <w:p>
            <w:pPr>
              <w:keepNext w:val="0"/>
              <w:keepLines w:val="0"/>
              <w:pageBreakBefore w:val="0"/>
              <w:widowControl w:val="0"/>
              <w:kinsoku/>
              <w:wordWrap/>
              <w:overflowPunct/>
              <w:topLinePunct w:val="0"/>
              <w:autoSpaceDE/>
              <w:autoSpaceDN/>
              <w:bidi w:val="0"/>
              <w:adjustRightInd w:val="0"/>
              <w:snapToGrid w:val="0"/>
              <w:spacing w:line="360" w:lineRule="auto"/>
              <w:ind w:firstLine="466" w:firstLineChars="200"/>
              <w:textAlignment w:val="auto"/>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②对于危废的收集及贮存，应根据危险固废的成分，用符合国家标准的耐腐蚀、不易破损、变形和老化的容器贮存，并按规定在贮存危废容器上贴上标签，详细注明危废的名称、重量、成分、特性以及发生泄漏、扩散污染事故时的应急措施和补救办法。</w:t>
            </w:r>
          </w:p>
          <w:p>
            <w:pPr>
              <w:keepNext w:val="0"/>
              <w:keepLines w:val="0"/>
              <w:pageBreakBefore w:val="0"/>
              <w:widowControl w:val="0"/>
              <w:kinsoku/>
              <w:wordWrap/>
              <w:overflowPunct/>
              <w:topLinePunct w:val="0"/>
              <w:autoSpaceDE/>
              <w:autoSpaceDN/>
              <w:bidi w:val="0"/>
              <w:adjustRightInd w:val="0"/>
              <w:snapToGrid w:val="0"/>
              <w:spacing w:line="360" w:lineRule="auto"/>
              <w:ind w:firstLine="466" w:firstLineChars="200"/>
              <w:textAlignment w:val="auto"/>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③危险废物的收集和转运过程中，应采取相应的安全防护和污染防治措施，包括防爆、防火、防中毒、防感染、防泄露、防飞扬、防雨或其它防止污染环境的措施。④危险废物贮存设施要符合国家危险固废贮存场所的建设要求，危险固废贮存设施要建有堵截泄漏的裙脚，地面与裙脚用坚固的防渗材料建造，并建有隔离设施和防风、防晒、防雨设施</w:t>
            </w:r>
            <w:r>
              <w:rPr>
                <w:rFonts w:hint="eastAsia" w:cs="Times New Roman"/>
                <w:color w:val="auto"/>
                <w:sz w:val="24"/>
                <w:szCs w:val="24"/>
                <w:u w:val="single" w:color="auto"/>
                <w:lang w:eastAsia="zh-CN"/>
              </w:rPr>
              <w:t>、</w:t>
            </w:r>
            <w:r>
              <w:rPr>
                <w:rFonts w:hint="default" w:ascii="Times New Roman" w:hAnsi="Times New Roman" w:cs="Times New Roman"/>
                <w:color w:val="auto"/>
                <w:sz w:val="24"/>
                <w:szCs w:val="24"/>
                <w:u w:val="single" w:color="auto"/>
              </w:rPr>
              <w:t>基础防渗。储存间内清理出来的泄漏物也属于危险废物，必须按照危险废物处理原则处理。</w:t>
            </w:r>
          </w:p>
          <w:p>
            <w:pPr>
              <w:keepNext w:val="0"/>
              <w:keepLines w:val="0"/>
              <w:pageBreakBefore w:val="0"/>
              <w:widowControl w:val="0"/>
              <w:kinsoku/>
              <w:wordWrap/>
              <w:overflowPunct/>
              <w:topLinePunct w:val="0"/>
              <w:autoSpaceDE/>
              <w:autoSpaceDN/>
              <w:bidi w:val="0"/>
              <w:adjustRightInd w:val="0"/>
              <w:snapToGrid w:val="0"/>
              <w:spacing w:line="360" w:lineRule="auto"/>
              <w:ind w:firstLine="466" w:firstLineChars="200"/>
              <w:textAlignment w:val="auto"/>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⑤危险废物存放间内部场地要进行人工材料的防渗处理。</w:t>
            </w:r>
          </w:p>
          <w:p>
            <w:pPr>
              <w:keepNext w:val="0"/>
              <w:keepLines w:val="0"/>
              <w:pageBreakBefore w:val="0"/>
              <w:widowControl w:val="0"/>
              <w:kinsoku/>
              <w:wordWrap/>
              <w:overflowPunct/>
              <w:topLinePunct w:val="0"/>
              <w:autoSpaceDE/>
              <w:autoSpaceDN/>
              <w:bidi w:val="0"/>
              <w:adjustRightInd w:val="0"/>
              <w:snapToGrid w:val="0"/>
              <w:spacing w:line="360" w:lineRule="auto"/>
              <w:ind w:firstLine="466" w:firstLineChars="200"/>
              <w:textAlignment w:val="auto"/>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⑥公司应设置专门的危险固废处置机构，作为厂内环境管理、监测的重要组成部分，主要负责危险固废的收集、贮存及处置。</w:t>
            </w:r>
          </w:p>
          <w:p>
            <w:pPr>
              <w:keepNext w:val="0"/>
              <w:keepLines w:val="0"/>
              <w:pageBreakBefore w:val="0"/>
              <w:widowControl w:val="0"/>
              <w:kinsoku/>
              <w:wordWrap/>
              <w:overflowPunct/>
              <w:topLinePunct w:val="0"/>
              <w:autoSpaceDE/>
              <w:autoSpaceDN/>
              <w:bidi w:val="0"/>
              <w:adjustRightInd w:val="0"/>
              <w:snapToGrid w:val="0"/>
              <w:spacing w:line="360" w:lineRule="auto"/>
              <w:ind w:firstLine="466" w:firstLineChars="200"/>
              <w:textAlignment w:val="auto"/>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贮存安全管理规定：</w:t>
            </w:r>
          </w:p>
          <w:p>
            <w:pPr>
              <w:keepNext w:val="0"/>
              <w:keepLines w:val="0"/>
              <w:pageBreakBefore w:val="0"/>
              <w:widowControl w:val="0"/>
              <w:kinsoku/>
              <w:wordWrap/>
              <w:overflowPunct/>
              <w:topLinePunct w:val="0"/>
              <w:autoSpaceDE/>
              <w:autoSpaceDN/>
              <w:bidi w:val="0"/>
              <w:adjustRightInd w:val="0"/>
              <w:snapToGrid w:val="0"/>
              <w:spacing w:line="360" w:lineRule="auto"/>
              <w:ind w:firstLine="466" w:firstLineChars="200"/>
              <w:textAlignment w:val="auto"/>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危废的安全管理：必须将危废在桶装好后放入坚固的柜或箱中；盛装、贮存危险废物须作好记录，记录上须注明名称、来源、数量、特性和入库日期、废物出库日期及接收单位名称；必须定期对所贮存的的贮存库进行检查，发现破损，应及时采取措施清理更换；贮存库必须设置警示标志。</w:t>
            </w:r>
          </w:p>
          <w:p>
            <w:pPr>
              <w:keepNext w:val="0"/>
              <w:keepLines w:val="0"/>
              <w:pageBreakBefore w:val="0"/>
              <w:widowControl w:val="0"/>
              <w:kinsoku/>
              <w:wordWrap/>
              <w:overflowPunct/>
              <w:topLinePunct w:val="0"/>
              <w:autoSpaceDE/>
              <w:autoSpaceDN/>
              <w:bidi w:val="0"/>
              <w:adjustRightInd w:val="0"/>
              <w:snapToGrid w:val="0"/>
              <w:spacing w:line="360" w:lineRule="auto"/>
              <w:ind w:firstLine="466" w:firstLineChars="200"/>
              <w:textAlignment w:val="auto"/>
              <w:rPr>
                <w:rFonts w:hint="default" w:ascii="Times New Roman" w:hAnsi="Times New Roman" w:cs="Times New Roman"/>
                <w:color w:val="auto"/>
                <w:sz w:val="24"/>
                <w:szCs w:val="24"/>
                <w:u w:val="single" w:color="auto"/>
                <w:lang w:eastAsia="zh-CN"/>
              </w:rPr>
            </w:pPr>
            <w:r>
              <w:rPr>
                <w:rFonts w:hint="default" w:ascii="Times New Roman" w:hAnsi="Times New Roman" w:cs="Times New Roman"/>
                <w:color w:val="auto"/>
                <w:sz w:val="24"/>
                <w:szCs w:val="24"/>
                <w:u w:val="single" w:color="auto"/>
              </w:rPr>
              <w:t>运输注意事项：危险废物产生单位在转移危险废物前，须按照国家有关规定报批危险废物转移计划，经批准后，产生单位应当向移出地环境保护行政主管部门申请领取联单。危险废物产生单位每转移一车、船（次）同类危险废物，应当填写一份联单。每车、船（次）有多类危险废物的，应当按每一类危险废物填写一份联单。 危险废物产生单位应当如实填写联单中产生单位栏目，并加盖公章，经交付危险废物运输单位核实验收签字后，将联单第一联副联自留存档，将联单第二联交移出地环境保护行政主管部门，联单第一联正联及其余各联交付运输单位随危险废物转移运行。危废的外运应委托有危险化学品运输质资的单位负责运输。运输车辆、司机、押运人员应具备危险化学品从业资质，有危险化学品从业资格证；运输时运输车辆应配备相应品种和数量的消防器材及泄漏应急处理设备；危险废物运输的收集应制定详细的操作规程，内容至少应包括适用范围、操作程序和方法、专业设备和工具、转移和交接、安全保障和应急防护等；夏季最好早晚运输。运输时所用的槽（罐）车应有接地链，槽内可设孔隔板以减少震荡产生静电；运输途中应防曝晒、雨淋，防高温。中途停留时应远离火种、热源、高温区；装运该物品的车辆排气管必须配备阻火装置，禁止使用易产生火花的机械设备和工具装卸；运输时要按规定路线行驶，勿在居民区和人口稠密区停留。</w:t>
            </w:r>
          </w:p>
          <w:p>
            <w:pPr>
              <w:snapToGrid w:val="0"/>
              <w:spacing w:line="360" w:lineRule="auto"/>
              <w:ind w:firstLine="466" w:firstLineChars="200"/>
              <w:rPr>
                <w:rFonts w:hint="default" w:ascii="Times New Roman" w:hAnsi="Times New Roman" w:cs="Times New Roman"/>
                <w:sz w:val="24"/>
                <w:szCs w:val="24"/>
                <w:u w:val="single" w:color="auto"/>
              </w:rPr>
            </w:pPr>
            <w:r>
              <w:rPr>
                <w:rFonts w:hint="default" w:ascii="Times New Roman" w:hAnsi="Times New Roman" w:cs="Times New Roman"/>
                <w:color w:val="auto"/>
                <w:sz w:val="24"/>
                <w:szCs w:val="24"/>
                <w:u w:val="single" w:color="auto"/>
              </w:rPr>
              <w:t>采取上述措施后，本工程固体废物可得到妥善的处理，对周围环境造影响较小</w:t>
            </w:r>
            <w:r>
              <w:rPr>
                <w:rFonts w:hint="default" w:ascii="Times New Roman" w:hAnsi="Times New Roman" w:cs="Times New Roman"/>
                <w:sz w:val="24"/>
                <w:szCs w:val="24"/>
                <w:u w:val="single" w:color="auto"/>
              </w:rPr>
              <w:t>。</w:t>
            </w:r>
          </w:p>
          <w:p>
            <w:pPr>
              <w:pStyle w:val="187"/>
              <w:spacing w:line="360" w:lineRule="auto"/>
              <w:rPr>
                <w:rFonts w:hint="default" w:ascii="Times New Roman" w:hAnsi="Times New Roman" w:cs="Times New Roman"/>
                <w:color w:val="auto"/>
                <w:sz w:val="24"/>
                <w:szCs w:val="24"/>
                <w:u w:val="none" w:color="auto"/>
                <w:lang w:val="en-US" w:eastAsia="zh-CN"/>
              </w:rPr>
            </w:pPr>
            <w:r>
              <w:rPr>
                <w:rFonts w:hint="eastAsia" w:cs="Times New Roman"/>
                <w:color w:val="auto"/>
                <w:sz w:val="24"/>
                <w:szCs w:val="24"/>
                <w:u w:val="none" w:color="auto"/>
                <w:lang w:val="en-US" w:eastAsia="zh-CN"/>
              </w:rPr>
              <w:t>5、土壤环境质量分析</w:t>
            </w:r>
          </w:p>
          <w:p>
            <w:pPr>
              <w:pStyle w:val="5"/>
              <w:spacing w:after="0" w:line="480" w:lineRule="exact"/>
              <w:ind w:firstLine="482"/>
              <w:rPr>
                <w:rFonts w:hint="default" w:ascii="Times New Roman" w:hAnsi="Times New Roman" w:cs="Times New Roman"/>
                <w:color w:val="auto"/>
                <w:kern w:val="0"/>
                <w:sz w:val="24"/>
                <w:u w:val="none" w:color="auto"/>
              </w:rPr>
            </w:pPr>
            <w:r>
              <w:rPr>
                <w:rFonts w:hint="eastAsia" w:ascii="Times New Roman" w:hAnsi="Times New Roman" w:eastAsia="宋体" w:cs="Times New Roman"/>
                <w:color w:val="auto"/>
                <w:sz w:val="24"/>
                <w:szCs w:val="24"/>
                <w:u w:val="none" w:color="auto"/>
                <w:lang w:val="en-US" w:eastAsia="zh-CN"/>
              </w:rPr>
              <w:t>根据《环境影响评价技术导则---土壤环境》（HJ964-2018）中可知，本项目属于污染影响型，本项目为</w:t>
            </w:r>
            <w:r>
              <w:rPr>
                <w:rFonts w:hint="eastAsia" w:cs="Times New Roman"/>
                <w:color w:val="auto"/>
                <w:sz w:val="24"/>
                <w:szCs w:val="24"/>
                <w:u w:val="none" w:color="auto"/>
                <w:lang w:val="en-US" w:eastAsia="zh-CN"/>
              </w:rPr>
              <w:t>纸制品生产</w:t>
            </w:r>
            <w:r>
              <w:rPr>
                <w:rFonts w:hint="eastAsia" w:ascii="Times New Roman" w:hAnsi="Times New Roman" w:eastAsia="宋体" w:cs="Times New Roman"/>
                <w:color w:val="auto"/>
                <w:sz w:val="24"/>
                <w:szCs w:val="24"/>
                <w:u w:val="none" w:color="auto"/>
                <w:lang w:val="en-US" w:eastAsia="zh-CN"/>
              </w:rPr>
              <w:t>项目，土壤环境影响评价项目类别中，属于“</w:t>
            </w:r>
            <w:r>
              <w:rPr>
                <w:rFonts w:hint="eastAsia" w:cs="Times New Roman"/>
                <w:color w:val="auto"/>
                <w:sz w:val="24"/>
                <w:szCs w:val="24"/>
                <w:u w:val="none" w:color="auto"/>
                <w:lang w:val="en-US" w:eastAsia="zh-CN"/>
              </w:rPr>
              <w:t>造纸及纸制品中</w:t>
            </w:r>
            <w:r>
              <w:rPr>
                <w:rFonts w:hint="eastAsia" w:ascii="Times New Roman" w:hAnsi="Times New Roman" w:eastAsia="宋体" w:cs="Times New Roman"/>
                <w:color w:val="auto"/>
                <w:sz w:val="24"/>
                <w:szCs w:val="24"/>
                <w:u w:val="none" w:color="auto"/>
                <w:lang w:val="en-US" w:eastAsia="zh-CN"/>
              </w:rPr>
              <w:t>的</w:t>
            </w:r>
            <w:r>
              <w:rPr>
                <w:rFonts w:hint="eastAsia" w:cs="Times New Roman"/>
                <w:color w:val="auto"/>
                <w:sz w:val="24"/>
                <w:szCs w:val="24"/>
                <w:u w:val="none" w:color="auto"/>
                <w:lang w:val="en-US" w:eastAsia="zh-CN"/>
              </w:rPr>
              <w:t>其他</w:t>
            </w:r>
            <w:r>
              <w:rPr>
                <w:rFonts w:hint="eastAsia" w:ascii="Times New Roman" w:hAnsi="Times New Roman" w:eastAsia="宋体" w:cs="Times New Roman"/>
                <w:color w:val="auto"/>
                <w:sz w:val="24"/>
                <w:szCs w:val="24"/>
                <w:u w:val="none" w:color="auto"/>
                <w:lang w:val="en-US" w:eastAsia="zh-CN"/>
              </w:rPr>
              <w:t>”，因此类别为</w:t>
            </w:r>
            <w:r>
              <w:rPr>
                <w:rFonts w:hint="eastAsia" w:ascii="Times New Roman" w:hAnsi="Times New Roman" w:eastAsia="宋体" w:cs="Times New Roman"/>
                <w:color w:val="auto"/>
                <w:sz w:val="24"/>
                <w:szCs w:val="24"/>
                <w:u w:val="none" w:color="auto"/>
                <w:lang w:val="en-US" w:eastAsia="zh-CN"/>
              </w:rPr>
              <w:fldChar w:fldCharType="begin"/>
            </w:r>
            <w:r>
              <w:rPr>
                <w:rFonts w:hint="eastAsia" w:ascii="Times New Roman" w:hAnsi="Times New Roman" w:eastAsia="宋体" w:cs="Times New Roman"/>
                <w:color w:val="auto"/>
                <w:sz w:val="24"/>
                <w:szCs w:val="24"/>
                <w:u w:val="none" w:color="auto"/>
                <w:lang w:val="en-US" w:eastAsia="zh-CN"/>
              </w:rPr>
              <w:instrText xml:space="preserve"> = 3 \* ROMAN \* MERGEFORMAT </w:instrText>
            </w:r>
            <w:r>
              <w:rPr>
                <w:rFonts w:hint="eastAsia" w:ascii="Times New Roman" w:hAnsi="Times New Roman" w:eastAsia="宋体" w:cs="Times New Roman"/>
                <w:color w:val="auto"/>
                <w:sz w:val="24"/>
                <w:szCs w:val="24"/>
                <w:u w:val="none" w:color="auto"/>
                <w:lang w:val="en-US" w:eastAsia="zh-CN"/>
              </w:rPr>
              <w:fldChar w:fldCharType="separate"/>
            </w:r>
            <w:r>
              <w:rPr>
                <w:color w:val="auto"/>
                <w:u w:val="none" w:color="auto"/>
              </w:rPr>
              <w:t>III</w:t>
            </w:r>
            <w:r>
              <w:rPr>
                <w:rFonts w:hint="eastAsia" w:ascii="Times New Roman" w:hAnsi="Times New Roman" w:eastAsia="宋体" w:cs="Times New Roman"/>
                <w:color w:val="auto"/>
                <w:sz w:val="24"/>
                <w:szCs w:val="24"/>
                <w:u w:val="none" w:color="auto"/>
                <w:lang w:val="en-US" w:eastAsia="zh-CN"/>
              </w:rPr>
              <w:fldChar w:fldCharType="end"/>
            </w:r>
            <w:r>
              <w:rPr>
                <w:rFonts w:hint="eastAsia" w:ascii="Times New Roman" w:hAnsi="Times New Roman" w:eastAsia="宋体" w:cs="Times New Roman"/>
                <w:color w:val="auto"/>
                <w:sz w:val="24"/>
                <w:szCs w:val="24"/>
                <w:u w:val="none" w:color="auto"/>
                <w:lang w:val="en-US" w:eastAsia="zh-CN"/>
              </w:rPr>
              <w:t>类。</w:t>
            </w:r>
            <w:r>
              <w:rPr>
                <w:rFonts w:hint="default" w:ascii="Times New Roman" w:hAnsi="Times New Roman" w:cs="Times New Roman"/>
                <w:color w:val="auto"/>
                <w:kern w:val="0"/>
                <w:sz w:val="24"/>
                <w:u w:val="none" w:color="auto"/>
              </w:rPr>
              <w:t>建设项目所在地周边的土壤环境敏感程度分级依据见表7-</w:t>
            </w:r>
            <w:r>
              <w:rPr>
                <w:rFonts w:hint="eastAsia" w:ascii="Times New Roman" w:hAnsi="Times New Roman" w:cs="Times New Roman"/>
                <w:color w:val="auto"/>
                <w:kern w:val="0"/>
                <w:sz w:val="24"/>
                <w:u w:val="none" w:color="auto"/>
                <w:lang w:val="en-US" w:eastAsia="zh-CN"/>
              </w:rPr>
              <w:t>1</w:t>
            </w:r>
            <w:r>
              <w:rPr>
                <w:rFonts w:hint="eastAsia" w:cs="Times New Roman"/>
                <w:color w:val="auto"/>
                <w:kern w:val="0"/>
                <w:sz w:val="24"/>
                <w:u w:val="none" w:color="auto"/>
                <w:lang w:val="en-US" w:eastAsia="zh-CN"/>
              </w:rPr>
              <w:t>6</w:t>
            </w:r>
            <w:r>
              <w:rPr>
                <w:rFonts w:hint="default" w:ascii="Times New Roman" w:hAnsi="Times New Roman" w:cs="Times New Roman"/>
                <w:color w:val="auto"/>
                <w:kern w:val="0"/>
                <w:sz w:val="24"/>
                <w:u w:val="none" w:color="auto"/>
              </w:rPr>
              <w:t>，评价等级划分依据见表7-</w:t>
            </w:r>
            <w:r>
              <w:rPr>
                <w:rFonts w:hint="eastAsia" w:ascii="Times New Roman" w:hAnsi="Times New Roman" w:cs="Times New Roman"/>
                <w:color w:val="auto"/>
                <w:kern w:val="0"/>
                <w:sz w:val="24"/>
                <w:u w:val="none" w:color="auto"/>
                <w:lang w:val="en-US" w:eastAsia="zh-CN"/>
              </w:rPr>
              <w:t>1</w:t>
            </w:r>
            <w:r>
              <w:rPr>
                <w:rFonts w:hint="eastAsia" w:cs="Times New Roman"/>
                <w:color w:val="auto"/>
                <w:kern w:val="0"/>
                <w:sz w:val="24"/>
                <w:u w:val="none" w:color="auto"/>
                <w:lang w:val="en-US" w:eastAsia="zh-CN"/>
              </w:rPr>
              <w:t>7</w:t>
            </w:r>
            <w:r>
              <w:rPr>
                <w:rFonts w:hint="default" w:ascii="Times New Roman" w:hAnsi="Times New Roman" w:cs="Times New Roman"/>
                <w:color w:val="auto"/>
                <w:kern w:val="0"/>
                <w:sz w:val="24"/>
                <w:u w:val="none" w:color="auto"/>
              </w:rPr>
              <w:t>。</w:t>
            </w:r>
          </w:p>
          <w:p>
            <w:pPr>
              <w:pStyle w:val="5"/>
              <w:spacing w:line="360" w:lineRule="auto"/>
              <w:ind w:firstLine="484"/>
              <w:jc w:val="center"/>
              <w:rPr>
                <w:rFonts w:hint="default" w:ascii="Times New Roman" w:hAnsi="Times New Roman" w:cs="Times New Roman"/>
                <w:b/>
                <w:color w:val="auto"/>
                <w:kern w:val="0"/>
                <w:sz w:val="24"/>
                <w:u w:val="none" w:color="auto"/>
              </w:rPr>
            </w:pPr>
            <w:r>
              <w:rPr>
                <w:rFonts w:hint="default" w:ascii="Times New Roman" w:hAnsi="Times New Roman" w:cs="Times New Roman"/>
                <w:b/>
                <w:color w:val="auto"/>
                <w:kern w:val="0"/>
                <w:sz w:val="24"/>
                <w:u w:val="none" w:color="auto"/>
              </w:rPr>
              <w:t>表7-</w:t>
            </w:r>
            <w:r>
              <w:rPr>
                <w:rFonts w:hint="eastAsia" w:ascii="Times New Roman" w:hAnsi="Times New Roman" w:cs="Times New Roman"/>
                <w:b/>
                <w:color w:val="auto"/>
                <w:kern w:val="0"/>
                <w:sz w:val="24"/>
                <w:u w:val="none" w:color="auto"/>
                <w:lang w:val="en-US" w:eastAsia="zh-CN"/>
              </w:rPr>
              <w:t>1</w:t>
            </w:r>
            <w:r>
              <w:rPr>
                <w:rFonts w:hint="eastAsia" w:cs="Times New Roman"/>
                <w:b/>
                <w:color w:val="auto"/>
                <w:kern w:val="0"/>
                <w:sz w:val="24"/>
                <w:u w:val="none" w:color="auto"/>
                <w:lang w:val="en-US" w:eastAsia="zh-CN"/>
              </w:rPr>
              <w:t>6</w:t>
            </w:r>
            <w:r>
              <w:rPr>
                <w:rFonts w:hint="default" w:ascii="Times New Roman" w:hAnsi="Times New Roman" w:cs="Times New Roman"/>
                <w:b/>
                <w:color w:val="auto"/>
                <w:kern w:val="0"/>
                <w:sz w:val="24"/>
                <w:u w:val="none" w:color="auto"/>
              </w:rPr>
              <w:t>污染影响型敏感程度分级表</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2"/>
              <w:gridCol w:w="7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07" w:type="pct"/>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敏感程度</w:t>
                  </w:r>
                </w:p>
              </w:tc>
              <w:tc>
                <w:tcPr>
                  <w:tcW w:w="3892" w:type="pct"/>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判别依据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107" w:type="pct"/>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敏感</w:t>
                  </w:r>
                </w:p>
              </w:tc>
              <w:tc>
                <w:tcPr>
                  <w:tcW w:w="3892" w:type="pct"/>
                  <w:tcBorders>
                    <w:top w:val="single" w:color="auto" w:sz="4" w:space="0"/>
                    <w:left w:val="nil"/>
                    <w:bottom w:val="single" w:color="auto" w:sz="4" w:space="0"/>
                    <w:right w:val="single" w:color="auto" w:sz="4" w:space="0"/>
                  </w:tcBorders>
                  <w:noWrap w:val="0"/>
                  <w:vAlign w:val="center"/>
                </w:tcPr>
                <w:p>
                  <w:pPr>
                    <w:pStyle w:val="5"/>
                    <w:spacing w:line="360" w:lineRule="auto"/>
                    <w:jc w:val="both"/>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建设项目周边存在耕地、园地、牧草地、饮用水水源地或居民区、学校、医院、疗养院、养老院等土壤环境敏感目标的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07" w:type="pct"/>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较敏感</w:t>
                  </w:r>
                </w:p>
              </w:tc>
              <w:tc>
                <w:tcPr>
                  <w:tcW w:w="3892" w:type="pct"/>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建设项目周边存在其他土壤环境敏感目标的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07" w:type="pct"/>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不敏感</w:t>
                  </w:r>
                </w:p>
              </w:tc>
              <w:tc>
                <w:tcPr>
                  <w:tcW w:w="3892" w:type="pct"/>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其他情况</w:t>
                  </w:r>
                </w:p>
              </w:tc>
            </w:tr>
          </w:tbl>
          <w:p>
            <w:pPr>
              <w:spacing w:line="360" w:lineRule="auto"/>
              <w:jc w:val="center"/>
              <w:rPr>
                <w:rFonts w:hint="default" w:ascii="Times New Roman" w:hAnsi="Times New Roman" w:cs="Times New Roman"/>
                <w:b/>
                <w:color w:val="auto"/>
                <w:kern w:val="0"/>
                <w:sz w:val="24"/>
                <w:u w:val="none" w:color="auto"/>
              </w:rPr>
            </w:pPr>
            <w:r>
              <w:rPr>
                <w:rFonts w:hint="default" w:ascii="Times New Roman" w:hAnsi="Times New Roman" w:cs="Times New Roman"/>
                <w:color w:val="auto"/>
                <w:kern w:val="0"/>
                <w:szCs w:val="21"/>
                <w:u w:val="none" w:color="auto"/>
              </w:rPr>
              <mc:AlternateContent>
                <mc:Choice Requires="wps">
                  <w:drawing>
                    <wp:anchor distT="0" distB="0" distL="114300" distR="114300" simplePos="0" relativeHeight="3818632192" behindDoc="0" locked="0" layoutInCell="1" allowOverlap="1">
                      <wp:simplePos x="0" y="0"/>
                      <wp:positionH relativeFrom="column">
                        <wp:posOffset>226060</wp:posOffset>
                      </wp:positionH>
                      <wp:positionV relativeFrom="paragraph">
                        <wp:posOffset>270510</wp:posOffset>
                      </wp:positionV>
                      <wp:extent cx="563245" cy="48895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563525" cy="488950"/>
                              </a:xfrm>
                              <a:prstGeom prst="rect">
                                <a:avLst/>
                              </a:prstGeom>
                              <a:noFill/>
                              <a:ln w="6350">
                                <a:noFill/>
                              </a:ln>
                              <a:effectLst/>
                            </wps:spPr>
                            <wps:txbx>
                              <w:txbxContent>
                                <w:p>
                                  <w:r>
                                    <w:rPr>
                                      <w:rFonts w:hint="eastAsia"/>
                                    </w:rPr>
                                    <w:t>项目</w:t>
                                  </w:r>
                                </w:p>
                                <w:p>
                                  <w:r>
                                    <w:rPr>
                                      <w:rFonts w:hint="eastAsia"/>
                                    </w:rPr>
                                    <w:t>类别</w:t>
                                  </w:r>
                                </w:p>
                                <w:p>
                                  <w:pPr>
                                    <w:ind w:firstLine="315" w:firstLineChars="150"/>
                                  </w:pPr>
                                  <w:r>
                                    <w:rPr>
                                      <w:rFonts w:hint="eastAsia"/>
                                    </w:rPr>
                                    <w:t>别</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8pt;margin-top:21.3pt;height:38.5pt;width:44.35pt;z-index:-476335104;mso-width-relative:page;mso-height-relative:page;" filled="f" stroked="f" coordsize="21600,21600" o:gfxdata="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AwR+HbAAAACQEAAA8AAAAAAAAAAQAgAAAA&#10;IgAAAGRycy9kb3ducmV2LnhtbFBLAQIUABQAAAAIAIdO4kDilJhRQQIAAHUEAAAOAAAAAAAAAAEA&#10;IAAAACoBAABkcnMvZTJvRG9jLnhtbFBLBQYAAAAABgAGAFkBAADdBQAAAAA=&#10;">
                      <v:fill on="f" focussize="0,0"/>
                      <v:stroke on="f" weight="0.5pt"/>
                      <v:imagedata o:title=""/>
                      <o:lock v:ext="edit" aspectratio="f"/>
                      <v:textbox>
                        <w:txbxContent>
                          <w:p>
                            <w:r>
                              <w:rPr>
                                <w:rFonts w:hint="eastAsia"/>
                              </w:rPr>
                              <w:t>项目</w:t>
                            </w:r>
                          </w:p>
                          <w:p>
                            <w:r>
                              <w:rPr>
                                <w:rFonts w:hint="eastAsia"/>
                              </w:rPr>
                              <w:t>类别</w:t>
                            </w:r>
                          </w:p>
                          <w:p>
                            <w:pPr>
                              <w:ind w:firstLine="315" w:firstLineChars="150"/>
                            </w:pPr>
                            <w:r>
                              <w:rPr>
                                <w:rFonts w:hint="eastAsia"/>
                              </w:rPr>
                              <w:t>别</w:t>
                            </w:r>
                          </w:p>
                        </w:txbxContent>
                      </v:textbox>
                    </v:shape>
                  </w:pict>
                </mc:Fallback>
              </mc:AlternateContent>
            </w:r>
            <w:r>
              <w:rPr>
                <w:rFonts w:hint="default" w:ascii="Times New Roman" w:hAnsi="Times New Roman" w:cs="Times New Roman"/>
                <w:b/>
                <w:color w:val="auto"/>
                <w:kern w:val="0"/>
                <w:sz w:val="24"/>
                <w:u w:val="none" w:color="auto"/>
              </w:rPr>
              <w:t>表7-</w:t>
            </w:r>
            <w:r>
              <w:rPr>
                <w:rFonts w:hint="eastAsia" w:ascii="Times New Roman" w:hAnsi="Times New Roman" w:cs="Times New Roman"/>
                <w:b/>
                <w:color w:val="auto"/>
                <w:kern w:val="0"/>
                <w:sz w:val="24"/>
                <w:u w:val="none" w:color="auto"/>
                <w:lang w:val="en-US" w:eastAsia="zh-CN"/>
              </w:rPr>
              <w:t>1</w:t>
            </w:r>
            <w:r>
              <w:rPr>
                <w:rFonts w:hint="eastAsia" w:cs="Times New Roman"/>
                <w:b/>
                <w:color w:val="auto"/>
                <w:kern w:val="0"/>
                <w:sz w:val="24"/>
                <w:u w:val="none" w:color="auto"/>
                <w:lang w:val="en-US" w:eastAsia="zh-CN"/>
              </w:rPr>
              <w:t xml:space="preserve">7  </w:t>
            </w:r>
            <w:r>
              <w:rPr>
                <w:rFonts w:hint="default" w:ascii="Times New Roman" w:hAnsi="Times New Roman" w:cs="Times New Roman"/>
                <w:b/>
                <w:color w:val="auto"/>
                <w:kern w:val="0"/>
                <w:sz w:val="24"/>
                <w:u w:val="none" w:color="auto"/>
              </w:rPr>
              <w:t>污染影响型评价工作等级划分表</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732"/>
              <w:gridCol w:w="904"/>
              <w:gridCol w:w="904"/>
              <w:gridCol w:w="904"/>
              <w:gridCol w:w="904"/>
              <w:gridCol w:w="904"/>
              <w:gridCol w:w="904"/>
              <w:gridCol w:w="905"/>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Merge w:val="restart"/>
                  <w:tcBorders>
                    <w:top w:val="single" w:color="auto" w:sz="4" w:space="0"/>
                    <w:left w:val="single" w:color="auto" w:sz="4" w:space="0"/>
                    <w:bottom w:val="single" w:color="auto" w:sz="4" w:space="0"/>
                    <w:right w:val="single" w:color="auto" w:sz="4" w:space="0"/>
                    <w:tl2br w:val="single" w:color="auto" w:sz="4" w:space="0"/>
                  </w:tcBorders>
                  <w:noWrap w:val="0"/>
                  <w:vAlign w:val="center"/>
                </w:tcPr>
                <w:p>
                  <w:pPr>
                    <w:pStyle w:val="5"/>
                    <w:spacing w:after="0"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mc:AlternateContent>
                      <mc:Choice Requires="wps">
                        <w:drawing>
                          <wp:anchor distT="0" distB="0" distL="114300" distR="114300" simplePos="0" relativeHeight="3818633216" behindDoc="0" locked="0" layoutInCell="1" allowOverlap="1">
                            <wp:simplePos x="0" y="0"/>
                            <wp:positionH relativeFrom="column">
                              <wp:posOffset>-114300</wp:posOffset>
                            </wp:positionH>
                            <wp:positionV relativeFrom="paragraph">
                              <wp:posOffset>304165</wp:posOffset>
                            </wp:positionV>
                            <wp:extent cx="563245" cy="4889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63245" cy="488950"/>
                                    </a:xfrm>
                                    <a:prstGeom prst="rect">
                                      <a:avLst/>
                                    </a:prstGeom>
                                    <a:noFill/>
                                    <a:ln w="6350">
                                      <a:noFill/>
                                    </a:ln>
                                    <a:effectLst/>
                                  </wps:spPr>
                                  <wps:txbx>
                                    <w:txbxContent>
                                      <w:p>
                                        <w:r>
                                          <w:rPr>
                                            <w:rFonts w:hint="eastAsia"/>
                                          </w:rPr>
                                          <w:t>敏感</w:t>
                                        </w:r>
                                      </w:p>
                                      <w:p>
                                        <w:r>
                                          <w:rPr>
                                            <w:rFonts w:hint="eastAsia"/>
                                          </w:rPr>
                                          <w:t>程度</w:t>
                                        </w:r>
                                      </w:p>
                                      <w:p>
                                        <w:pPr>
                                          <w:ind w:firstLine="315" w:firstLineChars="150"/>
                                        </w:pPr>
                                        <w:r>
                                          <w:rPr>
                                            <w:rFonts w:hint="eastAsia"/>
                                          </w:rPr>
                                          <w:t>别</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pt;margin-top:23.95pt;height:38.5pt;width:44.35pt;z-index:-476334080;mso-width-relative:page;mso-height-relative:page;" filled="f" stroked="f" coordsize="21600,21600" o:gfxdata="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NNWD/9oAAAAJAQAADwAAAAAAAAABACAAAAAi&#10;AAAAZHJzL2Rvd25yZXYueG1sUEsBAhQAFAAAAAgAh07iQAsnSJhBAgAAcwQAAA4AAAAAAAAAAQAg&#10;AAAAKQEAAGRycy9lMm9Eb2MueG1sUEsFBgAAAAAGAAYAWQEAANwFAAAAAA==&#10;">
                            <v:fill on="f" focussize="0,0"/>
                            <v:stroke on="f" weight="0.5pt"/>
                            <v:imagedata o:title=""/>
                            <o:lock v:ext="edit" aspectratio="f"/>
                            <v:textbox>
                              <w:txbxContent>
                                <w:p>
                                  <w:r>
                                    <w:rPr>
                                      <w:rFonts w:hint="eastAsia"/>
                                    </w:rPr>
                                    <w:t>敏感</w:t>
                                  </w:r>
                                </w:p>
                                <w:p>
                                  <w:r>
                                    <w:rPr>
                                      <w:rFonts w:hint="eastAsia"/>
                                    </w:rPr>
                                    <w:t>程度</w:t>
                                  </w:r>
                                </w:p>
                                <w:p>
                                  <w:pPr>
                                    <w:ind w:firstLine="315" w:firstLineChars="150"/>
                                  </w:pPr>
                                  <w:r>
                                    <w:rPr>
                                      <w:rFonts w:hint="eastAsia"/>
                                    </w:rPr>
                                    <w:t>别</w:t>
                                  </w:r>
                                </w:p>
                              </w:txbxContent>
                            </v:textbox>
                          </v:shape>
                        </w:pict>
                      </mc:Fallback>
                    </mc:AlternateContent>
                  </w:r>
                </w:p>
              </w:tc>
              <w:tc>
                <w:tcPr>
                  <w:tcW w:w="1404" w:type="pct"/>
                  <w:gridSpan w:val="3"/>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I</w:t>
                  </w:r>
                  <w:r>
                    <w:rPr>
                      <w:rFonts w:hint="default" w:ascii="Times New Roman" w:hAnsi="Times New Roman" w:cs="Times New Roman"/>
                      <w:color w:val="auto"/>
                      <w:sz w:val="22"/>
                      <w:szCs w:val="22"/>
                      <w:u w:val="none" w:color="auto"/>
                    </w:rPr>
                    <w:t>类</w:t>
                  </w:r>
                </w:p>
              </w:tc>
              <w:tc>
                <w:tcPr>
                  <w:tcW w:w="1500" w:type="pct"/>
                  <w:gridSpan w:val="3"/>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II</w:t>
                  </w:r>
                  <w:r>
                    <w:rPr>
                      <w:rFonts w:hint="default" w:ascii="Times New Roman" w:hAnsi="Times New Roman" w:cs="Times New Roman"/>
                      <w:color w:val="auto"/>
                      <w:sz w:val="22"/>
                      <w:szCs w:val="22"/>
                      <w:u w:val="none" w:color="auto"/>
                    </w:rPr>
                    <w:t>类</w:t>
                  </w:r>
                </w:p>
              </w:tc>
              <w:tc>
                <w:tcPr>
                  <w:tcW w:w="1501" w:type="pct"/>
                  <w:gridSpan w:val="3"/>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III</w:t>
                  </w:r>
                  <w:r>
                    <w:rPr>
                      <w:rFonts w:hint="default" w:ascii="Times New Roman" w:hAnsi="Times New Roman" w:cs="Times New Roman"/>
                      <w:color w:val="auto"/>
                      <w:sz w:val="22"/>
                      <w:szCs w:val="22"/>
                      <w:u w:val="none" w:color="auto"/>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Times New Roman" w:hAnsi="Times New Roman" w:cs="Times New Roman"/>
                      <w:color w:val="auto"/>
                      <w:kern w:val="0"/>
                      <w:sz w:val="22"/>
                      <w:szCs w:val="22"/>
                      <w:u w:val="none" w:color="auto"/>
                    </w:rPr>
                  </w:pPr>
                </w:p>
              </w:tc>
              <w:tc>
                <w:tcPr>
                  <w:tcW w:w="405" w:type="pct"/>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大</w:t>
                  </w:r>
                </w:p>
              </w:tc>
              <w:tc>
                <w:tcPr>
                  <w:tcW w:w="500" w:type="pct"/>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中</w:t>
                  </w:r>
                </w:p>
              </w:tc>
              <w:tc>
                <w:tcPr>
                  <w:tcW w:w="500" w:type="pct"/>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小</w:t>
                  </w:r>
                </w:p>
              </w:tc>
              <w:tc>
                <w:tcPr>
                  <w:tcW w:w="500" w:type="pct"/>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大</w:t>
                  </w:r>
                </w:p>
              </w:tc>
              <w:tc>
                <w:tcPr>
                  <w:tcW w:w="500" w:type="pct"/>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中</w:t>
                  </w:r>
                </w:p>
              </w:tc>
              <w:tc>
                <w:tcPr>
                  <w:tcW w:w="500" w:type="pct"/>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小</w:t>
                  </w:r>
                </w:p>
              </w:tc>
              <w:tc>
                <w:tcPr>
                  <w:tcW w:w="500" w:type="pct"/>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大</w:t>
                  </w:r>
                </w:p>
              </w:tc>
              <w:tc>
                <w:tcPr>
                  <w:tcW w:w="500" w:type="pct"/>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中</w:t>
                  </w:r>
                </w:p>
              </w:tc>
              <w:tc>
                <w:tcPr>
                  <w:tcW w:w="500" w:type="pct"/>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敏感</w:t>
                  </w:r>
                </w:p>
              </w:tc>
              <w:tc>
                <w:tcPr>
                  <w:tcW w:w="405" w:type="pct"/>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一级</w:t>
                  </w:r>
                </w:p>
              </w:tc>
              <w:tc>
                <w:tcPr>
                  <w:tcW w:w="500" w:type="pct"/>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一级</w:t>
                  </w:r>
                </w:p>
              </w:tc>
              <w:tc>
                <w:tcPr>
                  <w:tcW w:w="500" w:type="pct"/>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一级</w:t>
                  </w:r>
                </w:p>
              </w:tc>
              <w:tc>
                <w:tcPr>
                  <w:tcW w:w="500" w:type="pct"/>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三级</w:t>
                  </w:r>
                </w:p>
              </w:tc>
              <w:tc>
                <w:tcPr>
                  <w:tcW w:w="500" w:type="pct"/>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三级</w:t>
                  </w:r>
                </w:p>
              </w:tc>
              <w:tc>
                <w:tcPr>
                  <w:tcW w:w="500" w:type="pct"/>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较敏感</w:t>
                  </w:r>
                </w:p>
              </w:tc>
              <w:tc>
                <w:tcPr>
                  <w:tcW w:w="405" w:type="pct"/>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一级</w:t>
                  </w:r>
                </w:p>
              </w:tc>
              <w:tc>
                <w:tcPr>
                  <w:tcW w:w="500" w:type="pct"/>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一级</w:t>
                  </w:r>
                </w:p>
              </w:tc>
              <w:tc>
                <w:tcPr>
                  <w:tcW w:w="500" w:type="pct"/>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三级</w:t>
                  </w:r>
                </w:p>
              </w:tc>
              <w:tc>
                <w:tcPr>
                  <w:tcW w:w="500" w:type="pct"/>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三级</w:t>
                  </w:r>
                </w:p>
              </w:tc>
              <w:tc>
                <w:tcPr>
                  <w:tcW w:w="500" w:type="pct"/>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三级</w:t>
                  </w:r>
                </w:p>
              </w:tc>
              <w:tc>
                <w:tcPr>
                  <w:tcW w:w="500" w:type="pct"/>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不敏感</w:t>
                  </w:r>
                </w:p>
              </w:tc>
              <w:tc>
                <w:tcPr>
                  <w:tcW w:w="405" w:type="pct"/>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一级</w:t>
                  </w:r>
                </w:p>
              </w:tc>
              <w:tc>
                <w:tcPr>
                  <w:tcW w:w="500" w:type="pct"/>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三级</w:t>
                  </w:r>
                </w:p>
              </w:tc>
              <w:tc>
                <w:tcPr>
                  <w:tcW w:w="500" w:type="pct"/>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三级</w:t>
                  </w:r>
                </w:p>
              </w:tc>
              <w:tc>
                <w:tcPr>
                  <w:tcW w:w="500" w:type="pct"/>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三级</w:t>
                  </w:r>
                </w:p>
              </w:tc>
              <w:tc>
                <w:tcPr>
                  <w:tcW w:w="500" w:type="pct"/>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w:t>
                  </w:r>
                </w:p>
              </w:tc>
              <w:tc>
                <w:tcPr>
                  <w:tcW w:w="500" w:type="pct"/>
                  <w:tcBorders>
                    <w:top w:val="single" w:color="auto" w:sz="4" w:space="0"/>
                    <w:left w:val="nil"/>
                    <w:bottom w:val="single" w:color="auto" w:sz="4" w:space="0"/>
                    <w:right w:val="single" w:color="auto" w:sz="4" w:space="0"/>
                  </w:tcBorders>
                  <w:noWrap w:val="0"/>
                  <w:vAlign w:val="center"/>
                </w:tcPr>
                <w:p>
                  <w:pPr>
                    <w:pStyle w:val="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left"/>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注：“--”表示可不开展土壤环境影响评价工作。</w:t>
                  </w:r>
                </w:p>
              </w:tc>
            </w:tr>
          </w:tbl>
          <w:p>
            <w:pPr>
              <w:pStyle w:val="24"/>
              <w:spacing w:after="0" w:line="360" w:lineRule="auto"/>
              <w:ind w:left="0" w:leftChars="0" w:firstLine="466" w:firstLineChars="200"/>
              <w:rPr>
                <w:rFonts w:hint="default" w:eastAsia="宋体"/>
                <w:bCs/>
                <w:color w:val="auto"/>
                <w:spacing w:val="4"/>
                <w:sz w:val="24"/>
                <w:u w:val="none" w:color="auto"/>
                <w:lang w:val="en-US" w:eastAsia="zh-CN"/>
              </w:rPr>
            </w:pPr>
            <w:r>
              <w:rPr>
                <w:rFonts w:hint="eastAsia" w:ascii="Times New Roman" w:hAnsi="Times New Roman" w:eastAsia="宋体" w:cs="Times New Roman"/>
                <w:color w:val="auto"/>
                <w:sz w:val="24"/>
                <w:szCs w:val="24"/>
                <w:u w:val="none" w:color="auto"/>
                <w:lang w:val="en-US" w:eastAsia="zh-CN"/>
              </w:rPr>
              <w:t>项目位于</w:t>
            </w:r>
            <w:r>
              <w:rPr>
                <w:rFonts w:hint="eastAsia" w:cs="Times New Roman"/>
                <w:color w:val="auto"/>
                <w:sz w:val="24"/>
                <w:szCs w:val="24"/>
                <w:u w:val="none" w:color="auto"/>
                <w:lang w:val="en-US" w:eastAsia="zh-CN"/>
              </w:rPr>
              <w:t>湘阴县金龙新区内</w:t>
            </w:r>
            <w:r>
              <w:rPr>
                <w:rFonts w:hint="eastAsia" w:ascii="Times New Roman" w:hAnsi="Times New Roman" w:eastAsia="宋体" w:cs="Times New Roman"/>
                <w:color w:val="auto"/>
                <w:sz w:val="24"/>
                <w:szCs w:val="24"/>
                <w:u w:val="none" w:color="auto"/>
                <w:lang w:val="en-US" w:eastAsia="zh-CN"/>
              </w:rPr>
              <w:t>，周边均为</w:t>
            </w:r>
            <w:r>
              <w:rPr>
                <w:rFonts w:hint="eastAsia" w:cs="Times New Roman"/>
                <w:color w:val="auto"/>
                <w:sz w:val="24"/>
                <w:szCs w:val="24"/>
                <w:u w:val="none" w:color="auto"/>
                <w:lang w:val="en-US" w:eastAsia="zh-CN"/>
              </w:rPr>
              <w:t>厂房</w:t>
            </w:r>
            <w:r>
              <w:rPr>
                <w:rFonts w:hint="eastAsia" w:ascii="Times New Roman" w:hAnsi="Times New Roman" w:eastAsia="宋体" w:cs="Times New Roman"/>
                <w:color w:val="auto"/>
                <w:sz w:val="24"/>
                <w:szCs w:val="24"/>
                <w:u w:val="none" w:color="auto"/>
                <w:lang w:val="en-US" w:eastAsia="zh-CN"/>
              </w:rPr>
              <w:t>对照敏感程度分类表可知，本项目为“</w:t>
            </w:r>
            <w:r>
              <w:rPr>
                <w:rFonts w:hint="eastAsia" w:cs="Times New Roman"/>
                <w:color w:val="auto"/>
                <w:sz w:val="24"/>
                <w:szCs w:val="24"/>
                <w:u w:val="none" w:color="auto"/>
                <w:lang w:val="en-US" w:eastAsia="zh-CN"/>
              </w:rPr>
              <w:t>不</w:t>
            </w:r>
            <w:r>
              <w:rPr>
                <w:rFonts w:hint="eastAsia" w:ascii="Times New Roman" w:hAnsi="Times New Roman" w:eastAsia="宋体" w:cs="Times New Roman"/>
                <w:color w:val="auto"/>
                <w:sz w:val="24"/>
                <w:szCs w:val="24"/>
                <w:u w:val="none" w:color="auto"/>
                <w:lang w:val="en-US" w:eastAsia="zh-CN"/>
              </w:rPr>
              <w:t>敏感”，</w:t>
            </w:r>
            <w:r>
              <w:rPr>
                <w:rFonts w:hint="eastAsia" w:cs="Times New Roman"/>
                <w:color w:val="auto"/>
                <w:sz w:val="24"/>
                <w:szCs w:val="24"/>
                <w:u w:val="none" w:color="auto"/>
                <w:lang w:val="en-US" w:eastAsia="zh-CN"/>
              </w:rPr>
              <w:t>本项目占地面积为</w:t>
            </w:r>
            <w:r>
              <w:rPr>
                <w:rFonts w:hint="eastAsia" w:cs="Times New Roman"/>
                <w:spacing w:val="-6"/>
                <w:sz w:val="24"/>
                <w:u w:val="none" w:color="auto"/>
                <w:lang w:val="en-US" w:eastAsia="zh-CN"/>
              </w:rPr>
              <w:t>1176.02</w:t>
            </w:r>
            <w:r>
              <w:rPr>
                <w:rFonts w:hint="eastAsia" w:cs="Times New Roman"/>
                <w:color w:val="auto"/>
                <w:spacing w:val="-6"/>
                <w:sz w:val="24"/>
                <w:u w:val="none" w:color="auto"/>
                <w:lang w:val="en-US" w:eastAsia="zh-CN"/>
              </w:rPr>
              <w:t>m</w:t>
            </w:r>
            <w:r>
              <w:rPr>
                <w:rFonts w:hint="eastAsia" w:cs="Times New Roman"/>
                <w:color w:val="auto"/>
                <w:spacing w:val="-6"/>
                <w:sz w:val="24"/>
                <w:u w:val="none" w:color="auto"/>
                <w:vertAlign w:val="superscript"/>
                <w:lang w:val="en-US" w:eastAsia="zh-CN"/>
              </w:rPr>
              <w:t>2</w:t>
            </w:r>
            <w:r>
              <w:rPr>
                <w:rFonts w:hint="eastAsia" w:cs="Times New Roman"/>
                <w:color w:val="auto"/>
                <w:spacing w:val="-6"/>
                <w:sz w:val="24"/>
                <w:u w:val="none" w:color="auto"/>
                <w:lang w:val="en-US" w:eastAsia="zh-CN"/>
              </w:rPr>
              <w:t>，对照建设项目占地规模可知，项目属于小型，</w:t>
            </w:r>
            <w:r>
              <w:rPr>
                <w:rFonts w:hint="eastAsia" w:ascii="Times New Roman" w:hAnsi="Times New Roman" w:eastAsia="宋体" w:cs="Times New Roman"/>
                <w:color w:val="auto"/>
                <w:sz w:val="24"/>
                <w:szCs w:val="24"/>
                <w:u w:val="none" w:color="auto"/>
                <w:lang w:val="en-US" w:eastAsia="zh-CN"/>
              </w:rPr>
              <w:t>对照土壤分级表可知，本项目</w:t>
            </w:r>
            <w:r>
              <w:rPr>
                <w:rFonts w:hint="eastAsia" w:cs="Times New Roman"/>
                <w:color w:val="auto"/>
                <w:sz w:val="24"/>
                <w:szCs w:val="24"/>
                <w:u w:val="none" w:color="auto"/>
                <w:lang w:val="en-US" w:eastAsia="zh-CN"/>
              </w:rPr>
              <w:t>可不开展土壤环境评价工作</w:t>
            </w:r>
            <w:r>
              <w:rPr>
                <w:rFonts w:hint="eastAsia"/>
                <w:bCs/>
                <w:color w:val="auto"/>
                <w:spacing w:val="4"/>
                <w:sz w:val="24"/>
                <w:u w:val="none" w:color="auto"/>
                <w:lang w:val="en-US" w:eastAsia="zh-CN"/>
              </w:rPr>
              <w:t>。</w:t>
            </w:r>
          </w:p>
          <w:p>
            <w:pPr>
              <w:pStyle w:val="187"/>
              <w:spacing w:line="360" w:lineRule="auto"/>
              <w:rPr>
                <w:rFonts w:hint="default" w:ascii="Times New Roman" w:hAnsi="Times New Roman" w:cs="Times New Roman"/>
                <w:color w:val="auto"/>
                <w:sz w:val="24"/>
                <w:szCs w:val="24"/>
                <w:u w:val="none" w:color="auto"/>
              </w:rPr>
            </w:pPr>
            <w:r>
              <w:rPr>
                <w:rFonts w:hint="eastAsia" w:cs="Times New Roman"/>
                <w:color w:val="auto"/>
                <w:sz w:val="24"/>
                <w:szCs w:val="24"/>
                <w:u w:val="none" w:color="auto"/>
                <w:lang w:val="en-US" w:eastAsia="zh-CN"/>
              </w:rPr>
              <w:t>6</w:t>
            </w:r>
            <w:r>
              <w:rPr>
                <w:rFonts w:hint="default" w:ascii="Times New Roman" w:hAnsi="Times New Roman" w:cs="Times New Roman"/>
                <w:color w:val="auto"/>
                <w:sz w:val="24"/>
                <w:szCs w:val="24"/>
                <w:u w:val="none" w:color="auto"/>
              </w:rPr>
              <w:t>、环境风险分析及防范措施</w:t>
            </w:r>
          </w:p>
          <w:p>
            <w:pPr>
              <w:pStyle w:val="174"/>
              <w:spacing w:line="360" w:lineRule="auto"/>
              <w:ind w:firstLine="48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环境风险评价的目的是分析和预测建设项目存在的潜在危险、有害因素，建设项目建设和运行期间可能发生的突发性事件或事故，引起有毒有害和易燃易爆等物质泄漏，所造成的人身安全与环境影响和损害程度，提出合理可行的防范、应急与减缓措施，以使建设项目事故率、损失和环境影响达到可接受水平。</w:t>
            </w:r>
          </w:p>
          <w:p>
            <w:pPr>
              <w:pStyle w:val="174"/>
              <w:spacing w:line="360" w:lineRule="auto"/>
              <w:ind w:firstLine="48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《建设项目环境风险评价技术导则》（HJ/T169-20</w:t>
            </w:r>
            <w:r>
              <w:rPr>
                <w:rFonts w:hint="default" w:ascii="Times New Roman" w:hAnsi="Times New Roman" w:cs="Times New Roman"/>
                <w:color w:val="auto"/>
                <w:sz w:val="24"/>
                <w:szCs w:val="24"/>
                <w:u w:val="none" w:color="auto"/>
                <w:lang w:val="en-US" w:eastAsia="zh-CN"/>
              </w:rPr>
              <w:t>18</w:t>
            </w:r>
            <w:r>
              <w:rPr>
                <w:rFonts w:hint="default" w:ascii="Times New Roman" w:hAnsi="Times New Roman" w:cs="Times New Roman"/>
                <w:color w:val="auto"/>
                <w:sz w:val="24"/>
                <w:szCs w:val="24"/>
                <w:u w:val="none" w:color="auto"/>
              </w:rPr>
              <w:t>）适用于涉及有毒有害和易燃易爆物质的生产、使用和贮运等的新建、改建、扩建和技术改造项目，本次评价以该导则为基准，通过对工程的风险识别、分析和后果预测，提出本项目的风险防范措施和应急预案，把项目环境风险尽可能降低至可接受水平。</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textAlignment w:val="auto"/>
              <w:rPr>
                <w:rFonts w:hint="default" w:ascii="Times New Roman" w:hAnsi="Times New Roman" w:cs="Times New Roman"/>
                <w:b/>
                <w:bCs/>
                <w:color w:val="auto"/>
                <w:sz w:val="24"/>
                <w:u w:val="none" w:color="auto"/>
                <w:lang w:val="en-US" w:eastAsia="zh-CN"/>
              </w:rPr>
            </w:pPr>
            <w:r>
              <w:rPr>
                <w:rFonts w:hint="default" w:ascii="Times New Roman" w:hAnsi="Times New Roman" w:cs="Times New Roman"/>
                <w:color w:val="auto"/>
                <w:sz w:val="24"/>
                <w:szCs w:val="24"/>
                <w:u w:val="none" w:color="auto"/>
                <w:lang w:val="en-US" w:eastAsia="zh-CN"/>
              </w:rPr>
              <w:t>本次环境风险评价采用《建设项目环境风险评价技术导则》（HJ169-2018）中要求对建设项目的环境风险进行分析、计算和评估，提出环境风险预防、控制、减缓措施，明确环境风险监控及应急建议要求，为建设项目环境风险防控提供科学依据。</w:t>
            </w:r>
          </w:p>
          <w:p>
            <w:pPr>
              <w:pStyle w:val="189"/>
              <w:keepNext w:val="0"/>
              <w:keepLines w:val="0"/>
              <w:pageBreakBefore w:val="0"/>
              <w:widowControl w:val="0"/>
              <w:kinsoku/>
              <w:wordWrap/>
              <w:overflowPunct/>
              <w:topLinePunct w:val="0"/>
              <w:autoSpaceDE/>
              <w:autoSpaceDN/>
              <w:bidi w:val="0"/>
              <w:adjustRightInd/>
              <w:snapToGrid/>
              <w:spacing w:line="360" w:lineRule="auto"/>
              <w:ind w:firstLine="512"/>
              <w:textAlignment w:val="auto"/>
              <w:rPr>
                <w:rFonts w:hint="default" w:ascii="Times New Roman" w:hAnsi="Times New Roman" w:cs="Times New Roman"/>
                <w:b/>
                <w:bCs/>
                <w:color w:val="auto"/>
                <w:sz w:val="24"/>
                <w:u w:val="none" w:color="auto"/>
                <w:lang w:val="en-US" w:eastAsia="zh-CN"/>
              </w:rPr>
            </w:pPr>
            <w:r>
              <w:rPr>
                <w:rFonts w:hint="default" w:ascii="Times New Roman" w:hAnsi="Times New Roman" w:cs="Times New Roman"/>
                <w:b/>
                <w:bCs/>
                <w:color w:val="auto"/>
                <w:sz w:val="24"/>
                <w:u w:val="none" w:color="auto"/>
                <w:lang w:val="en-US" w:eastAsia="zh-CN"/>
              </w:rPr>
              <w:t>风险调查</w:t>
            </w:r>
          </w:p>
          <w:p>
            <w:pPr>
              <w:pStyle w:val="189"/>
              <w:keepNext w:val="0"/>
              <w:keepLines w:val="0"/>
              <w:pageBreakBefore w:val="0"/>
              <w:widowControl w:val="0"/>
              <w:kinsoku/>
              <w:wordWrap/>
              <w:overflowPunct/>
              <w:topLinePunct w:val="0"/>
              <w:autoSpaceDE/>
              <w:autoSpaceDN/>
              <w:bidi w:val="0"/>
              <w:adjustRightInd/>
              <w:snapToGrid/>
              <w:spacing w:line="360" w:lineRule="auto"/>
              <w:ind w:firstLine="512"/>
              <w:textAlignment w:val="auto"/>
              <w:rPr>
                <w:rFonts w:hint="default" w:ascii="Times New Roman" w:hAnsi="Times New Roman" w:cs="Times New Roman"/>
                <w:b/>
                <w:bCs/>
                <w:color w:val="auto"/>
                <w:sz w:val="24"/>
                <w:u w:val="none" w:color="auto"/>
                <w:lang w:val="en-US" w:eastAsia="zh-CN"/>
              </w:rPr>
            </w:pPr>
            <w:r>
              <w:rPr>
                <w:rFonts w:hint="default" w:ascii="Times New Roman" w:hAnsi="Times New Roman" w:cs="Times New Roman"/>
                <w:b w:val="0"/>
                <w:bCs w:val="0"/>
                <w:color w:val="auto"/>
                <w:sz w:val="24"/>
                <w:u w:val="none" w:color="auto"/>
                <w:lang w:val="en-US" w:eastAsia="zh-CN"/>
              </w:rPr>
              <w:t>通过对项目进行分析，可判断项目营运期</w:t>
            </w:r>
            <w:r>
              <w:rPr>
                <w:rFonts w:hint="eastAsia" w:ascii="Times New Roman" w:hAnsi="Times New Roman" w:cs="Times New Roman"/>
                <w:b w:val="0"/>
                <w:bCs w:val="0"/>
                <w:color w:val="auto"/>
                <w:sz w:val="24"/>
                <w:u w:val="none" w:color="auto"/>
                <w:lang w:val="en-US" w:eastAsia="zh-CN"/>
              </w:rPr>
              <w:t>有组织废气超标排放、原辅材料、危险废物</w:t>
            </w:r>
            <w:r>
              <w:rPr>
                <w:rFonts w:hint="default" w:ascii="Times New Roman" w:hAnsi="Times New Roman" w:cs="Times New Roman"/>
                <w:b w:val="0"/>
                <w:bCs w:val="0"/>
                <w:color w:val="auto"/>
                <w:sz w:val="24"/>
                <w:u w:val="none" w:color="auto"/>
                <w:lang w:val="en-US" w:eastAsia="zh-CN"/>
              </w:rPr>
              <w:t>泄漏风险等。</w:t>
            </w:r>
          </w:p>
          <w:p>
            <w:pPr>
              <w:pStyle w:val="174"/>
              <w:spacing w:line="360" w:lineRule="auto"/>
              <w:ind w:firstLine="480"/>
              <w:rPr>
                <w:rFonts w:hint="default" w:ascii="Times New Roman" w:hAnsi="Times New Roman" w:cs="Times New Roman"/>
                <w:b/>
                <w:bCs/>
                <w:color w:val="auto"/>
                <w:sz w:val="24"/>
                <w:szCs w:val="24"/>
                <w:u w:val="none" w:color="auto"/>
              </w:rPr>
            </w:pPr>
            <w:r>
              <w:rPr>
                <w:rFonts w:hint="eastAsia" w:cs="Times New Roman"/>
                <w:b/>
                <w:bCs/>
                <w:color w:val="auto"/>
                <w:sz w:val="24"/>
                <w:szCs w:val="24"/>
                <w:u w:val="none" w:color="auto"/>
                <w:lang w:eastAsia="zh-CN"/>
              </w:rPr>
              <w:t>环境风险分析</w:t>
            </w:r>
          </w:p>
          <w:p>
            <w:pPr>
              <w:pStyle w:val="174"/>
              <w:spacing w:line="360" w:lineRule="auto"/>
              <w:ind w:firstLine="48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（1）物质识别</w:t>
            </w:r>
          </w:p>
          <w:p>
            <w:pPr>
              <w:pStyle w:val="174"/>
              <w:spacing w:line="360" w:lineRule="auto"/>
              <w:ind w:firstLine="48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详见下表。</w:t>
            </w:r>
          </w:p>
          <w:p>
            <w:pPr>
              <w:pStyle w:val="188"/>
              <w:spacing w:line="360" w:lineRule="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表7-</w:t>
            </w:r>
            <w:r>
              <w:rPr>
                <w:rFonts w:hint="eastAsia" w:cs="Times New Roman"/>
                <w:color w:val="auto"/>
                <w:sz w:val="24"/>
                <w:szCs w:val="24"/>
                <w:u w:val="none" w:color="auto"/>
                <w:lang w:val="en-US" w:eastAsia="zh-CN"/>
              </w:rPr>
              <w:t>18</w:t>
            </w:r>
            <w:r>
              <w:rPr>
                <w:rFonts w:hint="default" w:ascii="Times New Roman" w:hAnsi="Times New Roman" w:cs="Times New Roman"/>
                <w:color w:val="auto"/>
                <w:sz w:val="24"/>
                <w:szCs w:val="24"/>
                <w:u w:val="none" w:color="auto"/>
              </w:rPr>
              <w:t xml:space="preserve">  物质危险性识别表</w:t>
            </w:r>
          </w:p>
          <w:tbl>
            <w:tblPr>
              <w:tblStyle w:val="40"/>
              <w:tblW w:w="90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21"/>
              <w:gridCol w:w="2685"/>
              <w:gridCol w:w="1983"/>
              <w:gridCol w:w="24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21" w:type="dxa"/>
                  <w:noWrap w:val="0"/>
                  <w:vAlign w:val="center"/>
                </w:tcPr>
                <w:p>
                  <w:pPr>
                    <w:pStyle w:val="186"/>
                    <w:spacing w:line="360" w:lineRule="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品名</w:t>
                  </w:r>
                </w:p>
              </w:tc>
              <w:tc>
                <w:tcPr>
                  <w:tcW w:w="2685" w:type="dxa"/>
                  <w:noWrap w:val="0"/>
                  <w:vAlign w:val="center"/>
                </w:tcPr>
                <w:p>
                  <w:pPr>
                    <w:pStyle w:val="186"/>
                    <w:spacing w:line="360" w:lineRule="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主（次）危险性类别</w:t>
                  </w:r>
                </w:p>
              </w:tc>
              <w:tc>
                <w:tcPr>
                  <w:tcW w:w="1983" w:type="dxa"/>
                  <w:noWrap w:val="0"/>
                  <w:vAlign w:val="center"/>
                </w:tcPr>
                <w:p>
                  <w:pPr>
                    <w:pStyle w:val="186"/>
                    <w:spacing w:line="360" w:lineRule="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类别</w:t>
                  </w:r>
                </w:p>
              </w:tc>
              <w:tc>
                <w:tcPr>
                  <w:tcW w:w="2433" w:type="dxa"/>
                  <w:noWrap w:val="0"/>
                  <w:vAlign w:val="center"/>
                </w:tcPr>
                <w:p>
                  <w:pPr>
                    <w:pStyle w:val="186"/>
                    <w:spacing w:line="360" w:lineRule="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是否是环境风险物质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921" w:type="dxa"/>
                  <w:noWrap w:val="0"/>
                  <w:vAlign w:val="center"/>
                </w:tcPr>
                <w:p>
                  <w:pPr>
                    <w:pStyle w:val="186"/>
                    <w:spacing w:line="360" w:lineRule="auto"/>
                    <w:rPr>
                      <w:rFonts w:hint="default" w:ascii="Times New Roman" w:hAnsi="Times New Roman" w:cs="Times New Roman"/>
                      <w:color w:val="auto"/>
                      <w:sz w:val="21"/>
                      <w:szCs w:val="21"/>
                      <w:u w:val="none" w:color="auto"/>
                      <w:lang w:eastAsia="zh-CN"/>
                    </w:rPr>
                  </w:pPr>
                  <w:r>
                    <w:rPr>
                      <w:rFonts w:hint="eastAsia" w:cs="Times New Roman"/>
                      <w:b w:val="0"/>
                      <w:bCs w:val="0"/>
                      <w:color w:val="auto"/>
                      <w:sz w:val="21"/>
                      <w:szCs w:val="16"/>
                      <w:u w:val="none" w:color="auto"/>
                      <w:lang w:val="en-US" w:eastAsia="zh-CN"/>
                    </w:rPr>
                    <w:t>水性油墨</w:t>
                  </w:r>
                </w:p>
              </w:tc>
              <w:tc>
                <w:tcPr>
                  <w:tcW w:w="2685" w:type="dxa"/>
                  <w:noWrap w:val="0"/>
                  <w:vAlign w:val="center"/>
                </w:tcPr>
                <w:p>
                  <w:pPr>
                    <w:spacing w:line="360" w:lineRule="auto"/>
                    <w:jc w:val="center"/>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lang w:eastAsia="zh-CN"/>
                    </w:rPr>
                    <w:t>泄漏</w:t>
                  </w:r>
                  <w:r>
                    <w:rPr>
                      <w:rFonts w:hint="eastAsia" w:ascii="Times New Roman" w:hAnsi="Times New Roman" w:cs="Times New Roman"/>
                      <w:color w:val="auto"/>
                      <w:sz w:val="21"/>
                      <w:szCs w:val="21"/>
                      <w:u w:val="none" w:color="auto"/>
                      <w:lang w:eastAsia="zh-CN"/>
                    </w:rPr>
                    <w:t>、火灾</w:t>
                  </w:r>
                </w:p>
              </w:tc>
              <w:tc>
                <w:tcPr>
                  <w:tcW w:w="1983" w:type="dxa"/>
                  <w:noWrap w:val="0"/>
                  <w:vAlign w:val="center"/>
                </w:tcPr>
                <w:p>
                  <w:pPr>
                    <w:pStyle w:val="186"/>
                    <w:spacing w:line="360" w:lineRule="auto"/>
                    <w:rPr>
                      <w:rFonts w:hint="eastAsia" w:ascii="Times New Roman" w:hAnsi="Times New Roman" w:cs="Times New Roman"/>
                      <w:color w:val="auto"/>
                      <w:sz w:val="21"/>
                      <w:szCs w:val="21"/>
                      <w:u w:val="none" w:color="auto"/>
                      <w:lang w:eastAsia="zh-CN"/>
                    </w:rPr>
                  </w:pPr>
                  <w:r>
                    <w:rPr>
                      <w:rFonts w:hint="eastAsia" w:cs="Times New Roman"/>
                      <w:color w:val="auto"/>
                      <w:sz w:val="21"/>
                      <w:szCs w:val="21"/>
                      <w:u w:val="none" w:color="auto"/>
                      <w:lang w:eastAsia="zh-CN"/>
                    </w:rPr>
                    <w:t>原辅材料</w:t>
                  </w:r>
                </w:p>
              </w:tc>
              <w:tc>
                <w:tcPr>
                  <w:tcW w:w="2433" w:type="dxa"/>
                  <w:noWrap w:val="0"/>
                  <w:vAlign w:val="center"/>
                </w:tcPr>
                <w:p>
                  <w:pPr>
                    <w:pStyle w:val="186"/>
                    <w:spacing w:line="360" w:lineRule="auto"/>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921" w:type="dxa"/>
                  <w:noWrap w:val="0"/>
                  <w:vAlign w:val="center"/>
                </w:tcPr>
                <w:p>
                  <w:pPr>
                    <w:pStyle w:val="186"/>
                    <w:spacing w:line="360" w:lineRule="auto"/>
                    <w:rPr>
                      <w:rFonts w:hint="default" w:cs="Times New Roman"/>
                      <w:b w:val="0"/>
                      <w:bCs w:val="0"/>
                      <w:color w:val="auto"/>
                      <w:sz w:val="21"/>
                      <w:szCs w:val="16"/>
                      <w:u w:val="none" w:color="auto"/>
                      <w:lang w:val="en-US" w:eastAsia="zh-CN"/>
                    </w:rPr>
                  </w:pPr>
                  <w:r>
                    <w:rPr>
                      <w:rFonts w:hint="eastAsia" w:cs="Times New Roman"/>
                      <w:b w:val="0"/>
                      <w:bCs w:val="0"/>
                      <w:color w:val="auto"/>
                      <w:sz w:val="21"/>
                      <w:szCs w:val="16"/>
                      <w:u w:val="none" w:color="auto"/>
                      <w:lang w:val="en-US" w:eastAsia="zh-CN"/>
                    </w:rPr>
                    <w:t>危险废物</w:t>
                  </w:r>
                </w:p>
              </w:tc>
              <w:tc>
                <w:tcPr>
                  <w:tcW w:w="2685" w:type="dxa"/>
                  <w:noWrap w:val="0"/>
                  <w:vAlign w:val="center"/>
                </w:tcPr>
                <w:p>
                  <w:pPr>
                    <w:spacing w:line="360" w:lineRule="auto"/>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泄露</w:t>
                  </w:r>
                </w:p>
              </w:tc>
              <w:tc>
                <w:tcPr>
                  <w:tcW w:w="1983" w:type="dxa"/>
                  <w:noWrap w:val="0"/>
                  <w:vAlign w:val="center"/>
                </w:tcPr>
                <w:p>
                  <w:pPr>
                    <w:pStyle w:val="186"/>
                    <w:spacing w:line="360" w:lineRule="auto"/>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危险废物</w:t>
                  </w:r>
                </w:p>
              </w:tc>
              <w:tc>
                <w:tcPr>
                  <w:tcW w:w="2433" w:type="dxa"/>
                  <w:noWrap w:val="0"/>
                  <w:vAlign w:val="center"/>
                </w:tcPr>
                <w:p>
                  <w:pPr>
                    <w:pStyle w:val="186"/>
                    <w:spacing w:line="360" w:lineRule="auto"/>
                    <w:rPr>
                      <w:rFonts w:hint="eastAsia"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921" w:type="dxa"/>
                  <w:noWrap w:val="0"/>
                  <w:vAlign w:val="center"/>
                </w:tcPr>
                <w:p>
                  <w:pPr>
                    <w:pStyle w:val="186"/>
                    <w:spacing w:line="360" w:lineRule="auto"/>
                    <w:rPr>
                      <w:rFonts w:hint="default" w:cs="Times New Roman"/>
                      <w:b w:val="0"/>
                      <w:bCs w:val="0"/>
                      <w:color w:val="auto"/>
                      <w:sz w:val="21"/>
                      <w:szCs w:val="16"/>
                      <w:u w:val="none" w:color="auto"/>
                      <w:lang w:val="en-US" w:eastAsia="zh-CN"/>
                    </w:rPr>
                  </w:pPr>
                  <w:r>
                    <w:rPr>
                      <w:rFonts w:hint="eastAsia" w:cs="Times New Roman"/>
                      <w:b w:val="0"/>
                      <w:bCs w:val="0"/>
                      <w:color w:val="auto"/>
                      <w:sz w:val="21"/>
                      <w:szCs w:val="16"/>
                      <w:u w:val="none" w:color="auto"/>
                      <w:lang w:val="en-US" w:eastAsia="zh-CN"/>
                    </w:rPr>
                    <w:t>印刷工序清洗废水</w:t>
                  </w:r>
                </w:p>
              </w:tc>
              <w:tc>
                <w:tcPr>
                  <w:tcW w:w="2685" w:type="dxa"/>
                  <w:noWrap w:val="0"/>
                  <w:vAlign w:val="center"/>
                </w:tcPr>
                <w:p>
                  <w:pPr>
                    <w:spacing w:line="360" w:lineRule="auto"/>
                    <w:jc w:val="center"/>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泄露</w:t>
                  </w:r>
                </w:p>
              </w:tc>
              <w:tc>
                <w:tcPr>
                  <w:tcW w:w="1983" w:type="dxa"/>
                  <w:noWrap w:val="0"/>
                  <w:vAlign w:val="center"/>
                </w:tcPr>
                <w:p>
                  <w:pPr>
                    <w:pStyle w:val="186"/>
                    <w:spacing w:line="360" w:lineRule="auto"/>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固体废物</w:t>
                  </w:r>
                </w:p>
              </w:tc>
              <w:tc>
                <w:tcPr>
                  <w:tcW w:w="2433" w:type="dxa"/>
                  <w:noWrap w:val="0"/>
                  <w:vAlign w:val="center"/>
                </w:tcPr>
                <w:p>
                  <w:pPr>
                    <w:pStyle w:val="186"/>
                    <w:spacing w:line="360" w:lineRule="auto"/>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是</w:t>
                  </w:r>
                </w:p>
              </w:tc>
            </w:tr>
          </w:tbl>
          <w:p>
            <w:pPr>
              <w:keepNext w:val="0"/>
              <w:keepLines w:val="0"/>
              <w:widowControl/>
              <w:suppressLineNumbers w:val="0"/>
              <w:spacing w:line="360" w:lineRule="auto"/>
              <w:ind w:firstLine="466" w:firstLineChars="200"/>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（2）</w:t>
            </w:r>
            <w:r>
              <w:rPr>
                <w:rFonts w:hint="default" w:ascii="Times New Roman" w:hAnsi="Times New Roman" w:eastAsia="宋体" w:cs="Times New Roman"/>
                <w:color w:val="auto"/>
                <w:kern w:val="0"/>
                <w:sz w:val="24"/>
                <w:szCs w:val="24"/>
                <w:u w:val="none" w:color="auto"/>
                <w:lang w:val="en-US" w:eastAsia="zh-CN" w:bidi="ar"/>
              </w:rPr>
              <w:t>风险潜势初判</w:t>
            </w:r>
          </w:p>
          <w:p>
            <w:pPr>
              <w:pStyle w:val="189"/>
              <w:keepNext w:val="0"/>
              <w:keepLines w:val="0"/>
              <w:pageBreakBefore w:val="0"/>
              <w:widowControl w:val="0"/>
              <w:kinsoku/>
              <w:wordWrap/>
              <w:overflowPunct/>
              <w:topLinePunct w:val="0"/>
              <w:autoSpaceDE/>
              <w:autoSpaceDN/>
              <w:bidi w:val="0"/>
              <w:adjustRightInd/>
              <w:snapToGrid/>
              <w:spacing w:line="360" w:lineRule="auto"/>
              <w:ind w:firstLine="512"/>
              <w:textAlignment w:val="auto"/>
              <w:rPr>
                <w:rFonts w:hint="default" w:ascii="Times New Roman" w:hAnsi="Times New Roman" w:cs="Times New Roman"/>
                <w:color w:val="auto"/>
                <w:sz w:val="24"/>
                <w:szCs w:val="24"/>
                <w:u w:val="none" w:color="auto"/>
              </w:rPr>
            </w:pPr>
            <w:r>
              <w:rPr>
                <w:rFonts w:hint="default" w:ascii="Times New Roman" w:hAnsi="Times New Roman" w:eastAsia="宋体" w:cs="Times New Roman"/>
                <w:color w:val="auto"/>
                <w:kern w:val="0"/>
                <w:sz w:val="24"/>
                <w:szCs w:val="24"/>
                <w:u w:val="none" w:color="auto"/>
                <w:lang w:val="en-US" w:eastAsia="zh-CN" w:bidi="ar"/>
              </w:rPr>
              <w:t>根据建设项目环境风险评价技术导则附录</w:t>
            </w:r>
            <w:r>
              <w:rPr>
                <w:rFonts w:hint="default" w:ascii="Times New Roman" w:hAnsi="Times New Roman" w:eastAsia="TimesNewRomanPSMT" w:cs="Times New Roman"/>
                <w:color w:val="auto"/>
                <w:kern w:val="0"/>
                <w:sz w:val="24"/>
                <w:szCs w:val="24"/>
                <w:u w:val="none" w:color="auto"/>
                <w:lang w:val="en-US" w:eastAsia="zh-CN" w:bidi="ar"/>
              </w:rPr>
              <w:t>B.1</w:t>
            </w:r>
            <w:r>
              <w:rPr>
                <w:rFonts w:hint="default" w:ascii="Times New Roman" w:hAnsi="Times New Roman" w:eastAsia="宋体" w:cs="Times New Roman"/>
                <w:color w:val="auto"/>
                <w:kern w:val="0"/>
                <w:sz w:val="24"/>
                <w:szCs w:val="24"/>
                <w:u w:val="none" w:color="auto"/>
                <w:lang w:val="en-US" w:eastAsia="zh-CN" w:bidi="ar"/>
              </w:rPr>
              <w:t>和</w:t>
            </w:r>
            <w:r>
              <w:rPr>
                <w:rFonts w:hint="default" w:ascii="Times New Roman" w:hAnsi="Times New Roman" w:eastAsia="TimesNewRomanPSMT" w:cs="Times New Roman"/>
                <w:color w:val="auto"/>
                <w:kern w:val="0"/>
                <w:sz w:val="24"/>
                <w:szCs w:val="24"/>
                <w:u w:val="none" w:color="auto"/>
                <w:lang w:val="en-US" w:eastAsia="zh-CN" w:bidi="ar"/>
              </w:rPr>
              <w:t>B.2</w:t>
            </w:r>
            <w:r>
              <w:rPr>
                <w:rFonts w:hint="default" w:ascii="Times New Roman" w:hAnsi="Times New Roman" w:eastAsia="宋体" w:cs="Times New Roman"/>
                <w:color w:val="auto"/>
                <w:kern w:val="0"/>
                <w:sz w:val="24"/>
                <w:szCs w:val="24"/>
                <w:u w:val="none" w:color="auto"/>
                <w:lang w:val="en-US" w:eastAsia="zh-CN" w:bidi="ar"/>
              </w:rPr>
              <w:t>，</w:t>
            </w:r>
            <w:r>
              <w:rPr>
                <w:rFonts w:hint="eastAsia" w:cs="Times New Roman"/>
                <w:color w:val="auto"/>
                <w:kern w:val="0"/>
                <w:sz w:val="24"/>
                <w:szCs w:val="24"/>
                <w:u w:val="none" w:color="auto"/>
                <w:lang w:val="en-US" w:eastAsia="zh-CN" w:bidi="ar"/>
              </w:rPr>
              <w:t>本项目使用的原辅材料均不属于</w:t>
            </w:r>
            <w:r>
              <w:rPr>
                <w:rFonts w:hint="default" w:ascii="Times New Roman" w:hAnsi="Times New Roman" w:eastAsia="宋体" w:cs="Times New Roman"/>
                <w:color w:val="auto"/>
                <w:kern w:val="0"/>
                <w:sz w:val="24"/>
                <w:szCs w:val="24"/>
                <w:u w:val="none" w:color="auto"/>
                <w:lang w:val="en-US" w:eastAsia="zh-CN" w:bidi="ar"/>
              </w:rPr>
              <w:t>附录</w:t>
            </w:r>
            <w:r>
              <w:rPr>
                <w:rFonts w:hint="default" w:ascii="Times New Roman" w:hAnsi="Times New Roman" w:eastAsia="TimesNewRomanPSMT" w:cs="Times New Roman"/>
                <w:color w:val="auto"/>
                <w:kern w:val="0"/>
                <w:sz w:val="24"/>
                <w:szCs w:val="24"/>
                <w:u w:val="none" w:color="auto"/>
                <w:lang w:val="en-US" w:eastAsia="zh-CN" w:bidi="ar"/>
              </w:rPr>
              <w:t>B.1</w:t>
            </w:r>
            <w:r>
              <w:rPr>
                <w:rFonts w:hint="default" w:ascii="Times New Roman" w:hAnsi="Times New Roman" w:eastAsia="宋体" w:cs="Times New Roman"/>
                <w:color w:val="auto"/>
                <w:kern w:val="0"/>
                <w:sz w:val="24"/>
                <w:szCs w:val="24"/>
                <w:u w:val="none" w:color="auto"/>
                <w:lang w:val="en-US" w:eastAsia="zh-CN" w:bidi="ar"/>
              </w:rPr>
              <w:t>和</w:t>
            </w:r>
            <w:r>
              <w:rPr>
                <w:rFonts w:hint="default" w:ascii="Times New Roman" w:hAnsi="Times New Roman" w:eastAsia="TimesNewRomanPSMT" w:cs="Times New Roman"/>
                <w:color w:val="auto"/>
                <w:kern w:val="0"/>
                <w:sz w:val="24"/>
                <w:szCs w:val="24"/>
                <w:u w:val="none" w:color="auto"/>
                <w:lang w:val="en-US" w:eastAsia="zh-CN" w:bidi="ar"/>
              </w:rPr>
              <w:t>B.2</w:t>
            </w:r>
            <w:r>
              <w:rPr>
                <w:rFonts w:hint="eastAsia" w:eastAsia="TimesNewRomanPSMT" w:cs="Times New Roman"/>
                <w:color w:val="auto"/>
                <w:kern w:val="0"/>
                <w:sz w:val="24"/>
                <w:szCs w:val="24"/>
                <w:u w:val="none" w:color="auto"/>
                <w:lang w:val="en-US" w:eastAsia="zh-CN" w:bidi="ar"/>
              </w:rPr>
              <w:t>中的物质</w:t>
            </w:r>
            <w:r>
              <w:rPr>
                <w:rFonts w:hint="eastAsia" w:ascii="Times New Roman" w:hAnsi="Times New Roman" w:eastAsia="TimesNewRomanPSMT" w:cs="Times New Roman"/>
                <w:color w:val="auto"/>
                <w:kern w:val="0"/>
                <w:sz w:val="24"/>
                <w:szCs w:val="24"/>
                <w:u w:val="none" w:color="auto"/>
                <w:lang w:val="en-US" w:eastAsia="zh-CN" w:bidi="ar"/>
              </w:rPr>
              <w:t>，故项目</w:t>
            </w:r>
            <w:r>
              <w:rPr>
                <w:rFonts w:hint="default" w:ascii="Times New Roman" w:hAnsi="Times New Roman" w:cs="Times New Roman"/>
                <w:color w:val="auto"/>
                <w:sz w:val="24"/>
                <w:szCs w:val="24"/>
                <w:u w:val="none" w:color="auto"/>
                <w:lang w:val="en-US" w:eastAsia="zh-CN"/>
              </w:rPr>
              <w:t>qi/Qi</w:t>
            </w:r>
            <w:r>
              <w:rPr>
                <w:rFonts w:hint="eastAsia" w:ascii="Times New Roman" w:hAnsi="Times New Roman" w:cs="Times New Roman"/>
                <w:color w:val="auto"/>
                <w:sz w:val="24"/>
                <w:szCs w:val="24"/>
                <w:u w:val="none" w:color="auto"/>
                <w:lang w:val="en-US" w:eastAsia="zh-CN"/>
              </w:rPr>
              <w:t>=0</w:t>
            </w:r>
            <w:r>
              <w:rPr>
                <w:rFonts w:hint="default" w:ascii="Times New Roman" w:hAnsi="Times New Roman" w:cs="Times New Roman"/>
                <w:color w:val="auto"/>
                <w:sz w:val="24"/>
                <w:szCs w:val="24"/>
                <w:u w:val="none" w:color="auto"/>
              </w:rPr>
              <w:t>，项目</w:t>
            </w:r>
            <w:r>
              <w:rPr>
                <w:rFonts w:hint="default" w:ascii="Times New Roman" w:hAnsi="Times New Roman" w:cs="Times New Roman"/>
                <w:color w:val="auto"/>
                <w:sz w:val="24"/>
                <w:szCs w:val="24"/>
                <w:u w:val="none" w:color="auto"/>
                <w:lang w:val="en-US" w:eastAsia="zh-CN"/>
              </w:rPr>
              <w:t>qi/Qi</w:t>
            </w:r>
            <w:r>
              <w:rPr>
                <w:rFonts w:hint="eastAsia" w:ascii="Times New Roman" w:hAnsi="Times New Roman" w:cs="Times New Roman"/>
                <w:color w:val="auto"/>
                <w:sz w:val="24"/>
                <w:szCs w:val="24"/>
                <w:u w:val="none" w:color="auto"/>
                <w:lang w:val="en-US" w:eastAsia="zh-CN"/>
              </w:rPr>
              <w:t>=0</w:t>
            </w:r>
            <w:r>
              <w:rPr>
                <w:rFonts w:hint="default" w:ascii="Times New Roman" w:hAnsi="Times New Roman" w:cs="Times New Roman"/>
                <w:color w:val="auto"/>
                <w:sz w:val="24"/>
                <w:szCs w:val="24"/>
                <w:u w:val="none" w:color="auto"/>
              </w:rPr>
              <w:t>＜1，</w:t>
            </w:r>
            <w:r>
              <w:rPr>
                <w:rFonts w:hint="default" w:ascii="Times New Roman" w:hAnsi="Times New Roman" w:cs="Times New Roman"/>
                <w:color w:val="auto"/>
                <w:sz w:val="24"/>
                <w:szCs w:val="24"/>
                <w:u w:val="none" w:color="auto"/>
                <w:lang w:val="en-US" w:eastAsia="zh-CN"/>
              </w:rPr>
              <w:t>则</w:t>
            </w:r>
            <w:r>
              <w:rPr>
                <w:rFonts w:hint="default" w:ascii="Times New Roman" w:hAnsi="Times New Roman" w:cs="Times New Roman"/>
                <w:b/>
                <w:bCs/>
                <w:color w:val="auto"/>
                <w:sz w:val="24"/>
                <w:szCs w:val="24"/>
                <w:u w:val="none" w:color="auto"/>
                <w:lang w:val="en-US" w:eastAsia="zh-CN"/>
              </w:rPr>
              <w:t>该项目环境风险潜势为Ⅰ</w:t>
            </w:r>
            <w:r>
              <w:rPr>
                <w:rFonts w:hint="default" w:ascii="Times New Roman" w:hAnsi="Times New Roman" w:cs="Times New Roman"/>
                <w:color w:val="auto"/>
                <w:sz w:val="24"/>
                <w:u w:val="none" w:color="auto"/>
                <w:lang w:val="en-US" w:eastAsia="zh-CN"/>
              </w:rPr>
              <w:t>，评价工作等级为简单分析</w:t>
            </w:r>
            <w:r>
              <w:rPr>
                <w:rFonts w:hint="default" w:ascii="Times New Roman" w:hAnsi="Times New Roman" w:cs="Times New Roman"/>
                <w:color w:val="auto"/>
                <w:sz w:val="24"/>
                <w:szCs w:val="24"/>
                <w:u w:val="none" w:color="auto"/>
              </w:rPr>
              <w:t>。</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 xml:space="preserve">本项目的环境风险评价工作等级为简单分析。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 xml:space="preserve">环境风险：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1</w:t>
            </w:r>
            <w:r>
              <w:rPr>
                <w:rFonts w:hint="eastAsia" w:ascii="Times New Roman" w:hAnsi="Times New Roman" w:eastAsia="宋体" w:cs="Times New Roman"/>
                <w:color w:val="auto"/>
                <w:kern w:val="0"/>
                <w:sz w:val="24"/>
                <w:szCs w:val="24"/>
                <w:u w:val="none" w:color="auto"/>
                <w:lang w:val="en-US" w:eastAsia="zh-CN" w:bidi="ar"/>
              </w:rPr>
              <w:t>）项目营运期会用到</w:t>
            </w:r>
            <w:r>
              <w:rPr>
                <w:rFonts w:hint="eastAsia" w:cs="Times New Roman"/>
                <w:color w:val="auto"/>
                <w:kern w:val="0"/>
                <w:sz w:val="24"/>
                <w:szCs w:val="24"/>
                <w:u w:val="none" w:color="auto"/>
                <w:lang w:val="en-US" w:eastAsia="zh-CN" w:bidi="ar"/>
              </w:rPr>
              <w:t>水性油</w:t>
            </w:r>
            <w:r>
              <w:rPr>
                <w:rFonts w:hint="eastAsia" w:ascii="Times New Roman" w:hAnsi="Times New Roman" w:eastAsia="宋体" w:cs="Times New Roman"/>
                <w:color w:val="auto"/>
                <w:kern w:val="0"/>
                <w:sz w:val="24"/>
                <w:szCs w:val="24"/>
                <w:u w:val="none" w:color="auto"/>
                <w:lang w:val="en-US" w:eastAsia="zh-CN" w:bidi="ar"/>
              </w:rPr>
              <w:t>墨用桶储存</w:t>
            </w:r>
            <w:r>
              <w:rPr>
                <w:rFonts w:hint="eastAsia" w:cs="Times New Roman"/>
                <w:color w:val="auto"/>
                <w:kern w:val="0"/>
                <w:sz w:val="24"/>
                <w:szCs w:val="24"/>
                <w:u w:val="none" w:color="auto"/>
                <w:lang w:val="en-US" w:eastAsia="zh-CN" w:bidi="ar"/>
              </w:rPr>
              <w:t>、印刷工序清洗废水使用储罐储存</w:t>
            </w:r>
            <w:r>
              <w:rPr>
                <w:rFonts w:hint="eastAsia" w:ascii="Times New Roman" w:hAnsi="Times New Roman" w:eastAsia="宋体" w:cs="Times New Roman"/>
                <w:color w:val="auto"/>
                <w:kern w:val="0"/>
                <w:sz w:val="24"/>
                <w:szCs w:val="24"/>
                <w:u w:val="none" w:color="auto"/>
                <w:lang w:val="en-US" w:eastAsia="zh-CN" w:bidi="ar"/>
              </w:rPr>
              <w:t>，若泄漏到环境中，经雨水管网进入</w:t>
            </w:r>
            <w:r>
              <w:rPr>
                <w:rFonts w:hint="eastAsia" w:cs="Times New Roman"/>
                <w:color w:val="auto"/>
                <w:kern w:val="0"/>
                <w:sz w:val="24"/>
                <w:szCs w:val="24"/>
                <w:u w:val="none" w:color="auto"/>
                <w:lang w:val="en-US" w:eastAsia="zh-CN" w:bidi="ar"/>
              </w:rPr>
              <w:t>洋沙河</w:t>
            </w:r>
            <w:r>
              <w:rPr>
                <w:rFonts w:hint="eastAsia" w:ascii="Times New Roman" w:hAnsi="Times New Roman" w:eastAsia="宋体" w:cs="Times New Roman"/>
                <w:color w:val="auto"/>
                <w:kern w:val="0"/>
                <w:sz w:val="24"/>
                <w:szCs w:val="24"/>
                <w:u w:val="none" w:color="auto"/>
                <w:lang w:val="en-US" w:eastAsia="zh-CN" w:bidi="ar"/>
              </w:rPr>
              <w:t>，将会对</w:t>
            </w:r>
            <w:r>
              <w:rPr>
                <w:rFonts w:hint="eastAsia" w:cs="Times New Roman"/>
                <w:color w:val="auto"/>
                <w:kern w:val="0"/>
                <w:sz w:val="24"/>
                <w:szCs w:val="24"/>
                <w:u w:val="none" w:color="auto"/>
                <w:lang w:val="en-US" w:eastAsia="zh-CN" w:bidi="ar"/>
              </w:rPr>
              <w:t>洋沙河</w:t>
            </w:r>
            <w:r>
              <w:rPr>
                <w:rFonts w:hint="eastAsia" w:ascii="Times New Roman" w:hAnsi="Times New Roman" w:eastAsia="宋体" w:cs="Times New Roman"/>
                <w:color w:val="auto"/>
                <w:kern w:val="0"/>
                <w:sz w:val="24"/>
                <w:szCs w:val="24"/>
                <w:u w:val="none" w:color="auto"/>
                <w:lang w:val="en-US" w:eastAsia="zh-CN" w:bidi="ar"/>
              </w:rPr>
              <w:t>水质造成影响；</w:t>
            </w:r>
          </w:p>
          <w:p>
            <w:pPr>
              <w:keepNext w:val="0"/>
              <w:keepLines w:val="0"/>
              <w:widowControl/>
              <w:suppressLineNumbers w:val="0"/>
              <w:spacing w:line="360" w:lineRule="auto"/>
              <w:ind w:firstLine="466" w:firstLineChars="200"/>
              <w:jc w:val="left"/>
              <w:rPr>
                <w:rFonts w:hint="eastAsia"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2</w:t>
            </w:r>
            <w:r>
              <w:rPr>
                <w:rFonts w:hint="eastAsia" w:ascii="Times New Roman" w:hAnsi="Times New Roman" w:eastAsia="宋体" w:cs="Times New Roman"/>
                <w:color w:val="auto"/>
                <w:kern w:val="0"/>
                <w:sz w:val="24"/>
                <w:szCs w:val="24"/>
                <w:u w:val="none" w:color="auto"/>
                <w:lang w:val="en-US" w:eastAsia="zh-CN" w:bidi="ar"/>
              </w:rPr>
              <w:t>）本项目遇明火导致燃烧造成的火灾风险</w:t>
            </w:r>
            <w:r>
              <w:rPr>
                <w:rFonts w:hint="eastAsia" w:cs="Times New Roman"/>
                <w:color w:val="auto"/>
                <w:kern w:val="0"/>
                <w:sz w:val="24"/>
                <w:szCs w:val="24"/>
                <w:u w:val="none" w:color="auto"/>
                <w:lang w:val="en-US" w:eastAsia="zh-CN" w:bidi="ar"/>
              </w:rPr>
              <w:t>；</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 xml:space="preserve">（3）废气经处理后高空排放，如遇处理设备故障或者吸附效率低下导致废气超标排放，将对工业园大气环境造成影响。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 xml:space="preserve"> </w:t>
            </w:r>
            <w:r>
              <w:rPr>
                <w:rFonts w:hint="eastAsia" w:ascii="Times New Roman" w:hAnsi="Times New Roman" w:eastAsia="宋体" w:cs="Times New Roman"/>
                <w:color w:val="auto"/>
                <w:kern w:val="0"/>
                <w:sz w:val="24"/>
                <w:szCs w:val="24"/>
                <w:u w:val="none" w:color="auto"/>
                <w:lang w:val="en-US" w:eastAsia="zh-CN" w:bidi="ar"/>
              </w:rPr>
              <w:t xml:space="preserve">环境风险分析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环评参照过往已经发生的事故情况确定本次评价的最大可信事故为：</w:t>
            </w:r>
            <w:r>
              <w:rPr>
                <w:rFonts w:hint="eastAsia" w:cs="Times New Roman"/>
                <w:color w:val="auto"/>
                <w:kern w:val="0"/>
                <w:sz w:val="24"/>
                <w:szCs w:val="24"/>
                <w:u w:val="none" w:color="auto"/>
                <w:lang w:val="en-US" w:eastAsia="zh-CN" w:bidi="ar"/>
              </w:rPr>
              <w:t>水性油</w:t>
            </w:r>
            <w:r>
              <w:rPr>
                <w:rFonts w:hint="eastAsia" w:ascii="Times New Roman" w:hAnsi="Times New Roman" w:eastAsia="宋体" w:cs="Times New Roman"/>
                <w:color w:val="auto"/>
                <w:kern w:val="0"/>
                <w:sz w:val="24"/>
                <w:szCs w:val="24"/>
                <w:u w:val="none" w:color="auto"/>
                <w:lang w:val="en-US" w:eastAsia="zh-CN" w:bidi="ar"/>
              </w:rPr>
              <w:t>墨</w:t>
            </w:r>
            <w:r>
              <w:rPr>
                <w:rFonts w:hint="eastAsia" w:cs="Times New Roman"/>
                <w:color w:val="auto"/>
                <w:kern w:val="0"/>
                <w:sz w:val="24"/>
                <w:szCs w:val="24"/>
                <w:u w:val="none" w:color="auto"/>
                <w:lang w:val="en-US" w:eastAsia="zh-CN" w:bidi="ar"/>
              </w:rPr>
              <w:t>、印刷工序清洗废水</w:t>
            </w:r>
            <w:r>
              <w:rPr>
                <w:rFonts w:hint="eastAsia" w:ascii="Times New Roman" w:hAnsi="Times New Roman" w:eastAsia="宋体" w:cs="Times New Roman"/>
                <w:color w:val="auto"/>
                <w:kern w:val="0"/>
                <w:sz w:val="24"/>
                <w:szCs w:val="24"/>
                <w:u w:val="none" w:color="auto"/>
                <w:lang w:val="en-US" w:eastAsia="zh-CN" w:bidi="ar"/>
              </w:rPr>
              <w:t>、</w:t>
            </w:r>
            <w:r>
              <w:rPr>
                <w:rFonts w:hint="eastAsia" w:cs="Times New Roman"/>
                <w:color w:val="auto"/>
                <w:kern w:val="0"/>
                <w:sz w:val="24"/>
                <w:szCs w:val="24"/>
                <w:u w:val="none" w:color="auto"/>
                <w:lang w:val="en-US" w:eastAsia="zh-CN" w:bidi="ar"/>
              </w:rPr>
              <w:t>危险废物</w:t>
            </w:r>
            <w:r>
              <w:rPr>
                <w:rFonts w:hint="eastAsia" w:ascii="Times New Roman" w:hAnsi="Times New Roman" w:eastAsia="宋体" w:cs="Times New Roman"/>
                <w:color w:val="auto"/>
                <w:kern w:val="0"/>
                <w:sz w:val="24"/>
                <w:szCs w:val="24"/>
                <w:u w:val="none" w:color="auto"/>
                <w:lang w:val="en-US" w:eastAsia="zh-CN" w:bidi="ar"/>
              </w:rPr>
              <w:t>泄漏事故、废气超标排放</w:t>
            </w:r>
            <w:r>
              <w:rPr>
                <w:rFonts w:hint="eastAsia" w:cs="Times New Roman"/>
                <w:color w:val="auto"/>
                <w:kern w:val="0"/>
                <w:sz w:val="24"/>
                <w:szCs w:val="24"/>
                <w:u w:val="none" w:color="auto"/>
                <w:lang w:val="en-US" w:eastAsia="zh-CN" w:bidi="ar"/>
              </w:rPr>
              <w:t>、遇明火发生火灾</w:t>
            </w:r>
            <w:r>
              <w:rPr>
                <w:rFonts w:hint="eastAsia" w:ascii="Times New Roman" w:hAnsi="Times New Roman" w:eastAsia="宋体" w:cs="Times New Roman"/>
                <w:color w:val="auto"/>
                <w:kern w:val="0"/>
                <w:sz w:val="24"/>
                <w:szCs w:val="24"/>
                <w:u w:val="none" w:color="auto"/>
                <w:lang w:val="en-US" w:eastAsia="zh-CN" w:bidi="ar"/>
              </w:rPr>
              <w:t xml:space="preserve">。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1</w:t>
            </w:r>
            <w:r>
              <w:rPr>
                <w:rFonts w:hint="eastAsia" w:ascii="Times New Roman" w:hAnsi="Times New Roman" w:eastAsia="宋体" w:cs="Times New Roman"/>
                <w:color w:val="auto"/>
                <w:kern w:val="0"/>
                <w:sz w:val="24"/>
                <w:szCs w:val="24"/>
                <w:u w:val="none" w:color="auto"/>
                <w:lang w:val="en-US" w:eastAsia="zh-CN" w:bidi="ar"/>
              </w:rPr>
              <w:t xml:space="preserve">）泄漏事故影响分析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本项目若管理操作不当或意外事故，如</w:t>
            </w:r>
            <w:r>
              <w:rPr>
                <w:rFonts w:hint="eastAsia" w:cs="Times New Roman"/>
                <w:color w:val="auto"/>
                <w:kern w:val="0"/>
                <w:sz w:val="24"/>
                <w:szCs w:val="24"/>
                <w:u w:val="none" w:color="auto"/>
                <w:lang w:val="en-US" w:eastAsia="zh-CN" w:bidi="ar"/>
              </w:rPr>
              <w:t>员工操作不当</w:t>
            </w:r>
            <w:r>
              <w:rPr>
                <w:rFonts w:hint="eastAsia" w:ascii="Times New Roman" w:hAnsi="Times New Roman" w:eastAsia="宋体" w:cs="Times New Roman"/>
                <w:color w:val="auto"/>
                <w:kern w:val="0"/>
                <w:sz w:val="24"/>
                <w:szCs w:val="24"/>
                <w:u w:val="none" w:color="auto"/>
                <w:lang w:val="en-US" w:eastAsia="zh-CN" w:bidi="ar"/>
              </w:rPr>
              <w:t>而导致泄漏，存在</w:t>
            </w:r>
            <w:r>
              <w:rPr>
                <w:rFonts w:hint="eastAsia" w:cs="Times New Roman"/>
                <w:color w:val="auto"/>
                <w:kern w:val="0"/>
                <w:sz w:val="24"/>
                <w:szCs w:val="24"/>
                <w:u w:val="none" w:color="auto"/>
                <w:lang w:val="en-US" w:eastAsia="zh-CN" w:bidi="ar"/>
              </w:rPr>
              <w:t>水性油</w:t>
            </w:r>
            <w:r>
              <w:rPr>
                <w:rFonts w:hint="eastAsia" w:ascii="Times New Roman" w:hAnsi="Times New Roman" w:eastAsia="宋体" w:cs="Times New Roman"/>
                <w:color w:val="auto"/>
                <w:kern w:val="0"/>
                <w:sz w:val="24"/>
                <w:szCs w:val="24"/>
                <w:u w:val="none" w:color="auto"/>
                <w:lang w:val="en-US" w:eastAsia="zh-CN" w:bidi="ar"/>
              </w:rPr>
              <w:t>墨</w:t>
            </w:r>
            <w:r>
              <w:rPr>
                <w:rFonts w:hint="eastAsia" w:cs="Times New Roman"/>
                <w:color w:val="auto"/>
                <w:kern w:val="0"/>
                <w:sz w:val="24"/>
                <w:szCs w:val="24"/>
                <w:u w:val="none" w:color="auto"/>
                <w:lang w:val="en-US" w:eastAsia="zh-CN" w:bidi="ar"/>
              </w:rPr>
              <w:t>、印刷工序清洗废水</w:t>
            </w:r>
            <w:r>
              <w:rPr>
                <w:rFonts w:hint="eastAsia" w:ascii="Times New Roman" w:hAnsi="Times New Roman" w:eastAsia="宋体" w:cs="Times New Roman"/>
                <w:color w:val="auto"/>
                <w:kern w:val="0"/>
                <w:sz w:val="24"/>
                <w:szCs w:val="24"/>
                <w:u w:val="none" w:color="auto"/>
                <w:lang w:val="en-US" w:eastAsia="zh-CN" w:bidi="ar"/>
              </w:rPr>
              <w:t>、</w:t>
            </w:r>
            <w:r>
              <w:rPr>
                <w:rFonts w:hint="eastAsia" w:cs="Times New Roman"/>
                <w:color w:val="auto"/>
                <w:kern w:val="0"/>
                <w:sz w:val="24"/>
                <w:szCs w:val="24"/>
                <w:u w:val="none" w:color="auto"/>
                <w:lang w:val="en-US" w:eastAsia="zh-CN" w:bidi="ar"/>
              </w:rPr>
              <w:t>危险废物</w:t>
            </w:r>
            <w:r>
              <w:rPr>
                <w:rFonts w:hint="eastAsia" w:ascii="Times New Roman" w:hAnsi="Times New Roman" w:eastAsia="宋体" w:cs="Times New Roman"/>
                <w:color w:val="auto"/>
                <w:kern w:val="0"/>
                <w:sz w:val="24"/>
                <w:szCs w:val="24"/>
                <w:u w:val="none" w:color="auto"/>
                <w:lang w:val="en-US" w:eastAsia="zh-CN" w:bidi="ar"/>
              </w:rPr>
              <w:t>泄漏事故风险。这会对周围环境产生较大的污染影响</w:t>
            </w:r>
            <w:r>
              <w:rPr>
                <w:rFonts w:hint="eastAsia" w:cs="Times New Roman"/>
                <w:color w:val="auto"/>
                <w:kern w:val="0"/>
                <w:sz w:val="24"/>
                <w:szCs w:val="24"/>
                <w:u w:val="none" w:color="auto"/>
                <w:lang w:val="en-US" w:eastAsia="zh-CN" w:bidi="ar"/>
              </w:rPr>
              <w:t>，</w:t>
            </w:r>
            <w:r>
              <w:rPr>
                <w:rFonts w:hint="eastAsia" w:ascii="Times New Roman" w:hAnsi="Times New Roman" w:eastAsia="宋体" w:cs="Times New Roman"/>
                <w:color w:val="auto"/>
                <w:kern w:val="0"/>
                <w:sz w:val="24"/>
                <w:szCs w:val="24"/>
                <w:u w:val="none" w:color="auto"/>
                <w:lang w:val="en-US" w:eastAsia="zh-CN" w:bidi="ar"/>
              </w:rPr>
              <w:t xml:space="preserve">从而造成地表水体污染。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2</w:t>
            </w:r>
            <w:r>
              <w:rPr>
                <w:rFonts w:hint="eastAsia" w:ascii="Times New Roman" w:hAnsi="Times New Roman" w:eastAsia="宋体" w:cs="Times New Roman"/>
                <w:color w:val="auto"/>
                <w:kern w:val="0"/>
                <w:sz w:val="24"/>
                <w:szCs w:val="24"/>
                <w:u w:val="none" w:color="auto"/>
                <w:lang w:val="en-US" w:eastAsia="zh-CN" w:bidi="ar"/>
              </w:rPr>
              <w:t xml:space="preserve">）火灾事故影响分析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 xml:space="preserve">一旦发生火灾事故，有毒有害气体可通过热辐射、烟雾及冲击波等形式扩散至空气中，泄漏液体和消防水将进入排水系统以及渗透到土壤中，会造成财产损失和人员伤亡，以及水环境、土壤环境的污染。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 xml:space="preserve">（3）废气超标排放事故影响分析 </w:t>
            </w:r>
          </w:p>
          <w:p>
            <w:pPr>
              <w:keepNext w:val="0"/>
              <w:keepLines w:val="0"/>
              <w:widowControl/>
              <w:suppressLineNumbers w:val="0"/>
              <w:spacing w:line="360" w:lineRule="auto"/>
              <w:ind w:firstLine="466" w:firstLineChars="200"/>
              <w:jc w:val="left"/>
              <w:rPr>
                <w:rFonts w:hint="eastAsia"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本项目若管理操作不当或设备故障、处理能力低下，如风机、活性炭已饱和吸附效率低下</w:t>
            </w:r>
            <w:r>
              <w:rPr>
                <w:rFonts w:hint="eastAsia" w:cs="Times New Roman"/>
                <w:color w:val="auto"/>
                <w:kern w:val="0"/>
                <w:sz w:val="24"/>
                <w:szCs w:val="24"/>
                <w:u w:val="none" w:color="auto"/>
                <w:lang w:val="en-US" w:eastAsia="zh-CN" w:bidi="ar"/>
              </w:rPr>
              <w:t>、UV光解设施损坏</w:t>
            </w:r>
            <w:r>
              <w:rPr>
                <w:rFonts w:hint="eastAsia" w:ascii="Times New Roman" w:hAnsi="Times New Roman" w:eastAsia="宋体" w:cs="Times New Roman"/>
                <w:color w:val="auto"/>
                <w:kern w:val="0"/>
                <w:sz w:val="24"/>
                <w:szCs w:val="24"/>
                <w:u w:val="none" w:color="auto"/>
                <w:lang w:val="en-US" w:eastAsia="zh-CN" w:bidi="ar"/>
              </w:rPr>
              <w:t>导致废气超标排放。这不仅会对周围环境产生较大的污染影响，甚至还要危及人身的生命安全。</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 xml:space="preserve">环境风险防范措施及应急要求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1</w:t>
            </w:r>
            <w:r>
              <w:rPr>
                <w:rFonts w:hint="eastAsia" w:ascii="Times New Roman" w:hAnsi="Times New Roman" w:eastAsia="宋体" w:cs="Times New Roman"/>
                <w:color w:val="auto"/>
                <w:kern w:val="0"/>
                <w:sz w:val="24"/>
                <w:szCs w:val="24"/>
                <w:u w:val="none" w:color="auto"/>
                <w:lang w:val="en-US" w:eastAsia="zh-CN" w:bidi="ar"/>
              </w:rPr>
              <w:t xml:space="preserve">）火灾风险防范措施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a</w:t>
            </w:r>
            <w:r>
              <w:rPr>
                <w:rFonts w:hint="eastAsia" w:ascii="Times New Roman" w:hAnsi="Times New Roman" w:eastAsia="宋体" w:cs="Times New Roman"/>
                <w:color w:val="auto"/>
                <w:kern w:val="0"/>
                <w:sz w:val="24"/>
                <w:szCs w:val="24"/>
                <w:u w:val="none" w:color="auto"/>
                <w:lang w:val="en-US" w:eastAsia="zh-CN" w:bidi="ar"/>
              </w:rPr>
              <w:t xml:space="preserve">、火患往往起于细微之处，要格外注意用电的安全，合理布置电源电线的使用。不要同时使用大功率电器，也不要把所有电器设备的插头都插在一个接线板上，避免线路老化，短路发生火灾。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b</w:t>
            </w:r>
            <w:r>
              <w:rPr>
                <w:rFonts w:hint="eastAsia" w:ascii="Times New Roman" w:hAnsi="Times New Roman" w:eastAsia="宋体" w:cs="Times New Roman"/>
                <w:color w:val="auto"/>
                <w:kern w:val="0"/>
                <w:sz w:val="24"/>
                <w:szCs w:val="24"/>
                <w:u w:val="none" w:color="auto"/>
                <w:lang w:val="en-US" w:eastAsia="zh-CN" w:bidi="ar"/>
              </w:rPr>
              <w:t>、</w:t>
            </w:r>
            <w:r>
              <w:rPr>
                <w:rFonts w:hint="eastAsia" w:cs="Times New Roman"/>
                <w:color w:val="auto"/>
                <w:kern w:val="0"/>
                <w:sz w:val="24"/>
                <w:szCs w:val="24"/>
                <w:u w:val="none" w:color="auto"/>
                <w:lang w:val="en-US" w:eastAsia="zh-CN" w:bidi="ar"/>
              </w:rPr>
              <w:t>原辅材料</w:t>
            </w:r>
            <w:r>
              <w:rPr>
                <w:rFonts w:hint="eastAsia" w:ascii="Times New Roman" w:hAnsi="Times New Roman" w:eastAsia="宋体" w:cs="Times New Roman"/>
                <w:color w:val="auto"/>
                <w:kern w:val="0"/>
                <w:sz w:val="24"/>
                <w:szCs w:val="24"/>
                <w:u w:val="none" w:color="auto"/>
                <w:lang w:val="en-US" w:eastAsia="zh-CN" w:bidi="ar"/>
              </w:rPr>
              <w:t xml:space="preserve">贮存区禁止明火进入，严禁吸烟。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c</w:t>
            </w:r>
            <w:r>
              <w:rPr>
                <w:rFonts w:hint="eastAsia" w:ascii="Times New Roman" w:hAnsi="Times New Roman" w:eastAsia="宋体" w:cs="Times New Roman"/>
                <w:color w:val="auto"/>
                <w:kern w:val="0"/>
                <w:sz w:val="24"/>
                <w:szCs w:val="24"/>
                <w:u w:val="none" w:color="auto"/>
                <w:lang w:val="en-US" w:eastAsia="zh-CN" w:bidi="ar"/>
              </w:rPr>
              <w:t>、生产厂房、</w:t>
            </w:r>
            <w:r>
              <w:rPr>
                <w:rFonts w:hint="eastAsia" w:cs="Times New Roman"/>
                <w:color w:val="auto"/>
                <w:kern w:val="0"/>
                <w:sz w:val="24"/>
                <w:szCs w:val="24"/>
                <w:u w:val="none" w:color="auto"/>
                <w:lang w:val="en-US" w:eastAsia="zh-CN" w:bidi="ar"/>
              </w:rPr>
              <w:t>原辅材料</w:t>
            </w:r>
            <w:r>
              <w:rPr>
                <w:rFonts w:hint="eastAsia" w:ascii="Times New Roman" w:hAnsi="Times New Roman" w:eastAsia="宋体" w:cs="Times New Roman"/>
                <w:color w:val="auto"/>
                <w:kern w:val="0"/>
                <w:sz w:val="24"/>
                <w:szCs w:val="24"/>
                <w:u w:val="none" w:color="auto"/>
                <w:lang w:val="en-US" w:eastAsia="zh-CN" w:bidi="ar"/>
              </w:rPr>
              <w:t xml:space="preserve">贮存区须确保全面通风、配备相应品种和数量的消防器材，预留必要的安全间距，远离火种和热源，防止阳光直射。车间工作人员及相关责任人均应熟悉其放置地点，用法，而且要经常检查，消防通道保持畅通。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d</w:t>
            </w:r>
            <w:r>
              <w:rPr>
                <w:rFonts w:hint="eastAsia" w:ascii="Times New Roman" w:hAnsi="Times New Roman" w:eastAsia="宋体" w:cs="Times New Roman"/>
                <w:color w:val="auto"/>
                <w:kern w:val="0"/>
                <w:sz w:val="24"/>
                <w:szCs w:val="24"/>
                <w:u w:val="none" w:color="auto"/>
                <w:lang w:val="en-US" w:eastAsia="zh-CN" w:bidi="ar"/>
              </w:rPr>
              <w:t xml:space="preserve">、应加强消防设施及消防教育建设，对重要场所需要重点防范，制定严格的操作规范，避免火灾等事故发生。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e</w:t>
            </w:r>
            <w:r>
              <w:rPr>
                <w:rFonts w:hint="eastAsia" w:ascii="Times New Roman" w:hAnsi="Times New Roman" w:eastAsia="宋体" w:cs="Times New Roman"/>
                <w:color w:val="auto"/>
                <w:kern w:val="0"/>
                <w:sz w:val="24"/>
                <w:szCs w:val="24"/>
                <w:u w:val="none" w:color="auto"/>
                <w:lang w:val="en-US" w:eastAsia="zh-CN" w:bidi="ar"/>
              </w:rPr>
              <w:t xml:space="preserve">、确保安全出口和疏散通道畅通无阻。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f</w:t>
            </w:r>
            <w:r>
              <w:rPr>
                <w:rFonts w:hint="eastAsia" w:ascii="Times New Roman" w:hAnsi="Times New Roman" w:eastAsia="宋体" w:cs="Times New Roman"/>
                <w:color w:val="auto"/>
                <w:kern w:val="0"/>
                <w:sz w:val="24"/>
                <w:szCs w:val="24"/>
                <w:u w:val="none" w:color="auto"/>
                <w:lang w:val="en-US" w:eastAsia="zh-CN" w:bidi="ar"/>
              </w:rPr>
              <w:t>、加强电气防火安全管理，消除火灾隐患，不得超负荷用电，不得擅自拉接临时电线。</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g</w:t>
            </w:r>
            <w:r>
              <w:rPr>
                <w:rFonts w:hint="eastAsia" w:ascii="Times New Roman" w:hAnsi="Times New Roman" w:eastAsia="宋体" w:cs="Times New Roman"/>
                <w:color w:val="auto"/>
                <w:kern w:val="0"/>
                <w:sz w:val="24"/>
                <w:szCs w:val="24"/>
                <w:u w:val="none" w:color="auto"/>
                <w:lang w:val="en-US" w:eastAsia="zh-CN" w:bidi="ar"/>
              </w:rPr>
              <w:t xml:space="preserve">、对于电器的使用，应当养成随手断电、随手关灯的好习惯。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h</w:t>
            </w:r>
            <w:r>
              <w:rPr>
                <w:rFonts w:hint="eastAsia" w:ascii="Times New Roman" w:hAnsi="Times New Roman" w:eastAsia="宋体" w:cs="Times New Roman"/>
                <w:color w:val="auto"/>
                <w:kern w:val="0"/>
                <w:sz w:val="24"/>
                <w:szCs w:val="24"/>
                <w:u w:val="none" w:color="auto"/>
                <w:lang w:val="en-US" w:eastAsia="zh-CN" w:bidi="ar"/>
              </w:rPr>
              <w:t>、定期对操作人员进行安全生产与安全知识培训，并制定严格的安全操作规程</w:t>
            </w:r>
            <w:r>
              <w:rPr>
                <w:rFonts w:hint="eastAsia" w:cs="Times New Roman"/>
                <w:color w:val="auto"/>
                <w:kern w:val="0"/>
                <w:sz w:val="24"/>
                <w:szCs w:val="24"/>
                <w:u w:val="none" w:color="auto"/>
                <w:lang w:val="en-US" w:eastAsia="zh-CN" w:bidi="ar"/>
              </w:rPr>
              <w:t>，</w:t>
            </w:r>
            <w:r>
              <w:rPr>
                <w:rFonts w:hint="eastAsia" w:ascii="Times New Roman" w:hAnsi="Times New Roman" w:eastAsia="宋体" w:cs="Times New Roman"/>
                <w:color w:val="auto"/>
                <w:kern w:val="0"/>
                <w:sz w:val="24"/>
                <w:szCs w:val="24"/>
                <w:u w:val="none" w:color="auto"/>
                <w:lang w:val="en-US" w:eastAsia="zh-CN" w:bidi="ar"/>
              </w:rPr>
              <w:t xml:space="preserve">切实加强生产过程中的温度控制，保证劳动安全，防止意外事故的发生。应加强消防设施及消防教育建设，对厂区等重要场所需要重点防范，制定严格的操作规范，避免火灾等事故发生。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i</w:t>
            </w:r>
            <w:r>
              <w:rPr>
                <w:rFonts w:hint="eastAsia" w:ascii="Times New Roman" w:hAnsi="Times New Roman" w:eastAsia="宋体" w:cs="Times New Roman"/>
                <w:color w:val="auto"/>
                <w:kern w:val="0"/>
                <w:sz w:val="24"/>
                <w:szCs w:val="24"/>
                <w:u w:val="none" w:color="auto"/>
                <w:lang w:val="en-US" w:eastAsia="zh-CN" w:bidi="ar"/>
              </w:rPr>
              <w:t xml:space="preserve">、火灾发生时，先把总电源关掉，按响警铃以警示车间内其他人员，同时联络消防队，利用灭火器尽量灭火，如果无效，应该马上离开现场到安全地点集合，在离开时要确保所有人都已经离开车间，再把门窗关上。 </w:t>
            </w:r>
          </w:p>
          <w:p>
            <w:pPr>
              <w:keepNext w:val="0"/>
              <w:keepLines w:val="0"/>
              <w:widowControl/>
              <w:suppressLineNumbers w:val="0"/>
              <w:spacing w:line="360" w:lineRule="auto"/>
              <w:ind w:firstLine="466" w:firstLineChars="200"/>
              <w:jc w:val="left"/>
              <w:rPr>
                <w:rFonts w:hint="eastAsia"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j</w:t>
            </w:r>
            <w:r>
              <w:rPr>
                <w:rFonts w:hint="eastAsia" w:ascii="Times New Roman" w:hAnsi="Times New Roman" w:eastAsia="宋体" w:cs="Times New Roman"/>
                <w:color w:val="auto"/>
                <w:kern w:val="0"/>
                <w:sz w:val="24"/>
                <w:szCs w:val="24"/>
                <w:u w:val="none" w:color="auto"/>
                <w:lang w:val="en-US" w:eastAsia="zh-CN" w:bidi="ar"/>
              </w:rPr>
              <w:t xml:space="preserve">、为了减轻万一发生火灾事故造成的损失，工厂还应该制定火灾应急预案，并报上级主管部门批准，并定期演练。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2</w:t>
            </w:r>
            <w:r>
              <w:rPr>
                <w:rFonts w:hint="eastAsia" w:ascii="Times New Roman" w:hAnsi="Times New Roman" w:eastAsia="宋体" w:cs="Times New Roman"/>
                <w:color w:val="auto"/>
                <w:kern w:val="0"/>
                <w:sz w:val="24"/>
                <w:szCs w:val="24"/>
                <w:u w:val="none" w:color="auto"/>
                <w:lang w:val="en-US" w:eastAsia="zh-CN" w:bidi="ar"/>
              </w:rPr>
              <w:t xml:space="preserve">）泄漏防范措施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a</w:t>
            </w:r>
            <w:r>
              <w:rPr>
                <w:rFonts w:hint="eastAsia" w:ascii="Times New Roman" w:hAnsi="Times New Roman" w:eastAsia="宋体" w:cs="Times New Roman"/>
                <w:color w:val="auto"/>
                <w:kern w:val="0"/>
                <w:sz w:val="24"/>
                <w:szCs w:val="24"/>
                <w:u w:val="none" w:color="auto"/>
                <w:lang w:val="en-US" w:eastAsia="zh-CN" w:bidi="ar"/>
              </w:rPr>
              <w:t>、运营期除定期检查</w:t>
            </w:r>
            <w:r>
              <w:rPr>
                <w:rFonts w:hint="eastAsia" w:cs="Times New Roman"/>
                <w:color w:val="auto"/>
                <w:kern w:val="0"/>
                <w:sz w:val="24"/>
                <w:szCs w:val="24"/>
                <w:u w:val="none" w:color="auto"/>
                <w:lang w:val="en-US" w:eastAsia="zh-CN" w:bidi="ar"/>
              </w:rPr>
              <w:t>水性油</w:t>
            </w:r>
            <w:r>
              <w:rPr>
                <w:rFonts w:hint="eastAsia" w:ascii="Times New Roman" w:hAnsi="Times New Roman" w:eastAsia="宋体" w:cs="Times New Roman"/>
                <w:color w:val="auto"/>
                <w:kern w:val="0"/>
                <w:sz w:val="24"/>
                <w:szCs w:val="24"/>
                <w:u w:val="none" w:color="auto"/>
                <w:lang w:val="en-US" w:eastAsia="zh-CN" w:bidi="ar"/>
              </w:rPr>
              <w:t>墨</w:t>
            </w:r>
            <w:r>
              <w:rPr>
                <w:rFonts w:hint="eastAsia" w:cs="Times New Roman"/>
                <w:color w:val="auto"/>
                <w:kern w:val="0"/>
                <w:sz w:val="24"/>
                <w:szCs w:val="24"/>
                <w:u w:val="none" w:color="auto"/>
                <w:lang w:val="en-US" w:eastAsia="zh-CN" w:bidi="ar"/>
              </w:rPr>
              <w:t>、危险废物</w:t>
            </w:r>
            <w:r>
              <w:rPr>
                <w:rFonts w:hint="eastAsia" w:ascii="Times New Roman" w:hAnsi="Times New Roman" w:eastAsia="宋体" w:cs="Times New Roman"/>
                <w:color w:val="auto"/>
                <w:kern w:val="0"/>
                <w:sz w:val="24"/>
                <w:szCs w:val="24"/>
                <w:u w:val="none" w:color="auto"/>
                <w:lang w:val="en-US" w:eastAsia="zh-CN" w:bidi="ar"/>
              </w:rPr>
              <w:t>等是否发生泄</w:t>
            </w:r>
            <w:r>
              <w:rPr>
                <w:rFonts w:hint="eastAsia" w:cs="Times New Roman"/>
                <w:color w:val="auto"/>
                <w:kern w:val="0"/>
                <w:sz w:val="24"/>
                <w:szCs w:val="24"/>
                <w:u w:val="none" w:color="auto"/>
                <w:lang w:val="en-US" w:eastAsia="zh-CN" w:bidi="ar"/>
              </w:rPr>
              <w:t>漏</w:t>
            </w:r>
            <w:r>
              <w:rPr>
                <w:rFonts w:hint="eastAsia" w:ascii="Times New Roman" w:hAnsi="Times New Roman" w:eastAsia="宋体" w:cs="Times New Roman"/>
                <w:color w:val="auto"/>
                <w:kern w:val="0"/>
                <w:sz w:val="24"/>
                <w:szCs w:val="24"/>
                <w:u w:val="none" w:color="auto"/>
                <w:lang w:val="en-US" w:eastAsia="zh-CN" w:bidi="ar"/>
              </w:rPr>
              <w:t>外，还应对车间地面进行水泥硬化，并作防渗处理</w:t>
            </w:r>
            <w:r>
              <w:rPr>
                <w:rFonts w:hint="eastAsia" w:cs="Times New Roman"/>
                <w:color w:val="auto"/>
                <w:kern w:val="0"/>
                <w:sz w:val="24"/>
                <w:szCs w:val="24"/>
                <w:u w:val="none" w:color="auto"/>
                <w:lang w:val="en-US" w:eastAsia="zh-CN" w:bidi="ar"/>
              </w:rPr>
              <w:t>；原辅料仓库门口设置拱背型围堰、并安装标识标牌</w:t>
            </w:r>
            <w:r>
              <w:rPr>
                <w:rFonts w:hint="eastAsia" w:ascii="Times New Roman" w:hAnsi="Times New Roman" w:eastAsia="宋体" w:cs="Times New Roman"/>
                <w:color w:val="auto"/>
                <w:kern w:val="0"/>
                <w:sz w:val="24"/>
                <w:szCs w:val="24"/>
                <w:u w:val="none" w:color="auto"/>
                <w:lang w:val="en-US" w:eastAsia="zh-CN" w:bidi="ar"/>
              </w:rPr>
              <w:t xml:space="preserve">。应按照有关消防规范储存，并配备必要的消防设施。 </w:t>
            </w:r>
          </w:p>
          <w:p>
            <w:pPr>
              <w:keepNext w:val="0"/>
              <w:keepLines w:val="0"/>
              <w:widowControl/>
              <w:suppressLineNumbers w:val="0"/>
              <w:spacing w:line="360" w:lineRule="auto"/>
              <w:ind w:firstLine="466" w:firstLineChars="200"/>
              <w:jc w:val="left"/>
              <w:rPr>
                <w:rFonts w:hint="eastAsia"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b</w:t>
            </w:r>
            <w:r>
              <w:rPr>
                <w:rFonts w:hint="eastAsia" w:ascii="Times New Roman" w:hAnsi="Times New Roman" w:eastAsia="宋体" w:cs="Times New Roman"/>
                <w:color w:val="auto"/>
                <w:kern w:val="0"/>
                <w:sz w:val="24"/>
                <w:szCs w:val="24"/>
                <w:u w:val="none" w:color="auto"/>
                <w:lang w:val="en-US" w:eastAsia="zh-CN" w:bidi="ar"/>
              </w:rPr>
              <w:t>、危废暂存间应按规范设置，应强化管理，采用合格的容器储存，并及时交有资质的单位处置</w:t>
            </w:r>
            <w:r>
              <w:rPr>
                <w:rFonts w:hint="eastAsia" w:cs="Times New Roman"/>
                <w:color w:val="auto"/>
                <w:kern w:val="0"/>
                <w:sz w:val="24"/>
                <w:szCs w:val="24"/>
                <w:u w:val="none" w:color="auto"/>
                <w:lang w:val="en-US" w:eastAsia="zh-CN" w:bidi="ar"/>
              </w:rPr>
              <w:t>。</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cs="Times New Roman"/>
                <w:color w:val="auto"/>
                <w:kern w:val="0"/>
                <w:sz w:val="24"/>
                <w:szCs w:val="24"/>
                <w:u w:val="none" w:color="auto"/>
                <w:lang w:val="en-US" w:eastAsia="zh-CN" w:bidi="ar"/>
              </w:rPr>
              <w:t>c、印刷工序清洗废水储存罐需定期进行检查，储罐地面需进行硬化处理，储罐周边需设置不低于储罐容积的围堰，储罐旁边需设置标识标牌，定期处理清洗废水</w:t>
            </w:r>
            <w:r>
              <w:rPr>
                <w:rFonts w:hint="eastAsia" w:ascii="Times New Roman" w:hAnsi="Times New Roman" w:eastAsia="宋体" w:cs="Times New Roman"/>
                <w:color w:val="auto"/>
                <w:kern w:val="0"/>
                <w:sz w:val="24"/>
                <w:szCs w:val="24"/>
                <w:u w:val="none" w:color="auto"/>
                <w:lang w:val="en-US" w:eastAsia="zh-CN" w:bidi="ar"/>
              </w:rPr>
              <w:t xml:space="preserve">。 </w:t>
            </w:r>
          </w:p>
          <w:p>
            <w:pPr>
              <w:keepNext w:val="0"/>
              <w:keepLines w:val="0"/>
              <w:widowControl/>
              <w:suppressLineNumbers w:val="0"/>
              <w:spacing w:line="360" w:lineRule="auto"/>
              <w:ind w:firstLine="466" w:firstLineChars="200"/>
              <w:jc w:val="left"/>
              <w:rPr>
                <w:rFonts w:hint="eastAsia"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3</w:t>
            </w:r>
            <w:r>
              <w:rPr>
                <w:rFonts w:hint="eastAsia" w:ascii="Times New Roman" w:hAnsi="Times New Roman" w:eastAsia="宋体" w:cs="Times New Roman"/>
                <w:color w:val="auto"/>
                <w:kern w:val="0"/>
                <w:sz w:val="24"/>
                <w:szCs w:val="24"/>
                <w:u w:val="none" w:color="auto"/>
                <w:lang w:val="en-US" w:eastAsia="zh-CN" w:bidi="ar"/>
              </w:rPr>
              <w:t>）</w:t>
            </w:r>
            <w:r>
              <w:rPr>
                <w:rFonts w:hint="eastAsia" w:cs="Times New Roman"/>
                <w:color w:val="auto"/>
                <w:kern w:val="0"/>
                <w:sz w:val="24"/>
                <w:szCs w:val="24"/>
                <w:u w:val="none" w:color="auto"/>
                <w:lang w:val="en-US" w:eastAsia="zh-CN" w:bidi="ar"/>
              </w:rPr>
              <w:t>废气超标排放防范措施</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a</w:t>
            </w:r>
            <w:r>
              <w:rPr>
                <w:rFonts w:hint="default" w:ascii="Times New Roman" w:hAnsi="Times New Roman" w:eastAsia="宋体" w:cs="Times New Roman"/>
                <w:color w:val="auto"/>
                <w:kern w:val="0"/>
                <w:sz w:val="24"/>
                <w:szCs w:val="24"/>
                <w:u w:val="none" w:color="auto"/>
                <w:lang w:val="en-US" w:eastAsia="zh-CN" w:bidi="ar"/>
              </w:rPr>
              <w:t>废气末端治理措施必须确保日常正常运行，如发现人为原因不开启环保治理设置，责任人应受行政和经济处罚，并承担事故排放责任。若末端治理措施因故不能运行，则必须停止生产。</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b</w:t>
            </w:r>
            <w:r>
              <w:rPr>
                <w:rFonts w:hint="default" w:ascii="Times New Roman" w:hAnsi="Times New Roman" w:eastAsia="宋体" w:cs="Times New Roman"/>
                <w:color w:val="auto"/>
                <w:kern w:val="0"/>
                <w:sz w:val="24"/>
                <w:szCs w:val="24"/>
                <w:u w:val="none" w:color="auto"/>
                <w:lang w:val="en-US" w:eastAsia="zh-CN" w:bidi="ar"/>
              </w:rPr>
              <w:t>为确保处理效率，在车间设备检修期间，末端处理系统也应同时进行检修，日常应有专人负责进行维护。</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c</w:t>
            </w:r>
            <w:r>
              <w:rPr>
                <w:rFonts w:hint="default" w:ascii="Times New Roman" w:hAnsi="Times New Roman" w:eastAsia="宋体" w:cs="Times New Roman"/>
                <w:color w:val="auto"/>
                <w:kern w:val="0"/>
                <w:sz w:val="24"/>
                <w:szCs w:val="24"/>
                <w:u w:val="none" w:color="auto"/>
                <w:lang w:val="en-US" w:eastAsia="zh-CN" w:bidi="ar"/>
              </w:rPr>
              <w:t>废气处理岗位严格按照操作规程进行，确保废气处理效果。</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d</w:t>
            </w:r>
            <w:r>
              <w:rPr>
                <w:rFonts w:hint="default" w:ascii="Times New Roman" w:hAnsi="Times New Roman" w:eastAsia="宋体" w:cs="Times New Roman"/>
                <w:color w:val="auto"/>
                <w:kern w:val="0"/>
                <w:sz w:val="24"/>
                <w:szCs w:val="24"/>
                <w:u w:val="none" w:color="auto"/>
                <w:lang w:val="en-US" w:eastAsia="zh-CN" w:bidi="ar"/>
              </w:rPr>
              <w:t>对废气治理设施进行定期检修（每周至少一次），保证其正常运行，同时，为了确保废气净化设施的电力供应，本环评要求</w:t>
            </w:r>
            <w:r>
              <w:rPr>
                <w:rFonts w:hint="eastAsia" w:cs="Times New Roman"/>
                <w:color w:val="auto"/>
                <w:kern w:val="0"/>
                <w:sz w:val="24"/>
                <w:szCs w:val="24"/>
                <w:u w:val="none" w:color="auto"/>
                <w:lang w:val="en-US" w:eastAsia="zh-CN" w:bidi="ar"/>
              </w:rPr>
              <w:t>。</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如果全厂停电，停止生产，无污染物产生。为确保安全，风机仍然继续运转（采用应急发电机）。风机出现故障时，备用风机立即启动。</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其他防范措施</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厂区内应按照规范的要求配置手提式干粉灭火器、二氧化碳灭火器等。按规范要求配备足够的防毒面具</w:t>
            </w:r>
            <w:r>
              <w:rPr>
                <w:rFonts w:hint="eastAsia" w:ascii="Times New Roman" w:hAnsi="Times New Roman" w:eastAsia="宋体" w:cs="Times New Roman"/>
                <w:color w:val="auto"/>
                <w:kern w:val="0"/>
                <w:sz w:val="24"/>
                <w:szCs w:val="24"/>
                <w:u w:val="none" w:color="auto"/>
                <w:lang w:val="en-US" w:eastAsia="zh-CN" w:bidi="ar"/>
              </w:rPr>
              <w:t>。</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w:t>
            </w:r>
            <w:r>
              <w:rPr>
                <w:rFonts w:hint="eastAsia" w:cs="Times New Roman"/>
                <w:color w:val="auto"/>
                <w:kern w:val="0"/>
                <w:sz w:val="24"/>
                <w:szCs w:val="24"/>
                <w:u w:val="none" w:color="auto"/>
                <w:lang w:val="en-US" w:eastAsia="zh-CN" w:bidi="ar"/>
              </w:rPr>
              <w:t>4</w:t>
            </w:r>
            <w:r>
              <w:rPr>
                <w:rFonts w:hint="eastAsia" w:ascii="Times New Roman" w:hAnsi="Times New Roman" w:eastAsia="宋体" w:cs="Times New Roman"/>
                <w:color w:val="auto"/>
                <w:kern w:val="0"/>
                <w:sz w:val="24"/>
                <w:szCs w:val="24"/>
                <w:u w:val="none" w:color="auto"/>
                <w:lang w:val="en-US" w:eastAsia="zh-CN" w:bidi="ar"/>
              </w:rPr>
              <w:t xml:space="preserve">）建立事故救援应急机制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为保证企业及人民生命财产的安全，在发生事故时，能够迅速有序的开展救援工作，尽最大努力减少事故的危害和损失，根据《企业事业单位突发环境事件应急预案备案管理办法（试行）》，公司需成立一负责人为总指挥，分管生产负责人为副指挥的事故应急救援队伍，指挥部下设立办公室、工程抢修救援组、医疗救护组、后勤保障组。制定《突发环境事故应急救援预案》和实施细则，组织专业队伍学习和演练，提高队伍实战能力，防患于未然，以便应急救援工作的顺利开展。同时该厂必须将本单位危险源及有关安全措施、应急措施报告地方政府的安全生产监督管理部门和有关部门，以便政府及有关部门能够及时掌握有关情况，一旦发生事故，政府及其有关部门可以调动有关方面的力量进行救援，以减少事故损失</w:t>
            </w:r>
            <w:r>
              <w:rPr>
                <w:rFonts w:hint="eastAsia" w:cs="Times New Roman"/>
                <w:color w:val="auto"/>
                <w:kern w:val="0"/>
                <w:sz w:val="24"/>
                <w:szCs w:val="24"/>
                <w:u w:val="none" w:color="auto"/>
                <w:lang w:val="en-US" w:eastAsia="zh-CN" w:bidi="ar"/>
              </w:rPr>
              <w:t>。</w:t>
            </w:r>
          </w:p>
          <w:p>
            <w:pPr>
              <w:keepNext w:val="0"/>
              <w:keepLines w:val="0"/>
              <w:pageBreakBefore w:val="0"/>
              <w:widowControl w:val="0"/>
              <w:tabs>
                <w:tab w:val="left" w:pos="942"/>
              </w:tabs>
              <w:kinsoku/>
              <w:wordWrap/>
              <w:overflowPunct/>
              <w:topLinePunct w:val="0"/>
              <w:autoSpaceDE/>
              <w:autoSpaceDN/>
              <w:bidi w:val="0"/>
              <w:adjustRightInd/>
              <w:snapToGrid/>
              <w:spacing w:line="360" w:lineRule="auto"/>
              <w:ind w:firstLine="466" w:firstLineChars="200"/>
              <w:textAlignment w:val="auto"/>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项目环境风险简单分析内容表见表</w:t>
            </w:r>
            <w:r>
              <w:rPr>
                <w:rFonts w:hint="eastAsia" w:cs="Times New Roman"/>
                <w:color w:val="auto"/>
                <w:kern w:val="0"/>
                <w:sz w:val="24"/>
                <w:szCs w:val="24"/>
                <w:u w:val="none" w:color="auto"/>
                <w:lang w:val="en-US" w:eastAsia="zh-CN"/>
              </w:rPr>
              <w:t>7-19</w:t>
            </w:r>
            <w:r>
              <w:rPr>
                <w:rFonts w:hint="default" w:ascii="Times New Roman" w:hAnsi="Times New Roman" w:cs="Times New Roman"/>
                <w:color w:val="auto"/>
                <w:kern w:val="0"/>
                <w:sz w:val="24"/>
                <w:szCs w:val="24"/>
                <w:u w:val="none" w:color="auto"/>
              </w:rPr>
              <w:t>。</w:t>
            </w:r>
          </w:p>
          <w:p>
            <w:pPr>
              <w:keepNext w:val="0"/>
              <w:keepLines w:val="0"/>
              <w:pageBreakBefore w:val="0"/>
              <w:widowControl w:val="0"/>
              <w:tabs>
                <w:tab w:val="left" w:pos="942"/>
              </w:tabs>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val="0"/>
                <w:color w:val="auto"/>
                <w:kern w:val="0"/>
                <w:sz w:val="21"/>
                <w:szCs w:val="21"/>
                <w:u w:val="none" w:color="auto"/>
              </w:rPr>
            </w:pPr>
            <w:r>
              <w:rPr>
                <w:rFonts w:hint="default" w:ascii="Times New Roman" w:hAnsi="Times New Roman" w:eastAsia="宋体" w:cs="Times New Roman"/>
                <w:b/>
                <w:bCs w:val="0"/>
                <w:color w:val="auto"/>
                <w:sz w:val="21"/>
                <w:szCs w:val="21"/>
                <w:u w:val="none" w:color="auto"/>
              </w:rPr>
              <w:t>表</w:t>
            </w:r>
            <w:r>
              <w:rPr>
                <w:rFonts w:hint="eastAsia" w:cs="Times New Roman"/>
                <w:b/>
                <w:bCs w:val="0"/>
                <w:color w:val="auto"/>
                <w:sz w:val="21"/>
                <w:szCs w:val="21"/>
                <w:u w:val="none" w:color="auto"/>
                <w:lang w:val="en-US" w:eastAsia="zh-CN"/>
              </w:rPr>
              <w:t>7-19</w:t>
            </w:r>
            <w:r>
              <w:rPr>
                <w:rFonts w:hint="default" w:ascii="Times New Roman" w:hAnsi="Times New Roman" w:eastAsia="宋体" w:cs="Times New Roman"/>
                <w:b/>
                <w:bCs w:val="0"/>
                <w:color w:val="auto"/>
                <w:sz w:val="21"/>
                <w:szCs w:val="21"/>
                <w:u w:val="none" w:color="auto"/>
              </w:rPr>
              <w:t xml:space="preserve">  建设项目环境风险简单分析内容表</w:t>
            </w:r>
          </w:p>
          <w:tbl>
            <w:tblPr>
              <w:tblStyle w:val="40"/>
              <w:tblW w:w="9062"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1260"/>
              <w:gridCol w:w="1992"/>
              <w:gridCol w:w="1315"/>
              <w:gridCol w:w="229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665" w:hRule="atLeast"/>
              </w:trPr>
              <w:tc>
                <w:tcPr>
                  <w:tcW w:w="2199"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建设项目名称</w:t>
                  </w:r>
                </w:p>
              </w:tc>
              <w:tc>
                <w:tcPr>
                  <w:tcW w:w="6863" w:type="dxa"/>
                  <w:gridSpan w:val="4"/>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none" w:color="auto"/>
                    </w:rPr>
                  </w:pPr>
                  <w:r>
                    <w:rPr>
                      <w:rFonts w:hint="eastAsia" w:cs="Times New Roman"/>
                      <w:sz w:val="22"/>
                      <w:szCs w:val="22"/>
                      <w:u w:val="none" w:color="auto"/>
                      <w:lang w:eastAsia="zh-CN"/>
                    </w:rPr>
                    <w:t>年产4500吨纸业用品建设项目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9"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建设地点</w:t>
                  </w:r>
                </w:p>
              </w:tc>
              <w:tc>
                <w:tcPr>
                  <w:tcW w:w="1260" w:type="dxa"/>
                  <w:tcBorders>
                    <w:tl2br w:val="nil"/>
                    <w:tr2bl w:val="nil"/>
                  </w:tcBorders>
                  <w:noWrap w:val="0"/>
                  <w:vAlign w:val="center"/>
                </w:tcPr>
                <w:p>
                  <w:pPr>
                    <w:tabs>
                      <w:tab w:val="left" w:pos="942"/>
                    </w:tabs>
                    <w:adjustRightInd w:val="0"/>
                    <w:snapToGrid w:val="0"/>
                    <w:spacing w:line="360" w:lineRule="auto"/>
                    <w:jc w:val="center"/>
                    <w:rPr>
                      <w:rFonts w:hint="eastAsia" w:ascii="Times New Roman" w:hAnsi="Times New Roman" w:eastAsia="宋体" w:cs="Times New Roman"/>
                      <w:color w:val="auto"/>
                      <w:kern w:val="0"/>
                      <w:sz w:val="22"/>
                      <w:szCs w:val="22"/>
                      <w:u w:val="none" w:color="auto"/>
                      <w:lang w:eastAsia="zh-CN"/>
                    </w:rPr>
                  </w:pPr>
                  <w:r>
                    <w:rPr>
                      <w:rFonts w:hint="eastAsia" w:ascii="Times New Roman" w:hAnsi="Times New Roman" w:cs="Times New Roman"/>
                      <w:color w:val="auto"/>
                      <w:kern w:val="0"/>
                      <w:sz w:val="22"/>
                      <w:szCs w:val="22"/>
                      <w:u w:val="none" w:color="auto"/>
                      <w:lang w:eastAsia="zh-CN"/>
                    </w:rPr>
                    <w:t>湖南省</w:t>
                  </w:r>
                </w:p>
              </w:tc>
              <w:tc>
                <w:tcPr>
                  <w:tcW w:w="1992" w:type="dxa"/>
                  <w:tcBorders>
                    <w:tl2br w:val="nil"/>
                    <w:tr2bl w:val="nil"/>
                  </w:tcBorders>
                  <w:noWrap w:val="0"/>
                  <w:vAlign w:val="center"/>
                </w:tcPr>
                <w:p>
                  <w:pPr>
                    <w:tabs>
                      <w:tab w:val="left" w:pos="942"/>
                    </w:tabs>
                    <w:adjustRightInd w:val="0"/>
                    <w:snapToGrid w:val="0"/>
                    <w:spacing w:line="360" w:lineRule="auto"/>
                    <w:jc w:val="center"/>
                    <w:rPr>
                      <w:rFonts w:hint="eastAsia" w:ascii="Times New Roman" w:hAnsi="Times New Roman" w:eastAsia="宋体" w:cs="Times New Roman"/>
                      <w:color w:val="auto"/>
                      <w:kern w:val="0"/>
                      <w:sz w:val="22"/>
                      <w:szCs w:val="22"/>
                      <w:u w:val="none" w:color="auto"/>
                      <w:lang w:eastAsia="zh-CN"/>
                    </w:rPr>
                  </w:pPr>
                  <w:r>
                    <w:rPr>
                      <w:rFonts w:hint="eastAsia" w:cs="Times New Roman"/>
                      <w:color w:val="auto"/>
                      <w:kern w:val="0"/>
                      <w:sz w:val="22"/>
                      <w:szCs w:val="22"/>
                      <w:u w:val="none" w:color="auto"/>
                      <w:lang w:eastAsia="zh-CN"/>
                    </w:rPr>
                    <w:t>岳阳市</w:t>
                  </w:r>
                </w:p>
              </w:tc>
              <w:tc>
                <w:tcPr>
                  <w:tcW w:w="3611" w:type="dxa"/>
                  <w:gridSpan w:val="2"/>
                  <w:tcBorders>
                    <w:tl2br w:val="nil"/>
                    <w:tr2bl w:val="nil"/>
                  </w:tcBorders>
                  <w:noWrap w:val="0"/>
                  <w:vAlign w:val="center"/>
                </w:tcPr>
                <w:p>
                  <w:pPr>
                    <w:tabs>
                      <w:tab w:val="left" w:pos="942"/>
                    </w:tabs>
                    <w:adjustRightInd w:val="0"/>
                    <w:snapToGrid w:val="0"/>
                    <w:spacing w:line="360" w:lineRule="auto"/>
                    <w:jc w:val="center"/>
                    <w:rPr>
                      <w:rFonts w:hint="default" w:cs="Times New Roman"/>
                      <w:color w:val="auto"/>
                      <w:kern w:val="0"/>
                      <w:sz w:val="22"/>
                      <w:szCs w:val="22"/>
                      <w:u w:val="none" w:color="auto"/>
                      <w:lang w:val="en-US" w:eastAsia="zh-CN"/>
                    </w:rPr>
                  </w:pPr>
                  <w:r>
                    <w:rPr>
                      <w:rFonts w:hint="eastAsia" w:cs="Times New Roman"/>
                      <w:color w:val="auto"/>
                      <w:sz w:val="22"/>
                      <w:szCs w:val="22"/>
                      <w:u w:val="none" w:color="auto"/>
                      <w:lang w:eastAsia="zh-CN"/>
                    </w:rPr>
                    <w:t>湖南省湘阴县</w:t>
                  </w:r>
                  <w:r>
                    <w:rPr>
                      <w:rFonts w:hint="eastAsia" w:cs="Times New Roman"/>
                      <w:color w:val="auto"/>
                      <w:sz w:val="22"/>
                      <w:szCs w:val="22"/>
                      <w:u w:val="none" w:color="auto"/>
                      <w:lang w:val="en-US" w:eastAsia="zh-CN"/>
                    </w:rPr>
                    <w:t>金龙新区工业园湖南</w:t>
                  </w:r>
                  <w:r>
                    <w:rPr>
                      <w:rFonts w:hint="eastAsia" w:cs="Times New Roman"/>
                      <w:sz w:val="22"/>
                      <w:szCs w:val="22"/>
                      <w:u w:val="none" w:color="auto"/>
                      <w:lang w:eastAsia="zh-CN"/>
                    </w:rPr>
                    <w:t>卓达置业有限公司一期</w:t>
                  </w:r>
                  <w:r>
                    <w:rPr>
                      <w:rFonts w:hint="eastAsia" w:cs="Times New Roman"/>
                      <w:sz w:val="22"/>
                      <w:szCs w:val="22"/>
                      <w:u w:val="none" w:color="auto"/>
                      <w:lang w:val="en-US" w:eastAsia="zh-CN"/>
                    </w:rPr>
                    <w:t>22</w:t>
                  </w:r>
                  <w:r>
                    <w:rPr>
                      <w:rFonts w:hint="eastAsia" w:cs="Times New Roman"/>
                      <w:sz w:val="22"/>
                      <w:szCs w:val="22"/>
                      <w:u w:val="none" w:color="auto"/>
                      <w:lang w:eastAsia="zh-CN"/>
                    </w:rPr>
                    <w:t>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199"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地理坐标</w:t>
                  </w:r>
                </w:p>
              </w:tc>
              <w:tc>
                <w:tcPr>
                  <w:tcW w:w="1260"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经度</w:t>
                  </w:r>
                </w:p>
              </w:tc>
              <w:tc>
                <w:tcPr>
                  <w:tcW w:w="1992"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112.935258</w:t>
                  </w:r>
                </w:p>
              </w:tc>
              <w:tc>
                <w:tcPr>
                  <w:tcW w:w="1315"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纬度</w:t>
                  </w:r>
                </w:p>
              </w:tc>
              <w:tc>
                <w:tcPr>
                  <w:tcW w:w="2296"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28.529698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199"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主要危险物质及分布</w:t>
                  </w:r>
                </w:p>
              </w:tc>
              <w:tc>
                <w:tcPr>
                  <w:tcW w:w="6863" w:type="dxa"/>
                  <w:gridSpan w:val="4"/>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eastAsia="宋体" w:cs="Times New Roman"/>
                      <w:color w:val="auto"/>
                      <w:kern w:val="0"/>
                      <w:sz w:val="22"/>
                      <w:szCs w:val="22"/>
                      <w:u w:val="none" w:color="auto"/>
                      <w:lang w:val="en-US" w:eastAsia="zh-CN"/>
                    </w:rPr>
                  </w:pPr>
                  <w:r>
                    <w:rPr>
                      <w:rFonts w:hint="eastAsia" w:cs="Times New Roman"/>
                      <w:color w:val="auto"/>
                      <w:kern w:val="0"/>
                      <w:sz w:val="22"/>
                      <w:szCs w:val="22"/>
                      <w:u w:val="none" w:color="auto"/>
                      <w:lang w:val="en-US" w:eastAsia="zh-CN"/>
                    </w:rPr>
                    <w:t>原辅材料仓库、危险废物储存间、印刷工序清洗废水储罐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trPr>
              <w:tc>
                <w:tcPr>
                  <w:tcW w:w="2199"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环境影响途径及危害后果(大气、地表水、地下水等)</w:t>
                  </w:r>
                </w:p>
              </w:tc>
              <w:tc>
                <w:tcPr>
                  <w:tcW w:w="6863" w:type="dxa"/>
                  <w:gridSpan w:val="4"/>
                  <w:tcBorders>
                    <w:tl2br w:val="nil"/>
                    <w:tr2bl w:val="nil"/>
                  </w:tcBorders>
                  <w:noWrap w:val="0"/>
                  <w:vAlign w:val="center"/>
                </w:tcPr>
                <w:p>
                  <w:pPr>
                    <w:keepNext w:val="0"/>
                    <w:keepLines w:val="0"/>
                    <w:pageBreakBefore w:val="0"/>
                    <w:widowControl w:val="0"/>
                    <w:tabs>
                      <w:tab w:val="left" w:pos="942"/>
                    </w:tabs>
                    <w:kinsoku/>
                    <w:wordWrap/>
                    <w:overflowPunct/>
                    <w:topLinePunct w:val="0"/>
                    <w:autoSpaceDE/>
                    <w:autoSpaceDN/>
                    <w:bidi w:val="0"/>
                    <w:adjustRightInd w:val="0"/>
                    <w:snapToGrid w:val="0"/>
                    <w:spacing w:line="360" w:lineRule="auto"/>
                    <w:ind w:firstLine="426" w:firstLineChars="200"/>
                    <w:jc w:val="left"/>
                    <w:textAlignment w:val="auto"/>
                    <w:rPr>
                      <w:rFonts w:hint="default" w:ascii="Times New Roman" w:hAnsi="Times New Roman" w:cs="Times New Roman"/>
                      <w:color w:val="auto"/>
                      <w:kern w:val="0"/>
                      <w:sz w:val="22"/>
                      <w:szCs w:val="22"/>
                      <w:u w:val="none" w:color="auto"/>
                      <w:lang w:val="en-US" w:eastAsia="zh-CN"/>
                    </w:rPr>
                  </w:pPr>
                  <w:r>
                    <w:rPr>
                      <w:rFonts w:hint="eastAsia" w:ascii="Times New Roman" w:hAnsi="Times New Roman" w:eastAsia="宋体" w:cs="Times New Roman"/>
                      <w:color w:val="auto"/>
                      <w:kern w:val="0"/>
                      <w:sz w:val="22"/>
                      <w:szCs w:val="22"/>
                      <w:u w:val="none" w:color="auto"/>
                      <w:lang w:val="en-US" w:eastAsia="zh-CN"/>
                    </w:rPr>
                    <w:t>如不做好防范措施，</w:t>
                  </w:r>
                  <w:r>
                    <w:rPr>
                      <w:rFonts w:hint="eastAsia" w:cs="Times New Roman"/>
                      <w:color w:val="auto"/>
                      <w:kern w:val="0"/>
                      <w:sz w:val="22"/>
                      <w:szCs w:val="22"/>
                      <w:u w:val="none" w:color="auto"/>
                      <w:lang w:val="en-US" w:eastAsia="zh-CN"/>
                    </w:rPr>
                    <w:t>水性油墨、</w:t>
                  </w:r>
                  <w:r>
                    <w:rPr>
                      <w:rFonts w:hint="eastAsia" w:cs="Times New Roman"/>
                      <w:color w:val="auto"/>
                      <w:kern w:val="0"/>
                      <w:sz w:val="24"/>
                      <w:szCs w:val="24"/>
                      <w:u w:val="none" w:color="auto"/>
                      <w:lang w:val="en-US" w:eastAsia="zh-CN" w:bidi="ar"/>
                    </w:rPr>
                    <w:t>印刷工序清洗废水</w:t>
                  </w:r>
                  <w:r>
                    <w:rPr>
                      <w:rFonts w:hint="eastAsia" w:ascii="Times New Roman" w:hAnsi="Times New Roman" w:eastAsia="宋体" w:cs="Times New Roman"/>
                      <w:color w:val="auto"/>
                      <w:kern w:val="0"/>
                      <w:sz w:val="22"/>
                      <w:szCs w:val="22"/>
                      <w:u w:val="none" w:color="auto"/>
                      <w:lang w:val="en-US" w:eastAsia="zh-CN"/>
                    </w:rPr>
                    <w:t>、危险废物泄漏会流入雨水管网。对周边水质造成冲击影响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9"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风险防范措施要求</w:t>
                  </w:r>
                </w:p>
              </w:tc>
              <w:tc>
                <w:tcPr>
                  <w:tcW w:w="6863" w:type="dxa"/>
                  <w:gridSpan w:val="4"/>
                  <w:tcBorders>
                    <w:tl2br w:val="nil"/>
                    <w:tr2bl w:val="nil"/>
                  </w:tcBorders>
                  <w:noWrap w:val="0"/>
                  <w:vAlign w:val="center"/>
                </w:tcPr>
                <w:p>
                  <w:pPr>
                    <w:keepNext w:val="0"/>
                    <w:keepLines w:val="0"/>
                    <w:pageBreakBefore w:val="0"/>
                    <w:widowControl w:val="0"/>
                    <w:tabs>
                      <w:tab w:val="left" w:pos="942"/>
                    </w:tabs>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kern w:val="0"/>
                      <w:sz w:val="22"/>
                      <w:szCs w:val="22"/>
                      <w:u w:val="none" w:color="auto"/>
                    </w:rPr>
                  </w:pPr>
                  <w:r>
                    <w:rPr>
                      <w:rFonts w:hint="eastAsia" w:ascii="Times New Roman" w:hAnsi="Times New Roman" w:cs="Times New Roman"/>
                      <w:color w:val="auto"/>
                      <w:kern w:val="0"/>
                      <w:sz w:val="22"/>
                      <w:szCs w:val="22"/>
                      <w:u w:val="none" w:color="auto"/>
                      <w:lang w:val="en-US" w:eastAsia="zh-CN"/>
                    </w:rPr>
                    <w:t xml:space="preserve">①加强职工的环保教育，提高安全防范风险的意识； </w:t>
                  </w:r>
                </w:p>
                <w:p>
                  <w:pPr>
                    <w:keepNext w:val="0"/>
                    <w:keepLines w:val="0"/>
                    <w:pageBreakBefore w:val="0"/>
                    <w:widowControl w:val="0"/>
                    <w:tabs>
                      <w:tab w:val="left" w:pos="942"/>
                    </w:tabs>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kern w:val="0"/>
                      <w:sz w:val="22"/>
                      <w:szCs w:val="22"/>
                      <w:u w:val="none" w:color="auto"/>
                    </w:rPr>
                  </w:pPr>
                  <w:r>
                    <w:rPr>
                      <w:rFonts w:hint="eastAsia" w:ascii="Times New Roman" w:hAnsi="Times New Roman" w:cs="Times New Roman"/>
                      <w:color w:val="auto"/>
                      <w:kern w:val="0"/>
                      <w:sz w:val="22"/>
                      <w:szCs w:val="22"/>
                      <w:u w:val="none" w:color="auto"/>
                      <w:lang w:val="en-US" w:eastAsia="zh-CN"/>
                    </w:rPr>
                    <w:t xml:space="preserve">②厂区地面进行硬化； </w:t>
                  </w:r>
                </w:p>
                <w:p>
                  <w:pPr>
                    <w:keepNext w:val="0"/>
                    <w:keepLines w:val="0"/>
                    <w:pageBreakBefore w:val="0"/>
                    <w:widowControl w:val="0"/>
                    <w:tabs>
                      <w:tab w:val="left" w:pos="942"/>
                    </w:tabs>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kern w:val="0"/>
                      <w:sz w:val="22"/>
                      <w:szCs w:val="22"/>
                      <w:u w:val="none" w:color="auto"/>
                    </w:rPr>
                  </w:pPr>
                  <w:r>
                    <w:rPr>
                      <w:rFonts w:hint="eastAsia" w:ascii="Times New Roman" w:hAnsi="Times New Roman" w:cs="Times New Roman"/>
                      <w:color w:val="auto"/>
                      <w:kern w:val="0"/>
                      <w:sz w:val="21"/>
                      <w:szCs w:val="21"/>
                      <w:u w:val="none" w:color="auto"/>
                      <w:lang w:val="en-US" w:eastAsia="zh-CN"/>
                    </w:rPr>
                    <w:t>③</w:t>
                  </w:r>
                  <w:r>
                    <w:rPr>
                      <w:rFonts w:hint="eastAsia" w:cs="Times New Roman"/>
                      <w:color w:val="auto"/>
                      <w:kern w:val="0"/>
                      <w:sz w:val="21"/>
                      <w:szCs w:val="21"/>
                      <w:u w:val="none" w:color="auto"/>
                      <w:lang w:val="en-US" w:eastAsia="zh-CN"/>
                    </w:rPr>
                    <w:t>水性</w:t>
                  </w:r>
                  <w:r>
                    <w:rPr>
                      <w:rFonts w:hint="eastAsia" w:ascii="Times New Roman" w:hAnsi="Times New Roman" w:eastAsia="宋体" w:cs="Times New Roman"/>
                      <w:color w:val="auto"/>
                      <w:kern w:val="0"/>
                      <w:sz w:val="22"/>
                      <w:szCs w:val="22"/>
                      <w:u w:val="none" w:color="auto"/>
                      <w:lang w:val="en-US" w:eastAsia="zh-CN"/>
                    </w:rPr>
                    <w:t>油墨</w:t>
                  </w:r>
                  <w:r>
                    <w:rPr>
                      <w:rFonts w:hint="eastAsia" w:cs="Times New Roman"/>
                      <w:color w:val="auto"/>
                      <w:kern w:val="0"/>
                      <w:sz w:val="22"/>
                      <w:szCs w:val="22"/>
                      <w:u w:val="none" w:color="auto"/>
                      <w:lang w:val="en-US" w:eastAsia="zh-CN"/>
                    </w:rPr>
                    <w:t>储存间门口设置拱背型围堰，地面进行硬化处理、增加标识标牌；</w:t>
                  </w:r>
                </w:p>
                <w:p>
                  <w:pPr>
                    <w:keepNext w:val="0"/>
                    <w:keepLines w:val="0"/>
                    <w:pageBreakBefore w:val="0"/>
                    <w:widowControl w:val="0"/>
                    <w:tabs>
                      <w:tab w:val="left" w:pos="942"/>
                    </w:tabs>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kern w:val="0"/>
                      <w:sz w:val="22"/>
                      <w:szCs w:val="22"/>
                      <w:u w:val="none" w:color="auto"/>
                    </w:rPr>
                  </w:pPr>
                  <w:r>
                    <w:rPr>
                      <w:rFonts w:hint="eastAsia" w:ascii="Times New Roman" w:hAnsi="Times New Roman" w:cs="Times New Roman"/>
                      <w:color w:val="auto"/>
                      <w:kern w:val="0"/>
                      <w:sz w:val="22"/>
                      <w:szCs w:val="22"/>
                      <w:u w:val="none" w:color="auto"/>
                      <w:lang w:val="en-US" w:eastAsia="zh-CN"/>
                    </w:rPr>
                    <w:t xml:space="preserve">④建立夜间值班巡查制度； </w:t>
                  </w:r>
                </w:p>
                <w:p>
                  <w:pPr>
                    <w:keepNext w:val="0"/>
                    <w:keepLines w:val="0"/>
                    <w:pageBreakBefore w:val="0"/>
                    <w:widowControl w:val="0"/>
                    <w:tabs>
                      <w:tab w:val="left" w:pos="942"/>
                    </w:tabs>
                    <w:kinsoku/>
                    <w:wordWrap/>
                    <w:overflowPunct/>
                    <w:topLinePunct w:val="0"/>
                    <w:autoSpaceDE/>
                    <w:autoSpaceDN/>
                    <w:bidi w:val="0"/>
                    <w:adjustRightInd w:val="0"/>
                    <w:snapToGrid w:val="0"/>
                    <w:spacing w:line="360" w:lineRule="auto"/>
                    <w:jc w:val="left"/>
                    <w:textAlignment w:val="auto"/>
                    <w:rPr>
                      <w:rFonts w:hint="eastAsia" w:cs="Times New Roman"/>
                      <w:color w:val="auto"/>
                      <w:kern w:val="0"/>
                      <w:sz w:val="22"/>
                      <w:szCs w:val="22"/>
                      <w:u w:val="none" w:color="auto"/>
                      <w:lang w:val="en-US" w:eastAsia="zh-CN"/>
                    </w:rPr>
                  </w:pPr>
                  <w:r>
                    <w:rPr>
                      <w:rFonts w:hint="eastAsia" w:ascii="Times New Roman" w:hAnsi="Times New Roman" w:cs="Times New Roman"/>
                      <w:color w:val="auto"/>
                      <w:kern w:val="0"/>
                      <w:sz w:val="22"/>
                      <w:szCs w:val="22"/>
                      <w:u w:val="none" w:color="auto"/>
                      <w:lang w:val="en-US" w:eastAsia="zh-CN"/>
                    </w:rPr>
                    <w:t>⑤危废暂存间应按规范设置</w:t>
                  </w:r>
                  <w:r>
                    <w:rPr>
                      <w:rFonts w:hint="eastAsia" w:cs="Times New Roman"/>
                      <w:color w:val="auto"/>
                      <w:kern w:val="0"/>
                      <w:sz w:val="22"/>
                      <w:szCs w:val="22"/>
                      <w:u w:val="none" w:color="auto"/>
                      <w:lang w:val="en-US" w:eastAsia="zh-CN"/>
                    </w:rPr>
                    <w:t>，增加围堰，</w:t>
                  </w:r>
                  <w:r>
                    <w:rPr>
                      <w:rFonts w:hint="eastAsia" w:ascii="Times New Roman" w:hAnsi="Times New Roman" w:cs="Times New Roman"/>
                      <w:color w:val="auto"/>
                      <w:kern w:val="0"/>
                      <w:sz w:val="22"/>
                      <w:szCs w:val="22"/>
                      <w:u w:val="none" w:color="auto"/>
                      <w:lang w:val="en-US" w:eastAsia="zh-CN"/>
                    </w:rPr>
                    <w:t>强化管理，采用合格的容器储存，并及时交有资质的单位处置</w:t>
                  </w:r>
                  <w:r>
                    <w:rPr>
                      <w:rFonts w:hint="eastAsia" w:cs="Times New Roman"/>
                      <w:color w:val="auto"/>
                      <w:kern w:val="0"/>
                      <w:sz w:val="22"/>
                      <w:szCs w:val="22"/>
                      <w:u w:val="none" w:color="auto"/>
                      <w:lang w:val="en-US" w:eastAsia="zh-CN"/>
                    </w:rPr>
                    <w:t>；</w:t>
                  </w:r>
                </w:p>
                <w:p>
                  <w:pPr>
                    <w:keepNext w:val="0"/>
                    <w:keepLines w:val="0"/>
                    <w:pageBreakBefore w:val="0"/>
                    <w:widowControl w:val="0"/>
                    <w:tabs>
                      <w:tab w:val="left" w:pos="942"/>
                    </w:tabs>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kern w:val="0"/>
                      <w:sz w:val="22"/>
                      <w:szCs w:val="22"/>
                      <w:u w:val="none" w:color="auto"/>
                      <w:lang w:eastAsia="zh-CN"/>
                    </w:rPr>
                  </w:pPr>
                  <w:r>
                    <w:rPr>
                      <w:rFonts w:hint="eastAsia" w:ascii="宋体" w:hAnsi="宋体" w:eastAsia="宋体" w:cs="宋体"/>
                      <w:color w:val="auto"/>
                      <w:kern w:val="0"/>
                      <w:sz w:val="21"/>
                      <w:szCs w:val="21"/>
                      <w:u w:val="none" w:color="auto"/>
                      <w:lang w:eastAsia="zh-CN"/>
                    </w:rPr>
                    <w:t>⑥</w:t>
                  </w:r>
                  <w:r>
                    <w:rPr>
                      <w:rFonts w:hint="eastAsia" w:cs="Times New Roman"/>
                      <w:color w:val="auto"/>
                      <w:kern w:val="0"/>
                      <w:sz w:val="21"/>
                      <w:szCs w:val="21"/>
                      <w:u w:val="none" w:color="auto"/>
                      <w:lang w:val="en-US" w:eastAsia="zh-CN" w:bidi="ar"/>
                    </w:rPr>
                    <w:t>印刷工序清洗废水储罐地面进行硬化处理、增加围堰、标识标牌、定期处理清洗废水</w:t>
                  </w:r>
                  <w:r>
                    <w:rPr>
                      <w:rFonts w:hint="default" w:ascii="Times New Roman" w:hAnsi="Times New Roman" w:cs="Times New Roman"/>
                      <w:color w:val="auto"/>
                      <w:kern w:val="0"/>
                      <w:sz w:val="21"/>
                      <w:szCs w:val="21"/>
                      <w:u w:val="none" w:color="auto"/>
                      <w:lang w:eastAsia="zh-CN"/>
                    </w:rPr>
                    <w:t>。</w:t>
                  </w:r>
                </w:p>
              </w:tc>
            </w:tr>
          </w:tbl>
          <w:p>
            <w:pPr>
              <w:pStyle w:val="174"/>
              <w:spacing w:line="360" w:lineRule="auto"/>
              <w:ind w:firstLine="466" w:firstLineChars="200"/>
              <w:rPr>
                <w:rFonts w:hint="default" w:ascii="Times New Roman" w:hAnsi="Times New Roman" w:cs="Times New Roman"/>
                <w:color w:val="auto"/>
                <w:sz w:val="24"/>
                <w:szCs w:val="24"/>
                <w:u w:val="none" w:color="auto"/>
              </w:rPr>
            </w:pPr>
            <w:bookmarkStart w:id="7" w:name="_Toc299377553"/>
            <w:bookmarkStart w:id="8" w:name="_Toc424919844"/>
            <w:bookmarkStart w:id="9" w:name="_Toc312221061"/>
            <w:bookmarkStart w:id="10" w:name="_Toc280188871"/>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6</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风险评价结论</w:t>
            </w:r>
            <w:bookmarkEnd w:id="7"/>
            <w:bookmarkEnd w:id="8"/>
            <w:bookmarkEnd w:id="9"/>
            <w:bookmarkEnd w:id="10"/>
          </w:p>
          <w:p>
            <w:pPr>
              <w:pStyle w:val="34"/>
              <w:spacing w:line="360" w:lineRule="auto"/>
              <w:ind w:left="0" w:leftChars="0" w:firstLine="466" w:firstLineChars="200"/>
              <w:rPr>
                <w:rFonts w:hint="eastAsia" w:ascii="Times New Roman" w:hAnsi="Times New Roman" w:eastAsia="宋体" w:cs="Times New Roman"/>
                <w:sz w:val="24"/>
                <w:szCs w:val="24"/>
                <w:u w:val="none" w:color="auto"/>
                <w:lang w:eastAsia="zh-CN"/>
              </w:rPr>
            </w:pPr>
            <w:r>
              <w:rPr>
                <w:rFonts w:hint="default" w:ascii="Times New Roman" w:hAnsi="Times New Roman" w:cs="Times New Roman"/>
                <w:color w:val="auto"/>
                <w:sz w:val="24"/>
                <w:szCs w:val="24"/>
                <w:u w:val="none" w:color="auto"/>
              </w:rPr>
              <w:t>在严格落实本报告的提出各项事故防范和应急措施，加强管理，可最大限度地减少可能发生的环境风险。且一旦发生事故，也可将影响范围控制在较小程度之内，减小损失。企业在运营期间应不断完善企业事故防范和应急体系，实现企业联防联动，减少项目环境风险事故发生的概率，其影响危害可控制在厂区内，其风险在可接受范围内</w:t>
            </w:r>
            <w:r>
              <w:rPr>
                <w:rFonts w:hint="eastAsia" w:cs="Times New Roman"/>
                <w:sz w:val="24"/>
                <w:szCs w:val="24"/>
                <w:u w:val="none" w:color="auto"/>
                <w:lang w:eastAsia="zh-CN"/>
              </w:rPr>
              <w:t>。</w:t>
            </w:r>
          </w:p>
          <w:p>
            <w:pPr>
              <w:spacing w:line="360" w:lineRule="auto"/>
              <w:ind w:firstLine="466" w:firstLineChars="200"/>
              <w:rPr>
                <w:rFonts w:hint="default" w:ascii="Times New Roman" w:hAnsi="Times New Roman" w:cs="Times New Roman"/>
                <w:b/>
                <w:bCs/>
                <w:sz w:val="24"/>
                <w:szCs w:val="24"/>
                <w:u w:val="none" w:color="auto"/>
              </w:rPr>
            </w:pPr>
            <w:r>
              <w:rPr>
                <w:rFonts w:hint="default" w:ascii="Times New Roman" w:hAnsi="Times New Roman" w:cs="Times New Roman"/>
                <w:b/>
                <w:bCs/>
                <w:sz w:val="24"/>
                <w:szCs w:val="24"/>
                <w:u w:val="none" w:color="auto"/>
              </w:rPr>
              <w:t>7、环境管理与监测计划</w:t>
            </w:r>
          </w:p>
          <w:p>
            <w:pPr>
              <w:spacing w:line="360" w:lineRule="auto"/>
              <w:ind w:firstLine="466"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lang w:eastAsia="zh-CN"/>
              </w:rPr>
              <w:t>（</w:t>
            </w:r>
            <w:r>
              <w:rPr>
                <w:rFonts w:hint="default" w:ascii="Times New Roman" w:hAnsi="Times New Roman" w:cs="Times New Roman"/>
                <w:sz w:val="24"/>
                <w:szCs w:val="24"/>
                <w:u w:val="none" w:color="auto"/>
                <w:lang w:val="en-US" w:eastAsia="zh-CN"/>
              </w:rPr>
              <w:t>1）</w:t>
            </w:r>
            <w:r>
              <w:rPr>
                <w:rFonts w:hint="default" w:ascii="Times New Roman" w:hAnsi="Times New Roman" w:cs="Times New Roman"/>
                <w:sz w:val="24"/>
                <w:szCs w:val="24"/>
                <w:u w:val="none" w:color="auto"/>
              </w:rPr>
              <w:t>环境管理</w:t>
            </w:r>
          </w:p>
          <w:p>
            <w:pPr>
              <w:spacing w:line="360" w:lineRule="auto"/>
              <w:ind w:firstLine="466"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环境管理是协调经济发展与环境保护的关系，是使经济、社会、环境有序持续发展的重要手段，根据本项目的工程特性，建设单位应设置工程管理机构中环境保护管理专职人员，其环境管理主要内容如下：</w:t>
            </w:r>
          </w:p>
          <w:p>
            <w:pPr>
              <w:spacing w:line="360" w:lineRule="auto"/>
              <w:ind w:firstLine="466"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贯彻落实国家和地方的环境保护法律、法规、政策和标准，接受行业主管部门的监督、领导，配合环境保护主管部门做好环保工作；</w:t>
            </w:r>
          </w:p>
          <w:p>
            <w:pPr>
              <w:spacing w:line="360" w:lineRule="auto"/>
              <w:ind w:firstLine="466"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制订全厂环境管理规章制度以及各种污染物排放控制指标；</w:t>
            </w:r>
          </w:p>
          <w:p>
            <w:pPr>
              <w:spacing w:line="360" w:lineRule="auto"/>
              <w:ind w:firstLine="466"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定期检查环保设施的运行情况，并根据存在的问题提出改进意见； 参与企业的环保设施竣工验收和污染事故的调查与处理工作；</w:t>
            </w:r>
          </w:p>
          <w:p>
            <w:pPr>
              <w:spacing w:line="360" w:lineRule="auto"/>
              <w:ind w:firstLine="466"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在岗职工按环保要求对设备进行操作管理，操作人员需通过培训和定期考核，方可上岗。</w:t>
            </w:r>
          </w:p>
          <w:p>
            <w:pPr>
              <w:spacing w:line="360" w:lineRule="auto"/>
              <w:ind w:firstLine="466" w:firstLineChars="20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lang w:eastAsia="zh-CN"/>
              </w:rPr>
              <w:t>（</w:t>
            </w:r>
            <w:r>
              <w:rPr>
                <w:rFonts w:hint="default" w:ascii="Times New Roman" w:hAnsi="Times New Roman" w:cs="Times New Roman"/>
                <w:sz w:val="24"/>
                <w:szCs w:val="24"/>
                <w:u w:val="single" w:color="auto"/>
                <w:lang w:val="en-US" w:eastAsia="zh-CN"/>
              </w:rPr>
              <w:t>2）</w:t>
            </w:r>
            <w:r>
              <w:rPr>
                <w:rFonts w:hint="default" w:ascii="Times New Roman" w:hAnsi="Times New Roman" w:cs="Times New Roman"/>
                <w:sz w:val="24"/>
                <w:szCs w:val="24"/>
                <w:u w:val="single" w:color="auto"/>
              </w:rPr>
              <w:t>环境监测计划</w:t>
            </w:r>
          </w:p>
          <w:p>
            <w:pPr>
              <w:spacing w:line="360" w:lineRule="auto"/>
              <w:ind w:firstLine="466" w:firstLineChars="20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为切实做好废气的达标排放及污染物排放总量控制，及时了解和掌握建设项目营运期主要污染源污染物的排放情况，建设单位应定期委托有资质的环境监测单位对本项目建设后主要污染源排放的污染物进行监测。</w:t>
            </w:r>
          </w:p>
          <w:p>
            <w:pPr>
              <w:spacing w:line="360" w:lineRule="auto"/>
              <w:ind w:firstLine="466" w:firstLineChars="20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建议监测点位置和主要监测项目详见表 7-</w:t>
            </w:r>
            <w:r>
              <w:rPr>
                <w:rFonts w:hint="eastAsia" w:cs="Times New Roman"/>
                <w:sz w:val="24"/>
                <w:szCs w:val="24"/>
                <w:u w:val="single" w:color="auto"/>
                <w:lang w:val="en-US" w:eastAsia="zh-CN"/>
              </w:rPr>
              <w:t>20</w:t>
            </w:r>
            <w:r>
              <w:rPr>
                <w:rFonts w:hint="default" w:ascii="Times New Roman" w:hAnsi="Times New Roman" w:cs="Times New Roman"/>
                <w:sz w:val="24"/>
                <w:szCs w:val="24"/>
                <w:u w:val="single" w:color="auto"/>
              </w:rPr>
              <w:t>。</w:t>
            </w:r>
          </w:p>
          <w:p>
            <w:pPr>
              <w:spacing w:line="360" w:lineRule="auto"/>
              <w:ind w:firstLine="466" w:firstLineChars="200"/>
              <w:jc w:val="center"/>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表 7-</w:t>
            </w:r>
            <w:r>
              <w:rPr>
                <w:rFonts w:hint="eastAsia" w:cs="Times New Roman"/>
                <w:sz w:val="24"/>
                <w:szCs w:val="24"/>
                <w:u w:val="single" w:color="auto"/>
                <w:lang w:val="en-US" w:eastAsia="zh-CN"/>
              </w:rPr>
              <w:t>20</w:t>
            </w:r>
            <w:r>
              <w:rPr>
                <w:rFonts w:hint="default" w:ascii="Times New Roman" w:hAnsi="Times New Roman" w:cs="Times New Roman"/>
                <w:sz w:val="24"/>
                <w:szCs w:val="24"/>
                <w:u w:val="single" w:color="auto"/>
              </w:rPr>
              <w:t xml:space="preserve"> 本项目监测方案</w:t>
            </w:r>
          </w:p>
          <w:tbl>
            <w:tblPr>
              <w:tblStyle w:val="40"/>
              <w:tblW w:w="9062" w:type="dxa"/>
              <w:tblInd w:w="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2266"/>
              <w:gridCol w:w="2604"/>
              <w:gridCol w:w="2272"/>
              <w:gridCol w:w="192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2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监测项目</w:t>
                  </w:r>
                </w:p>
              </w:tc>
              <w:tc>
                <w:tcPr>
                  <w:tcW w:w="26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监测点位</w:t>
                  </w:r>
                </w:p>
              </w:tc>
              <w:tc>
                <w:tcPr>
                  <w:tcW w:w="22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主要监测因子</w:t>
                  </w: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监测频次</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226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大气</w:t>
                  </w:r>
                </w:p>
              </w:tc>
              <w:tc>
                <w:tcPr>
                  <w:tcW w:w="26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sz w:val="21"/>
                      <w:szCs w:val="21"/>
                      <w:u w:val="single" w:color="auto"/>
                      <w:lang w:val="en-US" w:eastAsia="zh-CN"/>
                    </w:rPr>
                  </w:pPr>
                  <w:r>
                    <w:rPr>
                      <w:rFonts w:hint="eastAsia" w:cs="Times New Roman"/>
                      <w:sz w:val="21"/>
                      <w:szCs w:val="21"/>
                      <w:u w:val="single" w:color="auto"/>
                      <w:lang w:val="en-US" w:eastAsia="zh-CN"/>
                    </w:rPr>
                    <w:t>印刷、固化、分切</w:t>
                  </w:r>
                  <w:r>
                    <w:rPr>
                      <w:rFonts w:hint="default" w:ascii="Times New Roman" w:hAnsi="Times New Roman" w:cs="Times New Roman"/>
                      <w:sz w:val="21"/>
                      <w:szCs w:val="21"/>
                      <w:u w:val="single" w:color="auto"/>
                    </w:rPr>
                    <w:t>废气排气筒</w:t>
                  </w:r>
                  <w:r>
                    <w:rPr>
                      <w:rFonts w:hint="eastAsia" w:cs="Times New Roman"/>
                      <w:sz w:val="21"/>
                      <w:szCs w:val="21"/>
                      <w:u w:val="single" w:color="auto"/>
                      <w:lang w:val="en-US" w:eastAsia="zh-CN"/>
                    </w:rPr>
                    <w:t>进口、出口</w:t>
                  </w:r>
                </w:p>
              </w:tc>
              <w:tc>
                <w:tcPr>
                  <w:tcW w:w="22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1"/>
                      <w:szCs w:val="21"/>
                      <w:u w:val="single" w:color="auto"/>
                      <w:lang w:val="en-US" w:eastAsia="zh-CN"/>
                    </w:rPr>
                  </w:pPr>
                  <w:r>
                    <w:rPr>
                      <w:rFonts w:hint="eastAsia" w:cs="Times New Roman"/>
                      <w:sz w:val="21"/>
                      <w:szCs w:val="21"/>
                      <w:u w:val="single" w:color="auto"/>
                      <w:lang w:val="en-US" w:eastAsia="zh-CN"/>
                    </w:rPr>
                    <w:t>VOC</w:t>
                  </w:r>
                  <w:r>
                    <w:rPr>
                      <w:rFonts w:hint="eastAsia" w:cs="Times New Roman"/>
                      <w:sz w:val="21"/>
                      <w:szCs w:val="21"/>
                      <w:u w:val="single" w:color="auto"/>
                      <w:vertAlign w:val="subscript"/>
                      <w:lang w:val="en-US" w:eastAsia="zh-CN"/>
                    </w:rPr>
                    <w:t>S</w:t>
                  </w:r>
                  <w:r>
                    <w:rPr>
                      <w:rFonts w:hint="eastAsia" w:cs="Times New Roman"/>
                      <w:sz w:val="21"/>
                      <w:szCs w:val="21"/>
                      <w:u w:val="single" w:color="auto"/>
                      <w:lang w:val="en-US" w:eastAsia="zh-CN"/>
                    </w:rPr>
                    <w:t>、颗粒物</w:t>
                  </w: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1"/>
                      <w:szCs w:val="21"/>
                      <w:u w:val="single" w:color="auto"/>
                    </w:rPr>
                  </w:pPr>
                  <w:r>
                    <w:rPr>
                      <w:rFonts w:hint="eastAsia" w:cs="Times New Roman"/>
                      <w:sz w:val="21"/>
                      <w:szCs w:val="21"/>
                      <w:u w:val="single" w:color="auto"/>
                      <w:lang w:eastAsia="zh-CN"/>
                    </w:rPr>
                    <w:t>半年</w:t>
                  </w:r>
                  <w:r>
                    <w:rPr>
                      <w:rFonts w:hint="default" w:ascii="Times New Roman" w:hAnsi="Times New Roman" w:cs="Times New Roman"/>
                      <w:sz w:val="21"/>
                      <w:szCs w:val="21"/>
                      <w:u w:val="single" w:color="auto"/>
                      <w:lang w:val="en-US" w:eastAsia="zh-CN"/>
                    </w:rPr>
                    <w:t>/</w:t>
                  </w:r>
                  <w:r>
                    <w:rPr>
                      <w:rFonts w:hint="default" w:ascii="Times New Roman" w:hAnsi="Times New Roman" w:cs="Times New Roman"/>
                      <w:sz w:val="21"/>
                      <w:szCs w:val="21"/>
                      <w:u w:val="single" w:color="auto"/>
                    </w:rPr>
                    <w:t>次</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226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1"/>
                      <w:szCs w:val="21"/>
                      <w:u w:val="single" w:color="auto"/>
                    </w:rPr>
                  </w:pPr>
                </w:p>
              </w:tc>
              <w:tc>
                <w:tcPr>
                  <w:tcW w:w="26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1"/>
                      <w:szCs w:val="21"/>
                      <w:u w:val="single" w:color="auto"/>
                      <w:lang w:val="en-US" w:eastAsia="zh-CN"/>
                    </w:rPr>
                  </w:pPr>
                  <w:r>
                    <w:rPr>
                      <w:rFonts w:hint="default" w:ascii="Times New Roman" w:hAnsi="Times New Roman" w:cs="Times New Roman"/>
                      <w:sz w:val="21"/>
                      <w:szCs w:val="21"/>
                      <w:u w:val="single" w:color="auto"/>
                    </w:rPr>
                    <w:t>厂界</w:t>
                  </w:r>
                  <w:r>
                    <w:rPr>
                      <w:rFonts w:hint="default" w:ascii="Times New Roman" w:hAnsi="Times New Roman" w:cs="Times New Roman"/>
                      <w:sz w:val="21"/>
                      <w:szCs w:val="21"/>
                      <w:u w:val="single" w:color="auto"/>
                      <w:lang w:val="en-US" w:eastAsia="zh-CN"/>
                    </w:rPr>
                    <w:t>上、</w:t>
                  </w:r>
                  <w:r>
                    <w:rPr>
                      <w:rFonts w:hint="default" w:ascii="Times New Roman" w:hAnsi="Times New Roman" w:cs="Times New Roman"/>
                      <w:sz w:val="21"/>
                      <w:szCs w:val="21"/>
                      <w:u w:val="single" w:color="auto"/>
                      <w:lang w:eastAsia="zh-CN"/>
                    </w:rPr>
                    <w:t>下风向</w:t>
                  </w:r>
                </w:p>
              </w:tc>
              <w:tc>
                <w:tcPr>
                  <w:tcW w:w="22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1"/>
                      <w:szCs w:val="21"/>
                      <w:u w:val="single" w:color="auto"/>
                      <w:lang w:val="en-US" w:eastAsia="zh-CN"/>
                    </w:rPr>
                  </w:pPr>
                  <w:r>
                    <w:rPr>
                      <w:rFonts w:hint="eastAsia" w:cs="Times New Roman"/>
                      <w:sz w:val="21"/>
                      <w:szCs w:val="21"/>
                      <w:u w:val="single" w:color="auto"/>
                      <w:lang w:val="en-US" w:eastAsia="zh-CN"/>
                    </w:rPr>
                    <w:t>VOC</w:t>
                  </w:r>
                  <w:r>
                    <w:rPr>
                      <w:rFonts w:hint="eastAsia" w:cs="Times New Roman"/>
                      <w:sz w:val="21"/>
                      <w:szCs w:val="21"/>
                      <w:u w:val="single" w:color="auto"/>
                      <w:vertAlign w:val="subscript"/>
                      <w:lang w:val="en-US" w:eastAsia="zh-CN"/>
                    </w:rPr>
                    <w:t>S</w:t>
                  </w:r>
                  <w:r>
                    <w:rPr>
                      <w:rFonts w:hint="eastAsia" w:cs="Times New Roman"/>
                      <w:sz w:val="21"/>
                      <w:szCs w:val="21"/>
                      <w:u w:val="single" w:color="auto"/>
                      <w:lang w:val="en-US" w:eastAsia="zh-CN"/>
                    </w:rPr>
                    <w:t>、颗粒物</w:t>
                  </w: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1"/>
                      <w:szCs w:val="21"/>
                      <w:u w:val="single" w:color="auto"/>
                    </w:rPr>
                  </w:pPr>
                  <w:r>
                    <w:rPr>
                      <w:rFonts w:hint="eastAsia" w:cs="Times New Roman"/>
                      <w:sz w:val="21"/>
                      <w:szCs w:val="21"/>
                      <w:u w:val="single" w:color="auto"/>
                      <w:lang w:eastAsia="zh-CN"/>
                    </w:rPr>
                    <w:t>半年</w:t>
                  </w:r>
                  <w:r>
                    <w:rPr>
                      <w:rFonts w:hint="default" w:ascii="Times New Roman" w:hAnsi="Times New Roman" w:cs="Times New Roman"/>
                      <w:sz w:val="21"/>
                      <w:szCs w:val="21"/>
                      <w:u w:val="single" w:color="auto"/>
                      <w:lang w:val="en-US" w:eastAsia="zh-CN"/>
                    </w:rPr>
                    <w:t>/</w:t>
                  </w:r>
                  <w:r>
                    <w:rPr>
                      <w:rFonts w:hint="default" w:ascii="Times New Roman" w:hAnsi="Times New Roman" w:cs="Times New Roman"/>
                      <w:sz w:val="21"/>
                      <w:szCs w:val="21"/>
                      <w:u w:val="single" w:color="auto"/>
                    </w:rPr>
                    <w:t>次</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51" w:hRule="atLeast"/>
              </w:trPr>
              <w:tc>
                <w:tcPr>
                  <w:tcW w:w="22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噪声</w:t>
                  </w:r>
                </w:p>
              </w:tc>
              <w:tc>
                <w:tcPr>
                  <w:tcW w:w="26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1"/>
                      <w:szCs w:val="21"/>
                      <w:u w:val="single" w:color="auto"/>
                      <w:lang w:eastAsia="zh-CN"/>
                    </w:rPr>
                  </w:pPr>
                  <w:r>
                    <w:rPr>
                      <w:rFonts w:hint="default" w:ascii="Times New Roman" w:hAnsi="Times New Roman" w:cs="Times New Roman"/>
                      <w:sz w:val="21"/>
                      <w:szCs w:val="21"/>
                      <w:u w:val="single" w:color="auto"/>
                    </w:rPr>
                    <w:t>厂界</w:t>
                  </w:r>
                  <w:r>
                    <w:rPr>
                      <w:rFonts w:hint="default" w:ascii="Times New Roman" w:hAnsi="Times New Roman" w:cs="Times New Roman"/>
                      <w:sz w:val="21"/>
                      <w:szCs w:val="21"/>
                      <w:u w:val="single" w:color="auto"/>
                      <w:lang w:eastAsia="zh-CN"/>
                    </w:rPr>
                    <w:t>四周</w:t>
                  </w:r>
                </w:p>
              </w:tc>
              <w:tc>
                <w:tcPr>
                  <w:tcW w:w="22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sz w:val="21"/>
                      <w:szCs w:val="21"/>
                      <w:u w:val="single" w:color="auto"/>
                      <w:lang w:eastAsia="zh-CN"/>
                    </w:rPr>
                  </w:pPr>
                  <w:r>
                    <w:rPr>
                      <w:rFonts w:hint="eastAsia" w:ascii="Times New Roman" w:hAnsi="Times New Roman" w:cs="Times New Roman"/>
                      <w:sz w:val="21"/>
                      <w:szCs w:val="21"/>
                      <w:u w:val="single" w:color="auto"/>
                      <w:lang w:eastAsia="zh-CN"/>
                    </w:rPr>
                    <w:t>噪声</w:t>
                  </w: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1"/>
                      <w:szCs w:val="21"/>
                      <w:u w:val="single" w:color="auto"/>
                    </w:rPr>
                  </w:pPr>
                  <w:r>
                    <w:rPr>
                      <w:rFonts w:hint="eastAsia" w:cs="Times New Roman"/>
                      <w:sz w:val="21"/>
                      <w:szCs w:val="21"/>
                      <w:u w:val="single" w:color="auto"/>
                      <w:lang w:val="en-US" w:eastAsia="zh-CN"/>
                    </w:rPr>
                    <w:t>半年</w:t>
                  </w:r>
                  <w:r>
                    <w:rPr>
                      <w:rFonts w:hint="default" w:ascii="Times New Roman" w:hAnsi="Times New Roman" w:cs="Times New Roman"/>
                      <w:sz w:val="21"/>
                      <w:szCs w:val="21"/>
                      <w:u w:val="single" w:color="auto"/>
                      <w:lang w:val="en-US" w:eastAsia="zh-CN"/>
                    </w:rPr>
                    <w:t>/</w:t>
                  </w:r>
                  <w:r>
                    <w:rPr>
                      <w:rFonts w:hint="default" w:ascii="Times New Roman" w:hAnsi="Times New Roman" w:cs="Times New Roman"/>
                      <w:sz w:val="21"/>
                      <w:szCs w:val="21"/>
                      <w:u w:val="single" w:color="auto"/>
                    </w:rPr>
                    <w:t>次</w:t>
                  </w:r>
                </w:p>
              </w:tc>
            </w:tr>
          </w:tbl>
          <w:p>
            <w:pPr>
              <w:pStyle w:val="34"/>
              <w:spacing w:line="360" w:lineRule="auto"/>
              <w:ind w:left="4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监测计划实施由公司负责组织协调，可委托有资质的环境监测单位承担监测任务</w:t>
            </w:r>
          </w:p>
          <w:p>
            <w:pPr>
              <w:snapToGrid w:val="0"/>
              <w:spacing w:line="360" w:lineRule="auto"/>
              <w:ind w:firstLine="466" w:firstLineChars="200"/>
              <w:rPr>
                <w:rFonts w:hint="default" w:ascii="Times New Roman" w:hAnsi="Times New Roman" w:cs="Times New Roman"/>
                <w:b/>
                <w:sz w:val="24"/>
                <w:szCs w:val="24"/>
                <w:u w:val="none" w:color="auto"/>
              </w:rPr>
            </w:pPr>
            <w:r>
              <w:rPr>
                <w:rFonts w:hint="eastAsia" w:cs="Times New Roman"/>
                <w:b/>
                <w:sz w:val="24"/>
                <w:szCs w:val="24"/>
                <w:u w:val="none" w:color="auto"/>
                <w:lang w:val="en-US" w:eastAsia="zh-CN"/>
              </w:rPr>
              <w:t>8</w:t>
            </w:r>
            <w:r>
              <w:rPr>
                <w:rFonts w:hint="default" w:ascii="Times New Roman" w:hAnsi="Times New Roman" w:cs="Times New Roman"/>
                <w:b/>
                <w:sz w:val="24"/>
                <w:szCs w:val="24"/>
                <w:u w:val="none" w:color="auto"/>
              </w:rPr>
              <w:t>、项目合理性分析</w:t>
            </w:r>
          </w:p>
          <w:p>
            <w:pPr>
              <w:snapToGrid w:val="0"/>
              <w:spacing w:line="360" w:lineRule="auto"/>
              <w:ind w:firstLine="457" w:firstLineChars="196"/>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（1）产业政策符合性分析</w:t>
            </w:r>
          </w:p>
          <w:p>
            <w:pPr>
              <w:snapToGrid w:val="0"/>
              <w:spacing w:line="360" w:lineRule="auto"/>
              <w:ind w:firstLine="457" w:firstLineChars="196"/>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本项目为</w:t>
            </w:r>
            <w:r>
              <w:rPr>
                <w:rFonts w:hint="eastAsia" w:cs="Times New Roman"/>
                <w:sz w:val="24"/>
                <w:szCs w:val="24"/>
                <w:u w:val="none" w:color="auto"/>
                <w:lang w:val="en-US" w:eastAsia="zh-CN"/>
              </w:rPr>
              <w:t>纸</w:t>
            </w:r>
            <w:r>
              <w:rPr>
                <w:rFonts w:hint="eastAsia" w:cs="Times New Roman"/>
                <w:sz w:val="24"/>
                <w:szCs w:val="24"/>
                <w:u w:val="none" w:color="auto"/>
                <w:lang w:eastAsia="zh-CN"/>
              </w:rPr>
              <w:t>制品</w:t>
            </w:r>
            <w:r>
              <w:rPr>
                <w:rFonts w:hint="eastAsia" w:cs="Times New Roman"/>
                <w:sz w:val="24"/>
                <w:szCs w:val="24"/>
                <w:u w:val="none" w:color="auto"/>
                <w:lang w:val="en-US" w:eastAsia="zh-CN"/>
              </w:rPr>
              <w:t>加工</w:t>
            </w:r>
            <w:r>
              <w:rPr>
                <w:rFonts w:hint="default" w:ascii="Times New Roman" w:hAnsi="Times New Roman" w:cs="Times New Roman"/>
                <w:sz w:val="24"/>
                <w:szCs w:val="24"/>
                <w:u w:val="none" w:color="auto"/>
              </w:rPr>
              <w:t>，根据中华人民共和国发展和改革委员会《产业结构调整指导目录（201</w:t>
            </w:r>
            <w:r>
              <w:rPr>
                <w:rFonts w:hint="eastAsia" w:cs="Times New Roman"/>
                <w:sz w:val="24"/>
                <w:szCs w:val="24"/>
                <w:u w:val="none" w:color="auto"/>
                <w:lang w:val="en-US" w:eastAsia="zh-CN"/>
              </w:rPr>
              <w:t>9</w:t>
            </w:r>
            <w:r>
              <w:rPr>
                <w:rFonts w:hint="default" w:ascii="Times New Roman" w:hAnsi="Times New Roman" w:cs="Times New Roman"/>
                <w:sz w:val="24"/>
                <w:szCs w:val="24"/>
                <w:u w:val="none" w:color="auto"/>
              </w:rPr>
              <w:t>年本）》，该类项目不属于限制类和淘汰类项目，符合国家产业政策要求</w:t>
            </w:r>
            <w:r>
              <w:rPr>
                <w:rFonts w:hint="eastAsia" w:cs="Times New Roman"/>
                <w:sz w:val="24"/>
                <w:szCs w:val="24"/>
                <w:u w:val="none" w:color="auto"/>
                <w:lang w:eastAsia="zh-CN"/>
              </w:rPr>
              <w:t>，</w:t>
            </w:r>
            <w:r>
              <w:rPr>
                <w:color w:val="auto"/>
                <w:spacing w:val="-6"/>
                <w:sz w:val="24"/>
                <w:u w:val="none" w:color="auto"/>
              </w:rPr>
              <w:t>项目</w:t>
            </w:r>
            <w:r>
              <w:rPr>
                <w:rFonts w:hint="eastAsia"/>
                <w:color w:val="auto"/>
                <w:spacing w:val="-6"/>
                <w:sz w:val="24"/>
                <w:u w:val="none" w:color="auto"/>
                <w:lang w:val="en-US" w:eastAsia="zh-CN"/>
              </w:rPr>
              <w:t>不属于</w:t>
            </w:r>
            <w:r>
              <w:rPr>
                <w:rFonts w:hint="default" w:ascii="Times New Roman" w:hAnsi="Times New Roman" w:eastAsia="宋体" w:cs="Times New Roman"/>
                <w:bCs/>
                <w:color w:val="auto"/>
                <w:sz w:val="24"/>
                <w:szCs w:val="24"/>
                <w:u w:val="none" w:color="auto"/>
              </w:rPr>
              <w:t>国家发改委《产业结构调整指导目录》（2019 年本）</w:t>
            </w:r>
            <w:r>
              <w:rPr>
                <w:rFonts w:hint="eastAsia" w:ascii="Times New Roman" w:hAnsi="Times New Roman" w:eastAsia="宋体" w:cs="Times New Roman"/>
                <w:bCs/>
                <w:color w:val="auto"/>
                <w:sz w:val="24"/>
                <w:szCs w:val="24"/>
                <w:u w:val="none" w:color="auto"/>
                <w:lang w:eastAsia="zh-CN"/>
              </w:rPr>
              <w:t>、</w:t>
            </w:r>
            <w:r>
              <w:rPr>
                <w:rFonts w:hint="default" w:ascii="Times New Roman" w:hAnsi="Times New Roman" w:eastAsia="宋体" w:cs="Times New Roman"/>
                <w:bCs/>
                <w:color w:val="auto"/>
                <w:sz w:val="24"/>
                <w:szCs w:val="24"/>
                <w:u w:val="none" w:color="auto"/>
              </w:rPr>
              <w:t>《工业和信息化部高耗能落后机电设备（产品）淘汰目录》、《部分工业行业淘汰落后生产工艺装备和产品指导目录》中淘汰及明令禁止使用的设备</w:t>
            </w:r>
            <w:r>
              <w:rPr>
                <w:rFonts w:hint="eastAsia" w:cs="Times New Roman"/>
                <w:bCs/>
                <w:color w:val="auto"/>
                <w:sz w:val="24"/>
                <w:szCs w:val="24"/>
                <w:u w:val="none" w:color="auto"/>
                <w:lang w:val="en-US" w:eastAsia="zh-CN"/>
              </w:rPr>
              <w:t>及工艺，符合国家规范要求</w:t>
            </w:r>
            <w:r>
              <w:rPr>
                <w:rFonts w:hint="default" w:ascii="Times New Roman" w:hAnsi="Times New Roman" w:cs="Times New Roman"/>
                <w:sz w:val="24"/>
                <w:szCs w:val="24"/>
                <w:u w:val="none" w:color="auto"/>
              </w:rPr>
              <w:t>。</w:t>
            </w:r>
          </w:p>
          <w:p>
            <w:pPr>
              <w:snapToGrid w:val="0"/>
              <w:spacing w:line="360" w:lineRule="auto"/>
              <w:ind w:firstLine="457" w:firstLineChars="196"/>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（2）规划合理性分析</w:t>
            </w:r>
          </w:p>
          <w:p>
            <w:pPr>
              <w:spacing w:line="360" w:lineRule="auto"/>
              <w:ind w:firstLine="466" w:firstLineChars="200"/>
              <w:rPr>
                <w:rFonts w:hint="default" w:ascii="Times New Roman" w:hAnsi="Times New Roman" w:cs="Times New Roman"/>
                <w:spacing w:val="-6"/>
                <w:sz w:val="24"/>
                <w:szCs w:val="24"/>
                <w:u w:val="single" w:color="auto"/>
              </w:rPr>
            </w:pPr>
            <w:r>
              <w:rPr>
                <w:rFonts w:hint="default" w:ascii="Times New Roman" w:hAnsi="Times New Roman" w:cs="Times New Roman"/>
                <w:sz w:val="24"/>
                <w:szCs w:val="24"/>
                <w:u w:val="single" w:color="auto"/>
              </w:rPr>
              <w:t>本项目位于</w:t>
            </w:r>
            <w:r>
              <w:rPr>
                <w:rFonts w:hint="eastAsia" w:cs="Times New Roman"/>
                <w:sz w:val="24"/>
                <w:szCs w:val="24"/>
                <w:u w:val="single" w:color="auto"/>
                <w:lang w:eastAsia="zh-CN"/>
              </w:rPr>
              <w:t>岳阳市湘阴县金龙新区工业园湖南卓达置业有限公司一期22栋</w:t>
            </w:r>
            <w:r>
              <w:rPr>
                <w:rFonts w:hint="eastAsia" w:ascii="Times New Roman" w:hAnsi="Times New Roman" w:cs="Times New Roman"/>
                <w:sz w:val="24"/>
                <w:szCs w:val="24"/>
                <w:u w:val="single" w:color="auto"/>
                <w:lang w:eastAsia="zh-CN"/>
              </w:rPr>
              <w:t>现有厂房</w:t>
            </w:r>
            <w:r>
              <w:rPr>
                <w:rFonts w:hint="default" w:ascii="Times New Roman" w:hAnsi="Times New Roman" w:cs="Times New Roman"/>
                <w:sz w:val="24"/>
                <w:szCs w:val="24"/>
                <w:u w:val="single" w:color="auto"/>
              </w:rPr>
              <w:t>，项目所在地不属于生活饮用水水源保护区、风景名胜区等区域。</w:t>
            </w:r>
          </w:p>
          <w:p>
            <w:pPr>
              <w:snapToGrid w:val="0"/>
              <w:spacing w:line="360" w:lineRule="auto"/>
              <w:ind w:firstLine="466" w:firstLineChars="20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（3）选址合理性分析</w:t>
            </w:r>
          </w:p>
          <w:p>
            <w:pPr>
              <w:snapToGrid w:val="0"/>
              <w:spacing w:line="360" w:lineRule="auto"/>
              <w:ind w:firstLine="457" w:firstLineChars="196"/>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①地理位置</w:t>
            </w:r>
          </w:p>
          <w:p>
            <w:pPr>
              <w:snapToGrid w:val="0"/>
              <w:spacing w:line="360" w:lineRule="auto"/>
              <w:ind w:firstLine="457" w:firstLineChars="196"/>
              <w:rPr>
                <w:rFonts w:hint="default" w:ascii="Times New Roman" w:hAnsi="Times New Roman" w:cs="Times New Roman"/>
                <w:bCs/>
                <w:sz w:val="24"/>
                <w:szCs w:val="24"/>
                <w:u w:val="single" w:color="auto"/>
              </w:rPr>
            </w:pPr>
            <w:r>
              <w:rPr>
                <w:rFonts w:hint="default" w:ascii="Times New Roman" w:hAnsi="Times New Roman" w:cs="Times New Roman"/>
                <w:bCs/>
                <w:sz w:val="24"/>
                <w:szCs w:val="24"/>
                <w:u w:val="single" w:color="auto"/>
              </w:rPr>
              <w:t>本项目选址于</w:t>
            </w:r>
            <w:r>
              <w:rPr>
                <w:rFonts w:hint="eastAsia" w:cs="Times New Roman"/>
                <w:sz w:val="24"/>
                <w:u w:val="single" w:color="auto"/>
                <w:lang w:eastAsia="zh-CN"/>
              </w:rPr>
              <w:t>岳阳市湘阴县金龙新区工业园湖南卓达置业有限公司一期22栋，</w:t>
            </w:r>
            <w:r>
              <w:rPr>
                <w:rFonts w:hint="eastAsia" w:cs="Times New Roman"/>
                <w:sz w:val="24"/>
                <w:u w:val="single" w:color="auto"/>
                <w:lang w:val="en-US" w:eastAsia="zh-CN"/>
              </w:rPr>
              <w:t>项目用地性质为工业用地，不在红线范围内，符合湘阴县规划</w:t>
            </w:r>
            <w:r>
              <w:rPr>
                <w:rFonts w:hint="default" w:ascii="Times New Roman" w:hAnsi="Times New Roman" w:cs="Times New Roman"/>
                <w:bCs/>
                <w:sz w:val="24"/>
                <w:szCs w:val="24"/>
                <w:u w:val="single" w:color="auto"/>
              </w:rPr>
              <w:t>，交通较为便利。</w:t>
            </w:r>
            <w:r>
              <w:rPr>
                <w:rFonts w:hint="default" w:ascii="Times New Roman" w:hAnsi="Times New Roman" w:cs="Times New Roman"/>
                <w:sz w:val="24"/>
                <w:szCs w:val="24"/>
                <w:u w:val="single" w:color="auto"/>
              </w:rPr>
              <w:t>本项目所在地供电、通讯、道路等基础设施比较完善，电、水源供应充足。</w:t>
            </w:r>
          </w:p>
          <w:p>
            <w:pPr>
              <w:snapToGrid w:val="0"/>
              <w:spacing w:line="360" w:lineRule="auto"/>
              <w:ind w:firstLine="457" w:firstLineChars="196"/>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②环境容量</w:t>
            </w:r>
          </w:p>
          <w:p>
            <w:pPr>
              <w:snapToGrid w:val="0"/>
              <w:spacing w:line="360" w:lineRule="auto"/>
              <w:ind w:firstLine="457" w:firstLineChars="196"/>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根据环境功能区划的划分，项目选址区环境空气功能为二级区，水体功能为Ⅲ类水体，声环境功能为</w:t>
            </w:r>
            <w:r>
              <w:rPr>
                <w:rFonts w:hint="eastAsia" w:cs="Times New Roman"/>
                <w:sz w:val="24"/>
                <w:szCs w:val="24"/>
                <w:u w:val="single" w:color="auto"/>
                <w:lang w:val="en-US" w:eastAsia="zh-CN"/>
              </w:rPr>
              <w:t>3</w:t>
            </w:r>
            <w:r>
              <w:rPr>
                <w:rFonts w:hint="default" w:ascii="Times New Roman" w:hAnsi="Times New Roman" w:cs="Times New Roman"/>
                <w:sz w:val="24"/>
                <w:szCs w:val="24"/>
                <w:u w:val="single" w:color="auto"/>
              </w:rPr>
              <w:t>类区。根据环境质量现状数据，本项目所在区域地表水、声环境质量满足相应功能区划要求，</w:t>
            </w:r>
            <w:r>
              <w:rPr>
                <w:rFonts w:hint="eastAsia" w:cs="Times New Roman"/>
                <w:color w:val="auto"/>
                <w:sz w:val="24"/>
                <w:szCs w:val="24"/>
                <w:u w:val="single" w:color="auto"/>
                <w:lang w:eastAsia="zh-CN"/>
              </w:rPr>
              <w:t>根据</w:t>
            </w:r>
            <w:r>
              <w:rPr>
                <w:rFonts w:hint="eastAsia" w:cs="Times New Roman"/>
                <w:color w:val="auto"/>
                <w:sz w:val="24"/>
                <w:szCs w:val="24"/>
                <w:u w:val="single" w:color="auto"/>
                <w:lang w:val="en-US" w:eastAsia="zh-CN"/>
              </w:rPr>
              <w:t>2018年到2019年大气监测数据可知，项目所在区域大气环境正在逐渐变好</w:t>
            </w:r>
            <w:r>
              <w:rPr>
                <w:rFonts w:hint="default" w:ascii="Times New Roman" w:hAnsi="Times New Roman" w:cs="Times New Roman"/>
                <w:sz w:val="24"/>
                <w:szCs w:val="24"/>
                <w:u w:val="single" w:color="auto"/>
              </w:rPr>
              <w:t>，在充分落实本评价提出的各项处理措施后，项目营运对周围环境产生的影响较小，不会降低该区现有环境功能。</w:t>
            </w:r>
          </w:p>
          <w:p>
            <w:pPr>
              <w:snapToGrid w:val="0"/>
              <w:spacing w:line="360" w:lineRule="auto"/>
              <w:ind w:firstLine="457" w:firstLineChars="196"/>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③达标排放</w:t>
            </w:r>
          </w:p>
          <w:p>
            <w:pPr>
              <w:snapToGrid w:val="0"/>
              <w:spacing w:line="360" w:lineRule="auto"/>
              <w:ind w:firstLine="457" w:firstLineChars="196"/>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本项目营运期产生的各类污染物经过相关环保措施处理后可实现达标排放，固废可实现有效处理和处置，对周围环境产生的影响在可接受的范围之内。</w:t>
            </w:r>
          </w:p>
          <w:p>
            <w:pPr>
              <w:snapToGrid w:val="0"/>
              <w:spacing w:line="360" w:lineRule="auto"/>
              <w:ind w:firstLine="457" w:firstLineChars="196"/>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综上所述，本项目符合当地环境功能区规划，各污染物在采取相关环保措施后都可以实现达标排放，对周围环境影响不大，本项目选址合理。</w:t>
            </w:r>
          </w:p>
          <w:p>
            <w:pPr>
              <w:snapToGrid w:val="0"/>
              <w:spacing w:line="360" w:lineRule="auto"/>
              <w:ind w:firstLine="466" w:firstLineChars="20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（4）平面布置合理性分析</w:t>
            </w:r>
          </w:p>
          <w:p>
            <w:pPr>
              <w:spacing w:line="360" w:lineRule="auto"/>
              <w:ind w:firstLine="466" w:firstLineChars="200"/>
              <w:rPr>
                <w:rFonts w:hint="eastAsia" w:eastAsia="宋体" w:cs="Times New Roman"/>
                <w:b/>
                <w:bCs/>
                <w:color w:val="auto"/>
                <w:sz w:val="24"/>
                <w:szCs w:val="24"/>
                <w:u w:val="single" w:color="auto"/>
                <w:lang w:val="en-US" w:eastAsia="zh-CN"/>
              </w:rPr>
            </w:pPr>
            <w:r>
              <w:rPr>
                <w:rFonts w:hint="default" w:ascii="Times New Roman" w:hAnsi="Times New Roman" w:cs="Times New Roman"/>
                <w:sz w:val="24"/>
                <w:szCs w:val="24"/>
                <w:u w:val="single" w:color="auto"/>
              </w:rPr>
              <w:t>本项目位于</w:t>
            </w:r>
            <w:r>
              <w:rPr>
                <w:rFonts w:hint="default" w:ascii="Times New Roman" w:hAnsi="Times New Roman" w:cs="Times New Roman"/>
                <w:bCs/>
                <w:sz w:val="24"/>
                <w:szCs w:val="24"/>
                <w:u w:val="single" w:color="auto"/>
              </w:rPr>
              <w:t>本项目选址于</w:t>
            </w:r>
            <w:r>
              <w:rPr>
                <w:rFonts w:hint="eastAsia" w:cs="Times New Roman"/>
                <w:sz w:val="24"/>
                <w:u w:val="single" w:color="auto"/>
                <w:lang w:eastAsia="zh-CN"/>
              </w:rPr>
              <w:t>岳阳市湘阴县金龙新区工业园湖南卓达置业有限公司一期22栋</w:t>
            </w:r>
            <w:r>
              <w:rPr>
                <w:rFonts w:hint="default" w:ascii="Times New Roman" w:hAnsi="Times New Roman" w:cs="Times New Roman"/>
                <w:sz w:val="24"/>
                <w:szCs w:val="24"/>
                <w:u w:val="single" w:color="auto"/>
              </w:rPr>
              <w:t>，根据现场调查，项目建设内容分为原料堆放区</w:t>
            </w:r>
            <w:r>
              <w:rPr>
                <w:rFonts w:hint="eastAsia" w:cs="Times New Roman"/>
                <w:sz w:val="24"/>
                <w:szCs w:val="24"/>
                <w:u w:val="single" w:color="auto"/>
                <w:lang w:eastAsia="zh-CN"/>
              </w:rPr>
              <w:t>、成品区</w:t>
            </w:r>
            <w:r>
              <w:rPr>
                <w:rFonts w:hint="default" w:ascii="Times New Roman" w:hAnsi="Times New Roman" w:cs="Times New Roman"/>
                <w:sz w:val="24"/>
                <w:szCs w:val="24"/>
                <w:u w:val="single" w:color="auto"/>
              </w:rPr>
              <w:t>、</w:t>
            </w:r>
            <w:r>
              <w:rPr>
                <w:rFonts w:hint="eastAsia" w:cs="Times New Roman"/>
                <w:sz w:val="24"/>
                <w:szCs w:val="24"/>
                <w:u w:val="single" w:color="auto"/>
                <w:lang w:eastAsia="zh-CN"/>
              </w:rPr>
              <w:t>生产区等，项目共</w:t>
            </w:r>
            <w:r>
              <w:rPr>
                <w:rFonts w:hint="eastAsia" w:cs="Times New Roman"/>
                <w:sz w:val="24"/>
                <w:szCs w:val="24"/>
                <w:u w:val="single" w:color="auto"/>
                <w:lang w:val="en-US" w:eastAsia="zh-CN"/>
              </w:rPr>
              <w:t>4层</w:t>
            </w:r>
            <w:r>
              <w:rPr>
                <w:rFonts w:hint="default" w:ascii="Times New Roman" w:hAnsi="Times New Roman" w:cs="Times New Roman"/>
                <w:sz w:val="24"/>
                <w:szCs w:val="24"/>
                <w:u w:val="single" w:color="auto"/>
              </w:rPr>
              <w:t>，</w:t>
            </w:r>
            <w:r>
              <w:rPr>
                <w:rFonts w:hint="eastAsia" w:cs="Times New Roman"/>
                <w:sz w:val="24"/>
                <w:szCs w:val="24"/>
                <w:u w:val="single" w:color="auto"/>
                <w:lang w:eastAsia="zh-CN"/>
              </w:rPr>
              <w:t>其中</w:t>
            </w:r>
            <w:r>
              <w:rPr>
                <w:rFonts w:hint="default" w:ascii="Times New Roman" w:hAnsi="Times New Roman" w:cs="Times New Roman"/>
                <w:sz w:val="24"/>
                <w:szCs w:val="24"/>
                <w:u w:val="single" w:color="auto"/>
              </w:rPr>
              <w:t>一层</w:t>
            </w:r>
            <w:r>
              <w:rPr>
                <w:rFonts w:hint="eastAsia" w:cs="Times New Roman"/>
                <w:sz w:val="24"/>
                <w:szCs w:val="24"/>
                <w:u w:val="single" w:color="auto"/>
                <w:lang w:eastAsia="zh-CN"/>
              </w:rPr>
              <w:t>为</w:t>
            </w:r>
            <w:r>
              <w:rPr>
                <w:rFonts w:hint="eastAsia" w:cs="Times New Roman"/>
                <w:sz w:val="24"/>
                <w:szCs w:val="24"/>
                <w:u w:val="single" w:color="auto"/>
                <w:lang w:val="en-US" w:eastAsia="zh-CN"/>
              </w:rPr>
              <w:t>成品仓库和原料仓库</w:t>
            </w:r>
            <w:r>
              <w:rPr>
                <w:rFonts w:hint="eastAsia" w:cs="Times New Roman"/>
                <w:sz w:val="24"/>
                <w:szCs w:val="24"/>
                <w:u w:val="single" w:color="auto"/>
                <w:lang w:eastAsia="zh-CN"/>
              </w:rPr>
              <w:t>，二层为</w:t>
            </w:r>
            <w:r>
              <w:rPr>
                <w:rFonts w:hint="eastAsia" w:cs="Times New Roman"/>
                <w:sz w:val="24"/>
                <w:szCs w:val="24"/>
                <w:u w:val="single" w:color="auto"/>
                <w:lang w:val="en-US" w:eastAsia="zh-CN"/>
              </w:rPr>
              <w:t>印刷、固化、分切、包装区（主要是印刷纸、双胶卷纸、热敏卷纸生产）、危险储存间</w:t>
            </w:r>
            <w:r>
              <w:rPr>
                <w:rFonts w:hint="default" w:ascii="Times New Roman" w:hAnsi="Times New Roman" w:cs="Times New Roman"/>
                <w:sz w:val="24"/>
                <w:szCs w:val="24"/>
                <w:u w:val="single" w:color="auto"/>
              </w:rPr>
              <w:t>，</w:t>
            </w:r>
            <w:r>
              <w:rPr>
                <w:rFonts w:hint="eastAsia" w:cs="Times New Roman"/>
                <w:sz w:val="24"/>
                <w:szCs w:val="24"/>
                <w:u w:val="single" w:color="auto"/>
                <w:lang w:eastAsia="zh-CN"/>
              </w:rPr>
              <w:t>三层为</w:t>
            </w:r>
            <w:r>
              <w:rPr>
                <w:rFonts w:hint="eastAsia" w:cs="Times New Roman"/>
                <w:sz w:val="24"/>
                <w:szCs w:val="24"/>
                <w:u w:val="single" w:color="auto"/>
                <w:lang w:val="en-US" w:eastAsia="zh-CN"/>
              </w:rPr>
              <w:t>擦手纸、抽纸、卷纸生产包装区，4层为办公区、半成品仓库、预留车间、其他原辅材料储存区</w:t>
            </w:r>
            <w:r>
              <w:rPr>
                <w:rFonts w:hint="default" w:ascii="Times New Roman" w:hAnsi="Times New Roman" w:cs="Times New Roman"/>
                <w:sz w:val="24"/>
                <w:szCs w:val="24"/>
                <w:u w:val="single" w:color="auto"/>
              </w:rPr>
              <w:t>，项目主要生产设备均按照有利于物料的运输和储存的原则进行布置。平面布置比较合理。</w:t>
            </w:r>
          </w:p>
          <w:p>
            <w:pPr>
              <w:snapToGrid w:val="0"/>
              <w:spacing w:line="360" w:lineRule="auto"/>
              <w:ind w:firstLine="466" w:firstLineChars="200"/>
              <w:rPr>
                <w:rFonts w:hint="eastAsia" w:ascii="Times New Roman" w:hAnsi="Times New Roman" w:eastAsia="宋体" w:cs="Times New Roman"/>
                <w:color w:val="auto"/>
                <w:sz w:val="24"/>
                <w:szCs w:val="24"/>
                <w:u w:val="single" w:color="auto"/>
                <w:lang w:eastAsia="zh-CN"/>
              </w:rPr>
            </w:pPr>
            <w:r>
              <w:rPr>
                <w:rFonts w:hint="eastAsia" w:cs="Times New Roman"/>
                <w:color w:val="auto"/>
                <w:sz w:val="24"/>
                <w:szCs w:val="24"/>
                <w:u w:val="single" w:color="auto"/>
                <w:lang w:eastAsia="zh-CN"/>
              </w:rPr>
              <w:t>（</w:t>
            </w:r>
            <w:r>
              <w:rPr>
                <w:rFonts w:hint="eastAsia" w:cs="Times New Roman"/>
                <w:color w:val="auto"/>
                <w:sz w:val="24"/>
                <w:szCs w:val="24"/>
                <w:u w:val="single" w:color="auto"/>
                <w:lang w:val="en-US" w:eastAsia="zh-CN"/>
              </w:rPr>
              <w:t>5</w:t>
            </w:r>
            <w:r>
              <w:rPr>
                <w:rFonts w:hint="eastAsia" w:cs="Times New Roman"/>
                <w:color w:val="auto"/>
                <w:sz w:val="24"/>
                <w:szCs w:val="24"/>
                <w:u w:val="single" w:color="auto"/>
                <w:lang w:eastAsia="zh-CN"/>
              </w:rPr>
              <w:t>）与金龙新区规划相符性</w:t>
            </w:r>
          </w:p>
          <w:p>
            <w:pPr>
              <w:spacing w:line="360" w:lineRule="auto"/>
              <w:ind w:firstLine="466" w:firstLineChars="200"/>
              <w:rPr>
                <w:rFonts w:hint="default" w:ascii="宋体" w:hAnsi="宋体" w:eastAsia="宋体" w:cs="宋体"/>
                <w:i w:val="0"/>
                <w:caps w:val="0"/>
                <w:color w:val="auto"/>
                <w:spacing w:val="0"/>
                <w:sz w:val="24"/>
                <w:szCs w:val="24"/>
                <w:u w:val="single" w:color="auto"/>
                <w:shd w:val="clear" w:fill="FFFFFF"/>
                <w:lang w:val="en-US" w:eastAsia="zh-CN"/>
              </w:rPr>
            </w:pPr>
            <w:r>
              <w:rPr>
                <w:rFonts w:hint="eastAsia" w:ascii="宋体" w:hAnsi="宋体" w:eastAsia="宋体" w:cs="宋体"/>
                <w:i w:val="0"/>
                <w:caps w:val="0"/>
                <w:color w:val="auto"/>
                <w:spacing w:val="0"/>
                <w:sz w:val="24"/>
                <w:szCs w:val="24"/>
                <w:u w:val="single" w:color="auto"/>
                <w:shd w:val="clear" w:fill="FFFFFF"/>
              </w:rPr>
              <w:t>建设项目选址位于湘阴县</w:t>
            </w:r>
            <w:r>
              <w:rPr>
                <w:rFonts w:hint="eastAsia" w:ascii="宋体" w:hAnsi="宋体" w:cs="宋体"/>
                <w:i w:val="0"/>
                <w:caps w:val="0"/>
                <w:color w:val="auto"/>
                <w:spacing w:val="0"/>
                <w:sz w:val="24"/>
                <w:szCs w:val="24"/>
                <w:u w:val="single" w:color="auto"/>
                <w:shd w:val="clear" w:fill="FFFFFF"/>
                <w:lang w:eastAsia="zh-CN"/>
              </w:rPr>
              <w:t>金龙新区</w:t>
            </w:r>
            <w:r>
              <w:rPr>
                <w:rFonts w:hint="eastAsia" w:ascii="宋体" w:hAnsi="宋体" w:eastAsia="宋体" w:cs="宋体"/>
                <w:i w:val="0"/>
                <w:caps w:val="0"/>
                <w:color w:val="auto"/>
                <w:spacing w:val="0"/>
                <w:sz w:val="24"/>
                <w:szCs w:val="24"/>
                <w:u w:val="single" w:color="auto"/>
                <w:shd w:val="clear" w:fill="FFFFFF"/>
              </w:rPr>
              <w:t>内，该工业园已完成规划环评审查，根据岳阳市环境保护局《关于湘阴县金龙新区工业区规划环境影响评价报告书</w:t>
            </w:r>
            <w:r>
              <w:rPr>
                <w:rFonts w:hint="eastAsia" w:ascii="宋体" w:hAnsi="宋体" w:eastAsia="宋体" w:cs="宋体"/>
                <w:i w:val="0"/>
                <w:caps w:val="0"/>
                <w:color w:val="auto"/>
                <w:spacing w:val="0"/>
                <w:sz w:val="24"/>
                <w:szCs w:val="24"/>
                <w:u w:val="single" w:color="auto"/>
                <w:shd w:val="clear" w:fill="FFFFFF"/>
                <w:lang w:eastAsia="zh-CN"/>
              </w:rPr>
              <w:t>及审查意见</w:t>
            </w:r>
            <w:r>
              <w:rPr>
                <w:rFonts w:hint="eastAsia" w:ascii="宋体" w:hAnsi="宋体" w:eastAsia="宋体" w:cs="宋体"/>
                <w:i w:val="0"/>
                <w:caps w:val="0"/>
                <w:color w:val="auto"/>
                <w:spacing w:val="0"/>
                <w:sz w:val="24"/>
                <w:szCs w:val="24"/>
                <w:u w:val="single" w:color="auto"/>
                <w:shd w:val="clear" w:fill="FFFFFF"/>
              </w:rPr>
              <w:t>》，入驻园区的的企业应满足以下要求</w:t>
            </w:r>
            <w:r>
              <w:rPr>
                <w:rFonts w:hint="eastAsia" w:ascii="宋体" w:hAnsi="宋体" w:eastAsia="宋体" w:cs="宋体"/>
                <w:i w:val="0"/>
                <w:caps w:val="0"/>
                <w:color w:val="auto"/>
                <w:spacing w:val="0"/>
                <w:sz w:val="24"/>
                <w:szCs w:val="24"/>
                <w:u w:val="single" w:color="auto"/>
                <w:shd w:val="clear" w:fill="FFFFFF"/>
                <w:lang w:eastAsia="zh-CN"/>
              </w:rPr>
              <w:t>：</w:t>
            </w:r>
            <w:r>
              <w:rPr>
                <w:rFonts w:hint="eastAsia" w:ascii="宋体" w:hAnsi="宋体" w:eastAsia="宋体" w:cs="宋体"/>
                <w:i w:val="0"/>
                <w:caps w:val="0"/>
                <w:color w:val="auto"/>
                <w:spacing w:val="0"/>
                <w:sz w:val="24"/>
                <w:szCs w:val="24"/>
                <w:u w:val="single" w:color="auto"/>
                <w:shd w:val="clear" w:fill="FFFFFF"/>
              </w:rPr>
              <w:t>入园项目必须满足园区总体发展规划、用地规划、环保规划及主导产业定位要求，严格执行环境准入负面清单，不得引进国家明令淘汰和禁止发展的、不符合产业政策的建设项目；禁止引进多晶硅、单晶硅、造纸、石化、冶金、皮革、医药、纺织印染、酒类、畜禽初加工、电镀和火力发电等行业，限制发展食品制造、饲料加工行业</w:t>
            </w:r>
            <w:r>
              <w:rPr>
                <w:rFonts w:hint="eastAsia" w:ascii="宋体" w:hAnsi="宋体" w:cs="宋体"/>
                <w:i w:val="0"/>
                <w:caps w:val="0"/>
                <w:color w:val="auto"/>
                <w:spacing w:val="0"/>
                <w:sz w:val="24"/>
                <w:szCs w:val="24"/>
                <w:u w:val="single" w:color="auto"/>
                <w:shd w:val="clear" w:fill="FFFFFF"/>
                <w:lang w:eastAsia="zh-CN"/>
              </w:rPr>
              <w:t>；</w:t>
            </w:r>
            <w:r>
              <w:rPr>
                <w:rFonts w:hint="eastAsia" w:ascii="宋体" w:hAnsi="宋体" w:cs="宋体"/>
                <w:i w:val="0"/>
                <w:caps w:val="0"/>
                <w:color w:val="auto"/>
                <w:spacing w:val="0"/>
                <w:sz w:val="24"/>
                <w:szCs w:val="24"/>
                <w:u w:val="single" w:color="auto"/>
                <w:shd w:val="clear" w:fill="FFFFFF"/>
                <w:lang w:val="en-US" w:eastAsia="zh-CN"/>
              </w:rPr>
              <w:t>项目入区前期、建设运营期，必须严格执行和落实环评制度和要求，其排污浓度、速率、总量必须满足达标排放和总量控制要求</w:t>
            </w:r>
            <w:r>
              <w:rPr>
                <w:rFonts w:hint="eastAsia" w:ascii="宋体" w:hAnsi="宋体" w:eastAsia="宋体" w:cs="宋体"/>
                <w:i w:val="0"/>
                <w:caps w:val="0"/>
                <w:color w:val="auto"/>
                <w:spacing w:val="0"/>
                <w:sz w:val="24"/>
                <w:szCs w:val="24"/>
                <w:u w:val="single" w:color="auto"/>
                <w:shd w:val="clear" w:fill="FFFFFF"/>
              </w:rPr>
              <w:t>”</w:t>
            </w:r>
            <w:r>
              <w:rPr>
                <w:rFonts w:hint="eastAsia" w:ascii="宋体" w:hAnsi="宋体" w:eastAsia="宋体" w:cs="宋体"/>
                <w:i w:val="0"/>
                <w:caps w:val="0"/>
                <w:color w:val="auto"/>
                <w:spacing w:val="0"/>
                <w:sz w:val="24"/>
                <w:szCs w:val="24"/>
                <w:u w:val="single" w:color="auto"/>
                <w:shd w:val="clear" w:fill="FFFFFF"/>
                <w:lang w:eastAsia="zh-CN"/>
              </w:rPr>
              <w:t>，本项目</w:t>
            </w:r>
            <w:r>
              <w:rPr>
                <w:rFonts w:hint="eastAsia" w:ascii="宋体" w:hAnsi="宋体" w:cs="宋体"/>
                <w:i w:val="0"/>
                <w:caps w:val="0"/>
                <w:color w:val="auto"/>
                <w:spacing w:val="0"/>
                <w:sz w:val="24"/>
                <w:szCs w:val="24"/>
                <w:u w:val="single" w:color="auto"/>
                <w:shd w:val="clear" w:fill="FFFFFF"/>
                <w:lang w:eastAsia="zh-CN"/>
              </w:rPr>
              <w:t>为</w:t>
            </w:r>
            <w:r>
              <w:rPr>
                <w:rFonts w:hint="eastAsia" w:ascii="宋体" w:hAnsi="宋体" w:cs="宋体"/>
                <w:i w:val="0"/>
                <w:caps w:val="0"/>
                <w:color w:val="auto"/>
                <w:spacing w:val="0"/>
                <w:sz w:val="24"/>
                <w:szCs w:val="24"/>
                <w:u w:val="single" w:color="auto"/>
                <w:shd w:val="clear" w:fill="FFFFFF"/>
                <w:lang w:val="en-US" w:eastAsia="zh-CN"/>
              </w:rPr>
              <w:t>纸</w:t>
            </w:r>
            <w:r>
              <w:rPr>
                <w:rFonts w:hint="eastAsia" w:ascii="宋体" w:hAnsi="宋体" w:cs="宋体"/>
                <w:i w:val="0"/>
                <w:caps w:val="0"/>
                <w:color w:val="auto"/>
                <w:spacing w:val="0"/>
                <w:sz w:val="24"/>
                <w:szCs w:val="24"/>
                <w:u w:val="single" w:color="auto"/>
                <w:shd w:val="clear" w:fill="FFFFFF"/>
                <w:lang w:eastAsia="zh-CN"/>
              </w:rPr>
              <w:t>制品</w:t>
            </w:r>
            <w:r>
              <w:rPr>
                <w:rFonts w:hint="eastAsia" w:ascii="宋体" w:hAnsi="宋体" w:cs="宋体"/>
                <w:i w:val="0"/>
                <w:caps w:val="0"/>
                <w:color w:val="auto"/>
                <w:spacing w:val="0"/>
                <w:sz w:val="24"/>
                <w:szCs w:val="24"/>
                <w:u w:val="single" w:color="auto"/>
                <w:shd w:val="clear" w:fill="FFFFFF"/>
                <w:lang w:val="en-US" w:eastAsia="zh-CN"/>
              </w:rPr>
              <w:t>加工，不进行造纸工艺</w:t>
            </w:r>
            <w:r>
              <w:rPr>
                <w:rFonts w:hint="eastAsia" w:ascii="宋体" w:hAnsi="宋体" w:cs="宋体"/>
                <w:i w:val="0"/>
                <w:caps w:val="0"/>
                <w:color w:val="auto"/>
                <w:spacing w:val="0"/>
                <w:sz w:val="24"/>
                <w:szCs w:val="24"/>
                <w:u w:val="single" w:color="auto"/>
                <w:shd w:val="clear" w:fill="FFFFFF"/>
                <w:lang w:eastAsia="zh-CN"/>
              </w:rPr>
              <w:t>，</w:t>
            </w:r>
            <w:r>
              <w:rPr>
                <w:rFonts w:hint="eastAsia" w:ascii="宋体" w:hAnsi="宋体" w:cs="宋体"/>
                <w:i w:val="0"/>
                <w:caps w:val="0"/>
                <w:color w:val="auto"/>
                <w:spacing w:val="0"/>
                <w:sz w:val="24"/>
                <w:szCs w:val="24"/>
                <w:u w:val="single" w:color="auto"/>
                <w:shd w:val="clear" w:fill="FFFFFF"/>
                <w:lang w:val="en-US" w:eastAsia="zh-CN"/>
              </w:rPr>
              <w:t>不属于限制类及禁止类项目，项目建成运营后其排污浓度、速率、总量经工程分析及影响分析后均能实现达标排放。</w:t>
            </w:r>
          </w:p>
          <w:p>
            <w:pPr>
              <w:spacing w:line="360" w:lineRule="auto"/>
              <w:ind w:firstLine="466" w:firstLineChars="200"/>
              <w:rPr>
                <w:rFonts w:hint="default" w:ascii="宋体" w:hAnsi="宋体" w:eastAsia="宋体" w:cs="宋体"/>
                <w:i w:val="0"/>
                <w:caps w:val="0"/>
                <w:color w:val="auto"/>
                <w:spacing w:val="0"/>
                <w:sz w:val="24"/>
                <w:szCs w:val="24"/>
                <w:u w:val="single" w:color="auto"/>
                <w:shd w:val="clear" w:fill="FFFFFF"/>
                <w:lang w:val="en-US" w:eastAsia="zh-CN"/>
              </w:rPr>
            </w:pPr>
            <w:r>
              <w:rPr>
                <w:rFonts w:hint="eastAsia" w:ascii="宋体" w:hAnsi="宋体" w:cs="宋体"/>
                <w:i w:val="0"/>
                <w:caps w:val="0"/>
                <w:color w:val="auto"/>
                <w:spacing w:val="0"/>
                <w:sz w:val="24"/>
                <w:szCs w:val="24"/>
                <w:u w:val="single" w:color="auto"/>
                <w:shd w:val="clear" w:fill="FFFFFF"/>
                <w:lang w:val="en-US" w:eastAsia="zh-CN"/>
              </w:rPr>
              <w:t>工业区不得引进耗水型企业；工业区需使用清洁能源，不得使用木材燃料，天然气进入工业区后，所有企业全部改造为天然气供热。项目不属于耗水型企业，且在生产过程中无燃料使用，符合其规划要求。</w:t>
            </w:r>
          </w:p>
          <w:p>
            <w:pPr>
              <w:spacing w:line="360" w:lineRule="auto"/>
              <w:ind w:firstLine="466" w:firstLineChars="200"/>
              <w:rPr>
                <w:rFonts w:hint="eastAsia" w:cs="Times New Roman"/>
                <w:color w:val="auto"/>
                <w:sz w:val="24"/>
                <w:szCs w:val="24"/>
                <w:u w:val="none" w:color="auto"/>
                <w:lang w:eastAsia="zh-CN"/>
              </w:rPr>
            </w:pPr>
            <w:r>
              <w:rPr>
                <w:rFonts w:hint="eastAsia" w:ascii="宋体" w:hAnsi="宋体" w:eastAsia="宋体" w:cs="宋体"/>
                <w:i w:val="0"/>
                <w:caps w:val="0"/>
                <w:color w:val="auto"/>
                <w:spacing w:val="0"/>
                <w:sz w:val="24"/>
                <w:szCs w:val="24"/>
                <w:u w:val="single" w:color="auto"/>
                <w:shd w:val="clear" w:fill="FFFFFF"/>
                <w:lang w:eastAsia="zh-CN"/>
              </w:rPr>
              <w:t>优化产业布局。节约、集约用地，工业区与其他功能用地设置不少于50米的绿化隔离带</w:t>
            </w:r>
            <w:r>
              <w:rPr>
                <w:rFonts w:hint="eastAsia" w:ascii="宋体" w:hAnsi="宋体" w:cs="宋体"/>
                <w:i w:val="0"/>
                <w:caps w:val="0"/>
                <w:color w:val="auto"/>
                <w:spacing w:val="0"/>
                <w:sz w:val="24"/>
                <w:szCs w:val="24"/>
                <w:u w:val="single" w:color="auto"/>
                <w:shd w:val="clear" w:fill="FFFFFF"/>
                <w:lang w:eastAsia="zh-CN"/>
              </w:rPr>
              <w:t>；</w:t>
            </w:r>
            <w:r>
              <w:rPr>
                <w:rFonts w:hint="eastAsia" w:ascii="宋体" w:hAnsi="宋体" w:eastAsia="宋体" w:cs="宋体"/>
                <w:i w:val="0"/>
                <w:caps w:val="0"/>
                <w:color w:val="auto"/>
                <w:spacing w:val="0"/>
                <w:sz w:val="24"/>
                <w:szCs w:val="24"/>
                <w:u w:val="single" w:color="auto"/>
                <w:shd w:val="clear" w:fill="FFFFFF"/>
                <w:lang w:eastAsia="zh-CN"/>
              </w:rPr>
              <w:t>工业区应确保在项目引进建设前其选址用地规划调整到位，禁止规划三类工业用地</w:t>
            </w:r>
            <w:r>
              <w:rPr>
                <w:rFonts w:hint="eastAsia" w:ascii="宋体" w:hAnsi="宋体" w:cs="宋体"/>
                <w:i w:val="0"/>
                <w:caps w:val="0"/>
                <w:color w:val="auto"/>
                <w:spacing w:val="0"/>
                <w:sz w:val="24"/>
                <w:szCs w:val="24"/>
                <w:u w:val="single" w:color="auto"/>
                <w:shd w:val="clear" w:fill="FFFFFF"/>
                <w:lang w:eastAsia="zh-CN"/>
              </w:rPr>
              <w:t>；</w:t>
            </w:r>
            <w:r>
              <w:rPr>
                <w:rFonts w:hint="eastAsia" w:ascii="宋体" w:hAnsi="宋体" w:eastAsia="宋体" w:cs="宋体"/>
                <w:i w:val="0"/>
                <w:caps w:val="0"/>
                <w:color w:val="auto"/>
                <w:spacing w:val="0"/>
                <w:sz w:val="24"/>
                <w:szCs w:val="24"/>
                <w:u w:val="single" w:color="auto"/>
                <w:shd w:val="clear" w:fill="FFFFFF"/>
                <w:lang w:eastAsia="zh-CN"/>
              </w:rPr>
              <w:t>北部和中部工业区主要定位为光伏电子信息产业，南部的工业区主要定位为先进机械制造产业区</w:t>
            </w:r>
            <w:r>
              <w:rPr>
                <w:rFonts w:hint="eastAsia" w:ascii="宋体" w:hAnsi="宋体" w:cs="宋体"/>
                <w:i w:val="0"/>
                <w:caps w:val="0"/>
                <w:color w:val="auto"/>
                <w:spacing w:val="0"/>
                <w:sz w:val="24"/>
                <w:szCs w:val="24"/>
                <w:u w:val="single" w:color="auto"/>
                <w:shd w:val="clear" w:fill="FFFFFF"/>
                <w:lang w:eastAsia="zh-CN"/>
              </w:rPr>
              <w:t>；</w:t>
            </w:r>
            <w:r>
              <w:rPr>
                <w:rFonts w:hint="eastAsia" w:ascii="宋体" w:hAnsi="宋体" w:eastAsia="宋体" w:cs="宋体"/>
                <w:i w:val="0"/>
                <w:caps w:val="0"/>
                <w:color w:val="auto"/>
                <w:spacing w:val="0"/>
                <w:sz w:val="24"/>
                <w:szCs w:val="24"/>
                <w:u w:val="single" w:color="auto"/>
                <w:shd w:val="clear" w:fill="FFFFFF"/>
                <w:lang w:eastAsia="zh-CN"/>
              </w:rPr>
              <w:t>严格按照功能区域进行有序开发建设，建设过程中应严格按照土地利用规划，严禁越界开发，建设用地须符合土地部门批准中用地性质</w:t>
            </w:r>
            <w:r>
              <w:rPr>
                <w:rFonts w:hint="eastAsia" w:ascii="宋体" w:hAnsi="宋体" w:cs="宋体"/>
                <w:i w:val="0"/>
                <w:caps w:val="0"/>
                <w:color w:val="auto"/>
                <w:spacing w:val="0"/>
                <w:sz w:val="24"/>
                <w:szCs w:val="24"/>
                <w:u w:val="single" w:color="auto"/>
                <w:shd w:val="clear" w:fill="FFFFFF"/>
                <w:lang w:eastAsia="zh-CN"/>
              </w:rPr>
              <w:t>；</w:t>
            </w:r>
            <w:r>
              <w:rPr>
                <w:rFonts w:hint="eastAsia" w:ascii="宋体" w:hAnsi="宋体" w:eastAsia="宋体" w:cs="宋体"/>
                <w:i w:val="0"/>
                <w:caps w:val="0"/>
                <w:color w:val="auto"/>
                <w:spacing w:val="0"/>
                <w:sz w:val="24"/>
                <w:szCs w:val="24"/>
                <w:u w:val="single" w:color="auto"/>
                <w:shd w:val="clear" w:fill="FFFFFF"/>
                <w:lang w:eastAsia="zh-CN"/>
              </w:rPr>
              <w:t>在开发过程中不得随意改变各用地功能区性质、并注重节约集约用地</w:t>
            </w:r>
            <w:r>
              <w:rPr>
                <w:rFonts w:hint="eastAsia" w:ascii="宋体" w:hAnsi="宋体" w:cs="宋体"/>
                <w:i w:val="0"/>
                <w:caps w:val="0"/>
                <w:color w:val="auto"/>
                <w:spacing w:val="0"/>
                <w:sz w:val="24"/>
                <w:szCs w:val="24"/>
                <w:u w:val="single" w:color="auto"/>
                <w:shd w:val="clear" w:fill="FFFFFF"/>
                <w:lang w:eastAsia="zh-CN"/>
              </w:rPr>
              <w:t>；</w:t>
            </w:r>
            <w:r>
              <w:rPr>
                <w:rFonts w:hint="eastAsia" w:ascii="宋体" w:hAnsi="宋体" w:cs="宋体"/>
                <w:i w:val="0"/>
                <w:caps w:val="0"/>
                <w:color w:val="auto"/>
                <w:spacing w:val="0"/>
                <w:sz w:val="24"/>
                <w:szCs w:val="24"/>
                <w:u w:val="single" w:color="auto"/>
                <w:shd w:val="clear" w:fill="FFFFFF"/>
                <w:lang w:val="en-US" w:eastAsia="zh-CN"/>
              </w:rPr>
              <w:t>工</w:t>
            </w:r>
            <w:r>
              <w:rPr>
                <w:rFonts w:hint="eastAsia" w:ascii="宋体" w:hAnsi="宋体" w:eastAsia="宋体" w:cs="宋体"/>
                <w:i w:val="0"/>
                <w:caps w:val="0"/>
                <w:color w:val="auto"/>
                <w:spacing w:val="0"/>
                <w:sz w:val="24"/>
                <w:szCs w:val="24"/>
                <w:u w:val="single" w:color="auto"/>
                <w:shd w:val="clear" w:fill="FFFFFF"/>
                <w:lang w:eastAsia="zh-CN"/>
              </w:rPr>
              <w:t>业区引进具体企业项目时应根据具体项目环评核定的防护距离实施搬迁，妥善安置，防止二次拆迁和其他次生环境问题</w:t>
            </w:r>
            <w:r>
              <w:rPr>
                <w:rFonts w:hint="eastAsia" w:ascii="宋体" w:hAnsi="宋体" w:cs="宋体"/>
                <w:i w:val="0"/>
                <w:caps w:val="0"/>
                <w:color w:val="auto"/>
                <w:spacing w:val="0"/>
                <w:sz w:val="24"/>
                <w:szCs w:val="24"/>
                <w:u w:val="single" w:color="auto"/>
                <w:shd w:val="clear" w:fill="FFFFFF"/>
                <w:lang w:eastAsia="zh-CN"/>
              </w:rPr>
              <w:t>；</w:t>
            </w:r>
            <w:r>
              <w:rPr>
                <w:rFonts w:hint="eastAsia" w:ascii="宋体" w:hAnsi="宋体" w:eastAsia="宋体" w:cs="宋体"/>
                <w:i w:val="0"/>
                <w:caps w:val="0"/>
                <w:color w:val="auto"/>
                <w:spacing w:val="0"/>
                <w:sz w:val="24"/>
                <w:szCs w:val="24"/>
                <w:u w:val="single" w:color="auto"/>
                <w:shd w:val="clear" w:fill="FFFFFF"/>
                <w:lang w:eastAsia="zh-CN"/>
              </w:rPr>
              <w:t>工业区发展过程中应注重对相江、洋沙湖-东湖国家湿地公园、燎</w:t>
            </w:r>
            <w:r>
              <w:rPr>
                <w:rFonts w:hint="eastAsia" w:ascii="宋体" w:hAnsi="宋体" w:cs="宋体"/>
                <w:i w:val="0"/>
                <w:caps w:val="0"/>
                <w:color w:val="auto"/>
                <w:spacing w:val="0"/>
                <w:sz w:val="24"/>
                <w:szCs w:val="24"/>
                <w:u w:val="single" w:color="auto"/>
                <w:shd w:val="clear" w:fill="FFFFFF"/>
                <w:lang w:val="en-US" w:eastAsia="zh-CN"/>
              </w:rPr>
              <w:t>原水库等环境敏感目标的保护。本项目地理位置和用地性质符合其相关要求，</w:t>
            </w:r>
            <w:r>
              <w:rPr>
                <w:rFonts w:hint="eastAsia" w:ascii="宋体" w:hAnsi="宋体" w:eastAsia="宋体" w:cs="宋体"/>
                <w:i w:val="0"/>
                <w:caps w:val="0"/>
                <w:color w:val="auto"/>
                <w:spacing w:val="0"/>
                <w:sz w:val="24"/>
                <w:szCs w:val="24"/>
                <w:u w:val="single" w:color="auto"/>
                <w:shd w:val="clear" w:fill="FFFFFF"/>
                <w:lang w:eastAsia="zh-CN"/>
              </w:rPr>
              <w:t>且</w:t>
            </w:r>
            <w:r>
              <w:rPr>
                <w:rFonts w:hint="eastAsia" w:cs="Times New Roman"/>
                <w:color w:val="auto"/>
                <w:sz w:val="24"/>
                <w:szCs w:val="24"/>
                <w:u w:val="single" w:color="auto"/>
                <w:lang w:eastAsia="zh-CN"/>
              </w:rPr>
              <w:t>项目已通过湘阴县联审会议（具体详见附件</w:t>
            </w:r>
            <w:r>
              <w:rPr>
                <w:rFonts w:hint="eastAsia" w:cs="Times New Roman"/>
                <w:color w:val="auto"/>
                <w:sz w:val="24"/>
                <w:szCs w:val="24"/>
                <w:u w:val="single" w:color="auto"/>
                <w:lang w:val="en-US" w:eastAsia="zh-CN"/>
              </w:rPr>
              <w:t>4</w:t>
            </w:r>
            <w:r>
              <w:rPr>
                <w:rFonts w:hint="eastAsia" w:cs="Times New Roman"/>
                <w:color w:val="auto"/>
                <w:sz w:val="24"/>
                <w:szCs w:val="24"/>
                <w:u w:val="single" w:color="auto"/>
                <w:lang w:eastAsia="zh-CN"/>
              </w:rPr>
              <w:t>）。</w:t>
            </w:r>
          </w:p>
          <w:p>
            <w:pPr>
              <w:snapToGrid w:val="0"/>
              <w:spacing w:line="360" w:lineRule="auto"/>
              <w:ind w:firstLine="457" w:firstLineChars="196"/>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w:t>
            </w:r>
            <w:r>
              <w:rPr>
                <w:rFonts w:hint="eastAsia" w:cs="Times New Roman"/>
                <w:color w:val="auto"/>
                <w:sz w:val="24"/>
                <w:szCs w:val="24"/>
                <w:u w:val="none" w:color="auto"/>
                <w:lang w:val="en-US" w:eastAsia="zh-CN"/>
              </w:rPr>
              <w:t>6</w:t>
            </w:r>
            <w:r>
              <w:rPr>
                <w:rFonts w:hint="default" w:ascii="Times New Roman" w:hAnsi="Times New Roman" w:cs="Times New Roman"/>
                <w:color w:val="auto"/>
                <w:sz w:val="24"/>
                <w:szCs w:val="24"/>
                <w:u w:val="none" w:color="auto"/>
              </w:rPr>
              <w:t>）与《“十三五”挥发性有机物污染防治工作方案》符合性分析</w:t>
            </w:r>
          </w:p>
          <w:p>
            <w:pPr>
              <w:snapToGrid w:val="0"/>
              <w:spacing w:line="360" w:lineRule="auto"/>
              <w:ind w:firstLine="457" w:firstLineChars="196"/>
              <w:rPr>
                <w:rFonts w:hint="default" w:ascii="Times New Roman" w:hAnsi="Times New Roman" w:cs="Times New Roman"/>
                <w:color w:val="auto"/>
                <w:sz w:val="24"/>
                <w:szCs w:val="24"/>
                <w:u w:val="none" w:color="auto"/>
              </w:rPr>
            </w:pPr>
            <w:r>
              <w:rPr>
                <w:rFonts w:hint="eastAsia" w:ascii="Times New Roman" w:hAnsi="Times New Roman" w:cs="Times New Roman"/>
                <w:color w:val="auto"/>
                <w:sz w:val="24"/>
                <w:szCs w:val="24"/>
                <w:u w:val="none" w:color="auto"/>
                <w:lang w:eastAsia="zh-CN"/>
              </w:rPr>
              <w:t>（</w:t>
            </w:r>
            <w:r>
              <w:rPr>
                <w:rFonts w:hint="eastAsia" w:ascii="Times New Roman" w:hAnsi="Times New Roman" w:cs="Times New Roman"/>
                <w:color w:val="auto"/>
                <w:sz w:val="24"/>
                <w:szCs w:val="24"/>
                <w:u w:val="none" w:color="auto"/>
                <w:lang w:val="en-US" w:eastAsia="zh-CN"/>
              </w:rPr>
              <w:t>一</w:t>
            </w:r>
            <w:r>
              <w:rPr>
                <w:rFonts w:hint="eastAsia"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《“十三五”挥发性有机物污染防治工作方案》（以下简称“方案”）主要任务中“（一）加大产业结构调整力度第 2 条严格建设项目环境准入”中规定：“…重点地区要严格限制石化、化工、包装印刷、工业涂装等高 VOCs 排放建设项目。新建涉 VOCs 排放的工业企业要入园区。…新、改、扩建涉 VOCs 排放项目，应从源头加强控制，使用低（无）VOCs含量的原辅材料，加强废气收集，安装高效治理设施…”。</w:t>
            </w:r>
          </w:p>
          <w:p>
            <w:pPr>
              <w:snapToGrid w:val="0"/>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本项目工艺流程虽涉及了</w:t>
            </w:r>
            <w:r>
              <w:rPr>
                <w:rFonts w:hint="eastAsia" w:cs="Times New Roman"/>
                <w:color w:val="auto"/>
                <w:sz w:val="24"/>
                <w:szCs w:val="24"/>
                <w:u w:val="none" w:color="auto"/>
                <w:lang w:val="en-US" w:eastAsia="zh-CN"/>
              </w:rPr>
              <w:t>印刷</w:t>
            </w:r>
            <w:r>
              <w:rPr>
                <w:rFonts w:hint="default" w:ascii="Times New Roman" w:hAnsi="Times New Roman" w:cs="Times New Roman"/>
                <w:color w:val="auto"/>
                <w:sz w:val="24"/>
                <w:szCs w:val="24"/>
                <w:u w:val="none" w:color="auto"/>
              </w:rPr>
              <w:t>，但 VOCs 排放量较少，不属于高 VOCs 排放建设项目。本项目属于</w:t>
            </w:r>
            <w:r>
              <w:rPr>
                <w:rFonts w:hint="eastAsia" w:cs="Times New Roman"/>
                <w:color w:val="auto"/>
                <w:sz w:val="24"/>
                <w:szCs w:val="24"/>
                <w:u w:val="none" w:color="auto"/>
                <w:lang w:val="en-US" w:eastAsia="zh-CN"/>
              </w:rPr>
              <w:t>新</w:t>
            </w:r>
            <w:r>
              <w:rPr>
                <w:rFonts w:hint="default" w:ascii="Times New Roman" w:hAnsi="Times New Roman" w:cs="Times New Roman"/>
                <w:color w:val="auto"/>
                <w:sz w:val="24"/>
                <w:szCs w:val="24"/>
                <w:u w:val="none" w:color="auto"/>
              </w:rPr>
              <w:t>建涉 VOCs 排放的项目</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位于湘阴县金龙新区内</w:t>
            </w:r>
            <w:r>
              <w:rPr>
                <w:rFonts w:hint="default" w:ascii="Times New Roman" w:hAnsi="Times New Roman" w:cs="Times New Roman"/>
                <w:color w:val="auto"/>
                <w:sz w:val="24"/>
                <w:szCs w:val="24"/>
                <w:u w:val="none" w:color="auto"/>
              </w:rPr>
              <w:t>，建设单位使用低 VOCs 含量的原辅材料</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水性油墨</w:t>
            </w:r>
            <w:r>
              <w:rPr>
                <w:rFonts w:hint="eastAsia" w:cs="Times New Roman"/>
                <w:color w:val="auto"/>
                <w:sz w:val="24"/>
                <w:szCs w:val="24"/>
                <w:u w:val="none" w:color="auto"/>
                <w:lang w:eastAsia="zh-CN"/>
              </w:rPr>
              <w:t>）</w:t>
            </w:r>
            <w:r>
              <w:rPr>
                <w:rFonts w:hint="default" w:ascii="Times New Roman" w:hAnsi="Times New Roman" w:cs="Times New Roman"/>
                <w:color w:val="auto"/>
                <w:sz w:val="24"/>
                <w:szCs w:val="24"/>
                <w:u w:val="none" w:color="auto"/>
              </w:rPr>
              <w:t>，通过加强废气收集</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收集效率为90%</w:t>
            </w:r>
            <w:r>
              <w:rPr>
                <w:rFonts w:hint="eastAsia" w:cs="Times New Roman"/>
                <w:color w:val="auto"/>
                <w:sz w:val="24"/>
                <w:szCs w:val="24"/>
                <w:u w:val="none" w:color="auto"/>
                <w:lang w:eastAsia="zh-CN"/>
              </w:rPr>
              <w:t>）</w:t>
            </w:r>
            <w:r>
              <w:rPr>
                <w:rFonts w:hint="default" w:ascii="Times New Roman" w:hAnsi="Times New Roman" w:cs="Times New Roman"/>
                <w:color w:val="auto"/>
                <w:sz w:val="24"/>
                <w:szCs w:val="24"/>
                <w:u w:val="none" w:color="auto"/>
              </w:rPr>
              <w:t>，安装高效治理设施</w:t>
            </w:r>
            <w:r>
              <w:rPr>
                <w:rFonts w:hint="eastAsia" w:ascii="Times New Roman" w:hAnsi="Times New Roman" w:cs="Times New Roman"/>
                <w:color w:val="auto"/>
                <w:sz w:val="24"/>
                <w:szCs w:val="24"/>
                <w:u w:val="none" w:color="auto"/>
                <w:lang w:eastAsia="zh-CN"/>
              </w:rPr>
              <w:t>（</w:t>
            </w:r>
            <w:r>
              <w:rPr>
                <w:rFonts w:hint="eastAsia" w:ascii="Times New Roman" w:hAnsi="Times New Roman" w:cs="Times New Roman"/>
                <w:color w:val="auto"/>
                <w:sz w:val="24"/>
                <w:szCs w:val="24"/>
                <w:u w:val="none" w:color="auto"/>
                <w:lang w:val="en-US" w:eastAsia="zh-CN"/>
              </w:rPr>
              <w:t>UV光解设施+活性炭吸附设施</w:t>
            </w:r>
            <w:r>
              <w:rPr>
                <w:rFonts w:hint="eastAsia"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，VOCs 排放量较少，符合《方案》有关严格建设项目环境准入要求。</w:t>
            </w:r>
          </w:p>
          <w:p>
            <w:pPr>
              <w:snapToGrid w:val="0"/>
              <w:spacing w:line="360" w:lineRule="auto"/>
              <w:ind w:firstLine="457" w:firstLineChars="196"/>
              <w:rPr>
                <w:rFonts w:hint="eastAsia" w:ascii="Times New Roman" w:hAnsi="Times New Roman" w:cs="Times New Roman"/>
                <w:color w:val="auto"/>
                <w:sz w:val="24"/>
                <w:szCs w:val="24"/>
                <w:u w:val="none" w:color="auto"/>
                <w:lang w:val="en-US" w:eastAsia="zh-CN"/>
              </w:rPr>
            </w:pPr>
            <w:r>
              <w:rPr>
                <w:rFonts w:hint="eastAsia" w:cs="Times New Roman"/>
                <w:color w:val="auto"/>
                <w:sz w:val="24"/>
                <w:szCs w:val="24"/>
                <w:u w:val="none" w:color="auto"/>
                <w:lang w:val="en-US" w:eastAsia="zh-CN"/>
              </w:rPr>
              <w:t>（二）、</w:t>
            </w:r>
            <w:r>
              <w:rPr>
                <w:rFonts w:hint="default" w:ascii="Times New Roman" w:hAnsi="Times New Roman" w:cs="Times New Roman"/>
                <w:color w:val="auto"/>
                <w:sz w:val="24"/>
                <w:szCs w:val="24"/>
                <w:u w:val="none" w:color="auto"/>
              </w:rPr>
              <w:t>《“十三五”挥发性有机物污染防治工作方案》（以下简称“方案”）</w:t>
            </w:r>
            <w:r>
              <w:rPr>
                <w:rFonts w:hint="eastAsia" w:cs="Times New Roman"/>
                <w:color w:val="auto"/>
                <w:sz w:val="24"/>
                <w:szCs w:val="24"/>
                <w:u w:val="none" w:color="auto"/>
                <w:lang w:val="en-US" w:eastAsia="zh-CN"/>
              </w:rPr>
              <w:t>中“加大工业源VOC</w:t>
            </w:r>
            <w:r>
              <w:rPr>
                <w:rFonts w:hint="eastAsia" w:cs="Times New Roman"/>
                <w:color w:val="auto"/>
                <w:sz w:val="24"/>
                <w:szCs w:val="24"/>
                <w:u w:val="none" w:color="auto"/>
                <w:vertAlign w:val="subscript"/>
                <w:lang w:val="en-US" w:eastAsia="zh-CN"/>
              </w:rPr>
              <w:t>S</w:t>
            </w:r>
            <w:r>
              <w:rPr>
                <w:rFonts w:hint="eastAsia" w:cs="Times New Roman"/>
                <w:color w:val="auto"/>
                <w:sz w:val="24"/>
                <w:szCs w:val="24"/>
                <w:u w:val="none" w:color="auto"/>
                <w:lang w:val="en-US" w:eastAsia="zh-CN"/>
              </w:rPr>
              <w:t>污染防治中第4条深入推进包装印刷行业 VOCs  综合治理”中规定：“推广使用低（无）VOCs含量的绿色原辅材料和先进生产工艺、设备，加强无组织废气收集，优化烘干技术，配套建设末端治理措施，实现包装印刷行业 VOCs 全过程控制...。对塑料软包装、纸制品包装等，推广使用柔印等低（无）VOCs 排放的印刷工艺........。对油墨、胶粘剂等有机原辅材料调配和使用等，要采取车间环境负压改造、安装高效集气装置等措施，有机废气收集率达到 70%以上。对转运、储存等，要采取密闭措施，减少无组织排放。对烘干过程，要采取循环风烘干技术，减少废气排放。对收集的废气，要建设吸附回收、吸附燃烧等高效治理设施，确保达标排放”。</w:t>
            </w:r>
          </w:p>
          <w:p>
            <w:pPr>
              <w:snapToGrid w:val="0"/>
              <w:spacing w:line="360" w:lineRule="auto"/>
              <w:ind w:firstLine="457" w:firstLineChars="196"/>
              <w:rPr>
                <w:rFonts w:hint="default" w:ascii="Times New Roman" w:hAnsi="Times New Roman" w:cs="Times New Roman"/>
                <w:color w:val="auto"/>
                <w:sz w:val="24"/>
                <w:szCs w:val="24"/>
                <w:u w:val="none" w:color="auto"/>
              </w:rPr>
            </w:pPr>
            <w:r>
              <w:rPr>
                <w:rFonts w:hint="eastAsia" w:cs="Times New Roman"/>
                <w:color w:val="auto"/>
                <w:sz w:val="24"/>
                <w:szCs w:val="24"/>
                <w:u w:val="none" w:color="auto"/>
                <w:lang w:val="en-US" w:eastAsia="zh-CN"/>
              </w:rPr>
              <w:t>本项目为纸制品加工项目，在生产过程中有印刷、固化工序，项目采用水性油墨进行印刷，使用紫外灯进行加热固化，且印刷、固化工序废气均在经集气罩（收集效率为90%）+UV光解设施+活性炭吸附设施（处理效率为80%）处理后由24m高排气筒高空排放。项目水性UV油墨在转运、储存均在密闭空间内，印刷为柔板印刷工业。因此符合《方案》中的污染防治要求。</w:t>
            </w:r>
          </w:p>
          <w:p>
            <w:pPr>
              <w:snapToGrid w:val="0"/>
              <w:spacing w:line="360" w:lineRule="auto"/>
              <w:ind w:firstLine="457" w:firstLineChars="196"/>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w:t>
            </w:r>
            <w:r>
              <w:rPr>
                <w:rFonts w:hint="eastAsia" w:cs="Times New Roman"/>
                <w:color w:val="auto"/>
                <w:sz w:val="24"/>
                <w:szCs w:val="24"/>
                <w:u w:val="none" w:color="auto"/>
                <w:lang w:val="en-US" w:eastAsia="zh-CN"/>
              </w:rPr>
              <w:t>7</w:t>
            </w:r>
            <w:r>
              <w:rPr>
                <w:rFonts w:hint="default" w:ascii="Times New Roman" w:hAnsi="Times New Roman" w:cs="Times New Roman"/>
                <w:color w:val="auto"/>
                <w:sz w:val="24"/>
                <w:szCs w:val="24"/>
                <w:u w:val="none" w:color="auto"/>
              </w:rPr>
              <w:t>）与《湖南省挥发性有机物污染防治三年行动实施方案（2018-2020 年）》符合性</w:t>
            </w:r>
          </w:p>
          <w:p>
            <w:pPr>
              <w:snapToGrid w:val="0"/>
              <w:spacing w:line="360" w:lineRule="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分析</w:t>
            </w:r>
          </w:p>
          <w:p>
            <w:pPr>
              <w:snapToGrid w:val="0"/>
              <w:spacing w:line="360" w:lineRule="auto"/>
              <w:ind w:firstLine="457" w:firstLineChars="196"/>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根据《湖南省挥发性有机物污染防治三年行动实施方案（2018-2020 年）》中的相关要求，与本项目涉及的情况主要有：“严格限制石化、化工、包装印刷、工业涂装、家具制造、制药等高 VOCs 排放建设项目，新建涉及 VOCs 排放的工业企业要入园区。…新、改、扩建涉 VOCs 排放项目，应从源头加强控制，使用低（无）VOCs 含量的原辅材料，加强废气收集，安装高效治理设施。”</w:t>
            </w:r>
          </w:p>
          <w:p>
            <w:pPr>
              <w:snapToGrid w:val="0"/>
              <w:spacing w:line="360" w:lineRule="auto"/>
              <w:ind w:firstLine="457" w:firstLineChars="196"/>
              <w:rPr>
                <w:rFonts w:hint="eastAsia" w:cs="Times New Roman"/>
                <w:color w:val="auto"/>
                <w:sz w:val="24"/>
                <w:szCs w:val="24"/>
                <w:u w:val="none" w:color="auto"/>
                <w:lang w:eastAsia="zh-CN"/>
              </w:rPr>
            </w:pPr>
            <w:r>
              <w:rPr>
                <w:rFonts w:hint="default" w:ascii="Times New Roman" w:hAnsi="Times New Roman" w:cs="Times New Roman"/>
                <w:color w:val="auto"/>
                <w:sz w:val="24"/>
                <w:szCs w:val="24"/>
                <w:u w:val="none" w:color="auto"/>
              </w:rPr>
              <w:t>本项目工艺流程虽涉及了</w:t>
            </w:r>
            <w:r>
              <w:rPr>
                <w:rFonts w:hint="eastAsia" w:cs="Times New Roman"/>
                <w:color w:val="auto"/>
                <w:sz w:val="24"/>
                <w:szCs w:val="24"/>
                <w:u w:val="none" w:color="auto"/>
                <w:lang w:val="en-US" w:eastAsia="zh-CN"/>
              </w:rPr>
              <w:t>印刷</w:t>
            </w:r>
            <w:r>
              <w:rPr>
                <w:rFonts w:hint="default" w:ascii="Times New Roman" w:hAnsi="Times New Roman" w:cs="Times New Roman"/>
                <w:color w:val="auto"/>
                <w:sz w:val="24"/>
                <w:szCs w:val="24"/>
                <w:u w:val="none" w:color="auto"/>
              </w:rPr>
              <w:t>，但 VOCs 排放量较少，不属于高 VOCs 排放建设项目。本项目属于</w:t>
            </w:r>
            <w:r>
              <w:rPr>
                <w:rFonts w:hint="eastAsia" w:cs="Times New Roman"/>
                <w:color w:val="auto"/>
                <w:sz w:val="24"/>
                <w:szCs w:val="24"/>
                <w:u w:val="none" w:color="auto"/>
                <w:lang w:val="en-US" w:eastAsia="zh-CN"/>
              </w:rPr>
              <w:t>新</w:t>
            </w:r>
            <w:r>
              <w:rPr>
                <w:rFonts w:hint="default" w:ascii="Times New Roman" w:hAnsi="Times New Roman" w:cs="Times New Roman"/>
                <w:color w:val="auto"/>
                <w:sz w:val="24"/>
                <w:szCs w:val="24"/>
                <w:u w:val="none" w:color="auto"/>
              </w:rPr>
              <w:t>建涉 VOCs 排放的项目</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位于湘阴县金龙新区内</w:t>
            </w:r>
            <w:r>
              <w:rPr>
                <w:rFonts w:hint="default" w:ascii="Times New Roman" w:hAnsi="Times New Roman" w:cs="Times New Roman"/>
                <w:color w:val="auto"/>
                <w:sz w:val="24"/>
                <w:szCs w:val="24"/>
                <w:u w:val="none" w:color="auto"/>
              </w:rPr>
              <w:t>，建设单位使用低 VOCs 含量的原辅材料</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水性油墨</w:t>
            </w:r>
            <w:r>
              <w:rPr>
                <w:rFonts w:hint="eastAsia" w:cs="Times New Roman"/>
                <w:color w:val="auto"/>
                <w:sz w:val="24"/>
                <w:szCs w:val="24"/>
                <w:u w:val="none" w:color="auto"/>
                <w:lang w:eastAsia="zh-CN"/>
              </w:rPr>
              <w:t>）</w:t>
            </w:r>
            <w:r>
              <w:rPr>
                <w:rFonts w:hint="default" w:ascii="Times New Roman" w:hAnsi="Times New Roman" w:cs="Times New Roman"/>
                <w:color w:val="auto"/>
                <w:sz w:val="24"/>
                <w:szCs w:val="24"/>
                <w:u w:val="none" w:color="auto"/>
              </w:rPr>
              <w:t>，通过加强废气收集</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收集效率为90%</w:t>
            </w:r>
            <w:r>
              <w:rPr>
                <w:rFonts w:hint="eastAsia" w:cs="Times New Roman"/>
                <w:color w:val="auto"/>
                <w:sz w:val="24"/>
                <w:szCs w:val="24"/>
                <w:u w:val="none" w:color="auto"/>
                <w:lang w:eastAsia="zh-CN"/>
              </w:rPr>
              <w:t>）</w:t>
            </w:r>
            <w:r>
              <w:rPr>
                <w:rFonts w:hint="default" w:ascii="Times New Roman" w:hAnsi="Times New Roman" w:cs="Times New Roman"/>
                <w:color w:val="auto"/>
                <w:sz w:val="24"/>
                <w:szCs w:val="24"/>
                <w:u w:val="none" w:color="auto"/>
              </w:rPr>
              <w:t>，安装高效治理设施</w:t>
            </w:r>
            <w:r>
              <w:rPr>
                <w:rFonts w:hint="eastAsia" w:ascii="Times New Roman" w:hAnsi="Times New Roman" w:cs="Times New Roman"/>
                <w:color w:val="auto"/>
                <w:sz w:val="24"/>
                <w:szCs w:val="24"/>
                <w:u w:val="none" w:color="auto"/>
                <w:lang w:eastAsia="zh-CN"/>
              </w:rPr>
              <w:t>（</w:t>
            </w:r>
            <w:r>
              <w:rPr>
                <w:rFonts w:hint="eastAsia" w:ascii="Times New Roman" w:hAnsi="Times New Roman" w:cs="Times New Roman"/>
                <w:color w:val="auto"/>
                <w:sz w:val="24"/>
                <w:szCs w:val="24"/>
                <w:u w:val="none" w:color="auto"/>
                <w:lang w:val="en-US" w:eastAsia="zh-CN"/>
              </w:rPr>
              <w:t>UV光解设施+活性炭吸附设施</w:t>
            </w:r>
            <w:r>
              <w:rPr>
                <w:rFonts w:hint="eastAsia"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，VOCs 排放量较少。因此，本项目建设与《湖南省挥发性有机物污染防治三年行动实施方案（2018-2020 年）》相符</w:t>
            </w:r>
            <w:r>
              <w:rPr>
                <w:rFonts w:hint="eastAsia" w:cs="Times New Roman"/>
                <w:color w:val="auto"/>
                <w:sz w:val="24"/>
                <w:szCs w:val="24"/>
                <w:u w:val="none" w:color="auto"/>
                <w:lang w:eastAsia="zh-CN"/>
              </w:rPr>
              <w:t>。</w:t>
            </w:r>
          </w:p>
          <w:p>
            <w:pPr>
              <w:spacing w:line="360" w:lineRule="auto"/>
              <w:ind w:firstLine="466" w:firstLineChars="200"/>
              <w:rPr>
                <w:rFonts w:hint="eastAsia" w:ascii="Times New Roman" w:hAnsi="Times New Roman" w:cs="Times New Roman"/>
                <w:b w:val="0"/>
                <w:bCs w:val="0"/>
                <w:color w:val="auto"/>
                <w:sz w:val="24"/>
                <w:szCs w:val="24"/>
                <w:u w:val="single" w:color="auto"/>
                <w:lang w:val="en-US" w:eastAsia="zh-CN"/>
              </w:rPr>
            </w:pPr>
            <w:r>
              <w:rPr>
                <w:rFonts w:hint="eastAsia" w:ascii="Times New Roman" w:hAnsi="Times New Roman" w:cs="Times New Roman"/>
                <w:b w:val="0"/>
                <w:bCs w:val="0"/>
                <w:color w:val="auto"/>
                <w:sz w:val="24"/>
                <w:szCs w:val="24"/>
                <w:u w:val="single" w:color="auto"/>
                <w:lang w:val="en-US" w:eastAsia="zh-CN"/>
              </w:rPr>
              <w:t>（8）与“</w:t>
            </w:r>
            <w:r>
              <w:rPr>
                <w:rFonts w:hint="eastAsia" w:cs="Times New Roman"/>
                <w:b w:val="0"/>
                <w:bCs w:val="0"/>
                <w:color w:val="auto"/>
                <w:sz w:val="24"/>
                <w:szCs w:val="24"/>
                <w:u w:val="single" w:color="auto"/>
                <w:lang w:val="en-US" w:eastAsia="zh-CN"/>
              </w:rPr>
              <w:t>重点行业挥发性有机物综合治理方案</w:t>
            </w:r>
            <w:r>
              <w:rPr>
                <w:rFonts w:hint="eastAsia" w:ascii="Times New Roman" w:hAnsi="Times New Roman" w:cs="Times New Roman"/>
                <w:b w:val="0"/>
                <w:bCs w:val="0"/>
                <w:color w:val="auto"/>
                <w:sz w:val="24"/>
                <w:szCs w:val="24"/>
                <w:u w:val="single" w:color="auto"/>
                <w:lang w:val="en-US" w:eastAsia="zh-CN"/>
              </w:rPr>
              <w:t>”的相符性</w:t>
            </w:r>
          </w:p>
          <w:p>
            <w:pPr>
              <w:spacing w:line="360" w:lineRule="auto"/>
              <w:ind w:firstLine="466" w:firstLineChars="200"/>
              <w:rPr>
                <w:rFonts w:hint="eastAsia" w:ascii="Times New Roman" w:hAnsi="Times New Roman" w:cs="Times New Roman"/>
                <w:b w:val="0"/>
                <w:bCs w:val="0"/>
                <w:color w:val="auto"/>
                <w:sz w:val="24"/>
                <w:szCs w:val="24"/>
                <w:u w:val="single" w:color="auto"/>
                <w:lang w:val="en-US" w:eastAsia="zh-CN"/>
              </w:rPr>
            </w:pPr>
            <w:r>
              <w:rPr>
                <w:rFonts w:hint="eastAsia" w:ascii="Times New Roman" w:hAnsi="Times New Roman" w:cs="Times New Roman"/>
                <w:b w:val="0"/>
                <w:bCs w:val="0"/>
                <w:color w:val="auto"/>
                <w:sz w:val="24"/>
                <w:szCs w:val="24"/>
                <w:u w:val="single" w:color="auto"/>
                <w:lang w:val="en-US" w:eastAsia="zh-CN"/>
              </w:rPr>
              <w:t>根据《</w:t>
            </w:r>
            <w:r>
              <w:rPr>
                <w:rFonts w:hint="eastAsia" w:cs="Times New Roman"/>
                <w:b w:val="0"/>
                <w:bCs w:val="0"/>
                <w:color w:val="auto"/>
                <w:sz w:val="24"/>
                <w:szCs w:val="24"/>
                <w:u w:val="single" w:color="auto"/>
                <w:lang w:val="en-US" w:eastAsia="zh-CN"/>
              </w:rPr>
              <w:t>重点行业挥发性有机物综合治理方案</w:t>
            </w:r>
            <w:r>
              <w:rPr>
                <w:rFonts w:hint="eastAsia" w:ascii="Times New Roman" w:hAnsi="Times New Roman" w:cs="Times New Roman"/>
                <w:b w:val="0"/>
                <w:bCs w:val="0"/>
                <w:color w:val="auto"/>
                <w:sz w:val="24"/>
                <w:szCs w:val="24"/>
                <w:u w:val="single" w:color="auto"/>
                <w:lang w:val="en-US" w:eastAsia="zh-CN"/>
              </w:rPr>
              <w:t>》的</w:t>
            </w:r>
            <w:r>
              <w:rPr>
                <w:rFonts w:hint="eastAsia" w:cs="Times New Roman"/>
                <w:b w:val="0"/>
                <w:bCs w:val="0"/>
                <w:color w:val="auto"/>
                <w:sz w:val="24"/>
                <w:szCs w:val="24"/>
                <w:u w:val="single" w:color="auto"/>
                <w:lang w:val="en-US" w:eastAsia="zh-CN"/>
              </w:rPr>
              <w:t>可知</w:t>
            </w:r>
            <w:r>
              <w:rPr>
                <w:rFonts w:hint="eastAsia" w:ascii="Times New Roman" w:hAnsi="Times New Roman" w:cs="Times New Roman"/>
                <w:b w:val="0"/>
                <w:bCs w:val="0"/>
                <w:color w:val="auto"/>
                <w:sz w:val="24"/>
                <w:szCs w:val="24"/>
                <w:u w:val="single" w:color="auto"/>
                <w:lang w:val="en-US" w:eastAsia="zh-CN"/>
              </w:rPr>
              <w:t>，具体如下表7-</w:t>
            </w:r>
            <w:r>
              <w:rPr>
                <w:rFonts w:hint="eastAsia" w:cs="Times New Roman"/>
                <w:b w:val="0"/>
                <w:bCs w:val="0"/>
                <w:color w:val="auto"/>
                <w:sz w:val="24"/>
                <w:szCs w:val="24"/>
                <w:u w:val="single" w:color="auto"/>
                <w:lang w:val="en-US" w:eastAsia="zh-CN"/>
              </w:rPr>
              <w:t>21</w:t>
            </w:r>
            <w:r>
              <w:rPr>
                <w:rFonts w:hint="eastAsia" w:ascii="Times New Roman" w:hAnsi="Times New Roman" w:cs="Times New Roman"/>
                <w:b w:val="0"/>
                <w:bCs w:val="0"/>
                <w:color w:val="auto"/>
                <w:sz w:val="24"/>
                <w:szCs w:val="24"/>
                <w:u w:val="single" w:color="auto"/>
                <w:lang w:val="en-US" w:eastAsia="zh-CN"/>
              </w:rPr>
              <w:t>。</w:t>
            </w:r>
          </w:p>
          <w:p>
            <w:pPr>
              <w:spacing w:line="360" w:lineRule="auto"/>
              <w:ind w:firstLine="466" w:firstLineChars="200"/>
              <w:jc w:val="center"/>
              <w:rPr>
                <w:rFonts w:hint="eastAsia" w:ascii="Times New Roman" w:hAnsi="Times New Roman" w:cs="Times New Roman"/>
                <w:b w:val="0"/>
                <w:bCs w:val="0"/>
                <w:color w:val="auto"/>
                <w:sz w:val="24"/>
                <w:szCs w:val="24"/>
                <w:u w:val="single" w:color="auto"/>
                <w:lang w:val="en-US" w:eastAsia="zh-CN"/>
              </w:rPr>
            </w:pPr>
            <w:r>
              <w:rPr>
                <w:rFonts w:hint="eastAsia" w:ascii="Times New Roman" w:hAnsi="Times New Roman" w:cs="Times New Roman"/>
                <w:b w:val="0"/>
                <w:bCs w:val="0"/>
                <w:color w:val="auto"/>
                <w:sz w:val="24"/>
                <w:szCs w:val="24"/>
                <w:u w:val="single" w:color="auto"/>
                <w:lang w:val="en-US" w:eastAsia="zh-CN"/>
              </w:rPr>
              <w:t>表7-</w:t>
            </w:r>
            <w:r>
              <w:rPr>
                <w:rFonts w:hint="eastAsia" w:cs="Times New Roman"/>
                <w:b w:val="0"/>
                <w:bCs w:val="0"/>
                <w:color w:val="auto"/>
                <w:sz w:val="24"/>
                <w:szCs w:val="24"/>
                <w:u w:val="single" w:color="auto"/>
                <w:lang w:val="en-US" w:eastAsia="zh-CN"/>
              </w:rPr>
              <w:t>21</w:t>
            </w:r>
            <w:r>
              <w:rPr>
                <w:rFonts w:hint="eastAsia" w:ascii="Times New Roman" w:hAnsi="Times New Roman" w:cs="Times New Roman"/>
                <w:b w:val="0"/>
                <w:bCs w:val="0"/>
                <w:color w:val="auto"/>
                <w:sz w:val="24"/>
                <w:szCs w:val="24"/>
                <w:u w:val="single" w:color="auto"/>
                <w:lang w:val="en-US" w:eastAsia="zh-CN"/>
              </w:rPr>
              <w:t xml:space="preserve"> 符合性分析</w:t>
            </w:r>
          </w:p>
          <w:tbl>
            <w:tblPr>
              <w:tblStyle w:val="41"/>
              <w:tblW w:w="9072"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6"/>
              <w:gridCol w:w="4755"/>
              <w:gridCol w:w="343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86"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2"/>
                      <w:szCs w:val="22"/>
                      <w:u w:val="single" w:color="auto"/>
                      <w:vertAlign w:val="baseline"/>
                      <w:lang w:val="en-US" w:eastAsia="zh-CN"/>
                    </w:rPr>
                  </w:pPr>
                  <w:r>
                    <w:rPr>
                      <w:rFonts w:hint="default" w:ascii="Times New Roman" w:hAnsi="Times New Roman" w:cs="Times New Roman"/>
                      <w:color w:val="auto"/>
                      <w:sz w:val="22"/>
                      <w:szCs w:val="22"/>
                      <w:u w:val="single" w:color="auto"/>
                      <w:vertAlign w:val="baseline"/>
                      <w:lang w:val="en-US" w:eastAsia="zh-CN"/>
                    </w:rPr>
                    <w:t>序号</w:t>
                  </w:r>
                </w:p>
              </w:tc>
              <w:tc>
                <w:tcPr>
                  <w:tcW w:w="4755"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2"/>
                      <w:szCs w:val="22"/>
                      <w:u w:val="single" w:color="auto"/>
                      <w:vertAlign w:val="baseline"/>
                      <w:lang w:val="en-US" w:eastAsia="zh-CN"/>
                    </w:rPr>
                  </w:pPr>
                  <w:r>
                    <w:rPr>
                      <w:rFonts w:hint="default" w:ascii="Times New Roman" w:hAnsi="Times New Roman" w:cs="Times New Roman"/>
                      <w:color w:val="auto"/>
                      <w:sz w:val="22"/>
                      <w:szCs w:val="22"/>
                      <w:u w:val="single" w:color="auto"/>
                      <w:vertAlign w:val="baseline"/>
                      <w:lang w:val="en-US" w:eastAsia="zh-CN"/>
                    </w:rPr>
                    <w:t>要求内容</w:t>
                  </w:r>
                </w:p>
              </w:tc>
              <w:tc>
                <w:tcPr>
                  <w:tcW w:w="3431"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2"/>
                      <w:szCs w:val="22"/>
                      <w:u w:val="single" w:color="auto"/>
                      <w:vertAlign w:val="baseline"/>
                      <w:lang w:val="en-US" w:eastAsia="zh-CN"/>
                    </w:rPr>
                  </w:pPr>
                  <w:r>
                    <w:rPr>
                      <w:rFonts w:hint="default" w:ascii="Times New Roman" w:hAnsi="Times New Roman" w:cs="Times New Roman"/>
                      <w:color w:val="auto"/>
                      <w:sz w:val="22"/>
                      <w:szCs w:val="22"/>
                      <w:u w:val="single" w:color="auto"/>
                      <w:vertAlign w:val="baseline"/>
                      <w:lang w:val="en-US" w:eastAsia="zh-CN"/>
                    </w:rPr>
                    <w:t>符合性分析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886"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2"/>
                      <w:szCs w:val="22"/>
                      <w:u w:val="single" w:color="auto"/>
                      <w:vertAlign w:val="baseline"/>
                      <w:lang w:val="en-US" w:eastAsia="zh-CN"/>
                    </w:rPr>
                  </w:pPr>
                  <w:r>
                    <w:rPr>
                      <w:rFonts w:hint="eastAsia" w:ascii="Times New Roman" w:hAnsi="Times New Roman" w:cs="Times New Roman"/>
                      <w:color w:val="auto"/>
                      <w:sz w:val="22"/>
                      <w:szCs w:val="22"/>
                      <w:u w:val="single" w:color="auto"/>
                      <w:vertAlign w:val="baseline"/>
                      <w:lang w:val="en-US" w:eastAsia="zh-CN"/>
                    </w:rPr>
                    <w:t>1</w:t>
                  </w:r>
                </w:p>
              </w:tc>
              <w:tc>
                <w:tcPr>
                  <w:tcW w:w="4755" w:type="dxa"/>
                  <w:tcBorders>
                    <w:tl2br w:val="nil"/>
                    <w:tr2bl w:val="nil"/>
                  </w:tcBorders>
                  <w:noWrap w:val="0"/>
                  <w:vAlign w:val="center"/>
                </w:tcPr>
                <w:p>
                  <w:pPr>
                    <w:pStyle w:val="3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default" w:ascii="Times New Roman" w:hAnsi="Times New Roman" w:eastAsia="宋体" w:cs="Times New Roman"/>
                      <w:color w:val="auto"/>
                      <w:kern w:val="2"/>
                      <w:sz w:val="22"/>
                      <w:szCs w:val="22"/>
                      <w:u w:val="single" w:color="auto"/>
                      <w:vertAlign w:val="baseline"/>
                      <w:lang w:val="en-US" w:eastAsia="zh-CN" w:bidi="ar-SA"/>
                    </w:rPr>
                  </w:pPr>
                  <w:r>
                    <w:rPr>
                      <w:rFonts w:hint="eastAsia" w:ascii="Times New Roman" w:hAnsi="Times New Roman" w:eastAsia="宋体" w:cs="Times New Roman"/>
                      <w:color w:val="auto"/>
                      <w:kern w:val="2"/>
                      <w:sz w:val="22"/>
                      <w:szCs w:val="22"/>
                      <w:u w:val="single" w:color="auto"/>
                      <w:vertAlign w:val="baseline"/>
                      <w:lang w:val="en-US" w:eastAsia="zh-CN" w:bidi="ar-SA"/>
                    </w:rPr>
                    <w:t>包装印刷行业大力推广使用无溶剂复合、挤出复合、共挤出复合技术，鼓励采用水性凹印、醇水凹印、辐射固化凹印、柔版印刷、无水胶印等印刷工艺。</w:t>
                  </w:r>
                </w:p>
              </w:tc>
              <w:tc>
                <w:tcPr>
                  <w:tcW w:w="3431"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2"/>
                      <w:szCs w:val="22"/>
                      <w:u w:val="single" w:color="auto"/>
                      <w:vertAlign w:val="baseline"/>
                      <w:lang w:val="en-US" w:eastAsia="zh-CN"/>
                    </w:rPr>
                  </w:pPr>
                  <w:r>
                    <w:rPr>
                      <w:rFonts w:hint="eastAsia" w:cs="Times New Roman"/>
                      <w:color w:val="auto"/>
                      <w:sz w:val="22"/>
                      <w:szCs w:val="22"/>
                      <w:u w:val="single" w:color="auto"/>
                      <w:vertAlign w:val="baseline"/>
                      <w:lang w:val="en-US" w:eastAsia="zh-CN"/>
                    </w:rPr>
                    <w:t>本项目印刷工艺为柔板印刷，符合其要求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52" w:hRule="atLeast"/>
              </w:trPr>
              <w:tc>
                <w:tcPr>
                  <w:tcW w:w="886"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2"/>
                      <w:szCs w:val="22"/>
                      <w:u w:val="single" w:color="auto"/>
                      <w:vertAlign w:val="baseline"/>
                      <w:lang w:val="en-US" w:eastAsia="zh-CN"/>
                    </w:rPr>
                  </w:pPr>
                  <w:r>
                    <w:rPr>
                      <w:rFonts w:hint="eastAsia" w:cs="Times New Roman"/>
                      <w:color w:val="auto"/>
                      <w:sz w:val="22"/>
                      <w:szCs w:val="22"/>
                      <w:u w:val="single" w:color="auto"/>
                      <w:vertAlign w:val="baseline"/>
                      <w:lang w:val="en-US" w:eastAsia="zh-CN"/>
                    </w:rPr>
                    <w:t>2</w:t>
                  </w:r>
                </w:p>
              </w:tc>
              <w:tc>
                <w:tcPr>
                  <w:tcW w:w="4755" w:type="dxa"/>
                  <w:tcBorders>
                    <w:tl2br w:val="nil"/>
                    <w:tr2bl w:val="nil"/>
                  </w:tcBorders>
                  <w:noWrap w:val="0"/>
                  <w:vAlign w:val="center"/>
                </w:tcPr>
                <w:p>
                  <w:pPr>
                    <w:pStyle w:val="3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default" w:ascii="Times New Roman" w:hAnsi="Times New Roman" w:eastAsia="宋体" w:cs="Times New Roman"/>
                      <w:color w:val="auto"/>
                      <w:kern w:val="2"/>
                      <w:sz w:val="22"/>
                      <w:szCs w:val="22"/>
                      <w:u w:val="single" w:color="auto"/>
                      <w:vertAlign w:val="baseline"/>
                      <w:lang w:val="en-US" w:eastAsia="zh-CN" w:bidi="ar-SA"/>
                    </w:rPr>
                  </w:pPr>
                  <w:r>
                    <w:rPr>
                      <w:rFonts w:hint="eastAsia" w:ascii="Times New Roman" w:hAnsi="Times New Roman" w:eastAsia="宋体" w:cs="Times New Roman"/>
                      <w:color w:val="auto"/>
                      <w:kern w:val="2"/>
                      <w:sz w:val="22"/>
                      <w:szCs w:val="22"/>
                      <w:u w:val="single" w:color="auto"/>
                      <w:vertAlign w:val="baseline"/>
                      <w:lang w:val="en-US" w:eastAsia="zh-CN" w:bidi="ar-SA"/>
                    </w:rPr>
                    <w:t>　加强无组织排放控制。加强油墨、稀释剂、胶粘剂、涂布液、清洗剂等含VOCs物料储存、调配、输送、使用等工艺环节VOCs无组织逸散控制。含VOCs物料储存和输送过程应保持密闭。调配应在密闭装置或空间内进行并有效收集，非即用状态应加盖密封。涂布、印刷、覆膜、复合、上光、清洗等含VOCs物料使用过程应采用密闭设备或在密闭空间内操作；无法密闭的，应采取局部气体收集措施，废气排至VOCs废气收集系统。</w:t>
                  </w:r>
                </w:p>
              </w:tc>
              <w:tc>
                <w:tcPr>
                  <w:tcW w:w="3431"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2"/>
                      <w:szCs w:val="22"/>
                      <w:u w:val="single" w:color="auto"/>
                      <w:vertAlign w:val="baseline"/>
                      <w:lang w:val="en-US" w:eastAsia="zh-CN"/>
                    </w:rPr>
                  </w:pPr>
                  <w:r>
                    <w:rPr>
                      <w:rFonts w:hint="eastAsia" w:cs="Times New Roman"/>
                      <w:color w:val="auto"/>
                      <w:sz w:val="22"/>
                      <w:szCs w:val="22"/>
                      <w:u w:val="single" w:color="auto"/>
                      <w:vertAlign w:val="baseline"/>
                      <w:lang w:val="en-US" w:eastAsia="zh-CN"/>
                    </w:rPr>
                    <w:t>水性油墨储存、运输均保持了密闭，水性油墨不需要调配，可直接使用，印刷过程中的废气经集气罩（收集效率80%以上）收集后经UV光解设施+活性炭吸附设施处理后经排气筒高空排放，符合其要求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86"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2"/>
                      <w:szCs w:val="22"/>
                      <w:u w:val="single" w:color="auto"/>
                      <w:vertAlign w:val="baseline"/>
                      <w:lang w:val="en-US" w:eastAsia="zh-CN"/>
                    </w:rPr>
                  </w:pPr>
                  <w:r>
                    <w:rPr>
                      <w:rFonts w:hint="eastAsia" w:cs="Times New Roman"/>
                      <w:color w:val="auto"/>
                      <w:sz w:val="22"/>
                      <w:szCs w:val="22"/>
                      <w:u w:val="single" w:color="auto"/>
                      <w:vertAlign w:val="baseline"/>
                      <w:lang w:val="en-US" w:eastAsia="zh-CN"/>
                    </w:rPr>
                    <w:t>3</w:t>
                  </w:r>
                </w:p>
              </w:tc>
              <w:tc>
                <w:tcPr>
                  <w:tcW w:w="4755" w:type="dxa"/>
                  <w:tcBorders>
                    <w:tl2br w:val="nil"/>
                    <w:tr2bl w:val="nil"/>
                  </w:tcBorders>
                  <w:noWrap w:val="0"/>
                  <w:vAlign w:val="center"/>
                </w:tcPr>
                <w:p>
                  <w:pPr>
                    <w:pStyle w:val="3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default" w:ascii="Times New Roman" w:hAnsi="Times New Roman" w:eastAsia="宋体" w:cs="Times New Roman"/>
                      <w:color w:val="auto"/>
                      <w:kern w:val="2"/>
                      <w:sz w:val="22"/>
                      <w:szCs w:val="22"/>
                      <w:u w:val="single" w:color="auto"/>
                      <w:vertAlign w:val="baseline"/>
                      <w:lang w:val="en-US" w:eastAsia="zh-CN" w:bidi="ar-SA"/>
                    </w:rPr>
                  </w:pPr>
                  <w:r>
                    <w:rPr>
                      <w:rFonts w:hint="eastAsia" w:ascii="Times New Roman" w:hAnsi="Times New Roman" w:eastAsia="宋体" w:cs="Times New Roman"/>
                      <w:color w:val="auto"/>
                      <w:kern w:val="2"/>
                      <w:sz w:val="22"/>
                      <w:szCs w:val="22"/>
                      <w:u w:val="single" w:color="auto"/>
                      <w:vertAlign w:val="baseline"/>
                      <w:lang w:val="en-US" w:eastAsia="zh-CN" w:bidi="ar-SA"/>
                    </w:rPr>
                    <w:t>　实行重点排放源排放浓度与去除效率双重控制，废气去除效率不低于80%。</w:t>
                  </w:r>
                </w:p>
              </w:tc>
              <w:tc>
                <w:tcPr>
                  <w:tcW w:w="3431"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2"/>
                      <w:szCs w:val="22"/>
                      <w:u w:val="single" w:color="auto"/>
                      <w:vertAlign w:val="baseline"/>
                      <w:lang w:val="en-US" w:eastAsia="zh-CN"/>
                    </w:rPr>
                  </w:pPr>
                  <w:r>
                    <w:rPr>
                      <w:rFonts w:hint="eastAsia" w:cs="Times New Roman"/>
                      <w:color w:val="auto"/>
                      <w:sz w:val="22"/>
                      <w:szCs w:val="22"/>
                      <w:u w:val="single" w:color="auto"/>
                      <w:vertAlign w:val="baseline"/>
                      <w:lang w:val="en-US" w:eastAsia="zh-CN"/>
                    </w:rPr>
                    <w:t>项目废气收集效率和处理效率均不低于80%，符合其要求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25" w:hRule="atLeast"/>
              </w:trPr>
              <w:tc>
                <w:tcPr>
                  <w:tcW w:w="886"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2"/>
                      <w:szCs w:val="22"/>
                      <w:u w:val="single" w:color="auto"/>
                      <w:vertAlign w:val="baseline"/>
                      <w:lang w:val="en-US" w:eastAsia="zh-CN"/>
                    </w:rPr>
                  </w:pPr>
                  <w:r>
                    <w:rPr>
                      <w:rFonts w:hint="eastAsia" w:cs="Times New Roman"/>
                      <w:color w:val="auto"/>
                      <w:sz w:val="22"/>
                      <w:szCs w:val="22"/>
                      <w:u w:val="single" w:color="auto"/>
                      <w:vertAlign w:val="baseline"/>
                      <w:lang w:val="en-US" w:eastAsia="zh-CN"/>
                    </w:rPr>
                    <w:t>4</w:t>
                  </w:r>
                </w:p>
              </w:tc>
              <w:tc>
                <w:tcPr>
                  <w:tcW w:w="4755" w:type="dxa"/>
                  <w:tcBorders>
                    <w:tl2br w:val="nil"/>
                    <w:tr2bl w:val="nil"/>
                  </w:tcBorders>
                  <w:noWrap w:val="0"/>
                  <w:vAlign w:val="center"/>
                </w:tcPr>
                <w:p>
                  <w:pPr>
                    <w:bidi w:val="0"/>
                    <w:spacing w:line="360" w:lineRule="auto"/>
                    <w:jc w:val="center"/>
                    <w:rPr>
                      <w:rFonts w:hint="eastAsia" w:ascii="Times New Roman" w:hAnsi="Times New Roman" w:eastAsia="宋体" w:cs="Times New Roman"/>
                      <w:color w:val="auto"/>
                      <w:kern w:val="2"/>
                      <w:sz w:val="22"/>
                      <w:szCs w:val="22"/>
                      <w:u w:val="single" w:color="auto"/>
                      <w:vertAlign w:val="baseline"/>
                      <w:lang w:val="en-US" w:eastAsia="zh-CN" w:bidi="ar-SA"/>
                    </w:rPr>
                  </w:pPr>
                  <w:r>
                    <w:rPr>
                      <w:rFonts w:hint="eastAsia" w:ascii="Times New Roman" w:hAnsi="Times New Roman" w:eastAsia="宋体" w:cs="Times New Roman"/>
                      <w:color w:val="auto"/>
                      <w:kern w:val="2"/>
                      <w:sz w:val="22"/>
                      <w:szCs w:val="22"/>
                      <w:u w:val="single" w:color="auto"/>
                      <w:vertAlign w:val="baseline"/>
                      <w:lang w:val="en-US" w:eastAsia="zh-CN" w:bidi="ar-SA"/>
                    </w:rPr>
                    <w:t>推进建设适宜高效的治污设施。</w:t>
                  </w:r>
                  <w:r>
                    <w:rPr>
                      <w:rFonts w:hint="eastAsia" w:eastAsia="宋体" w:cs="Times New Roman"/>
                      <w:color w:val="auto"/>
                      <w:kern w:val="2"/>
                      <w:sz w:val="22"/>
                      <w:szCs w:val="22"/>
                      <w:u w:val="single" w:color="auto"/>
                      <w:vertAlign w:val="baseline"/>
                      <w:lang w:val="en-US" w:eastAsia="zh-CN" w:bidi="ar-SA"/>
                    </w:rPr>
                    <w:t>......</w:t>
                  </w:r>
                  <w:r>
                    <w:rPr>
                      <w:rFonts w:hint="eastAsia" w:ascii="Times New Roman" w:hAnsi="Times New Roman" w:eastAsia="宋体" w:cs="Times New Roman"/>
                      <w:color w:val="auto"/>
                      <w:kern w:val="2"/>
                      <w:sz w:val="22"/>
                      <w:szCs w:val="22"/>
                      <w:u w:val="single" w:color="auto"/>
                      <w:vertAlign w:val="baseline"/>
                      <w:lang w:val="en-US" w:eastAsia="zh-CN" w:bidi="ar-SA"/>
                    </w:rPr>
                    <w:t>鼓励企业采用多种技术的组合工艺，提高VOCs治理效率。</w:t>
                  </w:r>
                  <w:r>
                    <w:rPr>
                      <w:rFonts w:hint="eastAsia" w:eastAsia="宋体" w:cs="Times New Roman"/>
                      <w:color w:val="auto"/>
                      <w:kern w:val="2"/>
                      <w:sz w:val="22"/>
                      <w:szCs w:val="22"/>
                      <w:u w:val="single" w:color="auto"/>
                      <w:vertAlign w:val="baseline"/>
                      <w:lang w:val="en-US" w:eastAsia="zh-CN" w:bidi="ar-SA"/>
                    </w:rPr>
                    <w:t>....</w:t>
                  </w:r>
                  <w:r>
                    <w:rPr>
                      <w:rFonts w:hint="eastAsia" w:ascii="Times New Roman" w:hAnsi="Times New Roman" w:eastAsia="宋体" w:cs="Times New Roman"/>
                      <w:color w:val="auto"/>
                      <w:kern w:val="2"/>
                      <w:sz w:val="22"/>
                      <w:szCs w:val="22"/>
                      <w:u w:val="single" w:color="auto"/>
                      <w:vertAlign w:val="baseline"/>
                      <w:lang w:val="en-US" w:eastAsia="zh-CN" w:bidi="ar-SA"/>
                    </w:rPr>
                    <w:t>采用一次性活性炭吸附技术的，应定期更换活性炭，废旧活性炭应再生或处理处置。有条件的工业园区和产业集群等，推广集中喷涂、溶剂集中回收、活性炭集中再生等，加强资源共享，提高VOCs治理效率</w:t>
                  </w:r>
                </w:p>
              </w:tc>
              <w:tc>
                <w:tcPr>
                  <w:tcW w:w="3431"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2"/>
                      <w:szCs w:val="22"/>
                      <w:u w:val="single" w:color="auto"/>
                      <w:vertAlign w:val="baseline"/>
                      <w:lang w:val="en-US" w:eastAsia="zh-CN"/>
                    </w:rPr>
                  </w:pPr>
                  <w:r>
                    <w:rPr>
                      <w:rFonts w:hint="eastAsia" w:cs="Times New Roman"/>
                      <w:color w:val="auto"/>
                      <w:sz w:val="22"/>
                      <w:szCs w:val="22"/>
                      <w:u w:val="single" w:color="auto"/>
                      <w:vertAlign w:val="baseline"/>
                      <w:lang w:val="en-US" w:eastAsia="zh-CN"/>
                    </w:rPr>
                    <w:t>本项目印刷废气经集气罩（收集效率为80%）收集后通过UV光解设施+活性炭吸附设施（处理效率为80%）处理后由24m高排气筒高空排放，符合其要求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25" w:hRule="atLeast"/>
              </w:trPr>
              <w:tc>
                <w:tcPr>
                  <w:tcW w:w="886" w:type="dxa"/>
                  <w:tcBorders>
                    <w:tl2br w:val="nil"/>
                    <w:tr2bl w:val="nil"/>
                  </w:tcBorders>
                  <w:noWrap w:val="0"/>
                  <w:vAlign w:val="center"/>
                </w:tcPr>
                <w:p>
                  <w:pPr>
                    <w:bidi w:val="0"/>
                    <w:spacing w:line="360" w:lineRule="auto"/>
                    <w:jc w:val="center"/>
                    <w:rPr>
                      <w:rFonts w:hint="default" w:cs="Times New Roman"/>
                      <w:color w:val="auto"/>
                      <w:sz w:val="22"/>
                      <w:szCs w:val="22"/>
                      <w:u w:val="single" w:color="auto"/>
                      <w:vertAlign w:val="baseline"/>
                      <w:lang w:val="en-US" w:eastAsia="zh-CN"/>
                    </w:rPr>
                  </w:pPr>
                  <w:r>
                    <w:rPr>
                      <w:rFonts w:hint="eastAsia" w:cs="Times New Roman"/>
                      <w:color w:val="auto"/>
                      <w:sz w:val="22"/>
                      <w:szCs w:val="22"/>
                      <w:u w:val="single" w:color="auto"/>
                      <w:vertAlign w:val="baseline"/>
                      <w:lang w:val="en-US" w:eastAsia="zh-CN"/>
                    </w:rPr>
                    <w:t>5</w:t>
                  </w:r>
                </w:p>
              </w:tc>
              <w:tc>
                <w:tcPr>
                  <w:tcW w:w="4755" w:type="dxa"/>
                  <w:tcBorders>
                    <w:tl2br w:val="nil"/>
                    <w:tr2bl w:val="nil"/>
                  </w:tcBorders>
                  <w:noWrap w:val="0"/>
                  <w:vAlign w:val="center"/>
                </w:tcPr>
                <w:p>
                  <w:pPr>
                    <w:bidi w:val="0"/>
                    <w:spacing w:line="360" w:lineRule="auto"/>
                    <w:jc w:val="center"/>
                    <w:rPr>
                      <w:rFonts w:hint="eastAsia" w:ascii="Times New Roman" w:hAnsi="Times New Roman" w:eastAsia="宋体" w:cs="Times New Roman"/>
                      <w:color w:val="auto"/>
                      <w:kern w:val="2"/>
                      <w:sz w:val="22"/>
                      <w:szCs w:val="22"/>
                      <w:u w:val="single" w:color="auto"/>
                      <w:vertAlign w:val="baseline"/>
                      <w:lang w:val="en-US" w:eastAsia="zh-CN" w:bidi="ar-SA"/>
                    </w:rPr>
                  </w:pPr>
                  <w:r>
                    <w:rPr>
                      <w:rFonts w:hint="eastAsia" w:ascii="Times New Roman" w:hAnsi="Times New Roman" w:eastAsia="宋体" w:cs="Times New Roman"/>
                      <w:color w:val="auto"/>
                      <w:kern w:val="2"/>
                      <w:sz w:val="22"/>
                      <w:szCs w:val="22"/>
                      <w:u w:val="single" w:color="auto"/>
                      <w:vertAlign w:val="baseline"/>
                      <w:lang w:val="en-US" w:eastAsia="zh-CN" w:bidi="ar-SA"/>
                    </w:rPr>
                    <w:t>大力推进源头替代。通过使用</w:t>
                  </w:r>
                  <w:r>
                    <w:rPr>
                      <w:rFonts w:hint="eastAsia" w:eastAsia="宋体" w:cs="Times New Roman"/>
                      <w:color w:val="auto"/>
                      <w:kern w:val="2"/>
                      <w:sz w:val="22"/>
                      <w:szCs w:val="22"/>
                      <w:u w:val="single" w:color="auto"/>
                      <w:vertAlign w:val="baseline"/>
                      <w:lang w:val="en-US" w:eastAsia="zh-CN" w:bidi="ar-SA"/>
                    </w:rPr>
                    <w:t>.....</w:t>
                  </w:r>
                  <w:r>
                    <w:rPr>
                      <w:rFonts w:hint="eastAsia" w:ascii="Times New Roman" w:hAnsi="Times New Roman" w:eastAsia="宋体" w:cs="Times New Roman"/>
                      <w:color w:val="auto"/>
                      <w:kern w:val="2"/>
                      <w:sz w:val="22"/>
                      <w:szCs w:val="22"/>
                      <w:u w:val="single" w:color="auto"/>
                      <w:vertAlign w:val="baseline"/>
                      <w:lang w:val="en-US" w:eastAsia="zh-CN" w:bidi="ar-SA"/>
                    </w:rPr>
                    <w:t>水性、辐射固化、植物基等低VOCs含量的油墨等，替代溶剂型涂料、油墨、胶粘剂、清洗剂等，从源头减少VOCs产生。工业涂装、包装印刷等行业要加大源头替代力度；</w:t>
                  </w:r>
                  <w:r>
                    <w:rPr>
                      <w:rFonts w:hint="eastAsia" w:eastAsia="宋体" w:cs="Times New Roman"/>
                      <w:color w:val="auto"/>
                      <w:kern w:val="2"/>
                      <w:sz w:val="22"/>
                      <w:szCs w:val="22"/>
                      <w:u w:val="single" w:color="auto"/>
                      <w:vertAlign w:val="baseline"/>
                      <w:lang w:val="en-US" w:eastAsia="zh-CN" w:bidi="ar-SA"/>
                    </w:rPr>
                    <w:t>.........</w:t>
                  </w:r>
                  <w:r>
                    <w:rPr>
                      <w:rFonts w:hint="eastAsia" w:ascii="Times New Roman" w:hAnsi="Times New Roman" w:eastAsia="宋体" w:cs="Times New Roman"/>
                      <w:color w:val="auto"/>
                      <w:kern w:val="2"/>
                      <w:sz w:val="22"/>
                      <w:szCs w:val="22"/>
                      <w:u w:val="single" w:color="auto"/>
                      <w:vertAlign w:val="baseline"/>
                      <w:lang w:val="en-US" w:eastAsia="zh-CN" w:bidi="ar-SA"/>
                    </w:rPr>
                    <w:t>在技术成熟的行业，推广使用低VOCs含量油墨和胶粘剂，</w:t>
                  </w:r>
                </w:p>
              </w:tc>
              <w:tc>
                <w:tcPr>
                  <w:tcW w:w="3431"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2"/>
                      <w:szCs w:val="22"/>
                      <w:u w:val="single" w:color="auto"/>
                      <w:vertAlign w:val="baseline"/>
                      <w:lang w:val="en-US" w:eastAsia="zh-CN"/>
                    </w:rPr>
                  </w:pPr>
                  <w:r>
                    <w:rPr>
                      <w:rFonts w:hint="eastAsia" w:cs="Times New Roman"/>
                      <w:color w:val="auto"/>
                      <w:sz w:val="22"/>
                      <w:szCs w:val="22"/>
                      <w:u w:val="single" w:color="auto"/>
                      <w:vertAlign w:val="baseline"/>
                      <w:lang w:val="en-US" w:eastAsia="zh-CN"/>
                    </w:rPr>
                    <w:t>本项目印刷工序采用的油墨为水性油墨，属于低VOC</w:t>
                  </w:r>
                  <w:r>
                    <w:rPr>
                      <w:rFonts w:hint="eastAsia" w:cs="Times New Roman"/>
                      <w:color w:val="auto"/>
                      <w:sz w:val="22"/>
                      <w:szCs w:val="22"/>
                      <w:u w:val="single" w:color="auto"/>
                      <w:vertAlign w:val="subscript"/>
                      <w:lang w:val="en-US" w:eastAsia="zh-CN"/>
                    </w:rPr>
                    <w:t>S</w:t>
                  </w:r>
                  <w:r>
                    <w:rPr>
                      <w:rFonts w:hint="eastAsia" w:cs="Times New Roman"/>
                      <w:color w:val="auto"/>
                      <w:sz w:val="22"/>
                      <w:szCs w:val="22"/>
                      <w:u w:val="single" w:color="auto"/>
                      <w:vertAlign w:val="baseline"/>
                      <w:lang w:val="en-US" w:eastAsia="zh-CN"/>
                    </w:rPr>
                    <w:t>含量的油墨，符合其要求</w:t>
                  </w:r>
                </w:p>
              </w:tc>
            </w:tr>
          </w:tbl>
          <w:p>
            <w:pPr>
              <w:spacing w:line="360" w:lineRule="auto"/>
              <w:ind w:firstLine="466" w:firstLineChars="200"/>
              <w:rPr>
                <w:rFonts w:hint="default" w:ascii="Times New Roman" w:hAnsi="Times New Roman" w:cs="Times New Roman"/>
                <w:b/>
                <w:bCs/>
                <w:color w:val="auto"/>
                <w:sz w:val="24"/>
                <w:szCs w:val="24"/>
                <w:u w:val="none" w:color="auto"/>
              </w:rPr>
            </w:pPr>
            <w:r>
              <w:rPr>
                <w:rFonts w:hint="eastAsia" w:cs="Times New Roman"/>
                <w:b/>
                <w:bCs/>
                <w:color w:val="auto"/>
                <w:sz w:val="24"/>
                <w:szCs w:val="24"/>
                <w:u w:val="none" w:color="auto"/>
                <w:lang w:val="en-US" w:eastAsia="zh-CN"/>
              </w:rPr>
              <w:t>9</w:t>
            </w:r>
            <w:r>
              <w:rPr>
                <w:rFonts w:hint="default" w:ascii="Times New Roman" w:hAnsi="Times New Roman" w:cs="Times New Roman"/>
                <w:b/>
                <w:bCs/>
                <w:color w:val="auto"/>
                <w:sz w:val="24"/>
                <w:szCs w:val="24"/>
                <w:u w:val="none" w:color="auto"/>
                <w:lang w:val="en-US" w:eastAsia="zh-CN"/>
              </w:rPr>
              <w:t>、</w:t>
            </w:r>
            <w:r>
              <w:rPr>
                <w:rFonts w:hint="default" w:ascii="Times New Roman" w:hAnsi="Times New Roman" w:cs="Times New Roman"/>
                <w:b/>
                <w:bCs/>
                <w:color w:val="auto"/>
                <w:sz w:val="24"/>
                <w:szCs w:val="24"/>
                <w:u w:val="none" w:color="auto"/>
              </w:rPr>
              <w:t>“三线一单”符合性分析</w:t>
            </w:r>
          </w:p>
          <w:p>
            <w:pPr>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本项目选址符合所在区域现行生态环境约束性要求；项目所在区域满足环境质量底线要求；项目生产原料资源条件有保障，满足资源利用上线要求；项目产 生的污染物经采取相应防护措施后可做到达标排放，不会降低区域环境质量等级，对环境影响不大。“三线一单”符合性分析见表 7-</w:t>
            </w:r>
            <w:r>
              <w:rPr>
                <w:rFonts w:hint="eastAsia" w:cs="Times New Roman"/>
                <w:color w:val="auto"/>
                <w:sz w:val="24"/>
                <w:szCs w:val="24"/>
                <w:u w:val="none" w:color="auto"/>
                <w:lang w:val="en-US" w:eastAsia="zh-CN"/>
              </w:rPr>
              <w:t>22</w:t>
            </w:r>
            <w:r>
              <w:rPr>
                <w:rFonts w:hint="default" w:ascii="Times New Roman" w:hAnsi="Times New Roman" w:cs="Times New Roman"/>
                <w:color w:val="auto"/>
                <w:sz w:val="24"/>
                <w:szCs w:val="24"/>
                <w:u w:val="none" w:color="auto"/>
              </w:rPr>
              <w:t xml:space="preserve">。 </w:t>
            </w:r>
          </w:p>
          <w:p>
            <w:pPr>
              <w:spacing w:line="360" w:lineRule="auto"/>
              <w:ind w:firstLine="466" w:firstLineChars="20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表 7-</w:t>
            </w:r>
            <w:r>
              <w:rPr>
                <w:rFonts w:hint="eastAsia" w:cs="Times New Roman"/>
                <w:color w:val="auto"/>
                <w:sz w:val="24"/>
                <w:szCs w:val="24"/>
                <w:u w:val="none" w:color="auto"/>
                <w:lang w:val="en-US" w:eastAsia="zh-CN"/>
              </w:rPr>
              <w:t xml:space="preserve">22  </w:t>
            </w:r>
            <w:r>
              <w:rPr>
                <w:rFonts w:hint="default" w:ascii="Times New Roman" w:hAnsi="Times New Roman" w:cs="Times New Roman"/>
                <w:color w:val="auto"/>
                <w:sz w:val="24"/>
                <w:szCs w:val="24"/>
                <w:u w:val="none" w:color="auto"/>
              </w:rPr>
              <w:t>“三线一单”符合性分析</w:t>
            </w:r>
          </w:p>
          <w:tbl>
            <w:tblPr>
              <w:tblStyle w:val="40"/>
              <w:tblW w:w="9062" w:type="dxa"/>
              <w:tblInd w:w="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786"/>
              <w:gridCol w:w="727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786" w:type="dxa"/>
                  <w:tcBorders>
                    <w:tl2br w:val="nil"/>
                    <w:tr2bl w:val="nil"/>
                  </w:tcBorders>
                  <w:noWrap w:val="0"/>
                  <w:vAlign w:val="center"/>
                </w:tcPr>
                <w:p>
                  <w:pPr>
                    <w:spacing w:line="360" w:lineRule="auto"/>
                    <w:ind w:firstLine="426" w:firstLineChars="20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内容</w:t>
                  </w:r>
                </w:p>
              </w:tc>
              <w:tc>
                <w:tcPr>
                  <w:tcW w:w="7276" w:type="dxa"/>
                  <w:tcBorders>
                    <w:tl2br w:val="nil"/>
                    <w:tr2bl w:val="nil"/>
                  </w:tcBorders>
                  <w:noWrap w:val="0"/>
                  <w:vAlign w:val="center"/>
                </w:tcPr>
                <w:p>
                  <w:pPr>
                    <w:spacing w:line="360" w:lineRule="auto"/>
                    <w:ind w:firstLine="426" w:firstLineChars="20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符合性分析</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78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生态保护红线</w:t>
                  </w:r>
                </w:p>
              </w:tc>
              <w:tc>
                <w:tcPr>
                  <w:tcW w:w="7276" w:type="dxa"/>
                  <w:tcBorders>
                    <w:tl2br w:val="nil"/>
                    <w:tr2bl w:val="nil"/>
                  </w:tcBorders>
                  <w:noWrap w:val="0"/>
                  <w:vAlign w:val="center"/>
                </w:tcPr>
                <w:p>
                  <w:pPr>
                    <w:spacing w:line="360" w:lineRule="auto"/>
                    <w:ind w:firstLine="426" w:firstLineChars="200"/>
                    <w:jc w:val="both"/>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本项目位于</w:t>
                  </w:r>
                  <w:r>
                    <w:rPr>
                      <w:rFonts w:hint="eastAsia" w:cs="Times New Roman"/>
                      <w:color w:val="auto"/>
                      <w:sz w:val="22"/>
                      <w:szCs w:val="22"/>
                      <w:u w:val="none" w:color="auto"/>
                      <w:lang w:eastAsia="zh-CN"/>
                    </w:rPr>
                    <w:t>岳阳市湘阴县金龙新区工业园湖南卓达置业有限公司一期22栋</w:t>
                  </w:r>
                  <w:r>
                    <w:rPr>
                      <w:rFonts w:hint="eastAsia" w:ascii="Times New Roman" w:hAnsi="Times New Roman" w:cs="Times New Roman"/>
                      <w:color w:val="auto"/>
                      <w:sz w:val="22"/>
                      <w:szCs w:val="22"/>
                      <w:u w:val="none" w:color="auto"/>
                      <w:lang w:eastAsia="zh-CN"/>
                    </w:rPr>
                    <w:t>现有厂房</w:t>
                  </w:r>
                  <w:r>
                    <w:rPr>
                      <w:rFonts w:hint="default" w:ascii="Times New Roman" w:hAnsi="Times New Roman" w:cs="Times New Roman"/>
                      <w:color w:val="auto"/>
                      <w:sz w:val="22"/>
                      <w:szCs w:val="22"/>
                      <w:u w:val="none" w:color="auto"/>
                    </w:rPr>
                    <w:t>，不在</w:t>
                  </w:r>
                  <w:r>
                    <w:rPr>
                      <w:rFonts w:hint="default" w:ascii="Times New Roman" w:hAnsi="Times New Roman" w:cs="Times New Roman"/>
                      <w:color w:val="auto"/>
                      <w:sz w:val="22"/>
                      <w:szCs w:val="22"/>
                      <w:u w:val="none" w:color="auto"/>
                      <w:lang w:eastAsia="zh-CN"/>
                    </w:rPr>
                    <w:t>湘阴县</w:t>
                  </w:r>
                  <w:r>
                    <w:rPr>
                      <w:rFonts w:hint="default" w:ascii="Times New Roman" w:hAnsi="Times New Roman" w:cs="Times New Roman"/>
                      <w:color w:val="auto"/>
                      <w:sz w:val="22"/>
                      <w:szCs w:val="22"/>
                      <w:u w:val="none" w:color="auto"/>
                    </w:rPr>
                    <w:t>划定的生态红线范围。项目不在自然保护区、饮用水源保护区等生态保护目标内，符合生态保护红线要求。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78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资源利用上线</w:t>
                  </w:r>
                </w:p>
              </w:tc>
              <w:tc>
                <w:tcPr>
                  <w:tcW w:w="7276" w:type="dxa"/>
                  <w:tcBorders>
                    <w:tl2br w:val="nil"/>
                    <w:tr2bl w:val="nil"/>
                  </w:tcBorders>
                  <w:noWrap w:val="0"/>
                  <w:vAlign w:val="center"/>
                </w:tcPr>
                <w:p>
                  <w:pPr>
                    <w:spacing w:line="360" w:lineRule="auto"/>
                    <w:ind w:firstLine="426" w:firstLineChars="200"/>
                    <w:jc w:val="both"/>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本项目运营过程中消耗一定量的电力、水等资源。①项目用电由当地电网提供；②项目用水来源为当地自来水公司。本项目电力、水的消耗量所占比重较少，符合资源利用上限要求。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178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环境质量底线</w:t>
                  </w:r>
                </w:p>
              </w:tc>
              <w:tc>
                <w:tcPr>
                  <w:tcW w:w="7276" w:type="dxa"/>
                  <w:tcBorders>
                    <w:tl2br w:val="nil"/>
                    <w:tr2bl w:val="nil"/>
                  </w:tcBorders>
                  <w:noWrap w:val="0"/>
                  <w:vAlign w:val="center"/>
                </w:tcPr>
                <w:p>
                  <w:pPr>
                    <w:spacing w:line="360" w:lineRule="auto"/>
                    <w:ind w:firstLine="426" w:firstLineChars="200"/>
                    <w:jc w:val="both"/>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根据现场调查，项目场址为工业用地，通过对评价区域内空气、地表水、声的监测及调查得知，项目所在区域的地表水体、声环境能够达到相应的环境质量标准</w:t>
                  </w:r>
                  <w:r>
                    <w:rPr>
                      <w:rFonts w:hint="eastAsia" w:cs="Times New Roman"/>
                      <w:color w:val="auto"/>
                      <w:sz w:val="22"/>
                      <w:szCs w:val="22"/>
                      <w:u w:val="none" w:color="auto"/>
                      <w:lang w:eastAsia="zh-CN"/>
                    </w:rPr>
                    <w:t>，</w:t>
                  </w:r>
                  <w:r>
                    <w:rPr>
                      <w:rFonts w:hint="eastAsia" w:ascii="Times New Roman" w:hAnsi="Times New Roman" w:cs="Times New Roman"/>
                      <w:color w:val="auto"/>
                      <w:sz w:val="22"/>
                      <w:szCs w:val="22"/>
                      <w:u w:val="none" w:color="auto"/>
                      <w:lang w:eastAsia="zh-CN"/>
                    </w:rPr>
                    <w:t>根据</w:t>
                  </w:r>
                  <w:r>
                    <w:rPr>
                      <w:rFonts w:hint="eastAsia" w:ascii="Times New Roman" w:hAnsi="Times New Roman" w:cs="Times New Roman"/>
                      <w:color w:val="auto"/>
                      <w:sz w:val="22"/>
                      <w:szCs w:val="22"/>
                      <w:u w:val="none" w:color="auto"/>
                      <w:lang w:val="en-US" w:eastAsia="zh-CN"/>
                    </w:rPr>
                    <w:t>201</w:t>
                  </w:r>
                  <w:r>
                    <w:rPr>
                      <w:rFonts w:hint="eastAsia" w:cs="Times New Roman"/>
                      <w:color w:val="auto"/>
                      <w:sz w:val="22"/>
                      <w:szCs w:val="22"/>
                      <w:u w:val="none" w:color="auto"/>
                      <w:lang w:val="en-US" w:eastAsia="zh-CN"/>
                    </w:rPr>
                    <w:t>8</w:t>
                  </w:r>
                  <w:r>
                    <w:rPr>
                      <w:rFonts w:hint="eastAsia" w:ascii="Times New Roman" w:hAnsi="Times New Roman" w:cs="Times New Roman"/>
                      <w:color w:val="auto"/>
                      <w:sz w:val="22"/>
                      <w:szCs w:val="22"/>
                      <w:u w:val="none" w:color="auto"/>
                      <w:lang w:val="en-US" w:eastAsia="zh-CN"/>
                    </w:rPr>
                    <w:t>年到201</w:t>
                  </w:r>
                  <w:r>
                    <w:rPr>
                      <w:rFonts w:hint="eastAsia" w:cs="Times New Roman"/>
                      <w:color w:val="auto"/>
                      <w:sz w:val="22"/>
                      <w:szCs w:val="22"/>
                      <w:u w:val="none" w:color="auto"/>
                      <w:lang w:val="en-US" w:eastAsia="zh-CN"/>
                    </w:rPr>
                    <w:t>9</w:t>
                  </w:r>
                  <w:r>
                    <w:rPr>
                      <w:rFonts w:hint="eastAsia" w:ascii="Times New Roman" w:hAnsi="Times New Roman" w:cs="Times New Roman"/>
                      <w:color w:val="auto"/>
                      <w:sz w:val="22"/>
                      <w:szCs w:val="22"/>
                      <w:u w:val="none" w:color="auto"/>
                      <w:lang w:val="en-US" w:eastAsia="zh-CN"/>
                    </w:rPr>
                    <w:t>年大气监测数据可知，项目所在区域大气环境正在逐渐变好</w:t>
                  </w:r>
                  <w:r>
                    <w:rPr>
                      <w:rFonts w:hint="default" w:ascii="Times New Roman" w:hAnsi="Times New Roman" w:cs="Times New Roman"/>
                      <w:color w:val="auto"/>
                      <w:sz w:val="22"/>
                      <w:szCs w:val="22"/>
                      <w:u w:val="none" w:color="auto"/>
                    </w:rPr>
                    <w:t>。项目对产生的污染物采取相应的措施后，对周边环境影响很小，符合环境质量底线要求。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78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负面清单</w:t>
                  </w:r>
                </w:p>
              </w:tc>
              <w:tc>
                <w:tcPr>
                  <w:tcW w:w="7276" w:type="dxa"/>
                  <w:tcBorders>
                    <w:tl2br w:val="nil"/>
                    <w:tr2bl w:val="nil"/>
                  </w:tcBorders>
                  <w:noWrap w:val="0"/>
                  <w:vAlign w:val="center"/>
                </w:tcPr>
                <w:p>
                  <w:pPr>
                    <w:spacing w:line="360" w:lineRule="auto"/>
                    <w:ind w:firstLine="426" w:firstLineChars="200"/>
                    <w:jc w:val="both"/>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项目建设符合国家和行业的产业政策，选址符合</w:t>
                  </w:r>
                  <w:r>
                    <w:rPr>
                      <w:rFonts w:hint="default" w:ascii="Times New Roman" w:hAnsi="Times New Roman" w:cs="Times New Roman"/>
                      <w:color w:val="auto"/>
                      <w:sz w:val="22"/>
                      <w:szCs w:val="22"/>
                      <w:u w:val="none" w:color="auto"/>
                      <w:lang w:eastAsia="zh-CN"/>
                    </w:rPr>
                    <w:t>湘阴县</w:t>
                  </w:r>
                  <w:r>
                    <w:rPr>
                      <w:rFonts w:hint="default" w:ascii="Times New Roman" w:hAnsi="Times New Roman" w:cs="Times New Roman"/>
                      <w:color w:val="auto"/>
                      <w:sz w:val="22"/>
                      <w:szCs w:val="22"/>
                      <w:u w:val="none" w:color="auto"/>
                    </w:rPr>
                    <w:t>总体规划，不涉及产业政策和区域规划的负面清单。</w:t>
                  </w:r>
                </w:p>
              </w:tc>
            </w:tr>
          </w:tbl>
          <w:p>
            <w:pPr>
              <w:pStyle w:val="187"/>
              <w:rPr>
                <w:rFonts w:hint="eastAsia" w:ascii="Times New Roman" w:hAnsi="Times New Roman" w:eastAsia="宋体" w:cs="Times New Roman"/>
                <w:color w:val="auto"/>
                <w:u w:val="none" w:color="auto"/>
                <w:lang w:val="en-US" w:eastAsia="zh-CN"/>
              </w:rPr>
            </w:pPr>
            <w:r>
              <w:rPr>
                <w:rFonts w:hint="eastAsia" w:cs="Times New Roman"/>
                <w:color w:val="auto"/>
                <w:u w:val="none" w:color="auto"/>
                <w:lang w:val="en-US" w:eastAsia="zh-CN"/>
              </w:rPr>
              <w:t>10</w:t>
            </w:r>
            <w:r>
              <w:rPr>
                <w:rFonts w:hint="default" w:ascii="Times New Roman" w:hAnsi="Times New Roman" w:cs="Times New Roman"/>
                <w:color w:val="auto"/>
                <w:u w:val="none" w:color="auto"/>
              </w:rPr>
              <w:t>、总量控制</w:t>
            </w:r>
          </w:p>
          <w:p>
            <w:pPr>
              <w:pStyle w:val="174"/>
              <w:spacing w:line="360" w:lineRule="auto"/>
              <w:ind w:firstLine="480"/>
              <w:rPr>
                <w:rFonts w:hint="eastAsia" w:eastAsia="宋体"/>
                <w:color w:val="auto"/>
                <w:sz w:val="24"/>
                <w:szCs w:val="24"/>
                <w:u w:val="none" w:color="auto"/>
                <w:lang w:eastAsia="zh-CN"/>
              </w:rPr>
            </w:pPr>
            <w:r>
              <w:rPr>
                <w:sz w:val="24"/>
                <w:szCs w:val="24"/>
                <w:u w:val="none" w:color="auto"/>
              </w:rPr>
              <w:t>根据国家环境保护部对实施污染物排放总量控制的要求</w:t>
            </w:r>
            <w:r>
              <w:rPr>
                <w:rFonts w:hint="eastAsia"/>
                <w:sz w:val="24"/>
                <w:szCs w:val="24"/>
                <w:u w:val="none" w:color="auto"/>
                <w:lang w:eastAsia="zh-CN"/>
              </w:rPr>
              <w:t>、</w:t>
            </w:r>
            <w:r>
              <w:rPr>
                <w:sz w:val="24"/>
                <w:szCs w:val="24"/>
                <w:u w:val="none" w:color="auto"/>
              </w:rPr>
              <w:t>《中华人民共和国国民经济和社会发展第十三个五年规划纲要》环保规划要求</w:t>
            </w:r>
            <w:r>
              <w:rPr>
                <w:rFonts w:hint="eastAsia"/>
                <w:sz w:val="24"/>
                <w:szCs w:val="24"/>
                <w:u w:val="none" w:color="auto"/>
                <w:lang w:eastAsia="zh-CN"/>
              </w:rPr>
              <w:t>和《湖南省“十三五”主要污染物减排规划》</w:t>
            </w:r>
            <w:r>
              <w:rPr>
                <w:color w:val="auto"/>
                <w:sz w:val="24"/>
                <w:szCs w:val="24"/>
                <w:u w:val="none" w:color="auto"/>
              </w:rPr>
              <w:t>以及本项目污染物排放特点，</w:t>
            </w:r>
            <w:r>
              <w:rPr>
                <w:rFonts w:hint="eastAsia"/>
                <w:sz w:val="24"/>
                <w:szCs w:val="24"/>
                <w:u w:val="none" w:color="auto"/>
                <w:lang w:val="en-US" w:eastAsia="zh-CN"/>
              </w:rPr>
              <w:t>湘阴县第三污水处理厂建成且接通前：</w:t>
            </w:r>
            <w:r>
              <w:rPr>
                <w:sz w:val="24"/>
                <w:szCs w:val="24"/>
                <w:u w:val="none" w:color="auto"/>
              </w:rPr>
              <w:t>项目</w:t>
            </w:r>
            <w:r>
              <w:rPr>
                <w:rFonts w:hint="eastAsia"/>
                <w:sz w:val="24"/>
                <w:szCs w:val="24"/>
                <w:u w:val="none" w:color="auto"/>
                <w:lang w:val="en-US" w:eastAsia="zh-CN"/>
              </w:rPr>
              <w:t>生活</w:t>
            </w:r>
            <w:r>
              <w:rPr>
                <w:sz w:val="24"/>
                <w:szCs w:val="24"/>
                <w:u w:val="none" w:color="auto"/>
              </w:rPr>
              <w:t>污水通过化粪池处理后排入园区污水管网再进入</w:t>
            </w:r>
            <w:r>
              <w:rPr>
                <w:rFonts w:hint="eastAsia"/>
                <w:sz w:val="24"/>
                <w:szCs w:val="24"/>
                <w:u w:val="none" w:color="auto"/>
                <w:lang w:eastAsia="zh-CN"/>
              </w:rPr>
              <w:t>卓达金谷创业园自建的污水处理站</w:t>
            </w:r>
            <w:r>
              <w:rPr>
                <w:sz w:val="24"/>
                <w:szCs w:val="24"/>
                <w:u w:val="none" w:color="auto"/>
              </w:rPr>
              <w:t>处理</w:t>
            </w:r>
            <w:r>
              <w:rPr>
                <w:rFonts w:hAnsi="宋体"/>
                <w:sz w:val="24"/>
                <w:szCs w:val="24"/>
                <w:u w:val="none" w:color="auto"/>
              </w:rPr>
              <w:t>达</w:t>
            </w:r>
            <w:r>
              <w:rPr>
                <w:rFonts w:hint="eastAsia" w:hAnsi="宋体"/>
                <w:sz w:val="24"/>
                <w:szCs w:val="24"/>
                <w:u w:val="none" w:color="auto"/>
                <w:lang w:eastAsia="zh-CN"/>
              </w:rPr>
              <w:t>到</w:t>
            </w:r>
            <w:r>
              <w:rPr>
                <w:sz w:val="24"/>
                <w:szCs w:val="24"/>
                <w:u w:val="none" w:color="auto"/>
              </w:rPr>
              <w:t>《城镇污水处理厂污染物排放标准（GB18918—2002）》中一级标准的A类标准后</w:t>
            </w:r>
            <w:r>
              <w:rPr>
                <w:rFonts w:hint="eastAsia"/>
                <w:sz w:val="24"/>
                <w:szCs w:val="24"/>
                <w:u w:val="none" w:color="auto"/>
                <w:lang w:eastAsia="zh-CN"/>
              </w:rPr>
              <w:t>进入洋沙河</w:t>
            </w:r>
            <w:r>
              <w:rPr>
                <w:rFonts w:hint="eastAsia"/>
                <w:sz w:val="24"/>
                <w:szCs w:val="24"/>
                <w:u w:val="none" w:color="auto"/>
                <w:lang w:val="en-US" w:eastAsia="zh-CN"/>
              </w:rPr>
              <w:t>排入洋沙湖</w:t>
            </w:r>
            <w:r>
              <w:rPr>
                <w:sz w:val="24"/>
                <w:szCs w:val="24"/>
                <w:u w:val="none" w:color="auto"/>
              </w:rPr>
              <w:t>，最终汇入湘江</w:t>
            </w:r>
            <w:r>
              <w:rPr>
                <w:rFonts w:hint="eastAsia"/>
                <w:sz w:val="24"/>
                <w:szCs w:val="24"/>
                <w:u w:val="none" w:color="auto"/>
                <w:lang w:eastAsia="zh-CN"/>
              </w:rPr>
              <w:t>。</w:t>
            </w:r>
            <w:r>
              <w:rPr>
                <w:rFonts w:hint="eastAsia"/>
                <w:sz w:val="24"/>
                <w:szCs w:val="24"/>
                <w:u w:val="none" w:color="auto"/>
                <w:lang w:val="en-US" w:eastAsia="zh-CN"/>
              </w:rPr>
              <w:t>湘阴县第三污水处理厂建成且接通后：</w:t>
            </w:r>
            <w:r>
              <w:rPr>
                <w:sz w:val="24"/>
                <w:szCs w:val="24"/>
                <w:u w:val="none" w:color="auto"/>
              </w:rPr>
              <w:t>项目</w:t>
            </w:r>
            <w:r>
              <w:rPr>
                <w:rFonts w:hint="eastAsia"/>
                <w:sz w:val="24"/>
                <w:szCs w:val="24"/>
                <w:u w:val="none" w:color="auto"/>
                <w:lang w:val="en-US" w:eastAsia="zh-CN"/>
              </w:rPr>
              <w:t>生活</w:t>
            </w:r>
            <w:r>
              <w:rPr>
                <w:sz w:val="24"/>
                <w:szCs w:val="24"/>
                <w:u w:val="none" w:color="auto"/>
              </w:rPr>
              <w:t>污水通过化粪池处理后排入园区污水管网</w:t>
            </w:r>
            <w:r>
              <w:rPr>
                <w:rFonts w:hint="eastAsia"/>
                <w:sz w:val="24"/>
                <w:szCs w:val="24"/>
                <w:u w:val="none" w:color="auto"/>
                <w:lang w:val="en-US" w:eastAsia="zh-CN"/>
              </w:rPr>
              <w:t>进入湘阴县第三污水处理厂处理后排入洋沙河流入洋沙湖，最终进入湘江</w:t>
            </w:r>
            <w:r>
              <w:rPr>
                <w:rFonts w:hint="eastAsia"/>
                <w:color w:val="auto"/>
                <w:sz w:val="24"/>
                <w:szCs w:val="24"/>
                <w:u w:val="none" w:color="auto"/>
                <w:lang w:eastAsia="zh-CN"/>
              </w:rPr>
              <w:t>。</w:t>
            </w:r>
            <w:r>
              <w:rPr>
                <w:color w:val="auto"/>
                <w:sz w:val="24"/>
                <w:szCs w:val="24"/>
                <w:u w:val="none" w:color="auto"/>
              </w:rPr>
              <w:t>故本项目</w:t>
            </w:r>
            <w:r>
              <w:rPr>
                <w:rFonts w:hint="eastAsia"/>
                <w:color w:val="auto"/>
                <w:sz w:val="24"/>
                <w:szCs w:val="24"/>
                <w:u w:val="none" w:color="auto"/>
                <w:lang w:eastAsia="zh-CN"/>
              </w:rPr>
              <w:t>无需</w:t>
            </w:r>
            <w:r>
              <w:rPr>
                <w:color w:val="auto"/>
                <w:sz w:val="24"/>
                <w:szCs w:val="24"/>
                <w:u w:val="none" w:color="auto"/>
              </w:rPr>
              <w:t>申请</w:t>
            </w:r>
            <w:r>
              <w:rPr>
                <w:rFonts w:hint="eastAsia"/>
                <w:color w:val="auto"/>
                <w:sz w:val="24"/>
                <w:szCs w:val="24"/>
                <w:u w:val="none" w:color="auto"/>
                <w:lang w:eastAsia="zh-CN"/>
              </w:rPr>
              <w:t>水</w:t>
            </w:r>
            <w:r>
              <w:rPr>
                <w:rFonts w:hint="eastAsia"/>
                <w:color w:val="auto"/>
                <w:sz w:val="24"/>
                <w:szCs w:val="24"/>
                <w:u w:val="none" w:color="auto"/>
              </w:rPr>
              <w:t>的</w:t>
            </w:r>
            <w:r>
              <w:rPr>
                <w:color w:val="auto"/>
                <w:sz w:val="24"/>
                <w:szCs w:val="24"/>
                <w:u w:val="none" w:color="auto"/>
              </w:rPr>
              <w:t>总量指标；</w:t>
            </w:r>
            <w:r>
              <w:rPr>
                <w:rFonts w:hint="eastAsia"/>
                <w:color w:val="auto"/>
                <w:sz w:val="24"/>
                <w:szCs w:val="24"/>
                <w:u w:val="none" w:color="auto"/>
              </w:rPr>
              <w:t>本项目废气排放为</w:t>
            </w:r>
            <w:r>
              <w:rPr>
                <w:rFonts w:hint="eastAsia"/>
                <w:color w:val="auto"/>
                <w:kern w:val="2"/>
                <w:sz w:val="24"/>
                <w:szCs w:val="24"/>
                <w:u w:val="none" w:color="auto"/>
                <w:vertAlign w:val="baseline"/>
                <w:lang w:val="en-US" w:eastAsia="zh-CN"/>
              </w:rPr>
              <w:t>VOCs</w:t>
            </w:r>
            <w:r>
              <w:rPr>
                <w:rFonts w:hint="eastAsia"/>
                <w:color w:val="auto"/>
                <w:sz w:val="24"/>
                <w:szCs w:val="24"/>
                <w:u w:val="none" w:color="auto"/>
              </w:rPr>
              <w:t>，建议本项目对VOCs申请总量控制指标</w:t>
            </w:r>
            <w:r>
              <w:rPr>
                <w:rFonts w:hint="eastAsia"/>
                <w:color w:val="auto"/>
                <w:sz w:val="24"/>
                <w:szCs w:val="24"/>
                <w:u w:val="none" w:color="auto"/>
                <w:lang w:eastAsia="zh-CN"/>
              </w:rPr>
              <w:t>。</w:t>
            </w:r>
          </w:p>
          <w:p>
            <w:pPr>
              <w:pStyle w:val="174"/>
              <w:spacing w:line="360" w:lineRule="auto"/>
              <w:ind w:firstLine="480"/>
              <w:jc w:val="center"/>
              <w:rPr>
                <w:rFonts w:hint="default"/>
                <w:color w:val="auto"/>
                <w:sz w:val="24"/>
                <w:szCs w:val="24"/>
                <w:u w:val="none" w:color="auto"/>
                <w:lang w:val="en-US" w:eastAsia="zh-CN"/>
              </w:rPr>
            </w:pPr>
            <w:r>
              <w:rPr>
                <w:rFonts w:hint="eastAsia"/>
                <w:color w:val="auto"/>
                <w:sz w:val="24"/>
                <w:szCs w:val="24"/>
                <w:u w:val="none" w:color="auto"/>
                <w:lang w:eastAsia="zh-CN"/>
              </w:rPr>
              <w:t>表</w:t>
            </w:r>
            <w:r>
              <w:rPr>
                <w:rFonts w:hint="eastAsia"/>
                <w:color w:val="auto"/>
                <w:sz w:val="24"/>
                <w:szCs w:val="24"/>
                <w:u w:val="none" w:color="auto"/>
                <w:lang w:val="en-US" w:eastAsia="zh-CN"/>
              </w:rPr>
              <w:t>7-23 项目总量控制指标</w:t>
            </w:r>
          </w:p>
          <w:tbl>
            <w:tblPr>
              <w:tblStyle w:val="40"/>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2979"/>
              <w:gridCol w:w="33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493" w:type="pct"/>
                  <w:noWrap w:val="0"/>
                  <w:vAlign w:val="center"/>
                </w:tcPr>
                <w:p>
                  <w:pPr>
                    <w:pStyle w:val="186"/>
                    <w:spacing w:line="360" w:lineRule="auto"/>
                    <w:rPr>
                      <w:color w:val="auto"/>
                      <w:kern w:val="2"/>
                      <w:sz w:val="24"/>
                      <w:szCs w:val="24"/>
                      <w:u w:val="none" w:color="auto"/>
                      <w:lang w:val="en-US" w:eastAsia="zh-CN"/>
                    </w:rPr>
                  </w:pPr>
                  <w:r>
                    <w:rPr>
                      <w:color w:val="auto"/>
                      <w:kern w:val="2"/>
                      <w:sz w:val="24"/>
                      <w:szCs w:val="24"/>
                      <w:u w:val="none" w:color="auto"/>
                      <w:lang w:val="en-US" w:eastAsia="zh-CN"/>
                    </w:rPr>
                    <w:t>污染物</w:t>
                  </w:r>
                </w:p>
              </w:tc>
              <w:tc>
                <w:tcPr>
                  <w:tcW w:w="1651" w:type="pct"/>
                  <w:noWrap w:val="0"/>
                  <w:vAlign w:val="center"/>
                </w:tcPr>
                <w:p>
                  <w:pPr>
                    <w:pStyle w:val="186"/>
                    <w:spacing w:line="360" w:lineRule="auto"/>
                    <w:rPr>
                      <w:color w:val="auto"/>
                      <w:kern w:val="2"/>
                      <w:sz w:val="24"/>
                      <w:szCs w:val="24"/>
                      <w:u w:val="none" w:color="auto"/>
                      <w:lang w:val="en-US" w:eastAsia="zh-CN"/>
                    </w:rPr>
                  </w:pPr>
                  <w:r>
                    <w:rPr>
                      <w:color w:val="auto"/>
                      <w:kern w:val="2"/>
                      <w:sz w:val="24"/>
                      <w:szCs w:val="24"/>
                      <w:u w:val="none" w:color="auto"/>
                      <w:lang w:val="en-US" w:eastAsia="zh-CN"/>
                    </w:rPr>
                    <w:t>本项目排放量（t/a）</w:t>
                  </w:r>
                </w:p>
              </w:tc>
              <w:tc>
                <w:tcPr>
                  <w:tcW w:w="1854" w:type="pct"/>
                  <w:noWrap w:val="0"/>
                  <w:vAlign w:val="center"/>
                </w:tcPr>
                <w:p>
                  <w:pPr>
                    <w:pStyle w:val="186"/>
                    <w:spacing w:line="360" w:lineRule="auto"/>
                    <w:rPr>
                      <w:color w:val="auto"/>
                      <w:kern w:val="2"/>
                      <w:sz w:val="24"/>
                      <w:szCs w:val="24"/>
                      <w:u w:val="none" w:color="auto"/>
                      <w:lang w:val="en-US" w:eastAsia="zh-CN"/>
                    </w:rPr>
                  </w:pPr>
                  <w:r>
                    <w:rPr>
                      <w:color w:val="auto"/>
                      <w:kern w:val="2"/>
                      <w:sz w:val="24"/>
                      <w:szCs w:val="24"/>
                      <w:u w:val="none" w:color="auto"/>
                      <w:lang w:val="en-US" w:eastAsia="zh-CN"/>
                    </w:rPr>
                    <w:t>总量控制指标建议（t/a）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93" w:type="pct"/>
                  <w:noWrap w:val="0"/>
                  <w:vAlign w:val="center"/>
                </w:tcPr>
                <w:p>
                  <w:pPr>
                    <w:pStyle w:val="186"/>
                    <w:spacing w:line="360" w:lineRule="auto"/>
                    <w:rPr>
                      <w:rFonts w:hint="eastAsia"/>
                      <w:color w:val="auto"/>
                      <w:kern w:val="2"/>
                      <w:sz w:val="24"/>
                      <w:szCs w:val="24"/>
                      <w:u w:val="none" w:color="auto"/>
                      <w:vertAlign w:val="baseline"/>
                      <w:lang w:val="en-US" w:eastAsia="zh-CN"/>
                    </w:rPr>
                  </w:pPr>
                  <w:r>
                    <w:rPr>
                      <w:rFonts w:hint="eastAsia"/>
                      <w:color w:val="auto"/>
                      <w:kern w:val="2"/>
                      <w:sz w:val="24"/>
                      <w:szCs w:val="24"/>
                      <w:u w:val="none" w:color="auto"/>
                      <w:vertAlign w:val="baseline"/>
                      <w:lang w:val="en-US" w:eastAsia="zh-CN"/>
                    </w:rPr>
                    <w:t>VOCs</w:t>
                  </w:r>
                </w:p>
              </w:tc>
              <w:tc>
                <w:tcPr>
                  <w:tcW w:w="1651" w:type="pct"/>
                  <w:noWrap w:val="0"/>
                  <w:vAlign w:val="center"/>
                </w:tcPr>
                <w:p>
                  <w:pPr>
                    <w:pStyle w:val="186"/>
                    <w:spacing w:line="360" w:lineRule="auto"/>
                    <w:rPr>
                      <w:rFonts w:hint="default"/>
                      <w:color w:val="auto"/>
                      <w:kern w:val="2"/>
                      <w:sz w:val="24"/>
                      <w:szCs w:val="24"/>
                      <w:u w:val="none" w:color="auto"/>
                      <w:lang w:val="en-US" w:eastAsia="zh-CN"/>
                    </w:rPr>
                  </w:pPr>
                  <w:r>
                    <w:rPr>
                      <w:rFonts w:hint="eastAsia"/>
                      <w:color w:val="auto"/>
                      <w:kern w:val="2"/>
                      <w:sz w:val="24"/>
                      <w:szCs w:val="24"/>
                      <w:u w:val="none" w:color="auto"/>
                      <w:lang w:val="en-US" w:eastAsia="zh-CN"/>
                    </w:rPr>
                    <w:t>0.032</w:t>
                  </w:r>
                </w:p>
              </w:tc>
              <w:tc>
                <w:tcPr>
                  <w:tcW w:w="1854" w:type="pct"/>
                  <w:noWrap w:val="0"/>
                  <w:vAlign w:val="center"/>
                </w:tcPr>
                <w:p>
                  <w:pPr>
                    <w:pStyle w:val="186"/>
                    <w:spacing w:line="360" w:lineRule="auto"/>
                    <w:rPr>
                      <w:rFonts w:hint="default"/>
                      <w:color w:val="auto"/>
                      <w:kern w:val="2"/>
                      <w:sz w:val="24"/>
                      <w:szCs w:val="24"/>
                      <w:u w:val="none" w:color="auto"/>
                      <w:lang w:val="en-US" w:eastAsia="zh-CN"/>
                    </w:rPr>
                  </w:pPr>
                  <w:r>
                    <w:rPr>
                      <w:rFonts w:hint="eastAsia"/>
                      <w:color w:val="auto"/>
                      <w:kern w:val="2"/>
                      <w:sz w:val="24"/>
                      <w:szCs w:val="24"/>
                      <w:u w:val="none" w:color="auto"/>
                      <w:lang w:val="en-US" w:eastAsia="zh-CN"/>
                    </w:rPr>
                    <w:t>0.1</w:t>
                  </w:r>
                </w:p>
              </w:tc>
            </w:tr>
          </w:tbl>
          <w:p>
            <w:pPr>
              <w:tabs>
                <w:tab w:val="left" w:pos="870"/>
              </w:tabs>
              <w:spacing w:line="360" w:lineRule="auto"/>
              <w:ind w:firstLine="466" w:firstLineChars="200"/>
              <w:rPr>
                <w:rFonts w:hint="default" w:ascii="Times New Roman" w:hAnsi="Times New Roman" w:cs="Times New Roman"/>
                <w:color w:val="auto"/>
                <w:sz w:val="24"/>
                <w:szCs w:val="24"/>
                <w:u w:val="none" w:color="auto"/>
              </w:rPr>
            </w:pPr>
            <w:r>
              <w:rPr>
                <w:rFonts w:hint="eastAsia" w:cs="Times New Roman"/>
                <w:b/>
                <w:color w:val="auto"/>
                <w:sz w:val="24"/>
                <w:szCs w:val="24"/>
                <w:u w:val="none" w:color="auto"/>
                <w:lang w:val="en-US" w:eastAsia="zh-CN"/>
              </w:rPr>
              <w:t>11</w:t>
            </w:r>
            <w:r>
              <w:rPr>
                <w:rFonts w:hint="default" w:ascii="Times New Roman" w:hAnsi="Times New Roman" w:cs="Times New Roman"/>
                <w:b/>
                <w:color w:val="auto"/>
                <w:sz w:val="24"/>
                <w:szCs w:val="24"/>
                <w:u w:val="none" w:color="auto"/>
              </w:rPr>
              <w:t>、环保投资估算</w:t>
            </w:r>
          </w:p>
          <w:p>
            <w:pPr>
              <w:tabs>
                <w:tab w:val="left" w:pos="870"/>
              </w:tabs>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本项目总投资</w:t>
            </w:r>
            <w:r>
              <w:rPr>
                <w:rFonts w:hint="eastAsia" w:cs="Times New Roman"/>
                <w:color w:val="auto"/>
                <w:sz w:val="24"/>
                <w:szCs w:val="24"/>
                <w:u w:val="none" w:color="auto"/>
                <w:lang w:val="en-US" w:eastAsia="zh-CN"/>
              </w:rPr>
              <w:t>2000万元</w:t>
            </w:r>
            <w:r>
              <w:rPr>
                <w:rFonts w:hint="default" w:ascii="Times New Roman" w:hAnsi="Times New Roman" w:cs="Times New Roman"/>
                <w:color w:val="auto"/>
                <w:sz w:val="24"/>
                <w:szCs w:val="24"/>
                <w:u w:val="none" w:color="auto"/>
              </w:rPr>
              <w:t>，其中环保投资</w:t>
            </w:r>
            <w:r>
              <w:rPr>
                <w:rFonts w:hint="eastAsia" w:cs="Times New Roman"/>
                <w:color w:val="auto"/>
                <w:sz w:val="24"/>
                <w:szCs w:val="24"/>
                <w:u w:val="none" w:color="auto"/>
                <w:lang w:val="en-US" w:eastAsia="zh-CN"/>
              </w:rPr>
              <w:t>44.0</w:t>
            </w:r>
            <w:r>
              <w:rPr>
                <w:rFonts w:hint="default" w:ascii="Times New Roman" w:hAnsi="Times New Roman" w:cs="Times New Roman"/>
                <w:color w:val="auto"/>
                <w:sz w:val="24"/>
                <w:szCs w:val="24"/>
                <w:u w:val="none" w:color="auto"/>
              </w:rPr>
              <w:t>万元，</w:t>
            </w:r>
            <w:r>
              <w:rPr>
                <w:rFonts w:hint="default" w:ascii="Times New Roman" w:hAnsi="Times New Roman" w:cs="Times New Roman"/>
                <w:bCs/>
                <w:color w:val="auto"/>
                <w:sz w:val="24"/>
                <w:szCs w:val="24"/>
                <w:u w:val="none" w:color="auto"/>
              </w:rPr>
              <w:t>环保投资占总投资比例的</w:t>
            </w:r>
            <w:r>
              <w:rPr>
                <w:rFonts w:hint="eastAsia" w:cs="Times New Roman"/>
                <w:bCs/>
                <w:color w:val="auto"/>
                <w:sz w:val="24"/>
                <w:szCs w:val="24"/>
                <w:u w:val="none" w:color="auto"/>
                <w:lang w:val="en-US" w:eastAsia="zh-CN"/>
              </w:rPr>
              <w:t>2.2</w:t>
            </w:r>
            <w:r>
              <w:rPr>
                <w:rFonts w:hint="default" w:ascii="Times New Roman" w:hAnsi="Times New Roman" w:cs="Times New Roman"/>
                <w:bCs/>
                <w:color w:val="auto"/>
                <w:sz w:val="24"/>
                <w:szCs w:val="24"/>
                <w:u w:val="none" w:color="auto"/>
              </w:rPr>
              <w:t>%。</w:t>
            </w:r>
            <w:r>
              <w:rPr>
                <w:rFonts w:hint="default" w:ascii="Times New Roman" w:hAnsi="Times New Roman" w:cs="Times New Roman"/>
                <w:color w:val="auto"/>
                <w:sz w:val="24"/>
                <w:szCs w:val="24"/>
                <w:u w:val="none" w:color="auto"/>
              </w:rPr>
              <w:t>项目环保设施及投资估算详见表7-</w:t>
            </w:r>
            <w:r>
              <w:rPr>
                <w:rFonts w:hint="eastAsia" w:cs="Times New Roman"/>
                <w:color w:val="auto"/>
                <w:sz w:val="24"/>
                <w:szCs w:val="24"/>
                <w:u w:val="none" w:color="auto"/>
                <w:lang w:val="en-US" w:eastAsia="zh-CN"/>
              </w:rPr>
              <w:t>24</w:t>
            </w:r>
            <w:r>
              <w:rPr>
                <w:rFonts w:hint="default" w:ascii="Times New Roman" w:hAnsi="Times New Roman" w:cs="Times New Roman"/>
                <w:color w:val="auto"/>
                <w:sz w:val="24"/>
                <w:szCs w:val="24"/>
                <w:u w:val="none" w:color="auto"/>
              </w:rPr>
              <w:t>。</w:t>
            </w:r>
          </w:p>
          <w:p>
            <w:pPr>
              <w:spacing w:line="360" w:lineRule="auto"/>
              <w:ind w:firstLine="459" w:firstLineChars="197"/>
              <w:jc w:val="center"/>
              <w:rPr>
                <w:rFonts w:hint="default" w:ascii="Times New Roman" w:hAnsi="Times New Roman" w:cs="Times New Roman"/>
                <w:b/>
                <w:color w:val="auto"/>
                <w:sz w:val="24"/>
                <w:szCs w:val="24"/>
                <w:u w:val="none" w:color="auto"/>
              </w:rPr>
            </w:pPr>
            <w:r>
              <w:rPr>
                <w:rFonts w:hint="default" w:ascii="Times New Roman" w:hAnsi="Times New Roman" w:cs="Times New Roman"/>
                <w:b/>
                <w:color w:val="auto"/>
                <w:sz w:val="24"/>
                <w:szCs w:val="24"/>
                <w:u w:val="none" w:color="auto"/>
              </w:rPr>
              <w:t>表7-</w:t>
            </w:r>
            <w:r>
              <w:rPr>
                <w:rFonts w:hint="eastAsia" w:cs="Times New Roman"/>
                <w:b/>
                <w:color w:val="auto"/>
                <w:sz w:val="24"/>
                <w:szCs w:val="24"/>
                <w:u w:val="none" w:color="auto"/>
                <w:lang w:val="en-US" w:eastAsia="zh-CN"/>
              </w:rPr>
              <w:t>24</w:t>
            </w:r>
            <w:r>
              <w:rPr>
                <w:rFonts w:hint="default" w:ascii="Times New Roman" w:hAnsi="Times New Roman" w:cs="Times New Roman"/>
                <w:b/>
                <w:color w:val="auto"/>
                <w:sz w:val="24"/>
                <w:szCs w:val="24"/>
                <w:u w:val="none" w:color="auto"/>
              </w:rPr>
              <w:t xml:space="preserve">  环保投资估算表</w:t>
            </w:r>
          </w:p>
          <w:tbl>
            <w:tblPr>
              <w:tblStyle w:val="40"/>
              <w:tblW w:w="4997"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935"/>
              <w:gridCol w:w="1537"/>
              <w:gridCol w:w="4300"/>
              <w:gridCol w:w="227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517" w:type="pct"/>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序号</w:t>
                  </w:r>
                </w:p>
              </w:tc>
              <w:tc>
                <w:tcPr>
                  <w:tcW w:w="849" w:type="pct"/>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污染源</w:t>
                  </w:r>
                </w:p>
              </w:tc>
              <w:tc>
                <w:tcPr>
                  <w:tcW w:w="2376" w:type="pct"/>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建设内容</w:t>
                  </w:r>
                </w:p>
              </w:tc>
              <w:tc>
                <w:tcPr>
                  <w:tcW w:w="1257" w:type="pct"/>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环保</w:t>
                  </w:r>
                  <w:r>
                    <w:rPr>
                      <w:rFonts w:hint="default" w:ascii="Times New Roman" w:hAnsi="Times New Roman" w:cs="Times New Roman"/>
                      <w:color w:val="auto"/>
                      <w:sz w:val="22"/>
                      <w:szCs w:val="22"/>
                      <w:u w:val="none" w:color="auto"/>
                    </w:rPr>
                    <w:t>投资金额（万元）</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517" w:type="pct"/>
                  <w:tcBorders>
                    <w:bottom w:val="single" w:color="auto" w:sz="4" w:space="0"/>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w:t>
                  </w:r>
                </w:p>
              </w:tc>
              <w:tc>
                <w:tcPr>
                  <w:tcW w:w="849" w:type="pct"/>
                  <w:tcBorders>
                    <w:bottom w:val="single" w:color="auto" w:sz="4" w:space="0"/>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生活污水</w:t>
                  </w:r>
                </w:p>
              </w:tc>
              <w:tc>
                <w:tcPr>
                  <w:tcW w:w="2376" w:type="pct"/>
                  <w:tcBorders>
                    <w:bottom w:val="single" w:color="auto" w:sz="4" w:space="0"/>
                  </w:tcBorders>
                  <w:noWrap w:val="0"/>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eastAsia="zh-CN"/>
                    </w:rPr>
                    <w:t>依托现有</w:t>
                  </w:r>
                  <w:r>
                    <w:rPr>
                      <w:rFonts w:hint="default" w:ascii="Times New Roman" w:hAnsi="Times New Roman" w:cs="Times New Roman"/>
                      <w:color w:val="auto"/>
                      <w:sz w:val="22"/>
                      <w:szCs w:val="22"/>
                      <w:u w:val="none" w:color="auto"/>
                    </w:rPr>
                    <w:t>化粪池</w:t>
                  </w:r>
                  <w:r>
                    <w:rPr>
                      <w:rFonts w:hint="eastAsia" w:cs="Times New Roman"/>
                      <w:color w:val="auto"/>
                      <w:sz w:val="22"/>
                      <w:szCs w:val="22"/>
                      <w:u w:val="none" w:color="auto"/>
                      <w:lang w:eastAsia="zh-CN"/>
                    </w:rPr>
                    <w:t>及</w:t>
                  </w:r>
                  <w:r>
                    <w:rPr>
                      <w:rFonts w:hint="eastAsia" w:cs="Times New Roman"/>
                      <w:color w:val="auto"/>
                      <w:sz w:val="22"/>
                      <w:szCs w:val="22"/>
                      <w:u w:val="none" w:color="auto"/>
                      <w:lang w:val="en-US" w:eastAsia="zh-CN"/>
                    </w:rPr>
                    <w:t>卓达工业园</w:t>
                  </w:r>
                  <w:r>
                    <w:rPr>
                      <w:rFonts w:hint="eastAsia" w:cs="Times New Roman"/>
                      <w:color w:val="auto"/>
                      <w:sz w:val="22"/>
                      <w:szCs w:val="22"/>
                      <w:u w:val="none" w:color="auto"/>
                      <w:lang w:eastAsia="zh-CN"/>
                    </w:rPr>
                    <w:t>污水处理站</w:t>
                  </w:r>
                </w:p>
              </w:tc>
              <w:tc>
                <w:tcPr>
                  <w:tcW w:w="1257" w:type="pct"/>
                  <w:tcBorders>
                    <w:bottom w:val="single" w:color="auto" w:sz="4" w:space="0"/>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0（依托现有设施）</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6" w:hRule="atLeast"/>
                <w:jc w:val="center"/>
              </w:trPr>
              <w:tc>
                <w:tcPr>
                  <w:tcW w:w="517" w:type="pct"/>
                  <w:tcBorders>
                    <w:top w:val="single" w:color="auto" w:sz="4" w:space="0"/>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2</w:t>
                  </w:r>
                </w:p>
              </w:tc>
              <w:tc>
                <w:tcPr>
                  <w:tcW w:w="849" w:type="pct"/>
                  <w:tcBorders>
                    <w:top w:val="single" w:color="auto" w:sz="4" w:space="0"/>
                    <w:bottom w:val="single" w:color="000000" w:sz="4" w:space="0"/>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印刷工序擦洗废水</w:t>
                  </w:r>
                </w:p>
              </w:tc>
              <w:tc>
                <w:tcPr>
                  <w:tcW w:w="2376" w:type="pct"/>
                  <w:tcBorders>
                    <w:top w:val="single" w:color="auto" w:sz="4" w:space="0"/>
                    <w:bottom w:val="single" w:color="000000" w:sz="4" w:space="0"/>
                  </w:tcBorders>
                  <w:noWrap w:val="0"/>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废水收集罐（5m</w:t>
                  </w:r>
                  <w:r>
                    <w:rPr>
                      <w:rFonts w:hint="eastAsia" w:cs="Times New Roman"/>
                      <w:color w:val="auto"/>
                      <w:sz w:val="22"/>
                      <w:szCs w:val="22"/>
                      <w:u w:val="none" w:color="auto"/>
                      <w:vertAlign w:val="superscript"/>
                      <w:lang w:val="en-US" w:eastAsia="zh-CN"/>
                    </w:rPr>
                    <w:t>3</w:t>
                  </w:r>
                  <w:r>
                    <w:rPr>
                      <w:rFonts w:hint="eastAsia" w:cs="Times New Roman"/>
                      <w:color w:val="auto"/>
                      <w:sz w:val="22"/>
                      <w:szCs w:val="22"/>
                      <w:u w:val="none" w:color="auto"/>
                      <w:lang w:val="en-US" w:eastAsia="zh-CN"/>
                    </w:rPr>
                    <w:t>），周围设置围堰、交由有资质单位处理</w:t>
                  </w:r>
                </w:p>
              </w:tc>
              <w:tc>
                <w:tcPr>
                  <w:tcW w:w="1257" w:type="pct"/>
                  <w:tcBorders>
                    <w:top w:val="single" w:color="auto" w:sz="4" w:space="0"/>
                    <w:bottom w:val="single" w:color="000000" w:sz="4" w:space="0"/>
                  </w:tcBorders>
                  <w:noWrap w:val="0"/>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3.5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17" w:type="pct"/>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3</w:t>
                  </w:r>
                </w:p>
              </w:tc>
              <w:tc>
                <w:tcPr>
                  <w:tcW w:w="849" w:type="pct"/>
                  <w:noWrap w:val="0"/>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eastAsia="zh-CN"/>
                    </w:rPr>
                    <w:t>废气</w:t>
                  </w:r>
                </w:p>
              </w:tc>
              <w:tc>
                <w:tcPr>
                  <w:tcW w:w="2376" w:type="pct"/>
                  <w:noWrap w:val="0"/>
                  <w:vAlign w:val="center"/>
                </w:tcPr>
                <w:p>
                  <w:pPr>
                    <w:spacing w:line="360" w:lineRule="auto"/>
                    <w:jc w:val="center"/>
                    <w:rPr>
                      <w:rFonts w:hint="eastAsia" w:cs="Times New Roman"/>
                      <w:color w:val="auto"/>
                      <w:sz w:val="22"/>
                      <w:szCs w:val="22"/>
                      <w:u w:val="none" w:color="auto"/>
                      <w:lang w:val="en-US" w:eastAsia="zh-CN"/>
                    </w:rPr>
                  </w:pPr>
                  <w:r>
                    <w:rPr>
                      <w:rFonts w:hint="eastAsia" w:cs="Times New Roman"/>
                      <w:color w:val="auto"/>
                      <w:sz w:val="22"/>
                      <w:szCs w:val="22"/>
                      <w:u w:val="none" w:color="auto"/>
                      <w:lang w:val="en-US" w:eastAsia="zh-CN"/>
                    </w:rPr>
                    <w:t>印刷、固化废气：经集气罩+UV光解设施+活性炭吸附设施</w:t>
                  </w:r>
                  <w:r>
                    <w:rPr>
                      <w:rFonts w:hint="eastAsia" w:ascii="Times New Roman" w:hAnsi="Times New Roman" w:cs="Times New Roman"/>
                      <w:color w:val="auto"/>
                      <w:sz w:val="22"/>
                      <w:szCs w:val="22"/>
                      <w:u w:val="none" w:color="auto"/>
                      <w:lang w:val="en-US" w:eastAsia="zh-CN"/>
                    </w:rPr>
                    <w:t>+</w:t>
                  </w:r>
                  <w:r>
                    <w:rPr>
                      <w:rFonts w:hint="eastAsia" w:cs="Times New Roman"/>
                      <w:color w:val="auto"/>
                      <w:sz w:val="22"/>
                      <w:szCs w:val="22"/>
                      <w:u w:val="none" w:color="auto"/>
                      <w:lang w:val="en-US" w:eastAsia="zh-CN"/>
                    </w:rPr>
                    <w:t>24</w:t>
                  </w:r>
                  <w:r>
                    <w:rPr>
                      <w:rFonts w:hint="eastAsia" w:ascii="Times New Roman" w:hAnsi="Times New Roman" w:cs="Times New Roman"/>
                      <w:color w:val="auto"/>
                      <w:sz w:val="22"/>
                      <w:szCs w:val="22"/>
                      <w:u w:val="none" w:color="auto"/>
                      <w:lang w:val="en-US" w:eastAsia="zh-CN"/>
                    </w:rPr>
                    <w:t>m高排气筒处理后高空排放</w:t>
                  </w:r>
                  <w:r>
                    <w:rPr>
                      <w:rFonts w:hint="eastAsia" w:cs="Times New Roman"/>
                      <w:color w:val="auto"/>
                      <w:sz w:val="22"/>
                      <w:szCs w:val="22"/>
                      <w:u w:val="none" w:color="auto"/>
                      <w:lang w:val="en-US" w:eastAsia="zh-CN"/>
                    </w:rPr>
                    <w:t>；分切废气：经集气罩收集+布袋除尘器处理后和印刷、固化废气一同排放，</w:t>
                  </w:r>
                </w:p>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车间</w:t>
                  </w:r>
                  <w:r>
                    <w:rPr>
                      <w:rFonts w:hint="default" w:ascii="Times New Roman" w:hAnsi="Times New Roman" w:cs="Times New Roman"/>
                      <w:color w:val="auto"/>
                      <w:sz w:val="22"/>
                      <w:szCs w:val="22"/>
                      <w:u w:val="none" w:color="auto"/>
                      <w:lang w:val="en-US" w:eastAsia="zh-CN"/>
                    </w:rPr>
                    <w:t>排</w:t>
                  </w:r>
                  <w:r>
                    <w:rPr>
                      <w:rFonts w:hint="eastAsia" w:cs="Times New Roman"/>
                      <w:color w:val="auto"/>
                      <w:sz w:val="22"/>
                      <w:szCs w:val="22"/>
                      <w:u w:val="none" w:color="auto"/>
                      <w:lang w:val="en-US" w:eastAsia="zh-CN"/>
                    </w:rPr>
                    <w:t>气口</w:t>
                  </w:r>
                </w:p>
              </w:tc>
              <w:tc>
                <w:tcPr>
                  <w:tcW w:w="1257" w:type="pct"/>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35.0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17" w:type="pct"/>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4</w:t>
                  </w:r>
                </w:p>
              </w:tc>
              <w:tc>
                <w:tcPr>
                  <w:tcW w:w="849" w:type="pct"/>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噪声</w:t>
                  </w:r>
                </w:p>
              </w:tc>
              <w:tc>
                <w:tcPr>
                  <w:tcW w:w="2376" w:type="pct"/>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减振降噪措施</w:t>
                  </w:r>
                </w:p>
              </w:tc>
              <w:tc>
                <w:tcPr>
                  <w:tcW w:w="1257" w:type="pct"/>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3.0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17" w:type="pct"/>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5</w:t>
                  </w:r>
                </w:p>
              </w:tc>
              <w:tc>
                <w:tcPr>
                  <w:tcW w:w="849" w:type="pct"/>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生活垃圾</w:t>
                  </w:r>
                </w:p>
              </w:tc>
              <w:tc>
                <w:tcPr>
                  <w:tcW w:w="2376" w:type="pct"/>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垃圾桶等环卫设施</w:t>
                  </w:r>
                </w:p>
              </w:tc>
              <w:tc>
                <w:tcPr>
                  <w:tcW w:w="1257" w:type="pct"/>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17" w:type="pct"/>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6</w:t>
                  </w:r>
                </w:p>
              </w:tc>
              <w:tc>
                <w:tcPr>
                  <w:tcW w:w="849" w:type="pct"/>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eastAsia="zh-CN"/>
                    </w:rPr>
                    <w:t>固废</w:t>
                  </w:r>
                </w:p>
              </w:tc>
              <w:tc>
                <w:tcPr>
                  <w:tcW w:w="2376" w:type="pct"/>
                  <w:noWrap w:val="0"/>
                  <w:vAlign w:val="center"/>
                </w:tcPr>
                <w:p>
                  <w:pPr>
                    <w:spacing w:line="360" w:lineRule="auto"/>
                    <w:jc w:val="center"/>
                    <w:rPr>
                      <w:rFonts w:hint="default" w:ascii="Times New Roman" w:hAnsi="Times New Roman" w:eastAsia="宋体"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固废堆</w:t>
                  </w:r>
                  <w:r>
                    <w:rPr>
                      <w:rFonts w:hint="default" w:ascii="Times New Roman" w:hAnsi="Times New Roman" w:cs="Times New Roman"/>
                      <w:color w:val="auto"/>
                      <w:sz w:val="22"/>
                      <w:szCs w:val="22"/>
                      <w:u w:val="none" w:color="auto"/>
                    </w:rPr>
                    <w:t>场</w:t>
                  </w:r>
                  <w:r>
                    <w:rPr>
                      <w:rFonts w:hint="default" w:ascii="Times New Roman" w:hAnsi="Times New Roman" w:cs="Times New Roman"/>
                      <w:color w:val="auto"/>
                      <w:sz w:val="22"/>
                      <w:szCs w:val="22"/>
                      <w:u w:val="none" w:color="auto"/>
                      <w:lang w:eastAsia="zh-CN"/>
                    </w:rPr>
                    <w:t>、危险废物储存间</w:t>
                  </w:r>
                </w:p>
              </w:tc>
              <w:tc>
                <w:tcPr>
                  <w:tcW w:w="1257" w:type="pct"/>
                  <w:noWrap w:val="0"/>
                  <w:vAlign w:val="center"/>
                </w:tcPr>
                <w:p>
                  <w:pPr>
                    <w:spacing w:line="360" w:lineRule="auto"/>
                    <w:jc w:val="center"/>
                    <w:rPr>
                      <w:rFonts w:hint="default" w:ascii="Times New Roman" w:hAnsi="Times New Roman" w:cs="Times New Roman"/>
                      <w:color w:val="auto"/>
                      <w:sz w:val="22"/>
                      <w:szCs w:val="22"/>
                      <w:u w:val="none" w:color="auto"/>
                      <w:lang w:val="en-US"/>
                    </w:rPr>
                  </w:pPr>
                  <w:r>
                    <w:rPr>
                      <w:rFonts w:hint="eastAsia" w:cs="Times New Roman"/>
                      <w:color w:val="auto"/>
                      <w:sz w:val="22"/>
                      <w:szCs w:val="22"/>
                      <w:u w:val="none" w:color="auto"/>
                      <w:lang w:val="en-US" w:eastAsia="zh-CN"/>
                    </w:rPr>
                    <w:t>3.0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17" w:type="pct"/>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7</w:t>
                  </w:r>
                </w:p>
              </w:tc>
              <w:tc>
                <w:tcPr>
                  <w:tcW w:w="849" w:type="pct"/>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合计</w:t>
                  </w:r>
                </w:p>
              </w:tc>
              <w:tc>
                <w:tcPr>
                  <w:tcW w:w="2376" w:type="pct"/>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w:t>
                  </w:r>
                </w:p>
              </w:tc>
              <w:tc>
                <w:tcPr>
                  <w:tcW w:w="1257" w:type="pct"/>
                  <w:tcBorders>
                    <w:right w:val="single" w:color="auto" w:sz="4" w:space="0"/>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44.0</w:t>
                  </w:r>
                </w:p>
              </w:tc>
            </w:tr>
          </w:tbl>
          <w:p>
            <w:pPr>
              <w:spacing w:line="360" w:lineRule="auto"/>
              <w:ind w:firstLine="466" w:firstLineChars="200"/>
              <w:textAlignment w:val="baseline"/>
              <w:rPr>
                <w:rFonts w:hint="default" w:ascii="Times New Roman" w:hAnsi="Times New Roman" w:cs="Times New Roman"/>
                <w:b/>
                <w:color w:val="auto"/>
                <w:sz w:val="24"/>
                <w:szCs w:val="24"/>
                <w:u w:val="none" w:color="auto"/>
              </w:rPr>
            </w:pPr>
            <w:r>
              <w:rPr>
                <w:rFonts w:hint="default" w:ascii="Times New Roman" w:hAnsi="Times New Roman" w:cs="Times New Roman"/>
                <w:color w:val="auto"/>
                <w:sz w:val="24"/>
                <w:szCs w:val="24"/>
                <w:u w:val="none" w:color="auto"/>
              </w:rPr>
              <w:t>从工程分析结论可知，只有保障上述这部分环保投资落到实处，才能使污染物达标排放。</w:t>
            </w:r>
          </w:p>
          <w:p>
            <w:pPr>
              <w:spacing w:line="360" w:lineRule="auto"/>
              <w:ind w:firstLine="482" w:firstLineChars="207"/>
              <w:textAlignment w:val="baseline"/>
              <w:rPr>
                <w:rFonts w:hint="default" w:ascii="Times New Roman" w:hAnsi="Times New Roman" w:cs="Times New Roman"/>
                <w:b/>
                <w:color w:val="auto"/>
                <w:sz w:val="24"/>
                <w:szCs w:val="24"/>
                <w:u w:val="none" w:color="auto"/>
              </w:rPr>
            </w:pPr>
            <w:r>
              <w:rPr>
                <w:rFonts w:hint="default" w:ascii="Times New Roman" w:hAnsi="Times New Roman" w:cs="Times New Roman"/>
                <w:b/>
                <w:color w:val="auto"/>
                <w:sz w:val="24"/>
                <w:szCs w:val="24"/>
                <w:u w:val="none" w:color="auto"/>
              </w:rPr>
              <w:t>1</w:t>
            </w:r>
            <w:r>
              <w:rPr>
                <w:rFonts w:hint="eastAsia" w:cs="Times New Roman"/>
                <w:b/>
                <w:color w:val="auto"/>
                <w:sz w:val="24"/>
                <w:szCs w:val="24"/>
                <w:u w:val="none" w:color="auto"/>
                <w:lang w:val="en-US" w:eastAsia="zh-CN"/>
              </w:rPr>
              <w:t>2</w:t>
            </w:r>
            <w:r>
              <w:rPr>
                <w:rFonts w:hint="default" w:ascii="Times New Roman" w:hAnsi="Times New Roman" w:cs="Times New Roman"/>
                <w:b/>
                <w:color w:val="auto"/>
                <w:sz w:val="24"/>
                <w:szCs w:val="24"/>
                <w:u w:val="none" w:color="auto"/>
              </w:rPr>
              <w:t>、项目环保竣工验收计划</w:t>
            </w:r>
          </w:p>
          <w:p>
            <w:pPr>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本工程环保竣工验收计划内容，具体见表7-</w:t>
            </w:r>
            <w:r>
              <w:rPr>
                <w:rFonts w:hint="eastAsia" w:cs="Times New Roman"/>
                <w:color w:val="auto"/>
                <w:sz w:val="24"/>
                <w:szCs w:val="24"/>
                <w:u w:val="none" w:color="auto"/>
                <w:lang w:val="en-US" w:eastAsia="zh-CN"/>
              </w:rPr>
              <w:t>25</w:t>
            </w:r>
            <w:r>
              <w:rPr>
                <w:rFonts w:hint="default" w:ascii="Times New Roman" w:hAnsi="Times New Roman" w:cs="Times New Roman"/>
                <w:color w:val="auto"/>
                <w:sz w:val="24"/>
                <w:szCs w:val="24"/>
                <w:u w:val="none" w:color="auto"/>
              </w:rPr>
              <w:t>。</w:t>
            </w:r>
          </w:p>
          <w:p>
            <w:pPr>
              <w:spacing w:before="156" w:beforeLines="50" w:line="360" w:lineRule="auto"/>
              <w:ind w:firstLine="583" w:firstLineChars="250"/>
              <w:jc w:val="center"/>
              <w:rPr>
                <w:rFonts w:hint="default" w:ascii="Times New Roman" w:hAnsi="Times New Roman" w:cs="Times New Roman"/>
                <w:b/>
                <w:color w:val="auto"/>
                <w:sz w:val="24"/>
                <w:szCs w:val="24"/>
                <w:u w:val="none" w:color="auto"/>
              </w:rPr>
            </w:pPr>
            <w:r>
              <w:rPr>
                <w:rFonts w:hint="default" w:ascii="Times New Roman" w:hAnsi="Times New Roman" w:cs="Times New Roman"/>
                <w:b/>
                <w:color w:val="auto"/>
                <w:sz w:val="24"/>
                <w:szCs w:val="24"/>
                <w:u w:val="none" w:color="auto"/>
              </w:rPr>
              <w:t>表7-</w:t>
            </w:r>
            <w:r>
              <w:rPr>
                <w:rFonts w:hint="eastAsia" w:cs="Times New Roman"/>
                <w:b/>
                <w:color w:val="auto"/>
                <w:sz w:val="24"/>
                <w:szCs w:val="24"/>
                <w:u w:val="none" w:color="auto"/>
                <w:lang w:val="en-US" w:eastAsia="zh-CN"/>
              </w:rPr>
              <w:t>25</w:t>
            </w:r>
            <w:r>
              <w:rPr>
                <w:rFonts w:hint="default" w:ascii="Times New Roman" w:hAnsi="Times New Roman" w:cs="Times New Roman"/>
                <w:b/>
                <w:color w:val="auto"/>
                <w:sz w:val="24"/>
                <w:szCs w:val="24"/>
                <w:u w:val="none" w:color="auto"/>
              </w:rPr>
              <w:t xml:space="preserve"> 本项目环保竣工验收内容一览表</w:t>
            </w:r>
          </w:p>
          <w:tbl>
            <w:tblPr>
              <w:tblStyle w:val="40"/>
              <w:tblW w:w="907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74"/>
              <w:gridCol w:w="3255"/>
              <w:gridCol w:w="1575"/>
              <w:gridCol w:w="236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702" w:type="dxa"/>
                  <w:tcBorders>
                    <w:tl2br w:val="nil"/>
                    <w:tr2bl w:val="nil"/>
                  </w:tcBorders>
                  <w:noWrap w:val="0"/>
                  <w:vAlign w:val="center"/>
                </w:tcPr>
                <w:p>
                  <w:pPr>
                    <w:spacing w:line="360" w:lineRule="auto"/>
                    <w:jc w:val="center"/>
                    <w:rPr>
                      <w:rFonts w:hint="default" w:ascii="Times New Roman" w:hAnsi="Times New Roman" w:cs="Times New Roman"/>
                      <w:b/>
                      <w:color w:val="auto"/>
                      <w:sz w:val="24"/>
                      <w:szCs w:val="24"/>
                      <w:u w:val="none" w:color="auto"/>
                    </w:rPr>
                  </w:pPr>
                  <w:r>
                    <w:rPr>
                      <w:rFonts w:hint="default" w:ascii="Times New Roman" w:hAnsi="Times New Roman" w:cs="Times New Roman"/>
                      <w:b/>
                      <w:color w:val="auto"/>
                      <w:sz w:val="24"/>
                      <w:szCs w:val="24"/>
                      <w:u w:val="none" w:color="auto"/>
                    </w:rPr>
                    <w:t>污染源</w:t>
                  </w:r>
                </w:p>
              </w:tc>
              <w:tc>
                <w:tcPr>
                  <w:tcW w:w="1174" w:type="dxa"/>
                  <w:tcBorders>
                    <w:tl2br w:val="nil"/>
                    <w:tr2bl w:val="nil"/>
                  </w:tcBorders>
                  <w:noWrap w:val="0"/>
                  <w:vAlign w:val="center"/>
                </w:tcPr>
                <w:p>
                  <w:pPr>
                    <w:spacing w:line="360" w:lineRule="auto"/>
                    <w:jc w:val="center"/>
                    <w:rPr>
                      <w:rFonts w:hint="default" w:ascii="Times New Roman" w:hAnsi="Times New Roman" w:cs="Times New Roman"/>
                      <w:b/>
                      <w:color w:val="auto"/>
                      <w:sz w:val="24"/>
                      <w:szCs w:val="24"/>
                      <w:u w:val="none" w:color="auto"/>
                    </w:rPr>
                  </w:pPr>
                  <w:r>
                    <w:rPr>
                      <w:rFonts w:hint="default" w:ascii="Times New Roman" w:hAnsi="Times New Roman" w:cs="Times New Roman"/>
                      <w:b/>
                      <w:color w:val="auto"/>
                      <w:sz w:val="24"/>
                      <w:szCs w:val="24"/>
                      <w:u w:val="none" w:color="auto"/>
                    </w:rPr>
                    <w:t>污染物</w:t>
                  </w:r>
                </w:p>
                <w:p>
                  <w:pPr>
                    <w:spacing w:line="360" w:lineRule="auto"/>
                    <w:jc w:val="center"/>
                    <w:rPr>
                      <w:rFonts w:hint="default" w:ascii="Times New Roman" w:hAnsi="Times New Roman" w:cs="Times New Roman"/>
                      <w:b/>
                      <w:color w:val="auto"/>
                      <w:sz w:val="24"/>
                      <w:szCs w:val="24"/>
                      <w:u w:val="none" w:color="auto"/>
                    </w:rPr>
                  </w:pPr>
                  <w:r>
                    <w:rPr>
                      <w:rFonts w:hint="default" w:ascii="Times New Roman" w:hAnsi="Times New Roman" w:cs="Times New Roman"/>
                      <w:b/>
                      <w:color w:val="auto"/>
                      <w:sz w:val="24"/>
                      <w:szCs w:val="24"/>
                      <w:u w:val="none" w:color="auto"/>
                    </w:rPr>
                    <w:t>名称</w:t>
                  </w:r>
                </w:p>
              </w:tc>
              <w:tc>
                <w:tcPr>
                  <w:tcW w:w="3255" w:type="dxa"/>
                  <w:tcBorders>
                    <w:tl2br w:val="nil"/>
                    <w:tr2bl w:val="nil"/>
                  </w:tcBorders>
                  <w:noWrap w:val="0"/>
                  <w:vAlign w:val="center"/>
                </w:tcPr>
                <w:p>
                  <w:pPr>
                    <w:spacing w:line="360" w:lineRule="auto"/>
                    <w:jc w:val="center"/>
                    <w:rPr>
                      <w:rFonts w:hint="default" w:ascii="Times New Roman" w:hAnsi="Times New Roman" w:cs="Times New Roman"/>
                      <w:b/>
                      <w:color w:val="auto"/>
                      <w:sz w:val="24"/>
                      <w:szCs w:val="24"/>
                      <w:u w:val="none" w:color="auto"/>
                    </w:rPr>
                  </w:pPr>
                  <w:r>
                    <w:rPr>
                      <w:rFonts w:hint="default" w:ascii="Times New Roman" w:hAnsi="Times New Roman" w:cs="Times New Roman"/>
                      <w:b/>
                      <w:color w:val="auto"/>
                      <w:sz w:val="24"/>
                      <w:szCs w:val="24"/>
                      <w:u w:val="none" w:color="auto"/>
                    </w:rPr>
                    <w:t>防治措施与工艺</w:t>
                  </w:r>
                </w:p>
              </w:tc>
              <w:tc>
                <w:tcPr>
                  <w:tcW w:w="1575" w:type="dxa"/>
                  <w:tcBorders>
                    <w:tl2br w:val="nil"/>
                    <w:tr2bl w:val="nil"/>
                  </w:tcBorders>
                  <w:noWrap w:val="0"/>
                  <w:vAlign w:val="center"/>
                </w:tcPr>
                <w:p>
                  <w:pPr>
                    <w:spacing w:line="360" w:lineRule="auto"/>
                    <w:jc w:val="center"/>
                    <w:rPr>
                      <w:rFonts w:hint="default" w:ascii="Times New Roman" w:hAnsi="Times New Roman" w:cs="Times New Roman"/>
                      <w:b/>
                      <w:color w:val="auto"/>
                      <w:sz w:val="24"/>
                      <w:szCs w:val="24"/>
                      <w:u w:val="none" w:color="auto"/>
                    </w:rPr>
                  </w:pPr>
                  <w:r>
                    <w:rPr>
                      <w:rFonts w:hint="default" w:ascii="Times New Roman" w:hAnsi="Times New Roman" w:cs="Times New Roman"/>
                      <w:b/>
                      <w:color w:val="auto"/>
                      <w:sz w:val="24"/>
                      <w:szCs w:val="24"/>
                      <w:u w:val="none" w:color="auto"/>
                    </w:rPr>
                    <w:t>三同时竣</w:t>
                  </w:r>
                </w:p>
                <w:p>
                  <w:pPr>
                    <w:spacing w:line="360" w:lineRule="auto"/>
                    <w:jc w:val="center"/>
                    <w:rPr>
                      <w:rFonts w:hint="default" w:ascii="Times New Roman" w:hAnsi="Times New Roman" w:cs="Times New Roman"/>
                      <w:b/>
                      <w:color w:val="auto"/>
                      <w:sz w:val="24"/>
                      <w:szCs w:val="24"/>
                      <w:u w:val="none" w:color="auto"/>
                    </w:rPr>
                  </w:pPr>
                  <w:r>
                    <w:rPr>
                      <w:rFonts w:hint="default" w:ascii="Times New Roman" w:hAnsi="Times New Roman" w:cs="Times New Roman"/>
                      <w:b/>
                      <w:color w:val="auto"/>
                      <w:sz w:val="24"/>
                      <w:szCs w:val="24"/>
                      <w:u w:val="none" w:color="auto"/>
                    </w:rPr>
                    <w:t>工验收</w:t>
                  </w:r>
                </w:p>
              </w:tc>
              <w:tc>
                <w:tcPr>
                  <w:tcW w:w="2366" w:type="dxa"/>
                  <w:tcBorders>
                    <w:tl2br w:val="nil"/>
                    <w:tr2bl w:val="nil"/>
                  </w:tcBorders>
                  <w:noWrap w:val="0"/>
                  <w:vAlign w:val="center"/>
                </w:tcPr>
                <w:p>
                  <w:pPr>
                    <w:spacing w:line="360" w:lineRule="auto"/>
                    <w:jc w:val="center"/>
                    <w:rPr>
                      <w:rFonts w:hint="default" w:ascii="Times New Roman" w:hAnsi="Times New Roman" w:cs="Times New Roman"/>
                      <w:b/>
                      <w:color w:val="auto"/>
                      <w:sz w:val="24"/>
                      <w:szCs w:val="24"/>
                      <w:u w:val="none" w:color="auto"/>
                    </w:rPr>
                  </w:pPr>
                  <w:r>
                    <w:rPr>
                      <w:rFonts w:hint="default" w:ascii="Times New Roman" w:hAnsi="Times New Roman" w:cs="Times New Roman"/>
                      <w:b/>
                      <w:color w:val="auto"/>
                      <w:sz w:val="24"/>
                      <w:szCs w:val="24"/>
                      <w:u w:val="none" w:color="auto"/>
                    </w:rPr>
                    <w:t>预期治理效果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702"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废水</w:t>
                  </w:r>
                </w:p>
              </w:tc>
              <w:tc>
                <w:tcPr>
                  <w:tcW w:w="1174"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生活</w:t>
                  </w:r>
                </w:p>
                <w:p>
                  <w:pPr>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污水</w:t>
                  </w:r>
                </w:p>
              </w:tc>
              <w:tc>
                <w:tcPr>
                  <w:tcW w:w="3255" w:type="dxa"/>
                  <w:tcBorders>
                    <w:bottom w:val="single" w:color="000000" w:sz="4" w:space="0"/>
                    <w:tl2br w:val="nil"/>
                    <w:tr2bl w:val="nil"/>
                  </w:tcBorders>
                  <w:noWrap w:val="0"/>
                  <w:vAlign w:val="center"/>
                </w:tcPr>
                <w:p>
                  <w:pPr>
                    <w:spacing w:line="360" w:lineRule="auto"/>
                    <w:jc w:val="center"/>
                    <w:rPr>
                      <w:rFonts w:hint="eastAsia" w:ascii="Times New Roman" w:hAnsi="Times New Roman" w:eastAsia="宋体" w:cs="Times New Roman"/>
                      <w:color w:val="auto"/>
                      <w:sz w:val="24"/>
                      <w:szCs w:val="24"/>
                      <w:u w:val="none" w:color="auto"/>
                      <w:lang w:val="en-US" w:eastAsia="zh-CN"/>
                    </w:rPr>
                  </w:pPr>
                  <w:r>
                    <w:rPr>
                      <w:rFonts w:hint="eastAsia"/>
                      <w:sz w:val="24"/>
                      <w:szCs w:val="24"/>
                      <w:u w:val="none" w:color="auto"/>
                      <w:lang w:val="en-US" w:eastAsia="zh-CN"/>
                    </w:rPr>
                    <w:t>湘阴县第三污水处理厂建成且接通前：</w:t>
                  </w:r>
                  <w:r>
                    <w:rPr>
                      <w:sz w:val="24"/>
                      <w:szCs w:val="24"/>
                      <w:u w:val="none" w:color="auto"/>
                    </w:rPr>
                    <w:t>项目</w:t>
                  </w:r>
                  <w:r>
                    <w:rPr>
                      <w:rFonts w:hint="eastAsia"/>
                      <w:sz w:val="24"/>
                      <w:szCs w:val="24"/>
                      <w:u w:val="none" w:color="auto"/>
                      <w:lang w:val="en-US" w:eastAsia="zh-CN"/>
                    </w:rPr>
                    <w:t>生活</w:t>
                  </w:r>
                  <w:r>
                    <w:rPr>
                      <w:sz w:val="24"/>
                      <w:szCs w:val="24"/>
                      <w:u w:val="none" w:color="auto"/>
                    </w:rPr>
                    <w:t>污水通过化粪池处理后排入园区污水管网再进入</w:t>
                  </w:r>
                  <w:r>
                    <w:rPr>
                      <w:rFonts w:hint="eastAsia"/>
                      <w:sz w:val="24"/>
                      <w:szCs w:val="24"/>
                      <w:u w:val="none" w:color="auto"/>
                      <w:lang w:eastAsia="zh-CN"/>
                    </w:rPr>
                    <w:t>卓达金谷创业园自建的污水处理站</w:t>
                  </w:r>
                  <w:r>
                    <w:rPr>
                      <w:sz w:val="24"/>
                      <w:szCs w:val="24"/>
                      <w:u w:val="none" w:color="auto"/>
                    </w:rPr>
                    <w:t>处理</w:t>
                  </w:r>
                  <w:r>
                    <w:rPr>
                      <w:rFonts w:hAnsi="宋体"/>
                      <w:sz w:val="24"/>
                      <w:szCs w:val="24"/>
                      <w:u w:val="none" w:color="auto"/>
                    </w:rPr>
                    <w:t>达</w:t>
                  </w:r>
                  <w:r>
                    <w:rPr>
                      <w:rFonts w:hint="eastAsia" w:hAnsi="宋体"/>
                      <w:sz w:val="24"/>
                      <w:szCs w:val="24"/>
                      <w:u w:val="none" w:color="auto"/>
                      <w:lang w:eastAsia="zh-CN"/>
                    </w:rPr>
                    <w:t>到</w:t>
                  </w:r>
                  <w:r>
                    <w:rPr>
                      <w:sz w:val="24"/>
                      <w:szCs w:val="24"/>
                      <w:u w:val="none" w:color="auto"/>
                    </w:rPr>
                    <w:t>《城镇污水处理厂污染物排放标准（GB18918—2002）》中一级标准的A类标准后</w:t>
                  </w:r>
                  <w:r>
                    <w:rPr>
                      <w:rFonts w:hint="eastAsia"/>
                      <w:sz w:val="24"/>
                      <w:szCs w:val="24"/>
                      <w:u w:val="none" w:color="auto"/>
                      <w:lang w:eastAsia="zh-CN"/>
                    </w:rPr>
                    <w:t>进入洋沙河</w:t>
                  </w:r>
                  <w:r>
                    <w:rPr>
                      <w:rFonts w:hint="eastAsia"/>
                      <w:sz w:val="24"/>
                      <w:szCs w:val="24"/>
                      <w:u w:val="none" w:color="auto"/>
                      <w:lang w:val="en-US" w:eastAsia="zh-CN"/>
                    </w:rPr>
                    <w:t>排入洋沙湖</w:t>
                  </w:r>
                  <w:r>
                    <w:rPr>
                      <w:sz w:val="24"/>
                      <w:szCs w:val="24"/>
                      <w:u w:val="none" w:color="auto"/>
                    </w:rPr>
                    <w:t>，最终汇入湘江</w:t>
                  </w:r>
                  <w:r>
                    <w:rPr>
                      <w:rFonts w:hint="eastAsia"/>
                      <w:sz w:val="24"/>
                      <w:szCs w:val="24"/>
                      <w:u w:val="none" w:color="auto"/>
                      <w:lang w:eastAsia="zh-CN"/>
                    </w:rPr>
                    <w:t>。</w:t>
                  </w:r>
                </w:p>
              </w:tc>
              <w:tc>
                <w:tcPr>
                  <w:tcW w:w="1575" w:type="dxa"/>
                  <w:tcBorders>
                    <w:bottom w:val="single" w:color="000000" w:sz="4" w:space="0"/>
                    <w:tl2br w:val="nil"/>
                    <w:tr2bl w:val="nil"/>
                  </w:tcBorders>
                  <w:noWrap w:val="0"/>
                  <w:vAlign w:val="center"/>
                </w:tcPr>
                <w:p>
                  <w:pPr>
                    <w:spacing w:line="360" w:lineRule="auto"/>
                    <w:jc w:val="center"/>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rPr>
                    <w:t>化粪池</w:t>
                  </w:r>
                  <w:r>
                    <w:rPr>
                      <w:rFonts w:hint="eastAsia" w:cs="Times New Roman"/>
                      <w:color w:val="auto"/>
                      <w:sz w:val="24"/>
                      <w:szCs w:val="24"/>
                      <w:u w:val="none" w:color="auto"/>
                      <w:lang w:eastAsia="zh-CN"/>
                    </w:rPr>
                    <w:t>、园区自建污水处理站</w:t>
                  </w:r>
                </w:p>
              </w:tc>
              <w:tc>
                <w:tcPr>
                  <w:tcW w:w="2366"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color w:val="auto"/>
                      <w:sz w:val="24"/>
                      <w:szCs w:val="24"/>
                      <w:u w:val="none" w:color="auto"/>
                      <w:lang w:val="en-US" w:eastAsia="zh-CN"/>
                    </w:rPr>
                  </w:pPr>
                  <w:r>
                    <w:rPr>
                      <w:sz w:val="24"/>
                      <w:szCs w:val="24"/>
                      <w:u w:val="none" w:color="auto"/>
                    </w:rPr>
                    <w:t>《城镇污水处理厂污染物排放标准（GB18918—2002）》中一级标准的A类标准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6" w:hRule="atLeast"/>
                <w:jc w:val="center"/>
              </w:trPr>
              <w:tc>
                <w:tcPr>
                  <w:tcW w:w="702"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none" w:color="auto"/>
                    </w:rPr>
                  </w:pPr>
                </w:p>
              </w:tc>
              <w:tc>
                <w:tcPr>
                  <w:tcW w:w="1174" w:type="dxa"/>
                  <w:vMerge w:val="continue"/>
                  <w:tcBorders>
                    <w:bottom w:val="single" w:color="000000" w:sz="4" w:space="0"/>
                    <w:tl2br w:val="nil"/>
                    <w:tr2bl w:val="nil"/>
                  </w:tcBorders>
                  <w:noWrap w:val="0"/>
                  <w:vAlign w:val="center"/>
                </w:tcPr>
                <w:p>
                  <w:pPr>
                    <w:spacing w:line="360" w:lineRule="auto"/>
                    <w:jc w:val="center"/>
                    <w:rPr>
                      <w:rFonts w:hint="default" w:ascii="Times New Roman" w:hAnsi="Times New Roman" w:cs="Times New Roman"/>
                      <w:color w:val="auto"/>
                      <w:sz w:val="24"/>
                      <w:szCs w:val="24"/>
                      <w:u w:val="none" w:color="auto"/>
                    </w:rPr>
                  </w:pPr>
                </w:p>
              </w:tc>
              <w:tc>
                <w:tcPr>
                  <w:tcW w:w="3255" w:type="dxa"/>
                  <w:tcBorders>
                    <w:top w:val="single" w:color="000000" w:sz="4" w:space="0"/>
                    <w:bottom w:val="single" w:color="000000" w:sz="4" w:space="0"/>
                    <w:tl2br w:val="nil"/>
                    <w:tr2bl w:val="nil"/>
                  </w:tcBorders>
                  <w:noWrap w:val="0"/>
                  <w:vAlign w:val="center"/>
                </w:tcPr>
                <w:p>
                  <w:pPr>
                    <w:spacing w:line="360" w:lineRule="auto"/>
                    <w:jc w:val="center"/>
                    <w:rPr>
                      <w:rFonts w:hint="eastAsia"/>
                      <w:sz w:val="24"/>
                      <w:szCs w:val="24"/>
                      <w:u w:val="none" w:color="auto"/>
                      <w:lang w:val="en-US" w:eastAsia="zh-CN"/>
                    </w:rPr>
                  </w:pPr>
                  <w:r>
                    <w:rPr>
                      <w:rFonts w:hint="eastAsia"/>
                      <w:sz w:val="24"/>
                      <w:szCs w:val="24"/>
                      <w:u w:val="none" w:color="auto"/>
                      <w:lang w:val="en-US" w:eastAsia="zh-CN"/>
                    </w:rPr>
                    <w:t>湘阴县第三污水处理厂建成且接通后：</w:t>
                  </w:r>
                  <w:r>
                    <w:rPr>
                      <w:sz w:val="24"/>
                      <w:szCs w:val="24"/>
                      <w:u w:val="none" w:color="auto"/>
                    </w:rPr>
                    <w:t>项目</w:t>
                  </w:r>
                  <w:r>
                    <w:rPr>
                      <w:rFonts w:hint="eastAsia"/>
                      <w:sz w:val="24"/>
                      <w:szCs w:val="24"/>
                      <w:u w:val="none" w:color="auto"/>
                      <w:lang w:val="en-US" w:eastAsia="zh-CN"/>
                    </w:rPr>
                    <w:t>生活</w:t>
                  </w:r>
                  <w:r>
                    <w:rPr>
                      <w:sz w:val="24"/>
                      <w:szCs w:val="24"/>
                      <w:u w:val="none" w:color="auto"/>
                    </w:rPr>
                    <w:t>污水通过化粪池处理后排入园区污水管网</w:t>
                  </w:r>
                  <w:r>
                    <w:rPr>
                      <w:rFonts w:hint="eastAsia"/>
                      <w:sz w:val="24"/>
                      <w:szCs w:val="24"/>
                      <w:u w:val="none" w:color="auto"/>
                      <w:lang w:val="en-US" w:eastAsia="zh-CN"/>
                    </w:rPr>
                    <w:t>进入湘阴县第三污水处理厂处理后排入洋沙河流入洋沙湖，最终进入湘江</w:t>
                  </w:r>
                </w:p>
              </w:tc>
              <w:tc>
                <w:tcPr>
                  <w:tcW w:w="1575" w:type="dxa"/>
                  <w:tcBorders>
                    <w:top w:val="single" w:color="000000" w:sz="4" w:space="0"/>
                    <w:bottom w:val="single" w:color="000000" w:sz="4" w:space="0"/>
                    <w:tl2br w:val="nil"/>
                    <w:tr2bl w:val="nil"/>
                  </w:tcBorders>
                  <w:noWrap w:val="0"/>
                  <w:vAlign w:val="center"/>
                </w:tcPr>
                <w:p>
                  <w:pPr>
                    <w:spacing w:line="360" w:lineRule="auto"/>
                    <w:jc w:val="center"/>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化粪池、湘阴县第三污水处理厂</w:t>
                  </w:r>
                </w:p>
              </w:tc>
              <w:tc>
                <w:tcPr>
                  <w:tcW w:w="2366" w:type="dxa"/>
                  <w:vMerge w:val="continue"/>
                  <w:tcBorders>
                    <w:bottom w:val="single" w:color="000000" w:sz="4" w:space="0"/>
                    <w:tl2br w:val="nil"/>
                    <w:tr2bl w:val="nil"/>
                  </w:tcBorders>
                  <w:noWrap w:val="0"/>
                  <w:vAlign w:val="center"/>
                </w:tcPr>
                <w:p>
                  <w:pPr>
                    <w:spacing w:line="360" w:lineRule="auto"/>
                    <w:jc w:val="center"/>
                    <w:rPr>
                      <w:sz w:val="24"/>
                      <w:szCs w:val="24"/>
                      <w:u w:val="none" w:color="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0" w:hRule="atLeast"/>
                <w:jc w:val="center"/>
              </w:trPr>
              <w:tc>
                <w:tcPr>
                  <w:tcW w:w="702"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废气</w:t>
                  </w:r>
                </w:p>
              </w:tc>
              <w:tc>
                <w:tcPr>
                  <w:tcW w:w="1174" w:type="dxa"/>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none" w:color="auto"/>
                    </w:rPr>
                  </w:pPr>
                  <w:r>
                    <w:rPr>
                      <w:rFonts w:hint="eastAsia" w:cs="Times New Roman"/>
                      <w:color w:val="auto"/>
                      <w:sz w:val="24"/>
                      <w:szCs w:val="24"/>
                      <w:u w:val="none" w:color="auto"/>
                      <w:lang w:val="en-US" w:eastAsia="zh-CN"/>
                    </w:rPr>
                    <w:t>印刷、固化</w:t>
                  </w:r>
                  <w:r>
                    <w:rPr>
                      <w:rFonts w:hint="eastAsia" w:cs="Times New Roman"/>
                      <w:color w:val="auto"/>
                      <w:sz w:val="24"/>
                      <w:szCs w:val="24"/>
                      <w:u w:val="none" w:color="auto"/>
                      <w:lang w:eastAsia="zh-CN"/>
                    </w:rPr>
                    <w:t>废气</w:t>
                  </w:r>
                </w:p>
              </w:tc>
              <w:tc>
                <w:tcPr>
                  <w:tcW w:w="3255"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经集气罩+UV光解设施+活性炭吸附设施</w:t>
                  </w:r>
                  <w:r>
                    <w:rPr>
                      <w:rFonts w:hint="eastAsia" w:ascii="Times New Roman" w:hAnsi="Times New Roman" w:cs="Times New Roman"/>
                      <w:color w:val="auto"/>
                      <w:sz w:val="24"/>
                      <w:szCs w:val="24"/>
                      <w:u w:val="none" w:color="auto"/>
                      <w:lang w:val="en-US" w:eastAsia="zh-CN"/>
                    </w:rPr>
                    <w:t>+</w:t>
                  </w:r>
                  <w:r>
                    <w:rPr>
                      <w:rFonts w:hint="eastAsia" w:cs="Times New Roman"/>
                      <w:color w:val="auto"/>
                      <w:sz w:val="24"/>
                      <w:szCs w:val="24"/>
                      <w:u w:val="none" w:color="auto"/>
                      <w:lang w:val="en-US" w:eastAsia="zh-CN"/>
                    </w:rPr>
                    <w:t>24</w:t>
                  </w:r>
                  <w:r>
                    <w:rPr>
                      <w:rFonts w:hint="eastAsia" w:ascii="Times New Roman" w:hAnsi="Times New Roman" w:cs="Times New Roman"/>
                      <w:color w:val="auto"/>
                      <w:sz w:val="24"/>
                      <w:szCs w:val="24"/>
                      <w:u w:val="none" w:color="auto"/>
                      <w:lang w:val="en-US" w:eastAsia="zh-CN"/>
                    </w:rPr>
                    <w:t>m高排气筒处理后高空排放</w:t>
                  </w:r>
                </w:p>
              </w:tc>
              <w:tc>
                <w:tcPr>
                  <w:tcW w:w="1575"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集气罩+UV光解设施+活性炭吸附设施</w:t>
                  </w:r>
                  <w:r>
                    <w:rPr>
                      <w:rFonts w:hint="eastAsia" w:ascii="Times New Roman" w:hAnsi="Times New Roman" w:cs="Times New Roman"/>
                      <w:color w:val="auto"/>
                      <w:sz w:val="24"/>
                      <w:szCs w:val="24"/>
                      <w:u w:val="none" w:color="auto"/>
                      <w:lang w:val="en-US" w:eastAsia="zh-CN"/>
                    </w:rPr>
                    <w:t>+</w:t>
                  </w:r>
                  <w:r>
                    <w:rPr>
                      <w:rFonts w:hint="eastAsia" w:cs="Times New Roman"/>
                      <w:color w:val="auto"/>
                      <w:sz w:val="24"/>
                      <w:szCs w:val="24"/>
                      <w:u w:val="none" w:color="auto"/>
                      <w:lang w:val="en-US" w:eastAsia="zh-CN"/>
                    </w:rPr>
                    <w:t>24</w:t>
                  </w:r>
                  <w:r>
                    <w:rPr>
                      <w:rFonts w:hint="eastAsia" w:ascii="Times New Roman" w:hAnsi="Times New Roman" w:cs="Times New Roman"/>
                      <w:color w:val="auto"/>
                      <w:sz w:val="24"/>
                      <w:szCs w:val="24"/>
                      <w:u w:val="none" w:color="auto"/>
                      <w:lang w:val="en-US" w:eastAsia="zh-CN"/>
                    </w:rPr>
                    <w:t>m高排气筒</w:t>
                  </w:r>
                </w:p>
              </w:tc>
              <w:tc>
                <w:tcPr>
                  <w:tcW w:w="2366"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4"/>
                      <w:szCs w:val="24"/>
                      <w:u w:val="none" w:color="auto"/>
                      <w:lang w:val="en-US" w:eastAsia="zh-CN"/>
                    </w:rPr>
                  </w:pPr>
                  <w:r>
                    <w:rPr>
                      <w:rFonts w:hint="eastAsia" w:cs="Times New Roman"/>
                      <w:color w:val="auto"/>
                      <w:kern w:val="0"/>
                      <w:sz w:val="24"/>
                      <w:szCs w:val="24"/>
                      <w:u w:val="none" w:color="auto"/>
                      <w:lang w:val="en-US" w:eastAsia="zh-CN" w:bidi="ar"/>
                    </w:rPr>
                    <w:t>《印刷业挥发性有机物排放标准》（DB43/1357-2017）中排放标准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02"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none" w:color="auto"/>
                    </w:rPr>
                  </w:pPr>
                </w:p>
              </w:tc>
              <w:tc>
                <w:tcPr>
                  <w:tcW w:w="1174" w:type="dxa"/>
                  <w:tcBorders>
                    <w:tl2br w:val="nil"/>
                    <w:tr2bl w:val="nil"/>
                  </w:tcBorders>
                  <w:noWrap w:val="0"/>
                  <w:vAlign w:val="center"/>
                </w:tcPr>
                <w:p>
                  <w:pPr>
                    <w:spacing w:line="360" w:lineRule="auto"/>
                    <w:jc w:val="center"/>
                    <w:rPr>
                      <w:rFonts w:hint="eastAsia" w:ascii="Times New Roman" w:hAnsi="Times New Roman" w:eastAsia="宋体" w:cs="Times New Roman"/>
                      <w:color w:val="auto"/>
                      <w:sz w:val="24"/>
                      <w:szCs w:val="24"/>
                      <w:u w:val="none" w:color="auto"/>
                      <w:lang w:eastAsia="zh-CN"/>
                    </w:rPr>
                  </w:pPr>
                  <w:r>
                    <w:rPr>
                      <w:rFonts w:hint="eastAsia" w:cs="Times New Roman"/>
                      <w:color w:val="auto"/>
                      <w:sz w:val="24"/>
                      <w:szCs w:val="24"/>
                      <w:u w:val="none" w:color="auto"/>
                      <w:lang w:val="en-US" w:eastAsia="zh-CN"/>
                    </w:rPr>
                    <w:t>分切</w:t>
                  </w:r>
                  <w:r>
                    <w:rPr>
                      <w:rFonts w:hint="eastAsia" w:cs="Times New Roman"/>
                      <w:color w:val="auto"/>
                      <w:sz w:val="24"/>
                      <w:szCs w:val="24"/>
                      <w:u w:val="none" w:color="auto"/>
                      <w:lang w:eastAsia="zh-CN"/>
                    </w:rPr>
                    <w:t>废气</w:t>
                  </w:r>
                </w:p>
              </w:tc>
              <w:tc>
                <w:tcPr>
                  <w:tcW w:w="3255" w:type="dxa"/>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none" w:color="auto"/>
                      <w:lang w:val="en-US" w:eastAsia="zh-CN"/>
                    </w:rPr>
                  </w:pPr>
                  <w:r>
                    <w:rPr>
                      <w:rFonts w:hint="eastAsia" w:cs="Times New Roman"/>
                      <w:color w:val="auto"/>
                      <w:sz w:val="24"/>
                      <w:szCs w:val="24"/>
                      <w:u w:val="none" w:color="auto"/>
                      <w:lang w:val="en-US" w:eastAsia="zh-CN"/>
                    </w:rPr>
                    <w:t>经集气罩+布袋除尘器处理后和印刷、固化废气一同排放</w:t>
                  </w:r>
                </w:p>
              </w:tc>
              <w:tc>
                <w:tcPr>
                  <w:tcW w:w="1575" w:type="dxa"/>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none" w:color="auto"/>
                      <w:lang w:val="en-US" w:eastAsia="zh-CN"/>
                    </w:rPr>
                  </w:pPr>
                  <w:r>
                    <w:rPr>
                      <w:rFonts w:hint="eastAsia" w:cs="Times New Roman"/>
                      <w:color w:val="auto"/>
                      <w:sz w:val="24"/>
                      <w:szCs w:val="24"/>
                      <w:u w:val="none" w:color="auto"/>
                      <w:lang w:val="en-US" w:eastAsia="zh-CN"/>
                    </w:rPr>
                    <w:t>集气罩+布袋除尘器处理后和印刷、固化废气一同排放</w:t>
                  </w:r>
                </w:p>
              </w:tc>
              <w:tc>
                <w:tcPr>
                  <w:tcW w:w="2366" w:type="dxa"/>
                  <w:tcBorders>
                    <w:tl2br w:val="nil"/>
                    <w:tr2bl w:val="nil"/>
                  </w:tcBorders>
                  <w:noWrap w:val="0"/>
                  <w:vAlign w:val="center"/>
                </w:tcPr>
                <w:p>
                  <w:pPr>
                    <w:spacing w:line="360" w:lineRule="auto"/>
                    <w:jc w:val="center"/>
                    <w:rPr>
                      <w:rFonts w:hint="eastAsia"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color w:val="auto"/>
                      <w:kern w:val="0"/>
                      <w:sz w:val="24"/>
                      <w:szCs w:val="24"/>
                      <w:u w:val="none" w:color="auto"/>
                      <w:lang w:val="en-US" w:eastAsia="zh-CN" w:bidi="ar"/>
                    </w:rPr>
                    <w:t>《大气污染物综合排放标准》（GB16297-1996）表2的二级标准</w:t>
                  </w:r>
                  <w:r>
                    <w:rPr>
                      <w:rFonts w:hint="default" w:ascii="Times New Roman" w:hAnsi="Times New Roman" w:cs="Times New Roman"/>
                      <w:color w:val="auto"/>
                      <w:kern w:val="0"/>
                      <w:sz w:val="24"/>
                      <w:szCs w:val="24"/>
                      <w:u w:val="none" w:color="auto"/>
                      <w:lang w:val="en-US" w:eastAsia="zh-CN" w:bidi="ar"/>
                    </w:rPr>
                    <w:t>和无组织排放标准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702"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固废</w:t>
                  </w:r>
                </w:p>
              </w:tc>
              <w:tc>
                <w:tcPr>
                  <w:tcW w:w="1174" w:type="dxa"/>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none" w:color="auto"/>
                      <w:lang w:eastAsia="zh-CN"/>
                    </w:rPr>
                  </w:pPr>
                  <w:r>
                    <w:rPr>
                      <w:rFonts w:hint="default" w:ascii="Times New Roman" w:hAnsi="Times New Roman" w:cs="Times New Roman"/>
                      <w:color w:val="auto"/>
                      <w:sz w:val="24"/>
                      <w:szCs w:val="24"/>
                      <w:u w:val="none" w:color="auto"/>
                      <w:lang w:eastAsia="zh-CN"/>
                    </w:rPr>
                    <w:t>一般</w:t>
                  </w:r>
                </w:p>
                <w:p>
                  <w:pPr>
                    <w:spacing w:line="360" w:lineRule="auto"/>
                    <w:jc w:val="center"/>
                    <w:rPr>
                      <w:rFonts w:hint="default" w:ascii="Times New Roman" w:hAnsi="Times New Roman" w:eastAsia="宋体" w:cs="Times New Roman"/>
                      <w:color w:val="auto"/>
                      <w:sz w:val="24"/>
                      <w:szCs w:val="24"/>
                      <w:u w:val="none" w:color="auto"/>
                      <w:lang w:eastAsia="zh-CN"/>
                    </w:rPr>
                  </w:pPr>
                  <w:r>
                    <w:rPr>
                      <w:rFonts w:hint="default" w:ascii="Times New Roman" w:hAnsi="Times New Roman" w:cs="Times New Roman"/>
                      <w:color w:val="auto"/>
                      <w:sz w:val="24"/>
                      <w:szCs w:val="24"/>
                      <w:u w:val="none" w:color="auto"/>
                      <w:lang w:eastAsia="zh-CN"/>
                    </w:rPr>
                    <w:t>固废</w:t>
                  </w:r>
                </w:p>
              </w:tc>
              <w:tc>
                <w:tcPr>
                  <w:tcW w:w="3255" w:type="dxa"/>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按《一般工业固体废物贮存、处置场污染控制标准》（GB18599-2001）及其修改单的要求固定堆存</w:t>
                  </w:r>
                </w:p>
              </w:tc>
              <w:tc>
                <w:tcPr>
                  <w:tcW w:w="1575"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4"/>
                      <w:szCs w:val="24"/>
                      <w:u w:val="none" w:color="auto"/>
                      <w:lang w:eastAsia="zh-CN"/>
                    </w:rPr>
                  </w:pPr>
                  <w:r>
                    <w:rPr>
                      <w:rFonts w:hint="default" w:ascii="Times New Roman" w:hAnsi="Times New Roman" w:cs="Times New Roman"/>
                      <w:color w:val="auto"/>
                      <w:sz w:val="24"/>
                      <w:szCs w:val="24"/>
                      <w:u w:val="none" w:color="auto"/>
                      <w:lang w:eastAsia="zh-CN"/>
                    </w:rPr>
                    <w:t>建设一般固废堆场</w:t>
                  </w:r>
                </w:p>
              </w:tc>
              <w:tc>
                <w:tcPr>
                  <w:tcW w:w="2366"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4"/>
                      <w:szCs w:val="24"/>
                      <w:u w:val="none" w:color="auto"/>
                      <w:lang w:eastAsia="zh-CN"/>
                    </w:rPr>
                  </w:pPr>
                  <w:r>
                    <w:rPr>
                      <w:rFonts w:hint="eastAsia"/>
                      <w:sz w:val="24"/>
                      <w:szCs w:val="24"/>
                      <w:u w:val="none" w:color="auto"/>
                      <w:lang w:eastAsia="zh-CN"/>
                    </w:rPr>
                    <w:t>收集后交由环卫部门进行处理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02"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none" w:color="auto"/>
                    </w:rPr>
                  </w:pPr>
                </w:p>
              </w:tc>
              <w:tc>
                <w:tcPr>
                  <w:tcW w:w="1174" w:type="dxa"/>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none" w:color="auto"/>
                      <w:lang w:eastAsia="zh-CN"/>
                    </w:rPr>
                  </w:pPr>
                  <w:r>
                    <w:rPr>
                      <w:rFonts w:hint="default" w:ascii="Times New Roman" w:hAnsi="Times New Roman" w:cs="Times New Roman"/>
                      <w:color w:val="auto"/>
                      <w:sz w:val="24"/>
                      <w:szCs w:val="24"/>
                      <w:u w:val="none" w:color="auto"/>
                      <w:lang w:eastAsia="zh-CN"/>
                    </w:rPr>
                    <w:t>危险</w:t>
                  </w:r>
                </w:p>
                <w:p>
                  <w:pPr>
                    <w:spacing w:line="360" w:lineRule="auto"/>
                    <w:jc w:val="center"/>
                    <w:rPr>
                      <w:rFonts w:hint="default" w:ascii="Times New Roman" w:hAnsi="Times New Roman" w:cs="Times New Roman"/>
                      <w:color w:val="auto"/>
                      <w:sz w:val="24"/>
                      <w:szCs w:val="24"/>
                      <w:u w:val="none" w:color="auto"/>
                      <w:lang w:eastAsia="zh-CN"/>
                    </w:rPr>
                  </w:pPr>
                  <w:r>
                    <w:rPr>
                      <w:rFonts w:hint="default" w:ascii="Times New Roman" w:hAnsi="Times New Roman" w:cs="Times New Roman"/>
                      <w:color w:val="auto"/>
                      <w:sz w:val="24"/>
                      <w:szCs w:val="24"/>
                      <w:u w:val="none" w:color="auto"/>
                      <w:lang w:eastAsia="zh-CN"/>
                    </w:rPr>
                    <w:t>废物</w:t>
                  </w:r>
                </w:p>
              </w:tc>
              <w:tc>
                <w:tcPr>
                  <w:tcW w:w="3255" w:type="dxa"/>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《危险废物贮存污染控制标准》</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GB18597-2001）及2013年修改单</w:t>
                  </w:r>
                </w:p>
              </w:tc>
              <w:tc>
                <w:tcPr>
                  <w:tcW w:w="1575" w:type="dxa"/>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none" w:color="auto"/>
                      <w:lang w:eastAsia="zh-CN"/>
                    </w:rPr>
                  </w:pPr>
                  <w:r>
                    <w:rPr>
                      <w:rFonts w:hint="default" w:ascii="Times New Roman" w:hAnsi="Times New Roman" w:cs="Times New Roman"/>
                      <w:color w:val="auto"/>
                      <w:sz w:val="24"/>
                      <w:szCs w:val="24"/>
                      <w:u w:val="none" w:color="auto"/>
                      <w:lang w:eastAsia="zh-CN"/>
                    </w:rPr>
                    <w:t>危险废物</w:t>
                  </w:r>
                </w:p>
                <w:p>
                  <w:pPr>
                    <w:spacing w:line="360" w:lineRule="auto"/>
                    <w:jc w:val="center"/>
                    <w:rPr>
                      <w:rFonts w:hint="default" w:ascii="Times New Roman" w:hAnsi="Times New Roman" w:cs="Times New Roman"/>
                      <w:color w:val="auto"/>
                      <w:sz w:val="24"/>
                      <w:szCs w:val="24"/>
                      <w:u w:val="none" w:color="auto"/>
                      <w:lang w:eastAsia="zh-CN"/>
                    </w:rPr>
                  </w:pPr>
                  <w:r>
                    <w:rPr>
                      <w:rFonts w:hint="default" w:ascii="Times New Roman" w:hAnsi="Times New Roman" w:cs="Times New Roman"/>
                      <w:color w:val="auto"/>
                      <w:sz w:val="24"/>
                      <w:szCs w:val="24"/>
                      <w:u w:val="none" w:color="auto"/>
                      <w:lang w:eastAsia="zh-CN"/>
                    </w:rPr>
                    <w:t>储存间</w:t>
                  </w:r>
                </w:p>
              </w:tc>
              <w:tc>
                <w:tcPr>
                  <w:tcW w:w="2366" w:type="dxa"/>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none" w:color="auto"/>
                      <w:lang w:val="en-US" w:eastAsia="zh-CN"/>
                    </w:rPr>
                  </w:pPr>
                  <w:r>
                    <w:rPr>
                      <w:rFonts w:hint="eastAsia" w:ascii="Times New Roman" w:hAnsi="Times New Roman" w:cs="Times New Roman"/>
                      <w:color w:val="auto"/>
                      <w:sz w:val="24"/>
                      <w:szCs w:val="24"/>
                      <w:u w:val="none" w:color="auto"/>
                      <w:lang w:val="en-US" w:eastAsia="zh-CN"/>
                    </w:rPr>
                    <w:t>交由</w:t>
                  </w:r>
                  <w:r>
                    <w:rPr>
                      <w:rFonts w:hint="eastAsia" w:cs="Times New Roman"/>
                      <w:color w:val="auto"/>
                      <w:sz w:val="24"/>
                      <w:szCs w:val="24"/>
                      <w:u w:val="none" w:color="auto"/>
                      <w:lang w:val="en-US" w:eastAsia="zh-CN"/>
                    </w:rPr>
                    <w:t>有资质单位进行处理或者交由厂家回收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none" w:color="auto"/>
                    </w:rPr>
                  </w:pPr>
                </w:p>
              </w:tc>
              <w:tc>
                <w:tcPr>
                  <w:tcW w:w="1174" w:type="dxa"/>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生活</w:t>
                  </w:r>
                </w:p>
                <w:p>
                  <w:pPr>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垃圾</w:t>
                  </w:r>
                </w:p>
              </w:tc>
              <w:tc>
                <w:tcPr>
                  <w:tcW w:w="3255" w:type="dxa"/>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集中收集后</w:t>
                  </w:r>
                  <w:r>
                    <w:rPr>
                      <w:rFonts w:hint="default" w:ascii="Times New Roman" w:hAnsi="Times New Roman" w:cs="Times New Roman"/>
                      <w:color w:val="auto"/>
                      <w:sz w:val="24"/>
                      <w:szCs w:val="24"/>
                      <w:u w:val="none" w:color="auto"/>
                      <w:lang w:eastAsia="zh-CN"/>
                    </w:rPr>
                    <w:t>交由环卫部门</w:t>
                  </w:r>
                  <w:r>
                    <w:rPr>
                      <w:rFonts w:hint="default" w:ascii="Times New Roman" w:hAnsi="Times New Roman" w:cs="Times New Roman"/>
                      <w:color w:val="auto"/>
                      <w:sz w:val="24"/>
                      <w:szCs w:val="24"/>
                      <w:u w:val="none" w:color="auto"/>
                    </w:rPr>
                    <w:t>进行处理</w:t>
                  </w:r>
                </w:p>
              </w:tc>
              <w:tc>
                <w:tcPr>
                  <w:tcW w:w="1575" w:type="dxa"/>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生活垃圾是否妥善处理</w:t>
                  </w:r>
                </w:p>
              </w:tc>
              <w:tc>
                <w:tcPr>
                  <w:tcW w:w="2366"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4"/>
                      <w:szCs w:val="24"/>
                      <w:u w:val="none" w:color="auto"/>
                      <w:lang w:eastAsia="zh-CN"/>
                    </w:rPr>
                  </w:pPr>
                  <w:r>
                    <w:rPr>
                      <w:rFonts w:hint="eastAsia"/>
                      <w:sz w:val="24"/>
                      <w:szCs w:val="24"/>
                      <w:u w:val="none" w:color="auto"/>
                      <w:lang w:eastAsia="zh-CN"/>
                    </w:rPr>
                    <w:t>收集后交由环卫部门进行处理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噪声</w:t>
                  </w:r>
                </w:p>
              </w:tc>
              <w:tc>
                <w:tcPr>
                  <w:tcW w:w="1174" w:type="dxa"/>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机械</w:t>
                  </w:r>
                </w:p>
                <w:p>
                  <w:pPr>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噪声</w:t>
                  </w:r>
                </w:p>
              </w:tc>
              <w:tc>
                <w:tcPr>
                  <w:tcW w:w="3255" w:type="dxa"/>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对所有高噪声的机械设备的安装，其基础均应作减振处理；加强设备的日常维护管理，发现问题及时处理，使设备始终保持在良好状态；合理布局</w:t>
                  </w:r>
                </w:p>
              </w:tc>
              <w:tc>
                <w:tcPr>
                  <w:tcW w:w="1575" w:type="dxa"/>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隔声降噪措施</w:t>
                  </w:r>
                </w:p>
              </w:tc>
              <w:tc>
                <w:tcPr>
                  <w:tcW w:w="2366" w:type="dxa"/>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达到《工业企业厂界环境噪声排放标准》(GB12348-2008)</w:t>
                  </w:r>
                  <w:r>
                    <w:rPr>
                      <w:rFonts w:hint="eastAsia" w:cs="Times New Roman"/>
                      <w:color w:val="auto"/>
                      <w:sz w:val="24"/>
                      <w:szCs w:val="24"/>
                      <w:u w:val="none" w:color="auto"/>
                      <w:lang w:val="en-US" w:eastAsia="zh-CN"/>
                    </w:rPr>
                    <w:t>3</w:t>
                  </w:r>
                  <w:r>
                    <w:rPr>
                      <w:rFonts w:hint="default" w:ascii="Times New Roman" w:hAnsi="Times New Roman" w:cs="Times New Roman"/>
                      <w:color w:val="auto"/>
                      <w:sz w:val="24"/>
                      <w:szCs w:val="24"/>
                      <w:u w:val="none" w:color="auto"/>
                    </w:rPr>
                    <w:t>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76" w:type="dxa"/>
                  <w:gridSpan w:val="2"/>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none" w:color="auto"/>
                    </w:rPr>
                  </w:pPr>
                  <w:r>
                    <w:rPr>
                      <w:rFonts w:hint="eastAsia" w:cs="Times New Roman"/>
                      <w:color w:val="auto"/>
                      <w:sz w:val="24"/>
                      <w:szCs w:val="24"/>
                      <w:u w:val="none" w:color="auto"/>
                      <w:lang w:val="en-US" w:eastAsia="zh-CN"/>
                    </w:rPr>
                    <w:t>风险</w:t>
                  </w:r>
                </w:p>
              </w:tc>
              <w:tc>
                <w:tcPr>
                  <w:tcW w:w="7196" w:type="dxa"/>
                  <w:gridSpan w:val="3"/>
                  <w:tcBorders>
                    <w:tl2br w:val="nil"/>
                    <w:tr2bl w:val="nil"/>
                  </w:tcBorders>
                  <w:noWrap w:val="0"/>
                  <w:vAlign w:val="center"/>
                </w:tcPr>
                <w:p>
                  <w:pPr>
                    <w:spacing w:line="360" w:lineRule="auto"/>
                    <w:jc w:val="center"/>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油墨储存区、印刷工序擦洗废水罐储存区需设置围堰</w:t>
                  </w:r>
                </w:p>
              </w:tc>
            </w:tr>
          </w:tbl>
          <w:p>
            <w:pPr>
              <w:spacing w:line="360" w:lineRule="auto"/>
              <w:rPr>
                <w:rFonts w:hint="default" w:ascii="Times New Roman" w:hAnsi="Times New Roman" w:cs="Times New Roman"/>
                <w:sz w:val="24"/>
                <w:szCs w:val="24"/>
                <w:u w:val="none" w:color="auto"/>
              </w:rPr>
            </w:pPr>
          </w:p>
        </w:tc>
      </w:tr>
    </w:tbl>
    <w:p>
      <w:pPr>
        <w:snapToGrid w:val="0"/>
        <w:outlineLvl w:val="0"/>
        <w:rPr>
          <w:rFonts w:eastAsia="黑体"/>
          <w:sz w:val="32"/>
          <w:u w:val="none" w:color="auto"/>
        </w:rPr>
      </w:pPr>
      <w:r>
        <w:rPr>
          <w:u w:val="none" w:color="auto"/>
        </w:rPr>
        <w:br w:type="page"/>
      </w:r>
      <w:bookmarkStart w:id="11" w:name="_Toc6121"/>
      <w:r>
        <w:rPr>
          <w:rFonts w:hint="default" w:ascii="Times New Roman" w:hAnsi="Times New Roman" w:eastAsia="宋体" w:cs="Times New Roman"/>
          <w:sz w:val="32"/>
          <w:szCs w:val="32"/>
          <w:u w:val="none" w:color="auto"/>
        </w:rPr>
        <mc:AlternateContent>
          <mc:Choice Requires="wps">
            <w:drawing>
              <wp:anchor distT="0" distB="0" distL="114300" distR="114300" simplePos="0" relativeHeight="251658240" behindDoc="0" locked="0" layoutInCell="0" allowOverlap="1">
                <wp:simplePos x="0" y="0"/>
                <wp:positionH relativeFrom="column">
                  <wp:posOffset>-6223000</wp:posOffset>
                </wp:positionH>
                <wp:positionV relativeFrom="paragraph">
                  <wp:posOffset>1311275</wp:posOffset>
                </wp:positionV>
                <wp:extent cx="5334000" cy="635"/>
                <wp:effectExtent l="8890" t="11430" r="10160" b="6985"/>
                <wp:wrapNone/>
                <wp:docPr id="10" name="直线 24"/>
                <wp:cNvGraphicFramePr/>
                <a:graphic xmlns:a="http://schemas.openxmlformats.org/drawingml/2006/main">
                  <a:graphicData uri="http://schemas.microsoft.com/office/word/2010/wordprocessingShape">
                    <wps:wsp>
                      <wps:cNvCnPr>
                        <a:cxnSpLocks noChangeShapeType="1"/>
                      </wps:cNvCnPr>
                      <wps:spPr bwMode="auto">
                        <a:xfrm>
                          <a:off x="0" y="0"/>
                          <a:ext cx="5334000" cy="635"/>
                        </a:xfrm>
                        <a:prstGeom prst="line">
                          <a:avLst/>
                        </a:prstGeom>
                        <a:noFill/>
                        <a:ln w="9525">
                          <a:solidFill>
                            <a:srgbClr val="000000"/>
                          </a:solidFill>
                          <a:round/>
                        </a:ln>
                      </wps:spPr>
                      <wps:bodyPr/>
                    </wps:wsp>
                  </a:graphicData>
                </a:graphic>
              </wp:anchor>
            </w:drawing>
          </mc:Choice>
          <mc:Fallback>
            <w:pict>
              <v:line id="直线 24" o:spid="_x0000_s1026" o:spt="20" style="position:absolute;left:0pt;margin-left:-490pt;margin-top:103.25pt;height:0.05pt;width:420pt;z-index:251658240;mso-width-relative:page;mso-height-relative:page;" filled="f" stroked="t" coordsize="21600,21600" o:allowincell="f" o:gfxdata="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kCezHZAAAADQEAAA8AAAAA&#10;AAAAAQAgAAAAIgAAAGRycy9kb3ducmV2LnhtbFBLAQIUABQAAAAIAIdO4kC5PIpK2gEAAKUDAAAO&#10;AAAAAAAAAAEAIAAAACgBAABkcnMvZTJvRG9jLnhtbFBLBQYAAAAABgAGAFkBAAB0BQAAAAA=&#10;">
                <v:fill on="f" focussize="0,0"/>
                <v:stroke color="#000000" joinstyle="round"/>
                <v:imagedata o:title=""/>
                <o:lock v:ext="edit" aspectratio="f"/>
              </v:line>
            </w:pict>
          </mc:Fallback>
        </mc:AlternateContent>
      </w:r>
      <w:r>
        <w:rPr>
          <w:rFonts w:hint="default" w:ascii="Times New Roman" w:hAnsi="Times New Roman" w:eastAsia="宋体" w:cs="Times New Roman"/>
          <w:sz w:val="32"/>
          <w:szCs w:val="32"/>
          <w:u w:val="none" w:color="auto"/>
        </w:rPr>
        <mc:AlternateContent>
          <mc:Choice Requires="wps">
            <w:drawing>
              <wp:anchor distT="0" distB="0" distL="114300" distR="114300" simplePos="0" relativeHeight="251657216" behindDoc="0" locked="0" layoutInCell="0" allowOverlap="1">
                <wp:simplePos x="0" y="0"/>
                <wp:positionH relativeFrom="column">
                  <wp:posOffset>-6578600</wp:posOffset>
                </wp:positionH>
                <wp:positionV relativeFrom="paragraph">
                  <wp:posOffset>949325</wp:posOffset>
                </wp:positionV>
                <wp:extent cx="5422900" cy="635"/>
                <wp:effectExtent l="5715" t="11430" r="10160" b="6985"/>
                <wp:wrapNone/>
                <wp:docPr id="9" name="直线 25"/>
                <wp:cNvGraphicFramePr/>
                <a:graphic xmlns:a="http://schemas.openxmlformats.org/drawingml/2006/main">
                  <a:graphicData uri="http://schemas.microsoft.com/office/word/2010/wordprocessingShape">
                    <wps:wsp>
                      <wps:cNvCnPr>
                        <a:cxnSpLocks noChangeShapeType="1"/>
                      </wps:cNvCnPr>
                      <wps:spPr bwMode="auto">
                        <a:xfrm>
                          <a:off x="0" y="0"/>
                          <a:ext cx="5422900" cy="635"/>
                        </a:xfrm>
                        <a:prstGeom prst="line">
                          <a:avLst/>
                        </a:prstGeom>
                        <a:noFill/>
                        <a:ln w="9525">
                          <a:solidFill>
                            <a:srgbClr val="000000"/>
                          </a:solidFill>
                          <a:round/>
                        </a:ln>
                      </wps:spPr>
                      <wps:bodyPr/>
                    </wps:wsp>
                  </a:graphicData>
                </a:graphic>
              </wp:anchor>
            </w:drawing>
          </mc:Choice>
          <mc:Fallback>
            <w:pict>
              <v:line id="直线 25" o:spid="_x0000_s1026" o:spt="20" style="position:absolute;left:0pt;margin-left:-518pt;margin-top:74.75pt;height:0.05pt;width:427pt;z-index:251657216;mso-width-relative:page;mso-height-relative:page;" filled="f" stroked="t" coordsize="21600,21600" o:allowincell="f" o:gfxdata="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h0lla2gAAAA4BAAAPAAAAAAAA&#10;AAEAIAAAACIAAABkcnMvZG93bnJldi54bWxQSwECFAAUAAAACACHTuJAbXIARtcBAACkAwAADgAA&#10;AAAAAAABACAAAAApAQAAZHJzL2Uyb0RvYy54bWxQSwUGAAAAAAYABgBZAQAAcgUAAAAA&#10;">
                <v:fill on="f" focussize="0,0"/>
                <v:stroke color="#000000" joinstyle="round"/>
                <v:imagedata o:title=""/>
                <o:lock v:ext="edit" aspectratio="f"/>
              </v:line>
            </w:pict>
          </mc:Fallback>
        </mc:AlternateContent>
      </w:r>
      <w:r>
        <w:rPr>
          <w:rFonts w:hint="default" w:ascii="Times New Roman" w:hAnsi="Times New Roman" w:eastAsia="宋体" w:cs="Times New Roman"/>
          <w:sz w:val="32"/>
          <w:szCs w:val="32"/>
          <w:u w:val="none" w:color="auto"/>
        </w:rPr>
        <mc:AlternateContent>
          <mc:Choice Requires="wps">
            <w:drawing>
              <wp:anchor distT="0" distB="0" distL="114300" distR="114300" simplePos="0" relativeHeight="251659264" behindDoc="0" locked="0" layoutInCell="0" allowOverlap="1">
                <wp:simplePos x="0" y="0"/>
                <wp:positionH relativeFrom="column">
                  <wp:posOffset>-6223000</wp:posOffset>
                </wp:positionH>
                <wp:positionV relativeFrom="paragraph">
                  <wp:posOffset>346075</wp:posOffset>
                </wp:positionV>
                <wp:extent cx="4889500" cy="635"/>
                <wp:effectExtent l="8890" t="8255" r="6985" b="10160"/>
                <wp:wrapNone/>
                <wp:docPr id="8" name="直线 26"/>
                <wp:cNvGraphicFramePr/>
                <a:graphic xmlns:a="http://schemas.openxmlformats.org/drawingml/2006/main">
                  <a:graphicData uri="http://schemas.microsoft.com/office/word/2010/wordprocessingShape">
                    <wps:wsp>
                      <wps:cNvCnPr>
                        <a:cxnSpLocks noChangeShapeType="1"/>
                      </wps:cNvCnPr>
                      <wps:spPr bwMode="auto">
                        <a:xfrm>
                          <a:off x="0" y="0"/>
                          <a:ext cx="4889500" cy="635"/>
                        </a:xfrm>
                        <a:prstGeom prst="line">
                          <a:avLst/>
                        </a:prstGeom>
                        <a:noFill/>
                        <a:ln w="9525">
                          <a:solidFill>
                            <a:srgbClr val="000000"/>
                          </a:solidFill>
                          <a:round/>
                        </a:ln>
                      </wps:spPr>
                      <wps:bodyPr/>
                    </wps:wsp>
                  </a:graphicData>
                </a:graphic>
              </wp:anchor>
            </w:drawing>
          </mc:Choice>
          <mc:Fallback>
            <w:pict>
              <v:line id="直线 26" o:spid="_x0000_s1026" o:spt="20" style="position:absolute;left:0pt;margin-left:-490pt;margin-top:27.25pt;height:0.05pt;width:385pt;z-index:251659264;mso-width-relative:page;mso-height-relative:page;" filled="f" stroked="t" coordsize="21600,21600" o:allowincell="f" o:gfxdata="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NzAnGdgAAAALAQAADwAAAAAA&#10;AAABACAAAAAiAAAAZHJzL2Rvd25yZXYueG1sUEsBAhQAFAAAAAgAh07iQBJhCDDaAQAApAMAAA4A&#10;AAAAAAAAAQAgAAAAJwEAAGRycy9lMm9Eb2MueG1sUEsFBgAAAAAGAAYAWQEAAHMFAAAAAA==&#10;">
                <v:fill on="f" focussize="0,0"/>
                <v:stroke color="#000000" joinstyle="round"/>
                <v:imagedata o:title=""/>
                <o:lock v:ext="edit" aspectratio="f"/>
              </v:line>
            </w:pict>
          </mc:Fallback>
        </mc:AlternateContent>
      </w:r>
      <w:r>
        <w:rPr>
          <w:rFonts w:hint="default" w:ascii="Times New Roman" w:hAnsi="Times New Roman" w:eastAsia="宋体" w:cs="Times New Roman"/>
          <w:sz w:val="32"/>
          <w:szCs w:val="32"/>
          <w:u w:val="none" w:color="auto"/>
        </w:rPr>
        <mc:AlternateContent>
          <mc:Choice Requires="wps">
            <w:drawing>
              <wp:anchor distT="0" distB="0" distL="114300" distR="114300" simplePos="0" relativeHeight="251656192" behindDoc="0" locked="0" layoutInCell="0" allowOverlap="1">
                <wp:simplePos x="0" y="0"/>
                <wp:positionH relativeFrom="column">
                  <wp:posOffset>-7112000</wp:posOffset>
                </wp:positionH>
                <wp:positionV relativeFrom="paragraph">
                  <wp:posOffset>466725</wp:posOffset>
                </wp:positionV>
                <wp:extent cx="5422900" cy="635"/>
                <wp:effectExtent l="5715" t="5080" r="10160" b="13335"/>
                <wp:wrapNone/>
                <wp:docPr id="7" name="直线 27"/>
                <wp:cNvGraphicFramePr/>
                <a:graphic xmlns:a="http://schemas.openxmlformats.org/drawingml/2006/main">
                  <a:graphicData uri="http://schemas.microsoft.com/office/word/2010/wordprocessingShape">
                    <wps:wsp>
                      <wps:cNvCnPr>
                        <a:cxnSpLocks noChangeShapeType="1"/>
                      </wps:cNvCnPr>
                      <wps:spPr bwMode="auto">
                        <a:xfrm>
                          <a:off x="0" y="0"/>
                          <a:ext cx="5422900" cy="635"/>
                        </a:xfrm>
                        <a:prstGeom prst="line">
                          <a:avLst/>
                        </a:prstGeom>
                        <a:noFill/>
                        <a:ln w="9525">
                          <a:solidFill>
                            <a:srgbClr val="000000"/>
                          </a:solidFill>
                          <a:round/>
                        </a:ln>
                      </wps:spPr>
                      <wps:bodyPr/>
                    </wps:wsp>
                  </a:graphicData>
                </a:graphic>
              </wp:anchor>
            </w:drawing>
          </mc:Choice>
          <mc:Fallback>
            <w:pict>
              <v:line id="直线 27" o:spid="_x0000_s1026" o:spt="20" style="position:absolute;left:0pt;margin-left:-560pt;margin-top:36.75pt;height:0.05pt;width:427pt;z-index:251656192;mso-width-relative:page;mso-height-relative:page;" filled="f" stroked="t" coordsize="21600,21600" o:allowincell="f" o:gfxdata="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vNIEB1wAAAAwBAAAPAAAAAAAA&#10;AAEAIAAAACIAAABkcnMvZG93bnJldi54bWxQSwECFAAUAAAACACHTuJAnCkG/NoBAACkAwAADgAA&#10;AAAAAAABACAAAAAmAQAAZHJzL2Uyb0RvYy54bWxQSwUGAAAAAAYABgBZAQAAcgUAAAAA&#10;">
                <v:fill on="f" focussize="0,0"/>
                <v:stroke color="#000000" joinstyle="round"/>
                <v:imagedata o:title=""/>
                <o:lock v:ext="edit" aspectratio="f"/>
              </v:line>
            </w:pict>
          </mc:Fallback>
        </mc:AlternateContent>
      </w:r>
      <w:r>
        <w:rPr>
          <w:rFonts w:hint="default" w:ascii="Times New Roman" w:hAnsi="Times New Roman" w:eastAsia="宋体" w:cs="Times New Roman"/>
          <w:sz w:val="32"/>
          <w:szCs w:val="32"/>
          <w:u w:val="none" w:color="auto"/>
        </w:rPr>
        <w:t>八、建设项目拟采取的防治措施及</w:t>
      </w:r>
      <w:r>
        <w:rPr>
          <w:rFonts w:hint="default" w:ascii="Times New Roman" w:hAnsi="Times New Roman" w:eastAsia="宋体" w:cs="Times New Roman"/>
          <w:sz w:val="32"/>
          <w:u w:val="none" w:color="auto"/>
        </w:rPr>
        <w:t>预期治理效果</w:t>
      </w:r>
      <w:bookmarkEnd w:id="11"/>
    </w:p>
    <w:tbl>
      <w:tblPr>
        <w:tblStyle w:val="40"/>
        <w:tblW w:w="977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3"/>
        <w:gridCol w:w="567"/>
        <w:gridCol w:w="1339"/>
        <w:gridCol w:w="1646"/>
        <w:gridCol w:w="2895"/>
        <w:gridCol w:w="25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13" w:type="dxa"/>
            <w:tcBorders>
              <w:tl2br w:val="nil"/>
              <w:tr2bl w:val="nil"/>
            </w:tcBorders>
            <w:vAlign w:val="center"/>
          </w:tcPr>
          <w:p>
            <w:pPr>
              <w:snapToGrid w:val="0"/>
              <w:spacing w:line="360" w:lineRule="auto"/>
              <w:jc w:val="both"/>
              <w:rPr>
                <w:rFonts w:hint="default" w:ascii="Times New Roman" w:hAnsi="Times New Roman" w:cs="Times New Roman"/>
                <w:b/>
                <w:sz w:val="24"/>
                <w:szCs w:val="24"/>
                <w:u w:val="none" w:color="auto"/>
              </w:rPr>
            </w:pPr>
            <w:r>
              <w:rPr>
                <w:rFonts w:hint="default" w:ascii="Times New Roman" w:hAnsi="Times New Roman" w:cs="Times New Roman"/>
                <w:b/>
                <w:sz w:val="24"/>
                <w:szCs w:val="24"/>
                <w:u w:val="none" w:color="auto"/>
              </w:rPr>
              <w:t>内容</w:t>
            </w:r>
          </w:p>
          <w:p>
            <w:pPr>
              <w:snapToGrid w:val="0"/>
              <w:spacing w:line="360" w:lineRule="auto"/>
              <w:rPr>
                <w:rFonts w:hint="default" w:ascii="Times New Roman" w:hAnsi="Times New Roman" w:cs="Times New Roman"/>
                <w:b/>
                <w:sz w:val="24"/>
                <w:szCs w:val="24"/>
                <w:u w:val="none" w:color="auto"/>
              </w:rPr>
            </w:pPr>
            <w:r>
              <w:rPr>
                <w:rFonts w:hint="default" w:ascii="Times New Roman" w:hAnsi="Times New Roman" w:cs="Times New Roman"/>
                <w:b/>
                <w:sz w:val="24"/>
                <w:szCs w:val="24"/>
                <w:u w:val="none" w:color="auto"/>
              </w:rPr>
              <w:t>类型</w:t>
            </w:r>
          </w:p>
        </w:tc>
        <w:tc>
          <w:tcPr>
            <w:tcW w:w="1906" w:type="dxa"/>
            <w:gridSpan w:val="2"/>
            <w:tcBorders>
              <w:tl2br w:val="nil"/>
              <w:tr2bl w:val="nil"/>
            </w:tcBorders>
            <w:vAlign w:val="center"/>
          </w:tcPr>
          <w:p>
            <w:pPr>
              <w:snapToGrid w:val="0"/>
              <w:spacing w:line="360" w:lineRule="auto"/>
              <w:jc w:val="center"/>
              <w:rPr>
                <w:rFonts w:hint="default" w:ascii="Times New Roman" w:hAnsi="Times New Roman" w:cs="Times New Roman"/>
                <w:b/>
                <w:sz w:val="24"/>
                <w:szCs w:val="24"/>
                <w:u w:val="none" w:color="auto"/>
              </w:rPr>
            </w:pPr>
            <w:r>
              <w:rPr>
                <w:rFonts w:hint="default" w:ascii="Times New Roman" w:hAnsi="Times New Roman" w:cs="Times New Roman"/>
                <w:b/>
                <w:sz w:val="24"/>
                <w:szCs w:val="24"/>
                <w:u w:val="none" w:color="auto"/>
              </w:rPr>
              <w:t>排放源</w:t>
            </w:r>
          </w:p>
          <w:p>
            <w:pPr>
              <w:snapToGrid w:val="0"/>
              <w:spacing w:line="360" w:lineRule="auto"/>
              <w:jc w:val="center"/>
              <w:rPr>
                <w:rFonts w:hint="default" w:ascii="Times New Roman" w:hAnsi="Times New Roman" w:cs="Times New Roman"/>
                <w:b/>
                <w:sz w:val="24"/>
                <w:szCs w:val="24"/>
                <w:u w:val="none" w:color="auto"/>
              </w:rPr>
            </w:pPr>
            <w:r>
              <w:rPr>
                <w:rFonts w:hint="default" w:ascii="Times New Roman" w:hAnsi="Times New Roman" w:cs="Times New Roman"/>
                <w:b/>
                <w:sz w:val="24"/>
                <w:szCs w:val="24"/>
                <w:u w:val="none" w:color="auto"/>
              </w:rPr>
              <w:t>（编号）</w:t>
            </w:r>
          </w:p>
        </w:tc>
        <w:tc>
          <w:tcPr>
            <w:tcW w:w="1646" w:type="dxa"/>
            <w:tcBorders>
              <w:tl2br w:val="nil"/>
              <w:tr2bl w:val="nil"/>
            </w:tcBorders>
            <w:vAlign w:val="center"/>
          </w:tcPr>
          <w:p>
            <w:pPr>
              <w:snapToGrid w:val="0"/>
              <w:spacing w:line="360" w:lineRule="auto"/>
              <w:jc w:val="center"/>
              <w:rPr>
                <w:rFonts w:hint="default" w:ascii="Times New Roman" w:hAnsi="Times New Roman" w:cs="Times New Roman"/>
                <w:b/>
                <w:sz w:val="24"/>
                <w:szCs w:val="24"/>
                <w:u w:val="none" w:color="auto"/>
              </w:rPr>
            </w:pPr>
            <w:r>
              <w:rPr>
                <w:rFonts w:hint="default" w:ascii="Times New Roman" w:hAnsi="Times New Roman" w:cs="Times New Roman"/>
                <w:b/>
                <w:sz w:val="24"/>
                <w:szCs w:val="24"/>
                <w:u w:val="none" w:color="auto"/>
              </w:rPr>
              <w:t>污染物</w:t>
            </w:r>
          </w:p>
          <w:p>
            <w:pPr>
              <w:snapToGrid w:val="0"/>
              <w:spacing w:line="360" w:lineRule="auto"/>
              <w:jc w:val="center"/>
              <w:rPr>
                <w:rFonts w:hint="default" w:ascii="Times New Roman" w:hAnsi="Times New Roman" w:cs="Times New Roman"/>
                <w:b/>
                <w:sz w:val="24"/>
                <w:szCs w:val="24"/>
                <w:u w:val="none" w:color="auto"/>
              </w:rPr>
            </w:pPr>
            <w:r>
              <w:rPr>
                <w:rFonts w:hint="default" w:ascii="Times New Roman" w:hAnsi="Times New Roman" w:cs="Times New Roman"/>
                <w:b/>
                <w:sz w:val="24"/>
                <w:szCs w:val="24"/>
                <w:u w:val="none" w:color="auto"/>
              </w:rPr>
              <w:t>名称</w:t>
            </w:r>
          </w:p>
        </w:tc>
        <w:tc>
          <w:tcPr>
            <w:tcW w:w="2895" w:type="dxa"/>
            <w:tcBorders>
              <w:tl2br w:val="nil"/>
              <w:tr2bl w:val="nil"/>
            </w:tcBorders>
            <w:vAlign w:val="center"/>
          </w:tcPr>
          <w:p>
            <w:pPr>
              <w:snapToGrid w:val="0"/>
              <w:spacing w:line="360" w:lineRule="auto"/>
              <w:jc w:val="center"/>
              <w:rPr>
                <w:rFonts w:hint="default" w:ascii="Times New Roman" w:hAnsi="Times New Roman" w:cs="Times New Roman"/>
                <w:b/>
                <w:sz w:val="24"/>
                <w:szCs w:val="24"/>
                <w:u w:val="none" w:color="auto"/>
              </w:rPr>
            </w:pPr>
            <w:r>
              <w:rPr>
                <w:rFonts w:hint="default" w:ascii="Times New Roman" w:hAnsi="Times New Roman" w:cs="Times New Roman"/>
                <w:b/>
                <w:sz w:val="24"/>
                <w:szCs w:val="24"/>
                <w:u w:val="none" w:color="auto"/>
              </w:rPr>
              <w:t>防治措施</w:t>
            </w:r>
          </w:p>
        </w:tc>
        <w:tc>
          <w:tcPr>
            <w:tcW w:w="2515" w:type="dxa"/>
            <w:tcBorders>
              <w:tl2br w:val="nil"/>
              <w:tr2bl w:val="nil"/>
            </w:tcBorders>
            <w:vAlign w:val="center"/>
          </w:tcPr>
          <w:p>
            <w:pPr>
              <w:snapToGrid w:val="0"/>
              <w:spacing w:line="360" w:lineRule="auto"/>
              <w:jc w:val="center"/>
              <w:rPr>
                <w:rFonts w:hint="default" w:ascii="Times New Roman" w:hAnsi="Times New Roman" w:cs="Times New Roman"/>
                <w:b/>
                <w:sz w:val="24"/>
                <w:szCs w:val="24"/>
                <w:u w:val="none" w:color="auto"/>
              </w:rPr>
            </w:pPr>
            <w:r>
              <w:rPr>
                <w:rFonts w:hint="default" w:ascii="Times New Roman" w:hAnsi="Times New Roman" w:cs="Times New Roman"/>
                <w:b/>
                <w:sz w:val="24"/>
                <w:szCs w:val="24"/>
                <w:u w:val="none" w:color="auto"/>
              </w:rPr>
              <w:t>预期</w:t>
            </w:r>
          </w:p>
          <w:p>
            <w:pPr>
              <w:snapToGrid w:val="0"/>
              <w:spacing w:line="360" w:lineRule="auto"/>
              <w:ind w:left="-101" w:leftChars="-50" w:right="-101" w:rightChars="-50"/>
              <w:jc w:val="center"/>
              <w:rPr>
                <w:rFonts w:hint="default" w:ascii="Times New Roman" w:hAnsi="Times New Roman" w:cs="Times New Roman"/>
                <w:b/>
                <w:sz w:val="24"/>
                <w:szCs w:val="24"/>
                <w:u w:val="none" w:color="auto"/>
              </w:rPr>
            </w:pPr>
            <w:r>
              <w:rPr>
                <w:rFonts w:hint="default" w:ascii="Times New Roman" w:hAnsi="Times New Roman" w:cs="Times New Roman"/>
                <w:b/>
                <w:sz w:val="24"/>
                <w:szCs w:val="24"/>
                <w:u w:val="none" w:color="auto"/>
              </w:rPr>
              <w:t>治理效果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99" w:hRule="atLeast"/>
          <w:jc w:val="center"/>
        </w:trPr>
        <w:tc>
          <w:tcPr>
            <w:tcW w:w="813" w:type="dxa"/>
            <w:vMerge w:val="restart"/>
            <w:tcBorders>
              <w:tl2br w:val="nil"/>
              <w:tr2bl w:val="nil"/>
            </w:tcBorders>
            <w:vAlign w:val="center"/>
          </w:tcPr>
          <w:p>
            <w:pPr>
              <w:snapToGrid w:val="0"/>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大气污染物</w:t>
            </w:r>
          </w:p>
        </w:tc>
        <w:tc>
          <w:tcPr>
            <w:tcW w:w="567" w:type="dxa"/>
            <w:vMerge w:val="restart"/>
            <w:tcBorders>
              <w:tl2br w:val="nil"/>
              <w:tr2bl w:val="nil"/>
            </w:tcBorders>
            <w:vAlign w:val="center"/>
          </w:tcPr>
          <w:p>
            <w:pPr>
              <w:adjustRightInd w:val="0"/>
              <w:snapToGrid w:val="0"/>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营运期</w:t>
            </w:r>
          </w:p>
        </w:tc>
        <w:tc>
          <w:tcPr>
            <w:tcW w:w="1339" w:type="dxa"/>
            <w:tcBorders>
              <w:tl2br w:val="nil"/>
              <w:tr2bl w:val="nil"/>
            </w:tcBorders>
            <w:vAlign w:val="center"/>
          </w:tcPr>
          <w:p>
            <w:pPr>
              <w:spacing w:line="360" w:lineRule="auto"/>
              <w:jc w:val="center"/>
              <w:rPr>
                <w:rFonts w:hint="default" w:ascii="Times New Roman" w:hAnsi="Times New Roman" w:cs="Times New Roman"/>
                <w:sz w:val="24"/>
                <w:szCs w:val="24"/>
                <w:u w:val="none" w:color="auto"/>
              </w:rPr>
            </w:pPr>
            <w:r>
              <w:rPr>
                <w:rFonts w:hint="eastAsia" w:cs="Times New Roman"/>
                <w:color w:val="auto"/>
                <w:sz w:val="24"/>
                <w:szCs w:val="24"/>
                <w:u w:val="none" w:color="auto"/>
                <w:lang w:val="en-US" w:eastAsia="zh-CN"/>
              </w:rPr>
              <w:t>印刷、固化</w:t>
            </w:r>
            <w:r>
              <w:rPr>
                <w:rFonts w:hint="eastAsia" w:cs="Times New Roman"/>
                <w:color w:val="auto"/>
                <w:sz w:val="24"/>
                <w:szCs w:val="24"/>
                <w:u w:val="none" w:color="auto"/>
                <w:lang w:eastAsia="zh-CN"/>
              </w:rPr>
              <w:t>废气</w:t>
            </w:r>
          </w:p>
        </w:tc>
        <w:tc>
          <w:tcPr>
            <w:tcW w:w="1646" w:type="dxa"/>
            <w:tcBorders>
              <w:tl2br w:val="nil"/>
              <w:tr2bl w:val="nil"/>
            </w:tcBorders>
            <w:vAlign w:val="center"/>
          </w:tcPr>
          <w:p>
            <w:pPr>
              <w:adjustRightInd w:val="0"/>
              <w:snapToGrid w:val="0"/>
              <w:spacing w:line="360" w:lineRule="auto"/>
              <w:jc w:val="center"/>
              <w:rPr>
                <w:rFonts w:hint="default" w:ascii="Times New Roman" w:hAnsi="Times New Roman" w:cs="Times New Roman"/>
                <w:sz w:val="24"/>
                <w:szCs w:val="24"/>
                <w:u w:val="none" w:color="auto"/>
                <w:lang w:val="en-US"/>
              </w:rPr>
            </w:pPr>
            <w:r>
              <w:rPr>
                <w:rFonts w:hint="eastAsia" w:cs="Times New Roman"/>
                <w:sz w:val="24"/>
                <w:szCs w:val="24"/>
                <w:u w:val="none" w:color="auto"/>
                <w:lang w:val="en-US" w:eastAsia="zh-CN"/>
              </w:rPr>
              <w:t>VOC</w:t>
            </w:r>
            <w:r>
              <w:rPr>
                <w:rFonts w:hint="eastAsia" w:cs="Times New Roman"/>
                <w:sz w:val="24"/>
                <w:szCs w:val="24"/>
                <w:u w:val="none" w:color="auto"/>
                <w:vertAlign w:val="subscript"/>
                <w:lang w:val="en-US" w:eastAsia="zh-CN"/>
              </w:rPr>
              <w:t>S</w:t>
            </w:r>
          </w:p>
        </w:tc>
        <w:tc>
          <w:tcPr>
            <w:tcW w:w="2895" w:type="dxa"/>
            <w:tcBorders>
              <w:tl2br w:val="nil"/>
              <w:tr2bl w:val="nil"/>
            </w:tcBorders>
            <w:vAlign w:val="center"/>
          </w:tcPr>
          <w:p>
            <w:pPr>
              <w:spacing w:line="360" w:lineRule="auto"/>
              <w:jc w:val="center"/>
              <w:rPr>
                <w:rFonts w:hint="default" w:ascii="Times New Roman" w:hAnsi="Times New Roman" w:cs="Times New Roman"/>
                <w:kern w:val="0"/>
                <w:sz w:val="24"/>
                <w:szCs w:val="24"/>
                <w:u w:val="none" w:color="auto"/>
              </w:rPr>
            </w:pPr>
            <w:r>
              <w:rPr>
                <w:rFonts w:hint="eastAsia" w:cs="Times New Roman"/>
                <w:color w:val="auto"/>
                <w:sz w:val="24"/>
                <w:szCs w:val="24"/>
                <w:u w:val="none" w:color="auto"/>
                <w:lang w:val="en-US" w:eastAsia="zh-CN"/>
              </w:rPr>
              <w:t>经集气罩+UV光解设施+活性炭吸附设施</w:t>
            </w:r>
            <w:r>
              <w:rPr>
                <w:rFonts w:hint="eastAsia" w:ascii="Times New Roman" w:hAnsi="Times New Roman" w:cs="Times New Roman"/>
                <w:color w:val="auto"/>
                <w:sz w:val="24"/>
                <w:szCs w:val="24"/>
                <w:u w:val="none" w:color="auto"/>
                <w:lang w:val="en-US" w:eastAsia="zh-CN"/>
              </w:rPr>
              <w:t>+</w:t>
            </w:r>
            <w:r>
              <w:rPr>
                <w:rFonts w:hint="eastAsia" w:cs="Times New Roman"/>
                <w:color w:val="auto"/>
                <w:sz w:val="24"/>
                <w:szCs w:val="24"/>
                <w:u w:val="none" w:color="auto"/>
                <w:lang w:val="en-US" w:eastAsia="zh-CN"/>
              </w:rPr>
              <w:t>24</w:t>
            </w:r>
            <w:r>
              <w:rPr>
                <w:rFonts w:hint="eastAsia" w:ascii="Times New Roman" w:hAnsi="Times New Roman" w:cs="Times New Roman"/>
                <w:color w:val="auto"/>
                <w:sz w:val="24"/>
                <w:szCs w:val="24"/>
                <w:u w:val="none" w:color="auto"/>
                <w:lang w:val="en-US" w:eastAsia="zh-CN"/>
              </w:rPr>
              <w:t>m高排气筒处理后高空排放</w:t>
            </w:r>
          </w:p>
        </w:tc>
        <w:tc>
          <w:tcPr>
            <w:tcW w:w="2515" w:type="dxa"/>
            <w:tcBorders>
              <w:tl2br w:val="nil"/>
              <w:tr2bl w:val="nil"/>
            </w:tcBorders>
            <w:vAlign w:val="center"/>
          </w:tcPr>
          <w:p>
            <w:pPr>
              <w:spacing w:line="360" w:lineRule="auto"/>
              <w:jc w:val="center"/>
              <w:rPr>
                <w:rFonts w:hint="default" w:ascii="Times New Roman" w:hAnsi="Times New Roman" w:cs="Times New Roman"/>
                <w:kern w:val="0"/>
                <w:sz w:val="24"/>
                <w:szCs w:val="24"/>
                <w:u w:val="none" w:color="auto"/>
              </w:rPr>
            </w:pPr>
            <w:r>
              <w:rPr>
                <w:rFonts w:hint="eastAsia" w:cs="Times New Roman"/>
                <w:color w:val="auto"/>
                <w:kern w:val="0"/>
                <w:sz w:val="24"/>
                <w:szCs w:val="24"/>
                <w:u w:val="none" w:color="auto"/>
                <w:lang w:val="en-US" w:eastAsia="zh-CN" w:bidi="ar"/>
              </w:rPr>
              <w:t>《印刷业挥发性有机物排放标准》（DB43/1357-2017）中排放标准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813" w:type="dxa"/>
            <w:vMerge w:val="continue"/>
            <w:tcBorders>
              <w:tl2br w:val="nil"/>
              <w:tr2bl w:val="nil"/>
            </w:tcBorders>
            <w:vAlign w:val="center"/>
          </w:tcPr>
          <w:p>
            <w:pPr>
              <w:snapToGrid w:val="0"/>
              <w:spacing w:line="360" w:lineRule="auto"/>
              <w:jc w:val="center"/>
              <w:rPr>
                <w:rFonts w:hint="default" w:ascii="Times New Roman" w:hAnsi="Times New Roman" w:cs="Times New Roman"/>
                <w:sz w:val="24"/>
                <w:szCs w:val="24"/>
                <w:u w:val="none" w:color="auto"/>
              </w:rPr>
            </w:pPr>
          </w:p>
        </w:tc>
        <w:tc>
          <w:tcPr>
            <w:tcW w:w="567" w:type="dxa"/>
            <w:vMerge w:val="continue"/>
            <w:tcBorders>
              <w:tl2br w:val="nil"/>
              <w:tr2bl w:val="nil"/>
            </w:tcBorders>
            <w:vAlign w:val="center"/>
          </w:tcPr>
          <w:p>
            <w:pPr>
              <w:adjustRightInd w:val="0"/>
              <w:snapToGrid w:val="0"/>
              <w:spacing w:line="360" w:lineRule="auto"/>
              <w:jc w:val="center"/>
              <w:rPr>
                <w:rFonts w:hint="default" w:ascii="Times New Roman" w:hAnsi="Times New Roman" w:cs="Times New Roman"/>
                <w:sz w:val="24"/>
                <w:szCs w:val="24"/>
                <w:u w:val="none" w:color="auto"/>
              </w:rPr>
            </w:pPr>
          </w:p>
        </w:tc>
        <w:tc>
          <w:tcPr>
            <w:tcW w:w="1339" w:type="dxa"/>
            <w:tcBorders>
              <w:tl2br w:val="nil"/>
              <w:tr2bl w:val="nil"/>
            </w:tcBorders>
            <w:vAlign w:val="center"/>
          </w:tcPr>
          <w:p>
            <w:pPr>
              <w:spacing w:line="360" w:lineRule="auto"/>
              <w:jc w:val="center"/>
              <w:rPr>
                <w:rFonts w:hint="default" w:ascii="Times New Roman" w:hAnsi="Times New Roman" w:eastAsia="宋体" w:cs="Times New Roman"/>
                <w:sz w:val="24"/>
                <w:szCs w:val="24"/>
                <w:u w:val="none" w:color="auto"/>
                <w:lang w:val="en-US" w:eastAsia="zh-CN"/>
              </w:rPr>
            </w:pPr>
            <w:r>
              <w:rPr>
                <w:rFonts w:hint="eastAsia" w:cs="Times New Roman"/>
                <w:color w:val="auto"/>
                <w:sz w:val="24"/>
                <w:szCs w:val="24"/>
                <w:u w:val="none" w:color="auto"/>
                <w:lang w:val="en-US" w:eastAsia="zh-CN"/>
              </w:rPr>
              <w:t>分切</w:t>
            </w:r>
            <w:r>
              <w:rPr>
                <w:rFonts w:hint="eastAsia" w:cs="Times New Roman"/>
                <w:color w:val="auto"/>
                <w:sz w:val="24"/>
                <w:szCs w:val="24"/>
                <w:u w:val="none" w:color="auto"/>
                <w:lang w:eastAsia="zh-CN"/>
              </w:rPr>
              <w:t>废气</w:t>
            </w:r>
          </w:p>
        </w:tc>
        <w:tc>
          <w:tcPr>
            <w:tcW w:w="1646" w:type="dxa"/>
            <w:tcBorders>
              <w:tl2br w:val="nil"/>
              <w:tr2bl w:val="nil"/>
            </w:tcBorders>
            <w:vAlign w:val="center"/>
          </w:tcPr>
          <w:p>
            <w:pPr>
              <w:adjustRightInd w:val="0"/>
              <w:snapToGrid w:val="0"/>
              <w:spacing w:line="360" w:lineRule="auto"/>
              <w:jc w:val="center"/>
              <w:rPr>
                <w:rFonts w:hint="default" w:ascii="Times New Roman" w:hAnsi="Times New Roman" w:cs="Times New Roman"/>
                <w:sz w:val="24"/>
                <w:szCs w:val="24"/>
                <w:u w:val="none" w:color="auto"/>
              </w:rPr>
            </w:pPr>
            <w:r>
              <w:rPr>
                <w:rFonts w:hint="eastAsia" w:cs="Times New Roman"/>
                <w:sz w:val="24"/>
                <w:szCs w:val="24"/>
                <w:u w:val="none" w:color="auto"/>
                <w:lang w:val="en-US" w:eastAsia="zh-CN"/>
              </w:rPr>
              <w:t>颗粒物</w:t>
            </w:r>
          </w:p>
        </w:tc>
        <w:tc>
          <w:tcPr>
            <w:tcW w:w="2895" w:type="dxa"/>
            <w:tcBorders>
              <w:tl2br w:val="nil"/>
              <w:tr2bl w:val="nil"/>
            </w:tcBorders>
            <w:vAlign w:val="center"/>
          </w:tcPr>
          <w:p>
            <w:pPr>
              <w:spacing w:line="360" w:lineRule="auto"/>
              <w:jc w:val="center"/>
              <w:rPr>
                <w:rFonts w:hint="default" w:ascii="Times New Roman" w:hAnsi="Times New Roman" w:cs="Times New Roman"/>
                <w:kern w:val="0"/>
                <w:sz w:val="24"/>
                <w:szCs w:val="24"/>
                <w:u w:val="none" w:color="auto"/>
              </w:rPr>
            </w:pPr>
            <w:r>
              <w:rPr>
                <w:rFonts w:hint="eastAsia" w:cs="Times New Roman"/>
                <w:color w:val="auto"/>
                <w:sz w:val="24"/>
                <w:szCs w:val="24"/>
                <w:u w:val="none" w:color="auto"/>
                <w:lang w:val="en-US" w:eastAsia="zh-CN"/>
              </w:rPr>
              <w:t>经集气罩+布袋除尘器处理后和印刷、固化废气一同排放</w:t>
            </w:r>
          </w:p>
        </w:tc>
        <w:tc>
          <w:tcPr>
            <w:tcW w:w="2515" w:type="dxa"/>
            <w:tcBorders>
              <w:tl2br w:val="nil"/>
              <w:tr2bl w:val="nil"/>
            </w:tcBorders>
            <w:vAlign w:val="center"/>
          </w:tcPr>
          <w:p>
            <w:pPr>
              <w:spacing w:line="360" w:lineRule="auto"/>
              <w:jc w:val="center"/>
              <w:rPr>
                <w:rFonts w:hint="eastAsia" w:ascii="Times New Roman" w:hAnsi="Times New Roman" w:eastAsia="宋体" w:cs="Times New Roman"/>
                <w:kern w:val="0"/>
                <w:sz w:val="24"/>
                <w:szCs w:val="24"/>
                <w:u w:val="none" w:color="auto"/>
                <w:lang w:eastAsia="zh-CN"/>
              </w:rPr>
            </w:pPr>
            <w:r>
              <w:rPr>
                <w:rFonts w:hint="default" w:ascii="Times New Roman" w:hAnsi="Times New Roman" w:eastAsia="宋体" w:cs="Times New Roman"/>
                <w:color w:val="auto"/>
                <w:kern w:val="0"/>
                <w:sz w:val="24"/>
                <w:szCs w:val="24"/>
                <w:u w:val="none" w:color="auto"/>
                <w:lang w:val="en-US" w:eastAsia="zh-CN" w:bidi="ar"/>
              </w:rPr>
              <w:t>《大气污染物综合排放标准》（GB16297-1996）表2的二级标准</w:t>
            </w:r>
            <w:r>
              <w:rPr>
                <w:rFonts w:hint="default" w:ascii="Times New Roman" w:hAnsi="Times New Roman" w:cs="Times New Roman"/>
                <w:color w:val="auto"/>
                <w:kern w:val="0"/>
                <w:sz w:val="24"/>
                <w:szCs w:val="24"/>
                <w:u w:val="none" w:color="auto"/>
                <w:lang w:val="en-US" w:eastAsia="zh-CN" w:bidi="ar"/>
              </w:rPr>
              <w:t>和无组织排放标准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813" w:type="dxa"/>
            <w:vMerge w:val="restart"/>
            <w:tcBorders>
              <w:tl2br w:val="nil"/>
              <w:tr2bl w:val="nil"/>
            </w:tcBorders>
            <w:vAlign w:val="center"/>
          </w:tcPr>
          <w:p>
            <w:pPr>
              <w:snapToGrid w:val="0"/>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水污染物</w:t>
            </w:r>
          </w:p>
        </w:tc>
        <w:tc>
          <w:tcPr>
            <w:tcW w:w="567" w:type="dxa"/>
            <w:vMerge w:val="restart"/>
            <w:tcBorders>
              <w:tl2br w:val="nil"/>
              <w:tr2bl w:val="nil"/>
            </w:tcBorders>
            <w:vAlign w:val="center"/>
          </w:tcPr>
          <w:p>
            <w:pPr>
              <w:adjustRightInd w:val="0"/>
              <w:snapToGrid w:val="0"/>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营运期</w:t>
            </w:r>
          </w:p>
        </w:tc>
        <w:tc>
          <w:tcPr>
            <w:tcW w:w="1339" w:type="dxa"/>
            <w:tcBorders>
              <w:tl2br w:val="nil"/>
              <w:tr2bl w:val="nil"/>
            </w:tcBorders>
            <w:vAlign w:val="center"/>
          </w:tcPr>
          <w:p>
            <w:pPr>
              <w:adjustRightInd w:val="0"/>
              <w:snapToGrid w:val="0"/>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生活</w:t>
            </w:r>
          </w:p>
          <w:p>
            <w:pPr>
              <w:adjustRightInd w:val="0"/>
              <w:snapToGrid w:val="0"/>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污水</w:t>
            </w:r>
          </w:p>
        </w:tc>
        <w:tc>
          <w:tcPr>
            <w:tcW w:w="1646" w:type="dxa"/>
            <w:tcBorders>
              <w:tl2br w:val="nil"/>
              <w:tr2bl w:val="nil"/>
            </w:tcBorders>
            <w:vAlign w:val="center"/>
          </w:tcPr>
          <w:p>
            <w:pPr>
              <w:pStyle w:val="124"/>
              <w:overflowPunct/>
              <w:autoSpaceDE/>
              <w:autoSpaceDN/>
              <w:snapToGrid w:val="0"/>
              <w:spacing w:line="360" w:lineRule="auto"/>
              <w:jc w:val="center"/>
              <w:textAlignment w:val="auto"/>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COD</w:t>
            </w:r>
            <w:r>
              <w:rPr>
                <w:rFonts w:hint="default" w:ascii="Times New Roman" w:hAnsi="Times New Roman" w:cs="Times New Roman"/>
                <w:sz w:val="24"/>
                <w:szCs w:val="24"/>
                <w:u w:val="none" w:color="auto"/>
                <w:vertAlign w:val="subscript"/>
              </w:rPr>
              <w:t>Cr</w:t>
            </w:r>
            <w:r>
              <w:rPr>
                <w:rFonts w:hint="default" w:ascii="Times New Roman" w:hAnsi="Times New Roman" w:cs="Times New Roman"/>
                <w:sz w:val="24"/>
                <w:szCs w:val="24"/>
                <w:u w:val="none" w:color="auto"/>
              </w:rPr>
              <w:t>、NH</w:t>
            </w:r>
            <w:r>
              <w:rPr>
                <w:rFonts w:hint="default" w:ascii="Times New Roman" w:hAnsi="Times New Roman" w:cs="Times New Roman"/>
                <w:sz w:val="24"/>
                <w:szCs w:val="24"/>
                <w:u w:val="none" w:color="auto"/>
                <w:vertAlign w:val="subscript"/>
              </w:rPr>
              <w:t>3</w:t>
            </w:r>
            <w:r>
              <w:rPr>
                <w:rFonts w:hint="default" w:ascii="Times New Roman" w:hAnsi="Times New Roman" w:cs="Times New Roman"/>
                <w:sz w:val="24"/>
                <w:szCs w:val="24"/>
                <w:u w:val="none" w:color="auto"/>
              </w:rPr>
              <w:t>-N</w:t>
            </w:r>
          </w:p>
        </w:tc>
        <w:tc>
          <w:tcPr>
            <w:tcW w:w="2895" w:type="dxa"/>
            <w:tcBorders>
              <w:tl2br w:val="nil"/>
              <w:tr2bl w:val="nil"/>
            </w:tcBorders>
            <w:vAlign w:val="center"/>
          </w:tcPr>
          <w:p>
            <w:pPr>
              <w:pStyle w:val="4"/>
              <w:spacing w:before="162" w:line="360" w:lineRule="auto"/>
              <w:ind w:firstLine="0" w:firstLineChars="0"/>
              <w:jc w:val="center"/>
              <w:rPr>
                <w:rFonts w:hint="default" w:ascii="Times New Roman" w:hAnsi="Times New Roman" w:cs="Times New Roman"/>
                <w:sz w:val="24"/>
                <w:szCs w:val="24"/>
                <w:u w:val="none" w:color="auto"/>
                <w:lang w:val="en-US"/>
              </w:rPr>
            </w:pPr>
            <w:r>
              <w:rPr>
                <w:rFonts w:hint="default" w:ascii="Times New Roman" w:hAnsi="Times New Roman" w:cs="Times New Roman"/>
                <w:sz w:val="24"/>
                <w:szCs w:val="24"/>
                <w:u w:val="none" w:color="auto"/>
                <w:lang w:bidi="ar"/>
              </w:rPr>
              <w:t>化粪池</w:t>
            </w:r>
            <w:r>
              <w:rPr>
                <w:rFonts w:hint="eastAsia" w:cs="Times New Roman"/>
                <w:color w:val="auto"/>
                <w:sz w:val="24"/>
                <w:szCs w:val="24"/>
                <w:u w:val="none" w:color="auto"/>
                <w:lang w:eastAsia="zh-CN"/>
              </w:rPr>
              <w:t>、园区自建污水处理站（</w:t>
            </w:r>
            <w:r>
              <w:rPr>
                <w:rFonts w:hint="eastAsia" w:cs="Times New Roman"/>
                <w:color w:val="auto"/>
                <w:sz w:val="24"/>
                <w:szCs w:val="24"/>
                <w:u w:val="none" w:color="auto"/>
                <w:lang w:val="en-US" w:eastAsia="zh-CN"/>
              </w:rPr>
              <w:t>近期</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湘阴县第三污水处理厂（远期）</w:t>
            </w:r>
          </w:p>
        </w:tc>
        <w:tc>
          <w:tcPr>
            <w:tcW w:w="2515" w:type="dxa"/>
            <w:tcBorders>
              <w:tl2br w:val="nil"/>
              <w:tr2bl w:val="nil"/>
            </w:tcBorders>
            <w:vAlign w:val="center"/>
          </w:tcPr>
          <w:p>
            <w:pPr>
              <w:adjustRightInd w:val="0"/>
              <w:snapToGrid w:val="0"/>
              <w:spacing w:line="360" w:lineRule="auto"/>
              <w:ind w:left="-105" w:right="-105"/>
              <w:jc w:val="center"/>
              <w:rPr>
                <w:rFonts w:hint="eastAsia" w:ascii="Times New Roman" w:hAnsi="Times New Roman" w:eastAsia="宋体" w:cs="Times New Roman"/>
                <w:sz w:val="24"/>
                <w:szCs w:val="24"/>
                <w:u w:val="none" w:color="auto"/>
                <w:lang w:eastAsia="zh-CN"/>
              </w:rPr>
            </w:pPr>
            <w:r>
              <w:rPr>
                <w:sz w:val="24"/>
                <w:szCs w:val="24"/>
                <w:u w:val="none" w:color="auto"/>
              </w:rPr>
              <w:t>《城镇污水处理厂污染物排放标准（GB18918—2002）》中一级标准的A类标准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13" w:type="dxa"/>
            <w:vMerge w:val="continue"/>
            <w:tcBorders>
              <w:tl2br w:val="nil"/>
              <w:tr2bl w:val="nil"/>
            </w:tcBorders>
            <w:vAlign w:val="center"/>
          </w:tcPr>
          <w:p>
            <w:pPr>
              <w:snapToGrid w:val="0"/>
              <w:spacing w:line="360" w:lineRule="auto"/>
              <w:jc w:val="center"/>
              <w:rPr>
                <w:rFonts w:hint="default" w:ascii="Times New Roman" w:hAnsi="Times New Roman" w:cs="Times New Roman"/>
                <w:sz w:val="24"/>
                <w:szCs w:val="24"/>
                <w:u w:val="none" w:color="auto"/>
              </w:rPr>
            </w:pPr>
          </w:p>
        </w:tc>
        <w:tc>
          <w:tcPr>
            <w:tcW w:w="567" w:type="dxa"/>
            <w:vMerge w:val="continue"/>
            <w:tcBorders>
              <w:tl2br w:val="nil"/>
              <w:tr2bl w:val="nil"/>
            </w:tcBorders>
            <w:vAlign w:val="center"/>
          </w:tcPr>
          <w:p>
            <w:pPr>
              <w:adjustRightInd w:val="0"/>
              <w:snapToGrid w:val="0"/>
              <w:spacing w:line="360" w:lineRule="auto"/>
              <w:jc w:val="center"/>
              <w:rPr>
                <w:rFonts w:hint="default" w:ascii="Times New Roman" w:hAnsi="Times New Roman" w:cs="Times New Roman"/>
                <w:sz w:val="24"/>
                <w:szCs w:val="24"/>
                <w:u w:val="none" w:color="auto"/>
              </w:rPr>
            </w:pPr>
          </w:p>
        </w:tc>
        <w:tc>
          <w:tcPr>
            <w:tcW w:w="1339" w:type="dxa"/>
            <w:tcBorders>
              <w:tl2br w:val="nil"/>
              <w:tr2bl w:val="nil"/>
            </w:tcBorders>
            <w:vAlign w:val="center"/>
          </w:tcPr>
          <w:p>
            <w:pPr>
              <w:adjustRightInd w:val="0"/>
              <w:snapToGrid w:val="0"/>
              <w:spacing w:line="360" w:lineRule="auto"/>
              <w:jc w:val="center"/>
              <w:rPr>
                <w:rFonts w:hint="default" w:ascii="Times New Roman" w:hAnsi="Times New Roman" w:eastAsia="宋体" w:cs="Times New Roman"/>
                <w:sz w:val="24"/>
                <w:szCs w:val="24"/>
                <w:u w:val="none" w:color="auto"/>
                <w:lang w:val="en-US" w:eastAsia="zh-CN"/>
              </w:rPr>
            </w:pPr>
            <w:r>
              <w:rPr>
                <w:rFonts w:hint="eastAsia" w:cs="Times New Roman"/>
                <w:sz w:val="24"/>
                <w:szCs w:val="24"/>
                <w:u w:val="none" w:color="auto"/>
                <w:lang w:val="en-US" w:eastAsia="zh-CN"/>
              </w:rPr>
              <w:t>印刷工序擦洗废水</w:t>
            </w:r>
          </w:p>
        </w:tc>
        <w:tc>
          <w:tcPr>
            <w:tcW w:w="1646" w:type="dxa"/>
            <w:tcBorders>
              <w:tl2br w:val="nil"/>
              <w:tr2bl w:val="nil"/>
            </w:tcBorders>
            <w:vAlign w:val="center"/>
          </w:tcPr>
          <w:p>
            <w:pPr>
              <w:pStyle w:val="124"/>
              <w:overflowPunct/>
              <w:autoSpaceDE/>
              <w:autoSpaceDN/>
              <w:snapToGrid w:val="0"/>
              <w:spacing w:line="360" w:lineRule="auto"/>
              <w:jc w:val="center"/>
              <w:textAlignment w:val="auto"/>
              <w:rPr>
                <w:rFonts w:hint="default" w:ascii="Times New Roman" w:hAnsi="Times New Roman" w:eastAsia="宋体" w:cs="Times New Roman"/>
                <w:sz w:val="24"/>
                <w:szCs w:val="24"/>
                <w:u w:val="none" w:color="auto"/>
                <w:lang w:val="en-US" w:eastAsia="zh-CN"/>
              </w:rPr>
            </w:pPr>
            <w:r>
              <w:rPr>
                <w:rFonts w:hint="default" w:ascii="Times New Roman" w:hAnsi="Times New Roman" w:cs="Times New Roman"/>
                <w:sz w:val="24"/>
                <w:szCs w:val="24"/>
                <w:u w:val="none" w:color="auto"/>
              </w:rPr>
              <w:t>COD</w:t>
            </w:r>
            <w:r>
              <w:rPr>
                <w:rFonts w:hint="default" w:ascii="Times New Roman" w:hAnsi="Times New Roman" w:cs="Times New Roman"/>
                <w:sz w:val="24"/>
                <w:szCs w:val="24"/>
                <w:u w:val="none" w:color="auto"/>
                <w:vertAlign w:val="subscript"/>
              </w:rPr>
              <w:t>Cr</w:t>
            </w:r>
            <w:r>
              <w:rPr>
                <w:rFonts w:hint="default" w:ascii="Times New Roman" w:hAnsi="Times New Roman" w:cs="Times New Roman"/>
                <w:sz w:val="24"/>
                <w:szCs w:val="24"/>
                <w:u w:val="none" w:color="auto"/>
              </w:rPr>
              <w:t>、</w:t>
            </w:r>
            <w:r>
              <w:rPr>
                <w:rFonts w:hint="eastAsia" w:cs="Times New Roman"/>
                <w:sz w:val="24"/>
                <w:szCs w:val="24"/>
                <w:u w:val="none" w:color="auto"/>
                <w:lang w:val="en-US" w:eastAsia="zh-CN"/>
              </w:rPr>
              <w:t>BOD</w:t>
            </w:r>
            <w:r>
              <w:rPr>
                <w:rFonts w:hint="eastAsia" w:cs="Times New Roman"/>
                <w:sz w:val="24"/>
                <w:szCs w:val="24"/>
                <w:u w:val="none" w:color="auto"/>
                <w:vertAlign w:val="subscript"/>
                <w:lang w:val="en-US" w:eastAsia="zh-CN"/>
              </w:rPr>
              <w:t>5</w:t>
            </w:r>
            <w:r>
              <w:rPr>
                <w:rFonts w:hint="eastAsia" w:cs="Times New Roman"/>
                <w:sz w:val="24"/>
                <w:szCs w:val="24"/>
                <w:u w:val="none" w:color="auto"/>
                <w:lang w:val="en-US" w:eastAsia="zh-CN"/>
              </w:rPr>
              <w:t>、色度</w:t>
            </w:r>
          </w:p>
        </w:tc>
        <w:tc>
          <w:tcPr>
            <w:tcW w:w="2895" w:type="dxa"/>
            <w:tcBorders>
              <w:tl2br w:val="nil"/>
              <w:tr2bl w:val="nil"/>
            </w:tcBorders>
            <w:vAlign w:val="center"/>
          </w:tcPr>
          <w:p>
            <w:pPr>
              <w:pStyle w:val="4"/>
              <w:spacing w:before="162" w:line="360" w:lineRule="auto"/>
              <w:ind w:firstLine="0" w:firstLineChars="0"/>
              <w:jc w:val="center"/>
              <w:rPr>
                <w:rFonts w:hint="default" w:ascii="Times New Roman" w:hAnsi="Times New Roman" w:eastAsia="宋体" w:cs="Times New Roman"/>
                <w:sz w:val="24"/>
                <w:szCs w:val="24"/>
                <w:u w:val="none" w:color="auto"/>
                <w:lang w:val="en-US" w:eastAsia="zh-CN" w:bidi="ar"/>
              </w:rPr>
            </w:pPr>
            <w:r>
              <w:rPr>
                <w:rFonts w:hint="eastAsia" w:cs="Times New Roman"/>
                <w:sz w:val="24"/>
                <w:szCs w:val="24"/>
                <w:u w:val="none" w:color="auto"/>
                <w:lang w:val="en-US" w:eastAsia="zh-CN" w:bidi="ar"/>
              </w:rPr>
              <w:t>收集后交由有废水处理资质的单位进行处理</w:t>
            </w:r>
          </w:p>
        </w:tc>
        <w:tc>
          <w:tcPr>
            <w:tcW w:w="2515" w:type="dxa"/>
            <w:tcBorders>
              <w:tl2br w:val="nil"/>
              <w:tr2bl w:val="nil"/>
            </w:tcBorders>
            <w:vAlign w:val="center"/>
          </w:tcPr>
          <w:p>
            <w:pPr>
              <w:adjustRightInd w:val="0"/>
              <w:snapToGrid w:val="0"/>
              <w:spacing w:line="360" w:lineRule="auto"/>
              <w:ind w:left="-105" w:right="-105"/>
              <w:jc w:val="center"/>
              <w:rPr>
                <w:rFonts w:hint="eastAsia" w:eastAsia="宋体"/>
                <w:sz w:val="24"/>
                <w:szCs w:val="24"/>
                <w:u w:val="none" w:color="auto"/>
                <w:lang w:val="en-US" w:eastAsia="zh-CN"/>
              </w:rPr>
            </w:pPr>
            <w:r>
              <w:rPr>
                <w:rFonts w:hint="eastAsia"/>
                <w:sz w:val="24"/>
                <w:szCs w:val="24"/>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3" w:type="dxa"/>
            <w:vMerge w:val="restart"/>
            <w:tcBorders>
              <w:tl2br w:val="nil"/>
              <w:tr2bl w:val="nil"/>
            </w:tcBorders>
            <w:vAlign w:val="center"/>
          </w:tcPr>
          <w:p>
            <w:pPr>
              <w:snapToGrid w:val="0"/>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固体废弃物</w:t>
            </w:r>
          </w:p>
        </w:tc>
        <w:tc>
          <w:tcPr>
            <w:tcW w:w="567" w:type="dxa"/>
            <w:vMerge w:val="restart"/>
            <w:tcBorders>
              <w:tl2br w:val="nil"/>
              <w:tr2bl w:val="nil"/>
            </w:tcBorders>
            <w:vAlign w:val="center"/>
          </w:tcPr>
          <w:p>
            <w:pPr>
              <w:snapToGrid w:val="0"/>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营运期</w:t>
            </w:r>
          </w:p>
        </w:tc>
        <w:tc>
          <w:tcPr>
            <w:tcW w:w="1339" w:type="dxa"/>
            <w:vMerge w:val="restart"/>
            <w:tcBorders>
              <w:tl2br w:val="nil"/>
              <w:tr2bl w:val="nil"/>
            </w:tcBorders>
            <w:vAlign w:val="center"/>
          </w:tcPr>
          <w:p>
            <w:pPr>
              <w:snapToGrid w:val="0"/>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生产</w:t>
            </w:r>
          </w:p>
          <w:p>
            <w:pPr>
              <w:snapToGrid w:val="0"/>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车间</w:t>
            </w:r>
          </w:p>
        </w:tc>
        <w:tc>
          <w:tcPr>
            <w:tcW w:w="1646" w:type="dxa"/>
            <w:tcBorders>
              <w:tl2br w:val="nil"/>
              <w:tr2bl w:val="nil"/>
            </w:tcBorders>
            <w:vAlign w:val="center"/>
          </w:tcPr>
          <w:p>
            <w:pPr>
              <w:spacing w:line="360" w:lineRule="auto"/>
              <w:jc w:val="center"/>
              <w:rPr>
                <w:rFonts w:hint="default" w:ascii="Times New Roman" w:hAnsi="Times New Roman" w:cs="Times New Roman"/>
                <w:sz w:val="24"/>
                <w:szCs w:val="24"/>
                <w:u w:val="none" w:color="auto"/>
                <w:lang w:val="en-US"/>
              </w:rPr>
            </w:pPr>
            <w:r>
              <w:rPr>
                <w:rFonts w:hint="default" w:ascii="Times New Roman" w:hAnsi="Times New Roman" w:cs="Times New Roman"/>
                <w:sz w:val="24"/>
                <w:szCs w:val="24"/>
                <w:u w:val="none" w:color="auto"/>
              </w:rPr>
              <w:t>废</w:t>
            </w:r>
            <w:r>
              <w:rPr>
                <w:rFonts w:hint="default" w:ascii="Times New Roman" w:hAnsi="Times New Roman" w:cs="Times New Roman"/>
                <w:sz w:val="24"/>
                <w:szCs w:val="24"/>
                <w:u w:val="none" w:color="auto"/>
                <w:lang w:eastAsia="zh-CN"/>
              </w:rPr>
              <w:t>边角料</w:t>
            </w:r>
            <w:r>
              <w:rPr>
                <w:rFonts w:hint="eastAsia" w:cs="Times New Roman"/>
                <w:sz w:val="24"/>
                <w:szCs w:val="24"/>
                <w:u w:val="none" w:color="auto"/>
                <w:lang w:eastAsia="zh-CN"/>
              </w:rPr>
              <w:t>、</w:t>
            </w:r>
            <w:r>
              <w:rPr>
                <w:rFonts w:hint="eastAsia" w:cs="Times New Roman"/>
                <w:sz w:val="24"/>
                <w:szCs w:val="24"/>
                <w:u w:val="none" w:color="auto"/>
                <w:lang w:val="en-US" w:eastAsia="zh-CN"/>
              </w:rPr>
              <w:t>不合格产品</w:t>
            </w:r>
          </w:p>
        </w:tc>
        <w:tc>
          <w:tcPr>
            <w:tcW w:w="2895" w:type="dxa"/>
            <w:vMerge w:val="restart"/>
            <w:tcBorders>
              <w:tl2br w:val="nil"/>
              <w:tr2bl w:val="nil"/>
            </w:tcBorders>
            <w:vAlign w:val="center"/>
          </w:tcPr>
          <w:p>
            <w:pPr>
              <w:spacing w:line="360" w:lineRule="auto"/>
              <w:jc w:val="center"/>
              <w:rPr>
                <w:rFonts w:hint="eastAsia" w:ascii="Times New Roman" w:hAnsi="Times New Roman" w:eastAsia="宋体" w:cs="Times New Roman"/>
                <w:sz w:val="24"/>
                <w:szCs w:val="24"/>
                <w:u w:val="none" w:color="auto"/>
                <w:lang w:eastAsia="zh-CN"/>
              </w:rPr>
            </w:pPr>
            <w:r>
              <w:rPr>
                <w:rFonts w:hint="default" w:ascii="Times New Roman" w:hAnsi="Times New Roman" w:cs="Times New Roman"/>
                <w:sz w:val="24"/>
                <w:szCs w:val="24"/>
                <w:u w:val="none" w:color="auto"/>
                <w:lang w:eastAsia="zh-CN"/>
              </w:rPr>
              <w:t>收集后</w:t>
            </w:r>
            <w:r>
              <w:rPr>
                <w:rFonts w:hint="eastAsia" w:ascii="Times New Roman" w:hAnsi="Times New Roman" w:cs="Times New Roman"/>
                <w:sz w:val="24"/>
                <w:szCs w:val="24"/>
                <w:u w:val="none" w:color="auto"/>
                <w:lang w:val="en-US" w:eastAsia="zh-CN"/>
              </w:rPr>
              <w:t>外售废品回收站综合利用</w:t>
            </w:r>
          </w:p>
        </w:tc>
        <w:tc>
          <w:tcPr>
            <w:tcW w:w="2515" w:type="dxa"/>
            <w:vMerge w:val="restart"/>
            <w:tcBorders>
              <w:tl2br w:val="nil"/>
              <w:tr2bl w:val="nil"/>
            </w:tcBorders>
            <w:vAlign w:val="center"/>
          </w:tcPr>
          <w:p>
            <w:pPr>
              <w:snapToGrid w:val="0"/>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资源化</w:t>
            </w:r>
          </w:p>
          <w:p>
            <w:pPr>
              <w:snapToGrid w:val="0"/>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无害化</w:t>
            </w:r>
          </w:p>
          <w:p>
            <w:pPr>
              <w:snapToGrid w:val="0"/>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减量化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13" w:type="dxa"/>
            <w:vMerge w:val="continue"/>
            <w:tcBorders>
              <w:tl2br w:val="nil"/>
              <w:tr2bl w:val="nil"/>
            </w:tcBorders>
            <w:vAlign w:val="center"/>
          </w:tcPr>
          <w:p>
            <w:pPr>
              <w:snapToGrid w:val="0"/>
              <w:spacing w:line="360" w:lineRule="auto"/>
              <w:jc w:val="center"/>
              <w:rPr>
                <w:rFonts w:hint="default" w:ascii="Times New Roman" w:hAnsi="Times New Roman" w:cs="Times New Roman"/>
                <w:sz w:val="24"/>
                <w:szCs w:val="24"/>
                <w:u w:val="none" w:color="auto"/>
              </w:rPr>
            </w:pPr>
          </w:p>
        </w:tc>
        <w:tc>
          <w:tcPr>
            <w:tcW w:w="567" w:type="dxa"/>
            <w:vMerge w:val="continue"/>
            <w:tcBorders>
              <w:tl2br w:val="nil"/>
              <w:tr2bl w:val="nil"/>
            </w:tcBorders>
            <w:vAlign w:val="center"/>
          </w:tcPr>
          <w:p>
            <w:pPr>
              <w:snapToGrid w:val="0"/>
              <w:spacing w:line="360" w:lineRule="auto"/>
              <w:jc w:val="center"/>
              <w:rPr>
                <w:rFonts w:hint="default" w:ascii="Times New Roman" w:hAnsi="Times New Roman" w:cs="Times New Roman"/>
                <w:sz w:val="24"/>
                <w:szCs w:val="24"/>
                <w:u w:val="none" w:color="auto"/>
              </w:rPr>
            </w:pPr>
          </w:p>
        </w:tc>
        <w:tc>
          <w:tcPr>
            <w:tcW w:w="1339" w:type="dxa"/>
            <w:vMerge w:val="continue"/>
            <w:tcBorders>
              <w:tl2br w:val="nil"/>
              <w:tr2bl w:val="nil"/>
            </w:tcBorders>
            <w:vAlign w:val="center"/>
          </w:tcPr>
          <w:p>
            <w:pPr>
              <w:snapToGrid w:val="0"/>
              <w:spacing w:line="360" w:lineRule="auto"/>
              <w:jc w:val="center"/>
              <w:rPr>
                <w:rFonts w:hint="default" w:ascii="Times New Roman" w:hAnsi="Times New Roman" w:cs="Times New Roman"/>
                <w:sz w:val="24"/>
                <w:szCs w:val="24"/>
                <w:u w:val="none" w:color="auto"/>
              </w:rPr>
            </w:pPr>
          </w:p>
        </w:tc>
        <w:tc>
          <w:tcPr>
            <w:tcW w:w="1646" w:type="dxa"/>
            <w:tcBorders>
              <w:tl2br w:val="nil"/>
              <w:tr2bl w:val="nil"/>
            </w:tcBorders>
            <w:vAlign w:val="center"/>
          </w:tcPr>
          <w:p>
            <w:pPr>
              <w:spacing w:line="360" w:lineRule="auto"/>
              <w:jc w:val="center"/>
              <w:rPr>
                <w:rFonts w:hint="eastAsia"/>
                <w:sz w:val="24"/>
                <w:szCs w:val="24"/>
                <w:u w:val="none" w:color="auto"/>
                <w:lang w:eastAsia="zh-CN"/>
              </w:rPr>
            </w:pPr>
            <w:r>
              <w:rPr>
                <w:rFonts w:hint="default" w:ascii="Times New Roman" w:hAnsi="Times New Roman" w:cs="Times New Roman"/>
                <w:sz w:val="24"/>
                <w:szCs w:val="24"/>
                <w:u w:val="none" w:color="auto"/>
                <w:lang w:val="en-US" w:eastAsia="zh-CN"/>
              </w:rPr>
              <w:t>布袋除尘器收集的粉尘</w:t>
            </w:r>
          </w:p>
        </w:tc>
        <w:tc>
          <w:tcPr>
            <w:tcW w:w="2895" w:type="dxa"/>
            <w:vMerge w:val="continue"/>
            <w:tcBorders>
              <w:tl2br w:val="nil"/>
              <w:tr2bl w:val="nil"/>
            </w:tcBorders>
            <w:vAlign w:val="center"/>
          </w:tcPr>
          <w:p>
            <w:pPr>
              <w:spacing w:line="360" w:lineRule="auto"/>
              <w:jc w:val="center"/>
              <w:rPr>
                <w:rFonts w:hint="eastAsia"/>
                <w:sz w:val="24"/>
                <w:szCs w:val="24"/>
                <w:u w:val="none" w:color="auto"/>
                <w:lang w:eastAsia="zh-CN"/>
              </w:rPr>
            </w:pPr>
          </w:p>
        </w:tc>
        <w:tc>
          <w:tcPr>
            <w:tcW w:w="2515" w:type="dxa"/>
            <w:vMerge w:val="continue"/>
            <w:tcBorders>
              <w:tl2br w:val="nil"/>
              <w:tr2bl w:val="nil"/>
            </w:tcBorders>
            <w:vAlign w:val="center"/>
          </w:tcPr>
          <w:p>
            <w:pPr>
              <w:snapToGrid w:val="0"/>
              <w:spacing w:line="360" w:lineRule="auto"/>
              <w:jc w:val="center"/>
              <w:rPr>
                <w:rFonts w:hint="default" w:ascii="Times New Roman" w:hAnsi="Times New Roman" w:cs="Times New Roman"/>
                <w:sz w:val="24"/>
                <w:szCs w:val="24"/>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813" w:type="dxa"/>
            <w:vMerge w:val="continue"/>
            <w:tcBorders>
              <w:tl2br w:val="nil"/>
              <w:tr2bl w:val="nil"/>
            </w:tcBorders>
            <w:vAlign w:val="center"/>
          </w:tcPr>
          <w:p>
            <w:pPr>
              <w:snapToGrid w:val="0"/>
              <w:spacing w:line="360" w:lineRule="auto"/>
              <w:jc w:val="center"/>
              <w:rPr>
                <w:rFonts w:hint="default" w:ascii="Times New Roman" w:hAnsi="Times New Roman" w:cs="Times New Roman"/>
                <w:sz w:val="24"/>
                <w:szCs w:val="24"/>
                <w:u w:val="none" w:color="auto"/>
              </w:rPr>
            </w:pPr>
          </w:p>
        </w:tc>
        <w:tc>
          <w:tcPr>
            <w:tcW w:w="567" w:type="dxa"/>
            <w:vMerge w:val="continue"/>
            <w:tcBorders>
              <w:tl2br w:val="nil"/>
              <w:tr2bl w:val="nil"/>
            </w:tcBorders>
            <w:vAlign w:val="center"/>
          </w:tcPr>
          <w:p>
            <w:pPr>
              <w:snapToGrid w:val="0"/>
              <w:spacing w:line="360" w:lineRule="auto"/>
              <w:jc w:val="center"/>
              <w:rPr>
                <w:rFonts w:hint="default" w:ascii="Times New Roman" w:hAnsi="Times New Roman" w:cs="Times New Roman"/>
                <w:sz w:val="24"/>
                <w:szCs w:val="24"/>
                <w:u w:val="none" w:color="auto"/>
              </w:rPr>
            </w:pPr>
          </w:p>
        </w:tc>
        <w:tc>
          <w:tcPr>
            <w:tcW w:w="1339" w:type="dxa"/>
            <w:vMerge w:val="continue"/>
            <w:tcBorders>
              <w:tl2br w:val="nil"/>
              <w:tr2bl w:val="nil"/>
            </w:tcBorders>
            <w:vAlign w:val="center"/>
          </w:tcPr>
          <w:p>
            <w:pPr>
              <w:snapToGrid w:val="0"/>
              <w:spacing w:line="360" w:lineRule="auto"/>
              <w:jc w:val="center"/>
              <w:rPr>
                <w:rFonts w:hint="default" w:ascii="Times New Roman" w:hAnsi="Times New Roman" w:cs="Times New Roman"/>
                <w:sz w:val="24"/>
                <w:szCs w:val="24"/>
                <w:u w:val="none" w:color="auto"/>
              </w:rPr>
            </w:pPr>
          </w:p>
        </w:tc>
        <w:tc>
          <w:tcPr>
            <w:tcW w:w="1646" w:type="dxa"/>
            <w:tcBorders>
              <w:tl2br w:val="nil"/>
              <w:tr2bl w:val="nil"/>
            </w:tcBorders>
            <w:vAlign w:val="center"/>
          </w:tcPr>
          <w:p>
            <w:pPr>
              <w:spacing w:line="360" w:lineRule="auto"/>
              <w:jc w:val="center"/>
              <w:rPr>
                <w:rFonts w:hint="eastAsia"/>
                <w:sz w:val="24"/>
                <w:szCs w:val="24"/>
                <w:u w:val="none" w:color="auto"/>
                <w:lang w:eastAsia="zh-CN"/>
              </w:rPr>
            </w:pPr>
            <w:r>
              <w:rPr>
                <w:rFonts w:hint="default" w:ascii="Times New Roman" w:hAnsi="Times New Roman" w:cs="Times New Roman"/>
                <w:sz w:val="24"/>
                <w:szCs w:val="24"/>
                <w:u w:val="none" w:color="auto"/>
                <w:lang w:val="en-US" w:eastAsia="zh-CN"/>
              </w:rPr>
              <w:t>废UV灯管</w:t>
            </w:r>
          </w:p>
        </w:tc>
        <w:tc>
          <w:tcPr>
            <w:tcW w:w="2895" w:type="dxa"/>
            <w:vMerge w:val="restart"/>
            <w:tcBorders>
              <w:tl2br w:val="nil"/>
              <w:tr2bl w:val="nil"/>
            </w:tcBorders>
            <w:vAlign w:val="center"/>
          </w:tcPr>
          <w:p>
            <w:pPr>
              <w:spacing w:line="360" w:lineRule="auto"/>
              <w:jc w:val="center"/>
              <w:rPr>
                <w:rFonts w:hint="eastAsia"/>
                <w:sz w:val="24"/>
                <w:szCs w:val="24"/>
                <w:u w:val="none" w:color="auto"/>
                <w:lang w:eastAsia="zh-CN"/>
              </w:rPr>
            </w:pPr>
            <w:r>
              <w:rPr>
                <w:rFonts w:hint="default" w:ascii="Times New Roman" w:hAnsi="Times New Roman" w:cs="Times New Roman"/>
                <w:sz w:val="24"/>
                <w:szCs w:val="24"/>
                <w:u w:val="none" w:color="auto"/>
              </w:rPr>
              <w:t>暂存危废暂存间，定期交由</w:t>
            </w:r>
            <w:r>
              <w:rPr>
                <w:rFonts w:hint="default" w:ascii="Times New Roman" w:hAnsi="Times New Roman" w:cs="Times New Roman"/>
                <w:sz w:val="24"/>
                <w:szCs w:val="24"/>
                <w:u w:val="none" w:color="auto"/>
                <w:lang w:eastAsia="zh-CN"/>
              </w:rPr>
              <w:t>生产厂家回收或交由有资质单位进行处理</w:t>
            </w:r>
          </w:p>
        </w:tc>
        <w:tc>
          <w:tcPr>
            <w:tcW w:w="2515" w:type="dxa"/>
            <w:vMerge w:val="continue"/>
            <w:tcBorders>
              <w:tl2br w:val="nil"/>
              <w:tr2bl w:val="nil"/>
            </w:tcBorders>
            <w:vAlign w:val="center"/>
          </w:tcPr>
          <w:p>
            <w:pPr>
              <w:snapToGrid w:val="0"/>
              <w:spacing w:line="360" w:lineRule="auto"/>
              <w:jc w:val="center"/>
              <w:rPr>
                <w:rFonts w:hint="default" w:ascii="Times New Roman" w:hAnsi="Times New Roman" w:cs="Times New Roman"/>
                <w:sz w:val="24"/>
                <w:szCs w:val="24"/>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13" w:type="dxa"/>
            <w:vMerge w:val="continue"/>
            <w:tcBorders>
              <w:tl2br w:val="nil"/>
              <w:tr2bl w:val="nil"/>
            </w:tcBorders>
            <w:vAlign w:val="center"/>
          </w:tcPr>
          <w:p>
            <w:pPr>
              <w:snapToGrid w:val="0"/>
              <w:spacing w:line="360" w:lineRule="auto"/>
              <w:jc w:val="center"/>
              <w:rPr>
                <w:rFonts w:hint="default" w:ascii="Times New Roman" w:hAnsi="Times New Roman" w:cs="Times New Roman"/>
                <w:sz w:val="24"/>
                <w:szCs w:val="24"/>
                <w:u w:val="none" w:color="auto"/>
              </w:rPr>
            </w:pPr>
          </w:p>
        </w:tc>
        <w:tc>
          <w:tcPr>
            <w:tcW w:w="567" w:type="dxa"/>
            <w:vMerge w:val="continue"/>
            <w:tcBorders>
              <w:tl2br w:val="nil"/>
              <w:tr2bl w:val="nil"/>
            </w:tcBorders>
            <w:vAlign w:val="center"/>
          </w:tcPr>
          <w:p>
            <w:pPr>
              <w:snapToGrid w:val="0"/>
              <w:spacing w:line="360" w:lineRule="auto"/>
              <w:jc w:val="center"/>
              <w:rPr>
                <w:rFonts w:hint="default" w:ascii="Times New Roman" w:hAnsi="Times New Roman" w:cs="Times New Roman"/>
                <w:sz w:val="24"/>
                <w:szCs w:val="24"/>
                <w:u w:val="none" w:color="auto"/>
              </w:rPr>
            </w:pPr>
          </w:p>
        </w:tc>
        <w:tc>
          <w:tcPr>
            <w:tcW w:w="1339" w:type="dxa"/>
            <w:vMerge w:val="continue"/>
            <w:tcBorders>
              <w:tl2br w:val="nil"/>
              <w:tr2bl w:val="nil"/>
            </w:tcBorders>
            <w:vAlign w:val="center"/>
          </w:tcPr>
          <w:p>
            <w:pPr>
              <w:snapToGrid w:val="0"/>
              <w:spacing w:line="360" w:lineRule="auto"/>
              <w:jc w:val="center"/>
              <w:rPr>
                <w:rFonts w:hint="default" w:ascii="Times New Roman" w:hAnsi="Times New Roman" w:cs="Times New Roman"/>
                <w:sz w:val="24"/>
                <w:szCs w:val="24"/>
                <w:u w:val="none" w:color="auto"/>
              </w:rPr>
            </w:pPr>
          </w:p>
        </w:tc>
        <w:tc>
          <w:tcPr>
            <w:tcW w:w="1646" w:type="dxa"/>
            <w:tcBorders>
              <w:tl2br w:val="nil"/>
              <w:tr2bl w:val="nil"/>
            </w:tcBorders>
            <w:vAlign w:val="center"/>
          </w:tcPr>
          <w:p>
            <w:pPr>
              <w:spacing w:line="360" w:lineRule="auto"/>
              <w:jc w:val="center"/>
              <w:rPr>
                <w:rFonts w:hint="eastAsia"/>
                <w:sz w:val="24"/>
                <w:szCs w:val="24"/>
                <w:u w:val="none" w:color="auto"/>
                <w:lang w:eastAsia="zh-CN"/>
              </w:rPr>
            </w:pPr>
            <w:r>
              <w:rPr>
                <w:rFonts w:hint="default" w:ascii="Times New Roman" w:hAnsi="Times New Roman" w:cs="Times New Roman"/>
                <w:sz w:val="24"/>
                <w:szCs w:val="24"/>
                <w:u w:val="none" w:color="auto"/>
                <w:lang w:val="en-US" w:eastAsia="zh-CN"/>
              </w:rPr>
              <w:t>废印刷版</w:t>
            </w:r>
          </w:p>
        </w:tc>
        <w:tc>
          <w:tcPr>
            <w:tcW w:w="2895" w:type="dxa"/>
            <w:vMerge w:val="continue"/>
            <w:tcBorders>
              <w:tl2br w:val="nil"/>
              <w:tr2bl w:val="nil"/>
            </w:tcBorders>
            <w:vAlign w:val="center"/>
          </w:tcPr>
          <w:p>
            <w:pPr>
              <w:spacing w:line="360" w:lineRule="auto"/>
              <w:jc w:val="center"/>
              <w:rPr>
                <w:rFonts w:hint="eastAsia"/>
                <w:sz w:val="24"/>
                <w:szCs w:val="24"/>
                <w:u w:val="none" w:color="auto"/>
                <w:lang w:eastAsia="zh-CN"/>
              </w:rPr>
            </w:pPr>
          </w:p>
        </w:tc>
        <w:tc>
          <w:tcPr>
            <w:tcW w:w="2515" w:type="dxa"/>
            <w:vMerge w:val="continue"/>
            <w:tcBorders>
              <w:tl2br w:val="nil"/>
              <w:tr2bl w:val="nil"/>
            </w:tcBorders>
            <w:vAlign w:val="center"/>
          </w:tcPr>
          <w:p>
            <w:pPr>
              <w:snapToGrid w:val="0"/>
              <w:spacing w:line="360" w:lineRule="auto"/>
              <w:jc w:val="center"/>
              <w:rPr>
                <w:rFonts w:hint="default" w:ascii="Times New Roman" w:hAnsi="Times New Roman" w:cs="Times New Roman"/>
                <w:sz w:val="24"/>
                <w:szCs w:val="24"/>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813" w:type="dxa"/>
            <w:vMerge w:val="continue"/>
            <w:tcBorders>
              <w:tl2br w:val="nil"/>
              <w:tr2bl w:val="nil"/>
            </w:tcBorders>
            <w:vAlign w:val="center"/>
          </w:tcPr>
          <w:p>
            <w:pPr>
              <w:snapToGrid w:val="0"/>
              <w:spacing w:line="360" w:lineRule="auto"/>
              <w:jc w:val="center"/>
              <w:rPr>
                <w:rFonts w:hint="default" w:ascii="Times New Roman" w:hAnsi="Times New Roman" w:cs="Times New Roman"/>
                <w:sz w:val="24"/>
                <w:szCs w:val="24"/>
                <w:u w:val="none" w:color="auto"/>
              </w:rPr>
            </w:pPr>
          </w:p>
        </w:tc>
        <w:tc>
          <w:tcPr>
            <w:tcW w:w="567" w:type="dxa"/>
            <w:vMerge w:val="continue"/>
            <w:tcBorders>
              <w:tl2br w:val="nil"/>
              <w:tr2bl w:val="nil"/>
            </w:tcBorders>
            <w:vAlign w:val="center"/>
          </w:tcPr>
          <w:p>
            <w:pPr>
              <w:snapToGrid w:val="0"/>
              <w:spacing w:line="360" w:lineRule="auto"/>
              <w:jc w:val="center"/>
              <w:rPr>
                <w:rFonts w:hint="default" w:ascii="Times New Roman" w:hAnsi="Times New Roman" w:cs="Times New Roman"/>
                <w:sz w:val="24"/>
                <w:szCs w:val="24"/>
                <w:u w:val="none" w:color="auto"/>
              </w:rPr>
            </w:pPr>
          </w:p>
        </w:tc>
        <w:tc>
          <w:tcPr>
            <w:tcW w:w="1339" w:type="dxa"/>
            <w:vMerge w:val="continue"/>
            <w:tcBorders>
              <w:tl2br w:val="nil"/>
              <w:tr2bl w:val="nil"/>
            </w:tcBorders>
            <w:vAlign w:val="center"/>
          </w:tcPr>
          <w:p>
            <w:pPr>
              <w:snapToGrid w:val="0"/>
              <w:spacing w:line="360" w:lineRule="auto"/>
              <w:jc w:val="center"/>
              <w:rPr>
                <w:rFonts w:hint="default" w:ascii="Times New Roman" w:hAnsi="Times New Roman" w:cs="Times New Roman"/>
                <w:sz w:val="24"/>
                <w:szCs w:val="24"/>
                <w:u w:val="none" w:color="auto"/>
              </w:rPr>
            </w:pPr>
          </w:p>
        </w:tc>
        <w:tc>
          <w:tcPr>
            <w:tcW w:w="1646" w:type="dxa"/>
            <w:tcBorders>
              <w:tl2br w:val="nil"/>
              <w:tr2bl w:val="nil"/>
            </w:tcBorders>
            <w:vAlign w:val="center"/>
          </w:tcPr>
          <w:p>
            <w:pPr>
              <w:spacing w:line="360" w:lineRule="auto"/>
              <w:jc w:val="center"/>
              <w:rPr>
                <w:rFonts w:hint="eastAsia"/>
                <w:sz w:val="24"/>
                <w:szCs w:val="24"/>
                <w:u w:val="none" w:color="auto"/>
                <w:lang w:eastAsia="zh-CN"/>
              </w:rPr>
            </w:pPr>
            <w:r>
              <w:rPr>
                <w:rFonts w:hint="default" w:ascii="Times New Roman" w:hAnsi="Times New Roman" w:cs="Times New Roman"/>
                <w:sz w:val="24"/>
                <w:szCs w:val="24"/>
                <w:u w:val="none" w:color="auto"/>
                <w:lang w:val="en-US" w:eastAsia="zh-CN"/>
              </w:rPr>
              <w:t>擦洗抹布手套</w:t>
            </w:r>
          </w:p>
        </w:tc>
        <w:tc>
          <w:tcPr>
            <w:tcW w:w="2895" w:type="dxa"/>
            <w:vMerge w:val="continue"/>
            <w:tcBorders>
              <w:tl2br w:val="nil"/>
              <w:tr2bl w:val="nil"/>
            </w:tcBorders>
            <w:vAlign w:val="center"/>
          </w:tcPr>
          <w:p>
            <w:pPr>
              <w:spacing w:line="360" w:lineRule="auto"/>
              <w:jc w:val="center"/>
              <w:rPr>
                <w:rFonts w:hint="eastAsia"/>
                <w:sz w:val="24"/>
                <w:szCs w:val="24"/>
                <w:u w:val="none" w:color="auto"/>
                <w:lang w:eastAsia="zh-CN"/>
              </w:rPr>
            </w:pPr>
          </w:p>
        </w:tc>
        <w:tc>
          <w:tcPr>
            <w:tcW w:w="2515" w:type="dxa"/>
            <w:vMerge w:val="continue"/>
            <w:tcBorders>
              <w:tl2br w:val="nil"/>
              <w:tr2bl w:val="nil"/>
            </w:tcBorders>
            <w:vAlign w:val="center"/>
          </w:tcPr>
          <w:p>
            <w:pPr>
              <w:snapToGrid w:val="0"/>
              <w:spacing w:line="360" w:lineRule="auto"/>
              <w:jc w:val="center"/>
              <w:rPr>
                <w:rFonts w:hint="default" w:ascii="Times New Roman" w:hAnsi="Times New Roman" w:cs="Times New Roman"/>
                <w:sz w:val="24"/>
                <w:szCs w:val="24"/>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13" w:type="dxa"/>
            <w:vMerge w:val="continue"/>
            <w:tcBorders>
              <w:tl2br w:val="nil"/>
              <w:tr2bl w:val="nil"/>
            </w:tcBorders>
            <w:vAlign w:val="center"/>
          </w:tcPr>
          <w:p>
            <w:pPr>
              <w:snapToGrid w:val="0"/>
              <w:spacing w:line="360" w:lineRule="auto"/>
              <w:jc w:val="center"/>
              <w:rPr>
                <w:rFonts w:hint="default" w:ascii="Times New Roman" w:hAnsi="Times New Roman" w:cs="Times New Roman"/>
                <w:sz w:val="24"/>
                <w:szCs w:val="24"/>
                <w:u w:val="none" w:color="auto"/>
              </w:rPr>
            </w:pPr>
          </w:p>
        </w:tc>
        <w:tc>
          <w:tcPr>
            <w:tcW w:w="567" w:type="dxa"/>
            <w:vMerge w:val="continue"/>
            <w:tcBorders>
              <w:tl2br w:val="nil"/>
              <w:tr2bl w:val="nil"/>
            </w:tcBorders>
            <w:vAlign w:val="center"/>
          </w:tcPr>
          <w:p>
            <w:pPr>
              <w:snapToGrid w:val="0"/>
              <w:spacing w:line="360" w:lineRule="auto"/>
              <w:jc w:val="center"/>
              <w:rPr>
                <w:rFonts w:hint="default" w:ascii="Times New Roman" w:hAnsi="Times New Roman" w:cs="Times New Roman"/>
                <w:sz w:val="24"/>
                <w:szCs w:val="24"/>
                <w:u w:val="none" w:color="auto"/>
              </w:rPr>
            </w:pPr>
          </w:p>
        </w:tc>
        <w:tc>
          <w:tcPr>
            <w:tcW w:w="1339" w:type="dxa"/>
            <w:vMerge w:val="continue"/>
            <w:tcBorders>
              <w:tl2br w:val="nil"/>
              <w:tr2bl w:val="nil"/>
            </w:tcBorders>
            <w:vAlign w:val="center"/>
          </w:tcPr>
          <w:p>
            <w:pPr>
              <w:snapToGrid w:val="0"/>
              <w:spacing w:line="360" w:lineRule="auto"/>
              <w:jc w:val="center"/>
              <w:rPr>
                <w:rFonts w:hint="default" w:ascii="Times New Roman" w:hAnsi="Times New Roman" w:cs="Times New Roman"/>
                <w:sz w:val="24"/>
                <w:szCs w:val="24"/>
                <w:u w:val="none" w:color="auto"/>
              </w:rPr>
            </w:pPr>
          </w:p>
        </w:tc>
        <w:tc>
          <w:tcPr>
            <w:tcW w:w="1646" w:type="dxa"/>
            <w:tcBorders>
              <w:tl2br w:val="nil"/>
              <w:tr2bl w:val="nil"/>
            </w:tcBorders>
            <w:vAlign w:val="center"/>
          </w:tcPr>
          <w:p>
            <w:pPr>
              <w:spacing w:line="360" w:lineRule="auto"/>
              <w:jc w:val="center"/>
              <w:rPr>
                <w:rFonts w:hint="eastAsia"/>
                <w:sz w:val="24"/>
                <w:szCs w:val="24"/>
                <w:u w:val="none" w:color="auto"/>
                <w:lang w:eastAsia="zh-CN"/>
              </w:rPr>
            </w:pPr>
            <w:r>
              <w:rPr>
                <w:rFonts w:hint="default" w:ascii="Times New Roman" w:hAnsi="Times New Roman" w:cs="Times New Roman"/>
                <w:sz w:val="24"/>
                <w:szCs w:val="24"/>
                <w:u w:val="none" w:color="auto"/>
                <w:lang w:eastAsia="zh-CN"/>
              </w:rPr>
              <w:t>废油墨桶</w:t>
            </w:r>
          </w:p>
        </w:tc>
        <w:tc>
          <w:tcPr>
            <w:tcW w:w="2895" w:type="dxa"/>
            <w:vMerge w:val="continue"/>
            <w:tcBorders>
              <w:tl2br w:val="nil"/>
              <w:tr2bl w:val="nil"/>
            </w:tcBorders>
            <w:vAlign w:val="center"/>
          </w:tcPr>
          <w:p>
            <w:pPr>
              <w:spacing w:line="360" w:lineRule="auto"/>
              <w:jc w:val="center"/>
              <w:rPr>
                <w:rFonts w:hint="eastAsia"/>
                <w:sz w:val="24"/>
                <w:szCs w:val="24"/>
                <w:u w:val="none" w:color="auto"/>
                <w:lang w:eastAsia="zh-CN"/>
              </w:rPr>
            </w:pPr>
          </w:p>
        </w:tc>
        <w:tc>
          <w:tcPr>
            <w:tcW w:w="2515" w:type="dxa"/>
            <w:vMerge w:val="continue"/>
            <w:tcBorders>
              <w:tl2br w:val="nil"/>
              <w:tr2bl w:val="nil"/>
            </w:tcBorders>
            <w:vAlign w:val="center"/>
          </w:tcPr>
          <w:p>
            <w:pPr>
              <w:snapToGrid w:val="0"/>
              <w:spacing w:line="360" w:lineRule="auto"/>
              <w:jc w:val="center"/>
              <w:rPr>
                <w:rFonts w:hint="default" w:ascii="Times New Roman" w:hAnsi="Times New Roman" w:cs="Times New Roman"/>
                <w:sz w:val="24"/>
                <w:szCs w:val="24"/>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13" w:type="dxa"/>
            <w:vMerge w:val="continue"/>
            <w:tcBorders>
              <w:tl2br w:val="nil"/>
              <w:tr2bl w:val="nil"/>
            </w:tcBorders>
            <w:vAlign w:val="center"/>
          </w:tcPr>
          <w:p>
            <w:pPr>
              <w:snapToGrid w:val="0"/>
              <w:spacing w:line="360" w:lineRule="auto"/>
              <w:jc w:val="center"/>
              <w:rPr>
                <w:rFonts w:hint="default" w:ascii="Times New Roman" w:hAnsi="Times New Roman" w:cs="Times New Roman"/>
                <w:sz w:val="24"/>
                <w:szCs w:val="24"/>
                <w:u w:val="none" w:color="auto"/>
              </w:rPr>
            </w:pPr>
          </w:p>
        </w:tc>
        <w:tc>
          <w:tcPr>
            <w:tcW w:w="567" w:type="dxa"/>
            <w:vMerge w:val="continue"/>
            <w:tcBorders>
              <w:tl2br w:val="nil"/>
              <w:tr2bl w:val="nil"/>
            </w:tcBorders>
            <w:vAlign w:val="center"/>
          </w:tcPr>
          <w:p>
            <w:pPr>
              <w:snapToGrid w:val="0"/>
              <w:spacing w:line="360" w:lineRule="auto"/>
              <w:jc w:val="center"/>
              <w:rPr>
                <w:rFonts w:hint="default" w:ascii="Times New Roman" w:hAnsi="Times New Roman" w:cs="Times New Roman"/>
                <w:sz w:val="24"/>
                <w:szCs w:val="24"/>
                <w:u w:val="none" w:color="auto"/>
              </w:rPr>
            </w:pPr>
          </w:p>
        </w:tc>
        <w:tc>
          <w:tcPr>
            <w:tcW w:w="1339" w:type="dxa"/>
            <w:vMerge w:val="continue"/>
            <w:tcBorders>
              <w:tl2br w:val="nil"/>
              <w:tr2bl w:val="nil"/>
            </w:tcBorders>
            <w:vAlign w:val="center"/>
          </w:tcPr>
          <w:p>
            <w:pPr>
              <w:snapToGrid w:val="0"/>
              <w:spacing w:line="360" w:lineRule="auto"/>
              <w:jc w:val="center"/>
              <w:rPr>
                <w:rFonts w:hint="default" w:ascii="Times New Roman" w:hAnsi="Times New Roman" w:cs="Times New Roman"/>
                <w:sz w:val="24"/>
                <w:szCs w:val="24"/>
                <w:u w:val="none" w:color="auto"/>
              </w:rPr>
            </w:pPr>
          </w:p>
        </w:tc>
        <w:tc>
          <w:tcPr>
            <w:tcW w:w="1646" w:type="dxa"/>
            <w:tcBorders>
              <w:tl2br w:val="nil"/>
              <w:tr2bl w:val="nil"/>
            </w:tcBorders>
            <w:vAlign w:val="center"/>
          </w:tcPr>
          <w:p>
            <w:pPr>
              <w:spacing w:line="360" w:lineRule="auto"/>
              <w:jc w:val="center"/>
              <w:rPr>
                <w:rFonts w:hint="eastAsia"/>
                <w:sz w:val="24"/>
                <w:szCs w:val="24"/>
                <w:u w:val="none" w:color="auto"/>
                <w:lang w:eastAsia="zh-CN"/>
              </w:rPr>
            </w:pPr>
            <w:r>
              <w:rPr>
                <w:rFonts w:hint="default" w:ascii="Times New Roman" w:hAnsi="Times New Roman" w:cs="Times New Roman"/>
                <w:sz w:val="24"/>
                <w:szCs w:val="24"/>
                <w:u w:val="none" w:color="auto"/>
                <w:lang w:eastAsia="zh-CN"/>
              </w:rPr>
              <w:t>废活性炭</w:t>
            </w:r>
          </w:p>
        </w:tc>
        <w:tc>
          <w:tcPr>
            <w:tcW w:w="2895" w:type="dxa"/>
            <w:vMerge w:val="continue"/>
            <w:tcBorders>
              <w:tl2br w:val="nil"/>
              <w:tr2bl w:val="nil"/>
            </w:tcBorders>
            <w:vAlign w:val="center"/>
          </w:tcPr>
          <w:p>
            <w:pPr>
              <w:spacing w:line="360" w:lineRule="auto"/>
              <w:jc w:val="center"/>
              <w:rPr>
                <w:rFonts w:hint="eastAsia"/>
                <w:sz w:val="24"/>
                <w:szCs w:val="24"/>
                <w:u w:val="none" w:color="auto"/>
                <w:lang w:eastAsia="zh-CN"/>
              </w:rPr>
            </w:pPr>
          </w:p>
        </w:tc>
        <w:tc>
          <w:tcPr>
            <w:tcW w:w="2515" w:type="dxa"/>
            <w:vMerge w:val="continue"/>
            <w:tcBorders>
              <w:tl2br w:val="nil"/>
              <w:tr2bl w:val="nil"/>
            </w:tcBorders>
            <w:vAlign w:val="center"/>
          </w:tcPr>
          <w:p>
            <w:pPr>
              <w:snapToGrid w:val="0"/>
              <w:spacing w:line="360" w:lineRule="auto"/>
              <w:jc w:val="center"/>
              <w:rPr>
                <w:rFonts w:hint="default" w:ascii="Times New Roman" w:hAnsi="Times New Roman" w:cs="Times New Roman"/>
                <w:sz w:val="24"/>
                <w:szCs w:val="24"/>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813" w:type="dxa"/>
            <w:vMerge w:val="continue"/>
            <w:tcBorders>
              <w:tl2br w:val="nil"/>
              <w:tr2bl w:val="nil"/>
            </w:tcBorders>
            <w:vAlign w:val="center"/>
          </w:tcPr>
          <w:p>
            <w:pPr>
              <w:snapToGrid w:val="0"/>
              <w:spacing w:line="360" w:lineRule="auto"/>
              <w:jc w:val="center"/>
              <w:rPr>
                <w:rFonts w:hint="default" w:ascii="Times New Roman" w:hAnsi="Times New Roman" w:cs="Times New Roman"/>
                <w:sz w:val="24"/>
                <w:szCs w:val="24"/>
                <w:u w:val="none" w:color="auto"/>
              </w:rPr>
            </w:pPr>
          </w:p>
        </w:tc>
        <w:tc>
          <w:tcPr>
            <w:tcW w:w="567" w:type="dxa"/>
            <w:vMerge w:val="continue"/>
            <w:tcBorders>
              <w:tl2br w:val="nil"/>
              <w:tr2bl w:val="nil"/>
            </w:tcBorders>
            <w:vAlign w:val="center"/>
          </w:tcPr>
          <w:p>
            <w:pPr>
              <w:snapToGrid w:val="0"/>
              <w:spacing w:line="360" w:lineRule="auto"/>
              <w:jc w:val="center"/>
              <w:rPr>
                <w:rFonts w:hint="default" w:ascii="Times New Roman" w:hAnsi="Times New Roman" w:cs="Times New Roman"/>
                <w:sz w:val="24"/>
                <w:szCs w:val="24"/>
                <w:u w:val="none" w:color="auto"/>
              </w:rPr>
            </w:pPr>
          </w:p>
        </w:tc>
        <w:tc>
          <w:tcPr>
            <w:tcW w:w="1339" w:type="dxa"/>
            <w:vMerge w:val="continue"/>
            <w:tcBorders>
              <w:tl2br w:val="nil"/>
              <w:tr2bl w:val="nil"/>
            </w:tcBorders>
            <w:vAlign w:val="center"/>
          </w:tcPr>
          <w:p>
            <w:pPr>
              <w:snapToGrid w:val="0"/>
              <w:spacing w:line="360" w:lineRule="auto"/>
              <w:jc w:val="center"/>
              <w:rPr>
                <w:rFonts w:hint="default" w:ascii="Times New Roman" w:hAnsi="Times New Roman" w:cs="Times New Roman"/>
                <w:sz w:val="24"/>
                <w:szCs w:val="24"/>
                <w:u w:val="none" w:color="auto"/>
              </w:rPr>
            </w:pPr>
          </w:p>
        </w:tc>
        <w:tc>
          <w:tcPr>
            <w:tcW w:w="1646" w:type="dxa"/>
            <w:tcBorders>
              <w:tl2br w:val="nil"/>
              <w:tr2bl w:val="nil"/>
            </w:tcBorders>
            <w:vAlign w:val="center"/>
          </w:tcPr>
          <w:p>
            <w:pPr>
              <w:spacing w:line="360" w:lineRule="auto"/>
              <w:jc w:val="center"/>
              <w:rPr>
                <w:rFonts w:hint="eastAsia"/>
                <w:sz w:val="24"/>
                <w:szCs w:val="24"/>
                <w:u w:val="none" w:color="auto"/>
                <w:lang w:eastAsia="zh-CN"/>
              </w:rPr>
            </w:pPr>
            <w:r>
              <w:rPr>
                <w:rFonts w:hint="default" w:ascii="Times New Roman" w:hAnsi="Times New Roman" w:cs="Times New Roman"/>
                <w:sz w:val="24"/>
                <w:szCs w:val="24"/>
                <w:u w:val="none" w:color="auto"/>
                <w:lang w:val="en-US" w:eastAsia="zh-CN"/>
              </w:rPr>
              <w:t>废包装袋</w:t>
            </w:r>
          </w:p>
        </w:tc>
        <w:tc>
          <w:tcPr>
            <w:tcW w:w="2895" w:type="dxa"/>
            <w:tcBorders>
              <w:tl2br w:val="nil"/>
              <w:tr2bl w:val="nil"/>
            </w:tcBorders>
            <w:vAlign w:val="center"/>
          </w:tcPr>
          <w:p>
            <w:pPr>
              <w:spacing w:line="360" w:lineRule="auto"/>
              <w:jc w:val="center"/>
              <w:rPr>
                <w:rFonts w:hint="eastAsia"/>
                <w:sz w:val="24"/>
                <w:szCs w:val="24"/>
                <w:u w:val="none" w:color="auto"/>
                <w:lang w:eastAsia="zh-CN"/>
              </w:rPr>
            </w:pPr>
            <w:r>
              <w:rPr>
                <w:rFonts w:hint="default" w:ascii="Times New Roman" w:hAnsi="Times New Roman" w:cs="Times New Roman"/>
                <w:sz w:val="24"/>
                <w:szCs w:val="24"/>
                <w:u w:val="none" w:color="auto"/>
                <w:lang w:eastAsia="zh-CN"/>
              </w:rPr>
              <w:t>收集后</w:t>
            </w:r>
            <w:r>
              <w:rPr>
                <w:rFonts w:hint="eastAsia" w:ascii="Times New Roman" w:hAnsi="Times New Roman" w:cs="Times New Roman"/>
                <w:sz w:val="24"/>
                <w:szCs w:val="24"/>
                <w:u w:val="none" w:color="auto"/>
                <w:lang w:val="en-US" w:eastAsia="zh-CN"/>
              </w:rPr>
              <w:t>外售废品回收站综合利用</w:t>
            </w:r>
          </w:p>
        </w:tc>
        <w:tc>
          <w:tcPr>
            <w:tcW w:w="2515" w:type="dxa"/>
            <w:vMerge w:val="continue"/>
            <w:tcBorders>
              <w:tl2br w:val="nil"/>
              <w:tr2bl w:val="nil"/>
            </w:tcBorders>
            <w:vAlign w:val="center"/>
          </w:tcPr>
          <w:p>
            <w:pPr>
              <w:snapToGrid w:val="0"/>
              <w:spacing w:line="360" w:lineRule="auto"/>
              <w:jc w:val="center"/>
              <w:rPr>
                <w:rFonts w:hint="default" w:ascii="Times New Roman" w:hAnsi="Times New Roman" w:cs="Times New Roman"/>
                <w:sz w:val="24"/>
                <w:szCs w:val="24"/>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813" w:type="dxa"/>
            <w:vMerge w:val="continue"/>
            <w:tcBorders>
              <w:tl2br w:val="nil"/>
              <w:tr2bl w:val="nil"/>
            </w:tcBorders>
            <w:vAlign w:val="center"/>
          </w:tcPr>
          <w:p>
            <w:pPr>
              <w:snapToGrid w:val="0"/>
              <w:spacing w:line="360" w:lineRule="auto"/>
              <w:jc w:val="center"/>
              <w:rPr>
                <w:rFonts w:hint="default" w:ascii="Times New Roman" w:hAnsi="Times New Roman" w:cs="Times New Roman"/>
                <w:sz w:val="24"/>
                <w:szCs w:val="24"/>
                <w:u w:val="none" w:color="auto"/>
              </w:rPr>
            </w:pPr>
          </w:p>
        </w:tc>
        <w:tc>
          <w:tcPr>
            <w:tcW w:w="567" w:type="dxa"/>
            <w:vMerge w:val="continue"/>
            <w:tcBorders>
              <w:tl2br w:val="nil"/>
              <w:tr2bl w:val="nil"/>
            </w:tcBorders>
            <w:vAlign w:val="center"/>
          </w:tcPr>
          <w:p>
            <w:pPr>
              <w:snapToGrid w:val="0"/>
              <w:spacing w:line="360" w:lineRule="auto"/>
              <w:jc w:val="center"/>
              <w:rPr>
                <w:rFonts w:hint="default" w:ascii="Times New Roman" w:hAnsi="Times New Roman" w:cs="Times New Roman"/>
                <w:sz w:val="24"/>
                <w:szCs w:val="24"/>
                <w:u w:val="none" w:color="auto"/>
              </w:rPr>
            </w:pPr>
          </w:p>
        </w:tc>
        <w:tc>
          <w:tcPr>
            <w:tcW w:w="1339" w:type="dxa"/>
            <w:vMerge w:val="continue"/>
            <w:tcBorders>
              <w:tl2br w:val="nil"/>
              <w:tr2bl w:val="nil"/>
            </w:tcBorders>
            <w:vAlign w:val="center"/>
          </w:tcPr>
          <w:p>
            <w:pPr>
              <w:snapToGrid w:val="0"/>
              <w:spacing w:line="360" w:lineRule="auto"/>
              <w:jc w:val="center"/>
              <w:rPr>
                <w:rFonts w:hint="default" w:ascii="Times New Roman" w:hAnsi="Times New Roman" w:cs="Times New Roman"/>
                <w:sz w:val="24"/>
                <w:szCs w:val="24"/>
                <w:u w:val="none" w:color="auto"/>
              </w:rPr>
            </w:pPr>
          </w:p>
        </w:tc>
        <w:tc>
          <w:tcPr>
            <w:tcW w:w="1646" w:type="dxa"/>
            <w:tcBorders>
              <w:tl2br w:val="nil"/>
              <w:tr2bl w:val="nil"/>
            </w:tcBorders>
            <w:vAlign w:val="center"/>
          </w:tcPr>
          <w:p>
            <w:pPr>
              <w:spacing w:line="360" w:lineRule="auto"/>
              <w:jc w:val="center"/>
              <w:rPr>
                <w:rFonts w:hint="eastAsia"/>
                <w:sz w:val="24"/>
                <w:szCs w:val="24"/>
                <w:u w:val="none" w:color="auto"/>
                <w:lang w:eastAsia="zh-CN"/>
              </w:rPr>
            </w:pPr>
            <w:r>
              <w:rPr>
                <w:rFonts w:hint="default" w:ascii="Times New Roman" w:hAnsi="Times New Roman" w:cs="Times New Roman"/>
                <w:sz w:val="24"/>
                <w:szCs w:val="24"/>
                <w:u w:val="none" w:color="auto"/>
              </w:rPr>
              <w:t>生活垃圾</w:t>
            </w:r>
          </w:p>
        </w:tc>
        <w:tc>
          <w:tcPr>
            <w:tcW w:w="2895" w:type="dxa"/>
            <w:tcBorders>
              <w:tl2br w:val="nil"/>
              <w:tr2bl w:val="nil"/>
            </w:tcBorders>
            <w:vAlign w:val="center"/>
          </w:tcPr>
          <w:p>
            <w:pPr>
              <w:spacing w:line="360" w:lineRule="auto"/>
              <w:jc w:val="center"/>
              <w:rPr>
                <w:rFonts w:hint="eastAsia"/>
                <w:sz w:val="24"/>
                <w:szCs w:val="24"/>
                <w:u w:val="none" w:color="auto"/>
                <w:lang w:eastAsia="zh-CN"/>
              </w:rPr>
            </w:pPr>
            <w:r>
              <w:rPr>
                <w:rFonts w:hint="default" w:ascii="Times New Roman" w:hAnsi="Times New Roman" w:cs="Times New Roman"/>
                <w:sz w:val="24"/>
                <w:szCs w:val="24"/>
                <w:u w:val="none" w:color="auto"/>
              </w:rPr>
              <w:t>收集后交环卫部门统一清运处理</w:t>
            </w:r>
          </w:p>
        </w:tc>
        <w:tc>
          <w:tcPr>
            <w:tcW w:w="2515" w:type="dxa"/>
            <w:vMerge w:val="continue"/>
            <w:tcBorders>
              <w:tl2br w:val="nil"/>
              <w:tr2bl w:val="nil"/>
            </w:tcBorders>
            <w:vAlign w:val="center"/>
          </w:tcPr>
          <w:p>
            <w:pPr>
              <w:snapToGrid w:val="0"/>
              <w:spacing w:line="360" w:lineRule="auto"/>
              <w:jc w:val="center"/>
              <w:rPr>
                <w:rFonts w:hint="default" w:ascii="Times New Roman" w:hAnsi="Times New Roman" w:cs="Times New Roman"/>
                <w:sz w:val="24"/>
                <w:szCs w:val="24"/>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3" w:type="dxa"/>
            <w:tcBorders>
              <w:tl2br w:val="nil"/>
              <w:tr2bl w:val="nil"/>
            </w:tcBorders>
            <w:vAlign w:val="center"/>
          </w:tcPr>
          <w:p>
            <w:pPr>
              <w:snapToGrid w:val="0"/>
              <w:spacing w:line="360" w:lineRule="auto"/>
              <w:jc w:val="center"/>
              <w:rPr>
                <w:rFonts w:hint="default" w:ascii="Times New Roman" w:hAnsi="Times New Roman" w:cs="Times New Roman"/>
                <w:kern w:val="0"/>
                <w:sz w:val="24"/>
                <w:szCs w:val="24"/>
                <w:u w:val="none" w:color="auto"/>
              </w:rPr>
            </w:pPr>
            <w:r>
              <w:rPr>
                <w:rFonts w:hint="default" w:ascii="Times New Roman" w:hAnsi="Times New Roman" w:cs="Times New Roman"/>
                <w:kern w:val="0"/>
                <w:sz w:val="24"/>
                <w:szCs w:val="24"/>
                <w:u w:val="none" w:color="auto"/>
              </w:rPr>
              <w:t>噪声</w:t>
            </w:r>
          </w:p>
        </w:tc>
        <w:tc>
          <w:tcPr>
            <w:tcW w:w="567" w:type="dxa"/>
            <w:tcBorders>
              <w:tl2br w:val="nil"/>
              <w:tr2bl w:val="nil"/>
            </w:tcBorders>
            <w:vAlign w:val="center"/>
          </w:tcPr>
          <w:p>
            <w:pPr>
              <w:snapToGrid w:val="0"/>
              <w:spacing w:line="360" w:lineRule="auto"/>
              <w:jc w:val="center"/>
              <w:rPr>
                <w:rFonts w:hint="default" w:ascii="Times New Roman" w:hAnsi="Times New Roman" w:cs="Times New Roman"/>
                <w:b/>
                <w:kern w:val="0"/>
                <w:sz w:val="24"/>
                <w:szCs w:val="24"/>
                <w:u w:val="none" w:color="auto"/>
              </w:rPr>
            </w:pPr>
            <w:r>
              <w:rPr>
                <w:rFonts w:hint="default" w:ascii="Times New Roman" w:hAnsi="Times New Roman" w:cs="Times New Roman"/>
                <w:sz w:val="24"/>
                <w:szCs w:val="24"/>
                <w:u w:val="none" w:color="auto"/>
              </w:rPr>
              <w:t>营运期</w:t>
            </w:r>
          </w:p>
        </w:tc>
        <w:tc>
          <w:tcPr>
            <w:tcW w:w="8395" w:type="dxa"/>
            <w:gridSpan w:val="4"/>
            <w:tcBorders>
              <w:tl2br w:val="nil"/>
              <w:tr2bl w:val="nil"/>
            </w:tcBorders>
          </w:tcPr>
          <w:p>
            <w:pPr>
              <w:snapToGrid w:val="0"/>
              <w:spacing w:line="360" w:lineRule="auto"/>
              <w:jc w:val="left"/>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噪声主要来源于</w:t>
            </w:r>
            <w:r>
              <w:rPr>
                <w:rFonts w:hint="eastAsia"/>
                <w:sz w:val="24"/>
                <w:szCs w:val="24"/>
                <w:u w:val="none" w:color="auto"/>
                <w:lang w:val="en-US" w:eastAsia="zh-CN"/>
              </w:rPr>
              <w:t>分切机、折叠机、空压机、输送机</w:t>
            </w:r>
            <w:r>
              <w:rPr>
                <w:rFonts w:hint="default" w:ascii="Times New Roman" w:hAnsi="Times New Roman" w:cs="Times New Roman"/>
                <w:sz w:val="24"/>
                <w:szCs w:val="24"/>
                <w:u w:val="none" w:color="auto"/>
              </w:rPr>
              <w:t>等运行过程所产生的噪声，声值为</w:t>
            </w:r>
            <w:r>
              <w:rPr>
                <w:rFonts w:hint="eastAsia" w:cs="Times New Roman"/>
                <w:sz w:val="24"/>
                <w:szCs w:val="24"/>
                <w:u w:val="none" w:color="auto"/>
                <w:lang w:val="en-US" w:eastAsia="zh-CN"/>
              </w:rPr>
              <w:t>65</w:t>
            </w:r>
            <w:r>
              <w:rPr>
                <w:rFonts w:hint="default" w:ascii="Times New Roman" w:hAnsi="Times New Roman" w:cs="Times New Roman"/>
                <w:sz w:val="24"/>
                <w:szCs w:val="24"/>
                <w:u w:val="none" w:color="auto"/>
              </w:rPr>
              <w:t>~8</w:t>
            </w:r>
            <w:r>
              <w:rPr>
                <w:rFonts w:hint="eastAsia" w:cs="Times New Roman"/>
                <w:sz w:val="24"/>
                <w:szCs w:val="24"/>
                <w:u w:val="none" w:color="auto"/>
                <w:lang w:val="en-US" w:eastAsia="zh-CN"/>
              </w:rPr>
              <w:t>0</w:t>
            </w:r>
            <w:r>
              <w:rPr>
                <w:rFonts w:hint="default" w:ascii="Times New Roman" w:hAnsi="Times New Roman" w:cs="Times New Roman"/>
                <w:sz w:val="24"/>
                <w:szCs w:val="24"/>
                <w:u w:val="none" w:color="auto"/>
              </w:rPr>
              <w:t>dB(A)，经采取合理布局、隔音、减振等措施，使厂界噪声达到《工业企业场界环境噪声排放标准》（GB12348-2008）</w:t>
            </w:r>
            <w:r>
              <w:rPr>
                <w:rFonts w:hint="eastAsia" w:cs="Times New Roman"/>
                <w:sz w:val="24"/>
                <w:szCs w:val="24"/>
                <w:u w:val="none" w:color="auto"/>
                <w:lang w:val="en-US" w:eastAsia="zh-CN"/>
              </w:rPr>
              <w:t>3</w:t>
            </w:r>
            <w:r>
              <w:rPr>
                <w:rFonts w:hint="default" w:ascii="Times New Roman" w:hAnsi="Times New Roman" w:cs="Times New Roman"/>
                <w:sz w:val="24"/>
                <w:szCs w:val="24"/>
                <w:u w:val="none" w:color="auto"/>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13" w:type="dxa"/>
            <w:tcBorders>
              <w:tl2br w:val="nil"/>
              <w:tr2bl w:val="nil"/>
            </w:tcBorders>
            <w:vAlign w:val="center"/>
          </w:tcPr>
          <w:p>
            <w:pPr>
              <w:snapToGrid w:val="0"/>
              <w:spacing w:line="360" w:lineRule="auto"/>
              <w:jc w:val="center"/>
              <w:rPr>
                <w:rFonts w:hint="default" w:ascii="Times New Roman" w:hAnsi="Times New Roman" w:cs="Times New Roman"/>
                <w:kern w:val="0"/>
                <w:sz w:val="24"/>
                <w:szCs w:val="24"/>
                <w:u w:val="none" w:color="auto"/>
              </w:rPr>
            </w:pPr>
            <w:r>
              <w:rPr>
                <w:rFonts w:hint="eastAsia" w:cs="Times New Roman"/>
                <w:color w:val="auto"/>
                <w:sz w:val="24"/>
                <w:szCs w:val="24"/>
                <w:u w:val="none" w:color="auto"/>
                <w:lang w:val="en-US" w:eastAsia="zh-CN"/>
              </w:rPr>
              <w:t>风险</w:t>
            </w:r>
          </w:p>
        </w:tc>
        <w:tc>
          <w:tcPr>
            <w:tcW w:w="567" w:type="dxa"/>
            <w:tcBorders>
              <w:tl2br w:val="nil"/>
              <w:tr2bl w:val="nil"/>
            </w:tcBorders>
            <w:vAlign w:val="center"/>
          </w:tcPr>
          <w:p>
            <w:pPr>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营运期</w:t>
            </w:r>
          </w:p>
        </w:tc>
        <w:tc>
          <w:tcPr>
            <w:tcW w:w="8395" w:type="dxa"/>
            <w:gridSpan w:val="4"/>
            <w:tcBorders>
              <w:tl2br w:val="nil"/>
              <w:tr2bl w:val="nil"/>
            </w:tcBorders>
            <w:vAlign w:val="center"/>
          </w:tcPr>
          <w:p>
            <w:pPr>
              <w:spacing w:line="360" w:lineRule="auto"/>
              <w:jc w:val="center"/>
              <w:rPr>
                <w:rFonts w:hint="default" w:ascii="Times New Roman" w:hAnsi="Times New Roman" w:cs="Times New Roman"/>
                <w:sz w:val="24"/>
                <w:szCs w:val="24"/>
                <w:u w:val="none" w:color="auto"/>
              </w:rPr>
            </w:pPr>
            <w:r>
              <w:rPr>
                <w:rFonts w:hint="eastAsia" w:cs="Times New Roman"/>
                <w:color w:val="auto"/>
                <w:sz w:val="24"/>
                <w:szCs w:val="24"/>
                <w:u w:val="none" w:color="auto"/>
                <w:lang w:val="en-US" w:eastAsia="zh-CN"/>
              </w:rPr>
              <w:t>油墨储存区、印刷工序擦洗废水罐储存区需设置围堰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775" w:type="dxa"/>
            <w:gridSpan w:val="6"/>
            <w:tcBorders>
              <w:tl2br w:val="nil"/>
              <w:tr2bl w:val="nil"/>
            </w:tcBorders>
          </w:tcPr>
          <w:p>
            <w:pPr>
              <w:snapToGrid w:val="0"/>
              <w:spacing w:line="360" w:lineRule="auto"/>
              <w:rPr>
                <w:rFonts w:hint="default" w:ascii="Times New Roman" w:hAnsi="Times New Roman" w:cs="Times New Roman"/>
                <w:b/>
                <w:kern w:val="0"/>
                <w:sz w:val="24"/>
                <w:szCs w:val="24"/>
                <w:u w:val="none" w:color="auto"/>
              </w:rPr>
            </w:pPr>
            <w:r>
              <w:rPr>
                <w:rFonts w:hint="default" w:ascii="Times New Roman" w:hAnsi="Times New Roman" w:cs="Times New Roman"/>
                <w:b/>
                <w:kern w:val="0"/>
                <w:sz w:val="24"/>
                <w:szCs w:val="24"/>
                <w:u w:val="none" w:color="auto"/>
              </w:rPr>
              <w:t>生态保护措施及预期效果：</w:t>
            </w:r>
          </w:p>
          <w:p>
            <w:pPr>
              <w:snapToGrid w:val="0"/>
              <w:spacing w:line="360" w:lineRule="auto"/>
              <w:ind w:firstLine="482"/>
              <w:rPr>
                <w:rFonts w:hint="eastAsia" w:cs="Times New Roman"/>
                <w:color w:val="auto"/>
                <w:sz w:val="24"/>
                <w:szCs w:val="24"/>
                <w:u w:val="none" w:color="auto"/>
                <w:lang w:eastAsia="zh-CN"/>
              </w:rPr>
            </w:pPr>
            <w:r>
              <w:rPr>
                <w:rFonts w:hint="default" w:ascii="Times New Roman" w:hAnsi="Times New Roman" w:cs="Times New Roman"/>
                <w:sz w:val="24"/>
                <w:szCs w:val="24"/>
                <w:u w:val="none" w:color="auto"/>
              </w:rPr>
              <w:t>本项目位于</w:t>
            </w:r>
            <w:r>
              <w:rPr>
                <w:rFonts w:hint="eastAsia" w:cs="Times New Roman"/>
                <w:sz w:val="24"/>
                <w:szCs w:val="24"/>
                <w:u w:val="none" w:color="auto"/>
                <w:lang w:eastAsia="zh-CN"/>
              </w:rPr>
              <w:t>岳阳市湘阴县金龙新区工业园湖南卓达置业有限公司一期22栋</w:t>
            </w:r>
            <w:r>
              <w:rPr>
                <w:rFonts w:hint="eastAsia" w:ascii="Times New Roman" w:hAnsi="Times New Roman" w:cs="Times New Roman"/>
                <w:color w:val="auto"/>
                <w:sz w:val="24"/>
                <w:szCs w:val="24"/>
                <w:u w:val="none" w:color="auto"/>
                <w:lang w:eastAsia="zh-CN"/>
              </w:rPr>
              <w:t>现有</w:t>
            </w:r>
            <w:r>
              <w:rPr>
                <w:rFonts w:hint="default" w:ascii="Times New Roman" w:hAnsi="Times New Roman" w:cs="Times New Roman"/>
                <w:color w:val="auto"/>
                <w:sz w:val="24"/>
                <w:szCs w:val="24"/>
                <w:u w:val="none" w:color="auto"/>
              </w:rPr>
              <w:t>厂房进行生产，不会对生态环境产生影响。此外，项目营运期产生的废气、废水、固废和噪声均得到有效处理与处置，项目营运不会对周围的生态环境产生明显影响</w:t>
            </w:r>
            <w:r>
              <w:rPr>
                <w:rFonts w:hint="eastAsia" w:cs="Times New Roman"/>
                <w:color w:val="auto"/>
                <w:sz w:val="24"/>
                <w:szCs w:val="24"/>
                <w:u w:val="none" w:color="auto"/>
                <w:lang w:eastAsia="zh-CN"/>
              </w:rPr>
              <w:t>。</w:t>
            </w:r>
          </w:p>
          <w:p>
            <w:pPr>
              <w:snapToGrid w:val="0"/>
              <w:spacing w:line="360" w:lineRule="auto"/>
              <w:ind w:firstLine="482"/>
              <w:rPr>
                <w:rFonts w:hint="eastAsia" w:cs="Times New Roman"/>
                <w:color w:val="auto"/>
                <w:sz w:val="24"/>
                <w:szCs w:val="24"/>
                <w:u w:val="none" w:color="auto"/>
                <w:lang w:eastAsia="zh-CN"/>
              </w:rPr>
            </w:pPr>
          </w:p>
          <w:p>
            <w:pPr>
              <w:snapToGrid w:val="0"/>
              <w:spacing w:line="360" w:lineRule="auto"/>
              <w:ind w:firstLine="482"/>
              <w:rPr>
                <w:rFonts w:hint="eastAsia" w:cs="Times New Roman"/>
                <w:color w:val="auto"/>
                <w:sz w:val="24"/>
                <w:szCs w:val="24"/>
                <w:u w:val="none" w:color="auto"/>
                <w:lang w:eastAsia="zh-CN"/>
              </w:rPr>
            </w:pPr>
          </w:p>
          <w:p>
            <w:pPr>
              <w:snapToGrid w:val="0"/>
              <w:spacing w:line="360" w:lineRule="auto"/>
              <w:ind w:firstLine="482"/>
              <w:rPr>
                <w:rFonts w:hint="eastAsia" w:cs="Times New Roman"/>
                <w:color w:val="auto"/>
                <w:sz w:val="24"/>
                <w:szCs w:val="24"/>
                <w:u w:val="none" w:color="auto"/>
                <w:lang w:eastAsia="zh-CN"/>
              </w:rPr>
            </w:pPr>
          </w:p>
          <w:p>
            <w:pPr>
              <w:snapToGrid w:val="0"/>
              <w:spacing w:line="360" w:lineRule="auto"/>
              <w:ind w:firstLine="482"/>
              <w:rPr>
                <w:rFonts w:hint="eastAsia" w:cs="Times New Roman"/>
                <w:color w:val="auto"/>
                <w:sz w:val="24"/>
                <w:szCs w:val="24"/>
                <w:u w:val="none" w:color="auto"/>
                <w:lang w:eastAsia="zh-CN"/>
              </w:rPr>
            </w:pPr>
          </w:p>
          <w:p>
            <w:pPr>
              <w:snapToGrid w:val="0"/>
              <w:spacing w:line="360" w:lineRule="auto"/>
              <w:ind w:firstLine="482"/>
              <w:rPr>
                <w:rFonts w:hint="eastAsia" w:cs="Times New Roman"/>
                <w:color w:val="auto"/>
                <w:sz w:val="24"/>
                <w:szCs w:val="24"/>
                <w:u w:val="none" w:color="auto"/>
                <w:lang w:eastAsia="zh-CN"/>
              </w:rPr>
            </w:pPr>
          </w:p>
          <w:p>
            <w:pPr>
              <w:snapToGrid w:val="0"/>
              <w:spacing w:line="360" w:lineRule="auto"/>
              <w:ind w:firstLine="482"/>
              <w:rPr>
                <w:rFonts w:hint="eastAsia" w:cs="Times New Roman"/>
                <w:color w:val="auto"/>
                <w:sz w:val="24"/>
                <w:szCs w:val="24"/>
                <w:u w:val="none" w:color="auto"/>
                <w:lang w:eastAsia="zh-CN"/>
              </w:rPr>
            </w:pPr>
          </w:p>
          <w:p>
            <w:pPr>
              <w:snapToGrid w:val="0"/>
              <w:spacing w:line="360" w:lineRule="auto"/>
              <w:ind w:firstLine="482"/>
              <w:rPr>
                <w:rFonts w:hint="eastAsia" w:cs="Times New Roman"/>
                <w:color w:val="auto"/>
                <w:sz w:val="24"/>
                <w:szCs w:val="24"/>
                <w:u w:val="none" w:color="auto"/>
                <w:lang w:eastAsia="zh-CN"/>
              </w:rPr>
            </w:pPr>
          </w:p>
          <w:p>
            <w:pPr>
              <w:snapToGrid w:val="0"/>
              <w:spacing w:line="360" w:lineRule="auto"/>
              <w:ind w:firstLine="482"/>
              <w:rPr>
                <w:rFonts w:hint="eastAsia" w:cs="Times New Roman"/>
                <w:color w:val="auto"/>
                <w:sz w:val="24"/>
                <w:szCs w:val="24"/>
                <w:u w:val="none" w:color="auto"/>
                <w:lang w:eastAsia="zh-CN"/>
              </w:rPr>
            </w:pPr>
          </w:p>
          <w:p>
            <w:pPr>
              <w:snapToGrid w:val="0"/>
              <w:spacing w:line="360" w:lineRule="auto"/>
              <w:ind w:firstLine="482"/>
              <w:rPr>
                <w:rFonts w:hint="eastAsia" w:cs="Times New Roman"/>
                <w:color w:val="auto"/>
                <w:sz w:val="24"/>
                <w:szCs w:val="24"/>
                <w:u w:val="none" w:color="auto"/>
                <w:lang w:eastAsia="zh-CN"/>
              </w:rPr>
            </w:pPr>
          </w:p>
          <w:p>
            <w:pPr>
              <w:snapToGrid w:val="0"/>
              <w:spacing w:line="360" w:lineRule="auto"/>
              <w:ind w:firstLine="482"/>
              <w:rPr>
                <w:rFonts w:hint="eastAsia" w:cs="Times New Roman"/>
                <w:color w:val="auto"/>
                <w:sz w:val="24"/>
                <w:szCs w:val="24"/>
                <w:u w:val="none" w:color="auto"/>
                <w:lang w:eastAsia="zh-CN"/>
              </w:rPr>
            </w:pPr>
          </w:p>
          <w:p>
            <w:pPr>
              <w:snapToGrid w:val="0"/>
              <w:spacing w:line="360" w:lineRule="auto"/>
              <w:rPr>
                <w:rFonts w:hint="eastAsia" w:cs="Times New Roman"/>
                <w:color w:val="auto"/>
                <w:sz w:val="24"/>
                <w:szCs w:val="24"/>
                <w:u w:val="none" w:color="auto"/>
                <w:lang w:eastAsia="zh-CN"/>
              </w:rPr>
            </w:pPr>
          </w:p>
          <w:p>
            <w:pPr>
              <w:snapToGrid w:val="0"/>
              <w:spacing w:line="360" w:lineRule="auto"/>
              <w:ind w:firstLine="482"/>
              <w:rPr>
                <w:rFonts w:hint="eastAsia" w:cs="Times New Roman"/>
                <w:color w:val="auto"/>
                <w:sz w:val="24"/>
                <w:szCs w:val="24"/>
                <w:u w:val="none" w:color="auto"/>
                <w:lang w:eastAsia="zh-CN"/>
              </w:rPr>
            </w:pPr>
          </w:p>
          <w:p>
            <w:pPr>
              <w:snapToGrid w:val="0"/>
              <w:spacing w:line="360" w:lineRule="auto"/>
              <w:rPr>
                <w:rFonts w:hint="eastAsia" w:cs="Times New Roman"/>
                <w:color w:val="auto"/>
                <w:sz w:val="24"/>
                <w:szCs w:val="24"/>
                <w:u w:val="none" w:color="auto"/>
                <w:lang w:eastAsia="zh-CN"/>
              </w:rPr>
            </w:pPr>
          </w:p>
          <w:p>
            <w:pPr>
              <w:snapToGrid w:val="0"/>
              <w:spacing w:line="360" w:lineRule="auto"/>
              <w:ind w:firstLine="482"/>
              <w:rPr>
                <w:rFonts w:hint="default" w:ascii="Times New Roman" w:hAnsi="Times New Roman" w:cs="Times New Roman"/>
                <w:sz w:val="24"/>
                <w:szCs w:val="24"/>
                <w:u w:val="none" w:color="auto"/>
              </w:rPr>
            </w:pPr>
          </w:p>
        </w:tc>
      </w:tr>
    </w:tbl>
    <w:p>
      <w:pPr>
        <w:snapToGrid w:val="0"/>
        <w:jc w:val="left"/>
        <w:outlineLvl w:val="0"/>
        <w:rPr>
          <w:u w:val="none" w:color="auto"/>
        </w:rPr>
      </w:pPr>
      <w:r>
        <w:rPr>
          <w:u w:val="none" w:color="auto"/>
        </w:rPr>
        <w:br w:type="page"/>
      </w:r>
      <w:bookmarkStart w:id="12" w:name="_Toc22711"/>
      <w:r>
        <w:rPr>
          <w:rFonts w:hint="eastAsia" w:eastAsia="黑体"/>
          <w:sz w:val="32"/>
          <w:u w:val="none" w:color="auto"/>
        </w:rPr>
        <w:t>九、</w:t>
      </w:r>
      <w:r>
        <w:rPr>
          <w:rFonts w:eastAsia="黑体"/>
          <w:sz w:val="32"/>
          <w:u w:val="none" w:color="auto"/>
        </w:rPr>
        <w:t>结论与建议</w:t>
      </w:r>
      <w:bookmarkEnd w:id="12"/>
    </w:p>
    <w:tbl>
      <w:tblPr>
        <w:tblStyle w:val="40"/>
        <w:tblW w:w="935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85" w:type="dxa"/>
          <w:bottom w:w="0" w:type="dxa"/>
          <w:right w:w="85" w:type="dxa"/>
        </w:tblCellMar>
      </w:tblPr>
      <w:tblGrid>
        <w:gridCol w:w="935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85" w:type="dxa"/>
            <w:bottom w:w="0" w:type="dxa"/>
            <w:right w:w="85" w:type="dxa"/>
          </w:tblCellMar>
        </w:tblPrEx>
        <w:trPr>
          <w:trHeight w:val="13397" w:hRule="atLeast"/>
          <w:jc w:val="center"/>
        </w:trPr>
        <w:tc>
          <w:tcPr>
            <w:tcW w:w="9356" w:type="dxa"/>
          </w:tcPr>
          <w:p>
            <w:pPr>
              <w:snapToGrid w:val="0"/>
              <w:spacing w:line="360" w:lineRule="auto"/>
              <w:rPr>
                <w:b/>
                <w:sz w:val="24"/>
                <w:szCs w:val="24"/>
                <w:u w:val="none" w:color="auto"/>
              </w:rPr>
            </w:pPr>
            <w:r>
              <w:rPr>
                <w:b/>
                <w:sz w:val="24"/>
                <w:szCs w:val="24"/>
                <w:u w:val="none" w:color="auto"/>
              </w:rPr>
              <w:t>一. 结论</w:t>
            </w:r>
          </w:p>
          <w:p>
            <w:pPr>
              <w:adjustRightInd w:val="0"/>
              <w:snapToGrid w:val="0"/>
              <w:spacing w:line="360" w:lineRule="auto"/>
              <w:ind w:firstLine="466" w:firstLineChars="200"/>
              <w:rPr>
                <w:b/>
                <w:bCs/>
                <w:sz w:val="24"/>
                <w:szCs w:val="24"/>
                <w:u w:val="none" w:color="auto"/>
              </w:rPr>
            </w:pPr>
            <w:r>
              <w:rPr>
                <w:b/>
                <w:bCs/>
                <w:sz w:val="24"/>
                <w:szCs w:val="24"/>
                <w:u w:val="none" w:color="auto"/>
              </w:rPr>
              <w:t>1、项目概况</w:t>
            </w:r>
          </w:p>
          <w:p>
            <w:pPr>
              <w:adjustRightInd w:val="0"/>
              <w:snapToGrid w:val="0"/>
              <w:spacing w:line="360" w:lineRule="auto"/>
              <w:ind w:firstLine="466" w:firstLineChars="200"/>
              <w:rPr>
                <w:rFonts w:hint="eastAsia"/>
                <w:sz w:val="24"/>
                <w:szCs w:val="24"/>
                <w:u w:val="none" w:color="auto"/>
                <w:lang w:eastAsia="zh-CN"/>
              </w:rPr>
            </w:pPr>
            <w:r>
              <w:rPr>
                <w:rFonts w:hint="eastAsia"/>
                <w:sz w:val="24"/>
                <w:szCs w:val="24"/>
                <w:u w:val="none" w:color="auto"/>
                <w:lang w:eastAsia="zh-CN"/>
              </w:rPr>
              <w:t>深圳市帝彩纸业有限公司岳阳市分公司年产4500吨纸业用品建设项目</w:t>
            </w:r>
            <w:r>
              <w:rPr>
                <w:rFonts w:hint="eastAsia"/>
                <w:sz w:val="24"/>
                <w:szCs w:val="24"/>
                <w:u w:val="none" w:color="auto"/>
              </w:rPr>
              <w:t>选</w:t>
            </w:r>
            <w:r>
              <w:rPr>
                <w:rFonts w:hint="eastAsia"/>
                <w:sz w:val="24"/>
                <w:szCs w:val="24"/>
                <w:u w:val="none" w:color="auto"/>
                <w:lang w:eastAsia="zh-CN"/>
              </w:rPr>
              <w:t>址</w:t>
            </w:r>
            <w:r>
              <w:rPr>
                <w:rFonts w:hint="default"/>
                <w:sz w:val="24"/>
                <w:szCs w:val="24"/>
                <w:u w:val="none" w:color="auto"/>
                <w:lang w:eastAsia="zh-CN"/>
              </w:rPr>
              <w:t>于</w:t>
            </w:r>
            <w:r>
              <w:rPr>
                <w:rFonts w:hint="eastAsia"/>
                <w:sz w:val="24"/>
                <w:szCs w:val="24"/>
                <w:u w:val="none" w:color="auto"/>
                <w:lang w:eastAsia="zh-CN"/>
              </w:rPr>
              <w:t>岳阳市湘阴县金龙新区工业园湖南卓达置业有限公司一期22栋现有厂房，总投资</w:t>
            </w:r>
            <w:r>
              <w:rPr>
                <w:rFonts w:hint="eastAsia"/>
                <w:sz w:val="24"/>
                <w:szCs w:val="24"/>
                <w:u w:val="none" w:color="auto"/>
                <w:lang w:val="en-US" w:eastAsia="zh-CN"/>
              </w:rPr>
              <w:t>2000万元</w:t>
            </w:r>
            <w:r>
              <w:rPr>
                <w:rFonts w:hint="eastAsia"/>
                <w:sz w:val="24"/>
                <w:szCs w:val="24"/>
                <w:u w:val="none" w:color="auto"/>
                <w:lang w:eastAsia="zh-CN"/>
              </w:rPr>
              <w:t>（环保投资为</w:t>
            </w:r>
            <w:r>
              <w:rPr>
                <w:rFonts w:hint="eastAsia"/>
                <w:sz w:val="24"/>
                <w:szCs w:val="24"/>
                <w:u w:val="none" w:color="auto"/>
                <w:lang w:val="en-US" w:eastAsia="zh-CN"/>
              </w:rPr>
              <w:t>44.0</w:t>
            </w:r>
            <w:r>
              <w:rPr>
                <w:rFonts w:hint="eastAsia"/>
                <w:sz w:val="24"/>
                <w:szCs w:val="24"/>
                <w:u w:val="none" w:color="auto"/>
                <w:lang w:eastAsia="zh-CN"/>
              </w:rPr>
              <w:t>万元），总占地面积</w:t>
            </w:r>
            <w:r>
              <w:rPr>
                <w:rFonts w:hint="eastAsia" w:cs="Times New Roman"/>
                <w:spacing w:val="-6"/>
                <w:sz w:val="24"/>
                <w:u w:val="none" w:color="auto"/>
                <w:lang w:val="en-US" w:eastAsia="zh-CN"/>
              </w:rPr>
              <w:t>1176.02</w:t>
            </w:r>
            <w:r>
              <w:rPr>
                <w:rFonts w:hint="eastAsia"/>
                <w:sz w:val="24"/>
                <w:szCs w:val="24"/>
                <w:u w:val="none" w:color="auto"/>
                <w:lang w:eastAsia="zh-CN"/>
              </w:rPr>
              <w:t>平方米，总建筑面积</w:t>
            </w:r>
            <w:r>
              <w:rPr>
                <w:rFonts w:hint="eastAsia"/>
                <w:sz w:val="24"/>
                <w:szCs w:val="24"/>
                <w:u w:val="none" w:color="auto"/>
                <w:lang w:val="en-US" w:eastAsia="zh-CN"/>
              </w:rPr>
              <w:t>4704.08</w:t>
            </w:r>
            <w:r>
              <w:rPr>
                <w:rFonts w:hint="eastAsia"/>
                <w:sz w:val="24"/>
                <w:szCs w:val="24"/>
                <w:u w:val="none" w:color="auto"/>
                <w:lang w:eastAsia="zh-CN"/>
              </w:rPr>
              <w:t>平方米</w:t>
            </w:r>
            <w:r>
              <w:rPr>
                <w:rFonts w:hint="eastAsia" w:ascii="Times New Roman" w:hAnsi="Times New Roman" w:eastAsia="宋体" w:cs="Times New Roman"/>
                <w:sz w:val="24"/>
                <w:szCs w:val="24"/>
                <w:u w:val="none" w:color="auto"/>
                <w:lang w:eastAsia="zh-CN"/>
              </w:rPr>
              <w:t>，项目建成投</w:t>
            </w:r>
            <w:r>
              <w:rPr>
                <w:rFonts w:hint="eastAsia"/>
                <w:sz w:val="24"/>
                <w:szCs w:val="24"/>
                <w:u w:val="none" w:color="auto"/>
              </w:rPr>
              <w:t>产后年产</w:t>
            </w:r>
            <w:r>
              <w:rPr>
                <w:rFonts w:hint="eastAsia"/>
                <w:sz w:val="24"/>
                <w:szCs w:val="24"/>
                <w:u w:val="none" w:color="auto"/>
                <w:lang w:eastAsia="zh-CN"/>
              </w:rPr>
              <w:t>4500吨纸业用品</w:t>
            </w:r>
            <w:r>
              <w:rPr>
                <w:rFonts w:hint="eastAsia"/>
                <w:sz w:val="24"/>
                <w:szCs w:val="24"/>
                <w:u w:val="none" w:color="auto"/>
                <w:lang w:val="en-US" w:eastAsia="zh-CN"/>
              </w:rPr>
              <w:t>（</w:t>
            </w:r>
            <w:r>
              <w:rPr>
                <w:rFonts w:hint="eastAsia" w:cs="Times New Roman"/>
                <w:sz w:val="24"/>
                <w:szCs w:val="22"/>
                <w:u w:val="none" w:color="auto"/>
                <w:lang w:val="en-US" w:eastAsia="zh-CN"/>
              </w:rPr>
              <w:t>主要的纸制品为卫生用纸（卷纸、抽纸）、双胶卷纸、热敏卷纸、复印纸</w:t>
            </w:r>
            <w:r>
              <w:rPr>
                <w:rFonts w:hint="eastAsia"/>
                <w:sz w:val="24"/>
                <w:szCs w:val="24"/>
                <w:u w:val="none" w:color="auto"/>
                <w:lang w:val="en-US" w:eastAsia="zh-CN"/>
              </w:rPr>
              <w:t>）</w:t>
            </w:r>
            <w:r>
              <w:rPr>
                <w:rFonts w:hint="eastAsia"/>
                <w:sz w:val="24"/>
                <w:szCs w:val="24"/>
                <w:u w:val="none" w:color="auto"/>
                <w:lang w:eastAsia="zh-CN"/>
              </w:rPr>
              <w:t>。</w:t>
            </w:r>
          </w:p>
          <w:p>
            <w:pPr>
              <w:adjustRightInd w:val="0"/>
              <w:snapToGrid w:val="0"/>
              <w:spacing w:line="360" w:lineRule="auto"/>
              <w:ind w:firstLine="466" w:firstLineChars="200"/>
              <w:rPr>
                <w:sz w:val="24"/>
                <w:u w:val="none" w:color="auto"/>
              </w:rPr>
            </w:pPr>
            <w:r>
              <w:rPr>
                <w:b/>
                <w:bCs/>
                <w:sz w:val="24"/>
                <w:szCs w:val="24"/>
                <w:u w:val="none" w:color="auto"/>
              </w:rPr>
              <w:t>2</w:t>
            </w:r>
            <w:r>
              <w:rPr>
                <w:b/>
                <w:sz w:val="24"/>
                <w:u w:val="none" w:color="auto"/>
              </w:rPr>
              <w:t>、区域环境质量结论</w:t>
            </w:r>
          </w:p>
          <w:p>
            <w:pPr>
              <w:snapToGrid w:val="0"/>
              <w:spacing w:line="360" w:lineRule="auto"/>
              <w:ind w:firstLine="457" w:firstLineChars="196"/>
              <w:rPr>
                <w:rFonts w:hAnsi="宋体"/>
                <w:sz w:val="24"/>
                <w:szCs w:val="24"/>
                <w:u w:val="none" w:color="auto"/>
              </w:rPr>
            </w:pPr>
            <w:r>
              <w:rPr>
                <w:rFonts w:hAnsi="宋体"/>
                <w:sz w:val="24"/>
                <w:szCs w:val="24"/>
                <w:u w:val="none" w:color="auto"/>
              </w:rPr>
              <w:t>本项目所在地区域环境质量现状调查结果表明：</w:t>
            </w:r>
          </w:p>
          <w:p>
            <w:pPr>
              <w:pStyle w:val="5"/>
              <w:keepNext w:val="0"/>
              <w:keepLines w:val="0"/>
              <w:pageBreakBefore w:val="0"/>
              <w:widowControl w:val="0"/>
              <w:kinsoku/>
              <w:wordWrap/>
              <w:overflowPunct/>
              <w:topLinePunct w:val="0"/>
              <w:autoSpaceDE/>
              <w:autoSpaceDN/>
              <w:bidi w:val="0"/>
              <w:spacing w:after="0" w:afterLines="0" w:line="360" w:lineRule="auto"/>
              <w:ind w:left="0" w:right="0" w:firstLine="466" w:firstLineChars="200"/>
              <w:textAlignment w:val="auto"/>
              <w:rPr>
                <w:rFonts w:hint="eastAsia" w:cs="Times New Roman"/>
                <w:iCs w:val="0"/>
                <w:color w:val="auto"/>
                <w:kern w:val="2"/>
                <w:sz w:val="24"/>
                <w:szCs w:val="24"/>
                <w:u w:val="none" w:color="auto"/>
                <w:lang w:val="en-US" w:eastAsia="zh-CN" w:bidi="ar-SA"/>
              </w:rPr>
            </w:pPr>
            <w:r>
              <w:rPr>
                <w:rFonts w:hint="default" w:ascii="Times New Roman" w:hAnsi="Times New Roman" w:eastAsia="宋体" w:cs="Times New Roman"/>
                <w:iCs w:val="0"/>
                <w:color w:val="auto"/>
                <w:kern w:val="2"/>
                <w:sz w:val="24"/>
                <w:szCs w:val="24"/>
                <w:u w:val="none" w:color="auto"/>
                <w:lang w:val="en-US" w:eastAsia="zh-CN" w:bidi="ar-SA"/>
              </w:rPr>
              <w:t>大气</w:t>
            </w:r>
            <w:r>
              <w:rPr>
                <w:rFonts w:hint="default" w:ascii="Times New Roman" w:hAnsi="Times New Roman" w:cs="Times New Roman"/>
                <w:iCs w:val="0"/>
                <w:color w:val="auto"/>
                <w:kern w:val="2"/>
                <w:sz w:val="24"/>
                <w:szCs w:val="24"/>
                <w:u w:val="none" w:color="auto"/>
                <w:lang w:val="en-US" w:eastAsia="zh-CN" w:bidi="ar-SA"/>
              </w:rPr>
              <w:t>：</w:t>
            </w:r>
            <w:r>
              <w:rPr>
                <w:rFonts w:hint="default" w:ascii="Times New Roman" w:hAnsi="Times New Roman" w:eastAsia="宋体" w:cs="Times New Roman"/>
                <w:iCs w:val="0"/>
                <w:color w:val="auto"/>
                <w:kern w:val="2"/>
                <w:sz w:val="24"/>
                <w:szCs w:val="24"/>
                <w:u w:val="none" w:color="auto"/>
                <w:lang w:val="en-US" w:eastAsia="zh-CN" w:bidi="ar-SA"/>
              </w:rPr>
              <w:t>为了解建设项目所在区域的大气环境状况，本环评引用</w:t>
            </w:r>
            <w:r>
              <w:rPr>
                <w:rFonts w:hint="eastAsia" w:cs="Times New Roman"/>
                <w:iCs w:val="0"/>
                <w:color w:val="auto"/>
                <w:kern w:val="2"/>
                <w:sz w:val="24"/>
                <w:szCs w:val="24"/>
                <w:u w:val="none" w:color="auto"/>
                <w:lang w:val="en-US" w:eastAsia="zh-CN" w:bidi="ar-SA"/>
              </w:rPr>
              <w:t>湘阴县生态环境部门于</w:t>
            </w:r>
            <w:r>
              <w:rPr>
                <w:rFonts w:hint="default" w:ascii="Times New Roman" w:hAnsi="Times New Roman" w:eastAsia="宋体" w:cs="Times New Roman"/>
                <w:iCs w:val="0"/>
                <w:color w:val="auto"/>
                <w:kern w:val="2"/>
                <w:sz w:val="24"/>
                <w:szCs w:val="24"/>
                <w:u w:val="none" w:color="auto"/>
                <w:lang w:val="en-US" w:eastAsia="zh-CN" w:bidi="ar-SA"/>
              </w:rPr>
              <w:t>2018年</w:t>
            </w:r>
            <w:r>
              <w:rPr>
                <w:rFonts w:hint="eastAsia" w:cs="Times New Roman"/>
                <w:iCs w:val="0"/>
                <w:color w:val="auto"/>
                <w:kern w:val="2"/>
                <w:sz w:val="24"/>
                <w:szCs w:val="24"/>
                <w:u w:val="none" w:color="auto"/>
                <w:lang w:val="en-US" w:eastAsia="zh-CN" w:bidi="ar-SA"/>
              </w:rPr>
              <w:t>、2019年</w:t>
            </w:r>
            <w:r>
              <w:rPr>
                <w:rFonts w:hint="default" w:ascii="Times New Roman" w:hAnsi="Times New Roman" w:eastAsia="宋体" w:cs="Times New Roman"/>
                <w:iCs w:val="0"/>
                <w:color w:val="auto"/>
                <w:kern w:val="2"/>
                <w:sz w:val="24"/>
                <w:szCs w:val="24"/>
                <w:u w:val="none" w:color="auto"/>
                <w:lang w:val="en-US" w:eastAsia="zh-CN" w:bidi="ar-SA"/>
              </w:rPr>
              <w:t>常规监测点</w:t>
            </w:r>
            <w:r>
              <w:rPr>
                <w:rFonts w:hint="eastAsia" w:cs="Times New Roman"/>
                <w:iCs w:val="0"/>
                <w:color w:val="auto"/>
                <w:kern w:val="2"/>
                <w:sz w:val="24"/>
                <w:szCs w:val="24"/>
                <w:u w:val="none" w:color="auto"/>
                <w:lang w:val="en-US" w:eastAsia="zh-CN" w:bidi="ar-SA"/>
              </w:rPr>
              <w:t>的结果，</w:t>
            </w:r>
            <w:r>
              <w:rPr>
                <w:rFonts w:hint="default" w:ascii="Times New Roman" w:hAnsi="Times New Roman" w:eastAsia="宋体" w:cs="Times New Roman"/>
                <w:iCs w:val="0"/>
                <w:color w:val="auto"/>
                <w:kern w:val="2"/>
                <w:sz w:val="24"/>
                <w:szCs w:val="24"/>
                <w:u w:val="none" w:color="auto"/>
                <w:lang w:val="en-US" w:eastAsia="zh-CN" w:bidi="ar-SA"/>
              </w:rPr>
              <w:t>对区域环境空气质量现状进行评价，监测因子为 NO</w:t>
            </w:r>
            <w:r>
              <w:rPr>
                <w:rFonts w:hint="default" w:ascii="Times New Roman" w:hAnsi="Times New Roman" w:eastAsia="宋体" w:cs="Times New Roman"/>
                <w:iCs w:val="0"/>
                <w:color w:val="auto"/>
                <w:kern w:val="2"/>
                <w:sz w:val="24"/>
                <w:szCs w:val="24"/>
                <w:u w:val="none" w:color="auto"/>
                <w:vertAlign w:val="subscript"/>
                <w:lang w:val="en-US" w:eastAsia="zh-CN" w:bidi="ar-SA"/>
              </w:rPr>
              <w:t>2</w:t>
            </w:r>
            <w:r>
              <w:rPr>
                <w:rFonts w:hint="default" w:ascii="Times New Roman" w:hAnsi="Times New Roman" w:eastAsia="宋体" w:cs="Times New Roman"/>
                <w:iCs w:val="0"/>
                <w:color w:val="auto"/>
                <w:kern w:val="2"/>
                <w:sz w:val="24"/>
                <w:szCs w:val="24"/>
                <w:u w:val="none" w:color="auto"/>
                <w:lang w:val="en-US" w:eastAsia="zh-CN" w:bidi="ar-SA"/>
              </w:rPr>
              <w:t>、SO</w:t>
            </w:r>
            <w:r>
              <w:rPr>
                <w:rFonts w:hint="default" w:ascii="Times New Roman" w:hAnsi="Times New Roman" w:eastAsia="宋体" w:cs="Times New Roman"/>
                <w:iCs w:val="0"/>
                <w:color w:val="auto"/>
                <w:kern w:val="2"/>
                <w:sz w:val="24"/>
                <w:szCs w:val="24"/>
                <w:u w:val="none" w:color="auto"/>
                <w:vertAlign w:val="subscript"/>
                <w:lang w:val="en-US" w:eastAsia="zh-CN" w:bidi="ar-SA"/>
              </w:rPr>
              <w:t>2</w:t>
            </w:r>
            <w:r>
              <w:rPr>
                <w:rFonts w:hint="default" w:ascii="Times New Roman" w:hAnsi="Times New Roman" w:eastAsia="宋体" w:cs="Times New Roman"/>
                <w:iCs w:val="0"/>
                <w:color w:val="auto"/>
                <w:kern w:val="2"/>
                <w:sz w:val="24"/>
                <w:szCs w:val="24"/>
                <w:u w:val="none" w:color="auto"/>
                <w:lang w:val="en-US" w:eastAsia="zh-CN" w:bidi="ar-SA"/>
              </w:rPr>
              <w:t>、PM</w:t>
            </w:r>
            <w:r>
              <w:rPr>
                <w:rFonts w:hint="default" w:ascii="Times New Roman" w:hAnsi="Times New Roman" w:eastAsia="宋体" w:cs="Times New Roman"/>
                <w:iCs w:val="0"/>
                <w:color w:val="auto"/>
                <w:kern w:val="2"/>
                <w:sz w:val="24"/>
                <w:szCs w:val="24"/>
                <w:u w:val="none" w:color="auto"/>
                <w:vertAlign w:val="subscript"/>
                <w:lang w:val="en-US" w:eastAsia="zh-CN" w:bidi="ar-SA"/>
              </w:rPr>
              <w:t>10</w:t>
            </w:r>
            <w:r>
              <w:rPr>
                <w:rFonts w:hint="default" w:ascii="Times New Roman" w:hAnsi="Times New Roman" w:eastAsia="宋体" w:cs="Times New Roman"/>
                <w:iCs w:val="0"/>
                <w:color w:val="auto"/>
                <w:kern w:val="2"/>
                <w:sz w:val="24"/>
                <w:szCs w:val="24"/>
                <w:u w:val="none" w:color="auto"/>
                <w:lang w:val="en-US" w:eastAsia="zh-CN" w:bidi="ar-SA"/>
              </w:rPr>
              <w:t>、PM</w:t>
            </w:r>
            <w:r>
              <w:rPr>
                <w:rFonts w:hint="default" w:ascii="Times New Roman" w:hAnsi="Times New Roman" w:eastAsia="宋体" w:cs="Times New Roman"/>
                <w:iCs w:val="0"/>
                <w:color w:val="auto"/>
                <w:kern w:val="2"/>
                <w:sz w:val="24"/>
                <w:szCs w:val="24"/>
                <w:u w:val="none" w:color="auto"/>
                <w:vertAlign w:val="subscript"/>
                <w:lang w:val="en-US" w:eastAsia="zh-CN" w:bidi="ar-SA"/>
              </w:rPr>
              <w:t>2.5</w:t>
            </w:r>
            <w:r>
              <w:rPr>
                <w:rFonts w:hint="default" w:ascii="Times New Roman" w:hAnsi="Times New Roman" w:eastAsia="宋体" w:cs="Times New Roman"/>
                <w:iCs w:val="0"/>
                <w:color w:val="auto"/>
                <w:kern w:val="2"/>
                <w:sz w:val="24"/>
                <w:szCs w:val="24"/>
                <w:u w:val="none" w:color="auto"/>
                <w:lang w:val="en-US" w:eastAsia="zh-CN" w:bidi="ar-SA"/>
              </w:rPr>
              <w:t>、CO、O</w:t>
            </w:r>
            <w:r>
              <w:rPr>
                <w:rFonts w:hint="default" w:ascii="Times New Roman" w:hAnsi="Times New Roman" w:eastAsia="宋体" w:cs="Times New Roman"/>
                <w:iCs w:val="0"/>
                <w:color w:val="auto"/>
                <w:kern w:val="2"/>
                <w:sz w:val="24"/>
                <w:szCs w:val="24"/>
                <w:u w:val="none" w:color="auto"/>
                <w:vertAlign w:val="subscript"/>
                <w:lang w:val="en-US" w:eastAsia="zh-CN" w:bidi="ar-SA"/>
              </w:rPr>
              <w:t>3</w:t>
            </w:r>
            <w:r>
              <w:rPr>
                <w:rFonts w:hint="default" w:ascii="Times New Roman" w:hAnsi="Times New Roman" w:eastAsia="宋体" w:cs="Times New Roman"/>
                <w:iCs w:val="0"/>
                <w:color w:val="auto"/>
                <w:kern w:val="2"/>
                <w:sz w:val="24"/>
                <w:szCs w:val="24"/>
                <w:u w:val="none" w:color="auto"/>
                <w:lang w:val="en-US" w:eastAsia="zh-CN" w:bidi="ar-SA"/>
              </w:rPr>
              <w:t>，监测结果显示项目 SO</w:t>
            </w:r>
            <w:r>
              <w:rPr>
                <w:rFonts w:hint="default" w:ascii="Times New Roman" w:hAnsi="Times New Roman" w:eastAsia="宋体" w:cs="Times New Roman"/>
                <w:iCs w:val="0"/>
                <w:color w:val="auto"/>
                <w:kern w:val="2"/>
                <w:sz w:val="24"/>
                <w:szCs w:val="24"/>
                <w:u w:val="none" w:color="auto"/>
                <w:vertAlign w:val="subscript"/>
                <w:lang w:val="en-US" w:eastAsia="zh-CN" w:bidi="ar-SA"/>
              </w:rPr>
              <w:t>2</w:t>
            </w:r>
            <w:r>
              <w:rPr>
                <w:rFonts w:hint="default" w:ascii="Times New Roman" w:hAnsi="Times New Roman" w:eastAsia="宋体" w:cs="Times New Roman"/>
                <w:iCs w:val="0"/>
                <w:color w:val="auto"/>
                <w:kern w:val="2"/>
                <w:sz w:val="24"/>
                <w:szCs w:val="24"/>
                <w:u w:val="none" w:color="auto"/>
                <w:lang w:val="en-US" w:eastAsia="zh-CN" w:bidi="ar-SA"/>
              </w:rPr>
              <w:t>、NO</w:t>
            </w:r>
            <w:r>
              <w:rPr>
                <w:rFonts w:hint="default" w:ascii="Times New Roman" w:hAnsi="Times New Roman" w:eastAsia="宋体" w:cs="Times New Roman"/>
                <w:iCs w:val="0"/>
                <w:color w:val="auto"/>
                <w:kern w:val="2"/>
                <w:sz w:val="24"/>
                <w:szCs w:val="24"/>
                <w:u w:val="none" w:color="auto"/>
                <w:vertAlign w:val="subscript"/>
                <w:lang w:val="en-US" w:eastAsia="zh-CN" w:bidi="ar-SA"/>
              </w:rPr>
              <w:t>2</w:t>
            </w:r>
            <w:r>
              <w:rPr>
                <w:rFonts w:hint="default" w:ascii="Times New Roman" w:hAnsi="Times New Roman" w:eastAsia="宋体" w:cs="Times New Roman"/>
                <w:iCs w:val="0"/>
                <w:color w:val="auto"/>
                <w:kern w:val="2"/>
                <w:sz w:val="24"/>
                <w:szCs w:val="24"/>
                <w:u w:val="none" w:color="auto"/>
                <w:lang w:val="en-US" w:eastAsia="zh-CN" w:bidi="ar-SA"/>
              </w:rPr>
              <w:t>、CO、PM</w:t>
            </w:r>
            <w:r>
              <w:rPr>
                <w:rFonts w:hint="default" w:ascii="Times New Roman" w:hAnsi="Times New Roman" w:eastAsia="宋体" w:cs="Times New Roman"/>
                <w:iCs w:val="0"/>
                <w:color w:val="auto"/>
                <w:kern w:val="2"/>
                <w:sz w:val="24"/>
                <w:szCs w:val="24"/>
                <w:u w:val="none" w:color="auto"/>
                <w:vertAlign w:val="subscript"/>
                <w:lang w:val="en-US" w:eastAsia="zh-CN" w:bidi="ar-SA"/>
              </w:rPr>
              <w:t>10</w:t>
            </w:r>
            <w:r>
              <w:rPr>
                <w:rFonts w:hint="default" w:ascii="Times New Roman" w:hAnsi="Times New Roman" w:eastAsia="宋体" w:cs="Times New Roman"/>
                <w:iCs w:val="0"/>
                <w:color w:val="auto"/>
                <w:kern w:val="2"/>
                <w:sz w:val="24"/>
                <w:szCs w:val="24"/>
                <w:u w:val="none" w:color="auto"/>
                <w:lang w:val="en-US" w:eastAsia="zh-CN" w:bidi="ar-SA"/>
              </w:rPr>
              <w:t xml:space="preserve"> 、O</w:t>
            </w:r>
            <w:r>
              <w:rPr>
                <w:rFonts w:hint="default" w:ascii="Times New Roman" w:hAnsi="Times New Roman" w:eastAsia="宋体" w:cs="Times New Roman"/>
                <w:iCs w:val="0"/>
                <w:color w:val="auto"/>
                <w:kern w:val="2"/>
                <w:sz w:val="24"/>
                <w:szCs w:val="24"/>
                <w:u w:val="none" w:color="auto"/>
                <w:vertAlign w:val="subscript"/>
                <w:lang w:val="en-US" w:eastAsia="zh-CN" w:bidi="ar-SA"/>
              </w:rPr>
              <w:t>3</w:t>
            </w:r>
            <w:r>
              <w:rPr>
                <w:rFonts w:hint="default" w:ascii="Times New Roman" w:hAnsi="Times New Roman" w:eastAsia="宋体" w:cs="Times New Roman"/>
                <w:iCs w:val="0"/>
                <w:color w:val="auto"/>
                <w:kern w:val="2"/>
                <w:sz w:val="24"/>
                <w:szCs w:val="24"/>
                <w:u w:val="none" w:color="auto"/>
                <w:lang w:val="en-US" w:eastAsia="zh-CN" w:bidi="ar-SA"/>
              </w:rPr>
              <w:t>环境质量达标，PM</w:t>
            </w:r>
            <w:r>
              <w:rPr>
                <w:rFonts w:hint="default" w:ascii="Times New Roman" w:hAnsi="Times New Roman" w:eastAsia="宋体" w:cs="Times New Roman"/>
                <w:iCs w:val="0"/>
                <w:color w:val="auto"/>
                <w:kern w:val="2"/>
                <w:sz w:val="24"/>
                <w:szCs w:val="24"/>
                <w:u w:val="none" w:color="auto"/>
                <w:vertAlign w:val="subscript"/>
                <w:lang w:val="en-US" w:eastAsia="zh-CN" w:bidi="ar-SA"/>
              </w:rPr>
              <w:t>2.5</w:t>
            </w:r>
            <w:r>
              <w:rPr>
                <w:rFonts w:hint="default" w:ascii="Times New Roman" w:hAnsi="Times New Roman" w:eastAsia="宋体" w:cs="Times New Roman"/>
                <w:iCs w:val="0"/>
                <w:color w:val="auto"/>
                <w:kern w:val="2"/>
                <w:sz w:val="24"/>
                <w:szCs w:val="24"/>
                <w:u w:val="none" w:color="auto"/>
                <w:lang w:val="en-US" w:eastAsia="zh-CN" w:bidi="ar-SA"/>
              </w:rPr>
              <w:t xml:space="preserve"> 不达标，因此区域为不达标区</w:t>
            </w:r>
            <w:r>
              <w:rPr>
                <w:rFonts w:hint="default" w:ascii="Times New Roman" w:hAnsi="Times New Roman" w:cs="Times New Roman"/>
                <w:iCs w:val="0"/>
                <w:color w:val="auto"/>
                <w:kern w:val="2"/>
                <w:sz w:val="24"/>
                <w:szCs w:val="24"/>
                <w:u w:val="none" w:color="auto"/>
                <w:lang w:val="en-US" w:eastAsia="zh-CN" w:bidi="ar-SA"/>
              </w:rPr>
              <w:t>，通过</w:t>
            </w:r>
            <w:r>
              <w:rPr>
                <w:rFonts w:hint="eastAsia" w:ascii="Times New Roman" w:hAnsi="Times New Roman" w:cs="Times New Roman"/>
                <w:iCs w:val="0"/>
                <w:color w:val="auto"/>
                <w:kern w:val="2"/>
                <w:sz w:val="24"/>
                <w:szCs w:val="24"/>
                <w:u w:val="none" w:color="auto"/>
                <w:lang w:val="en-US" w:eastAsia="zh-CN" w:bidi="ar-SA"/>
              </w:rPr>
              <w:t>一系列的调整</w:t>
            </w:r>
            <w:r>
              <w:rPr>
                <w:rFonts w:hint="default" w:ascii="Times New Roman" w:hAnsi="Times New Roman" w:cs="Times New Roman"/>
                <w:iCs w:val="0"/>
                <w:color w:val="auto"/>
                <w:kern w:val="2"/>
                <w:sz w:val="24"/>
                <w:szCs w:val="24"/>
                <w:u w:val="none" w:color="auto"/>
                <w:lang w:val="en-US" w:eastAsia="zh-CN" w:bidi="ar-SA"/>
              </w:rPr>
              <w:t>可改善所在区域的环境问题</w:t>
            </w:r>
            <w:r>
              <w:rPr>
                <w:rFonts w:hint="eastAsia" w:cs="Times New Roman"/>
                <w:iCs w:val="0"/>
                <w:color w:val="auto"/>
                <w:kern w:val="2"/>
                <w:sz w:val="24"/>
                <w:szCs w:val="24"/>
                <w:u w:val="none" w:color="auto"/>
                <w:lang w:val="en-US" w:eastAsia="zh-CN" w:bidi="ar-SA"/>
              </w:rPr>
              <w:t>，通过对比2018年和2019年监测数据可知，项目所在地环境空气正在逐步改善。</w:t>
            </w:r>
          </w:p>
          <w:p>
            <w:pPr>
              <w:pStyle w:val="5"/>
              <w:keepNext w:val="0"/>
              <w:keepLines w:val="0"/>
              <w:pageBreakBefore w:val="0"/>
              <w:widowControl w:val="0"/>
              <w:kinsoku/>
              <w:wordWrap/>
              <w:overflowPunct/>
              <w:topLinePunct w:val="0"/>
              <w:autoSpaceDE/>
              <w:autoSpaceDN/>
              <w:bidi w:val="0"/>
              <w:spacing w:after="0" w:afterLines="0" w:line="360" w:lineRule="auto"/>
              <w:ind w:left="0" w:right="0" w:firstLine="466" w:firstLineChars="200"/>
              <w:textAlignment w:val="auto"/>
              <w:rPr>
                <w:rFonts w:hint="default" w:ascii="Times New Roman" w:hAnsi="Times New Roman" w:eastAsia="宋体" w:cs="Times New Roman"/>
                <w:iCs w:val="0"/>
                <w:color w:val="auto"/>
                <w:kern w:val="2"/>
                <w:sz w:val="24"/>
                <w:szCs w:val="24"/>
                <w:u w:val="none" w:color="auto"/>
                <w:lang w:val="en-US" w:eastAsia="zh-CN" w:bidi="ar-SA"/>
              </w:rPr>
            </w:pPr>
            <w:r>
              <w:rPr>
                <w:rFonts w:hint="eastAsia" w:ascii="Times New Roman" w:hAnsi="Times New Roman" w:cs="Times New Roman"/>
                <w:color w:val="auto"/>
                <w:sz w:val="24"/>
                <w:szCs w:val="24"/>
                <w:u w:val="none" w:color="auto"/>
                <w:lang w:eastAsia="zh-CN"/>
              </w:rPr>
              <w:t>项目所在区域中</w:t>
            </w:r>
            <w:r>
              <w:rPr>
                <w:rFonts w:hint="default" w:ascii="Times New Roman" w:hAnsi="Times New Roman" w:cs="Times New Roman"/>
                <w:color w:val="auto"/>
                <w:sz w:val="24"/>
                <w:szCs w:val="24"/>
                <w:u w:val="none" w:color="auto"/>
              </w:rPr>
              <w:t>TVOC均符合《环境影响评价技术导则（HJ2.3-2018）》（大气环境附录D)中标准要求</w:t>
            </w:r>
            <w:r>
              <w:rPr>
                <w:rFonts w:hint="default" w:ascii="Times New Roman" w:hAnsi="Times New Roman" w:eastAsia="宋体" w:cs="Times New Roman"/>
                <w:iCs w:val="0"/>
                <w:color w:val="auto"/>
                <w:kern w:val="2"/>
                <w:sz w:val="24"/>
                <w:szCs w:val="24"/>
                <w:u w:val="none" w:color="auto"/>
                <w:lang w:val="en-US" w:eastAsia="zh-CN" w:bidi="ar-SA"/>
              </w:rPr>
              <w:t xml:space="preserve">。 </w:t>
            </w:r>
          </w:p>
          <w:p>
            <w:pPr>
              <w:pStyle w:val="5"/>
              <w:keepNext w:val="0"/>
              <w:keepLines w:val="0"/>
              <w:pageBreakBefore w:val="0"/>
              <w:widowControl w:val="0"/>
              <w:kinsoku/>
              <w:wordWrap/>
              <w:overflowPunct/>
              <w:topLinePunct w:val="0"/>
              <w:autoSpaceDE/>
              <w:autoSpaceDN/>
              <w:bidi w:val="0"/>
              <w:spacing w:after="0" w:afterLines="0" w:line="360" w:lineRule="auto"/>
              <w:ind w:left="0" w:right="0" w:firstLine="466" w:firstLineChars="200"/>
              <w:textAlignment w:val="auto"/>
              <w:rPr>
                <w:rFonts w:hint="default" w:ascii="Times New Roman" w:hAnsi="Times New Roman" w:eastAsia="宋体" w:cs="Times New Roman"/>
                <w:iCs w:val="0"/>
                <w:color w:val="auto"/>
                <w:kern w:val="2"/>
                <w:sz w:val="24"/>
                <w:szCs w:val="24"/>
                <w:u w:val="none" w:color="auto"/>
                <w:lang w:val="en-US" w:eastAsia="zh-CN" w:bidi="ar-SA"/>
              </w:rPr>
            </w:pPr>
            <w:r>
              <w:rPr>
                <w:rFonts w:hint="default" w:ascii="Times New Roman" w:hAnsi="Times New Roman" w:eastAsia="宋体" w:cs="Times New Roman"/>
                <w:iCs w:val="0"/>
                <w:color w:val="auto"/>
                <w:kern w:val="2"/>
                <w:sz w:val="24"/>
                <w:szCs w:val="24"/>
                <w:u w:val="none" w:color="auto"/>
                <w:lang w:val="en-US" w:eastAsia="zh-CN" w:bidi="ar-SA"/>
              </w:rPr>
              <w:t>地表水</w:t>
            </w:r>
            <w:r>
              <w:rPr>
                <w:rFonts w:hint="default" w:ascii="Times New Roman" w:hAnsi="Times New Roman" w:cs="Times New Roman"/>
                <w:iCs w:val="0"/>
                <w:color w:val="auto"/>
                <w:kern w:val="2"/>
                <w:sz w:val="24"/>
                <w:szCs w:val="24"/>
                <w:u w:val="none" w:color="auto"/>
                <w:lang w:val="en-US" w:eastAsia="zh-CN" w:bidi="ar-SA"/>
              </w:rPr>
              <w:t>：</w:t>
            </w:r>
            <w:r>
              <w:rPr>
                <w:rFonts w:hint="default" w:ascii="Times New Roman" w:hAnsi="Times New Roman" w:eastAsia="宋体" w:cs="Times New Roman"/>
                <w:iCs w:val="0"/>
                <w:color w:val="auto"/>
                <w:kern w:val="2"/>
                <w:sz w:val="24"/>
                <w:szCs w:val="24"/>
                <w:u w:val="none" w:color="auto"/>
                <w:lang w:val="en-US" w:eastAsia="zh-CN" w:bidi="ar-SA"/>
              </w:rPr>
              <w:t>本次评价引用</w:t>
            </w:r>
            <w:r>
              <w:rPr>
                <w:rFonts w:hint="eastAsia" w:cs="Times New Roman"/>
                <w:iCs w:val="0"/>
                <w:color w:val="auto"/>
                <w:kern w:val="2"/>
                <w:sz w:val="24"/>
                <w:szCs w:val="24"/>
                <w:u w:val="none" w:color="auto"/>
                <w:lang w:val="en-US" w:eastAsia="zh-CN" w:bidi="ar-SA"/>
              </w:rPr>
              <w:t>湘阴县生态环境部门</w:t>
            </w:r>
            <w:r>
              <w:rPr>
                <w:rFonts w:hint="eastAsia" w:ascii="Times New Roman" w:hAnsi="Times New Roman" w:eastAsia="宋体" w:cs="Times New Roman"/>
                <w:iCs w:val="0"/>
                <w:color w:val="auto"/>
                <w:kern w:val="2"/>
                <w:sz w:val="24"/>
                <w:szCs w:val="24"/>
                <w:u w:val="none" w:color="auto"/>
                <w:lang w:val="en-US" w:eastAsia="zh-CN" w:bidi="ar-SA"/>
              </w:rPr>
              <w:t>对洋沙湖</w:t>
            </w:r>
            <w:r>
              <w:rPr>
                <w:rFonts w:hint="default" w:ascii="Times New Roman" w:hAnsi="Times New Roman" w:eastAsia="宋体" w:cs="Times New Roman"/>
                <w:iCs w:val="0"/>
                <w:color w:val="auto"/>
                <w:kern w:val="2"/>
                <w:sz w:val="24"/>
                <w:szCs w:val="24"/>
                <w:u w:val="none" w:color="auto"/>
                <w:lang w:val="en-US" w:eastAsia="zh-CN" w:bidi="ar-SA"/>
              </w:rPr>
              <w:t>水质进行评价</w:t>
            </w:r>
            <w:r>
              <w:rPr>
                <w:rFonts w:hint="eastAsia" w:cs="Times New Roman"/>
                <w:iCs w:val="0"/>
                <w:color w:val="auto"/>
                <w:kern w:val="2"/>
                <w:sz w:val="24"/>
                <w:szCs w:val="24"/>
                <w:u w:val="none" w:color="auto"/>
                <w:lang w:val="en-US" w:eastAsia="zh-CN" w:bidi="ar-SA"/>
              </w:rPr>
              <w:t>，根据检测结果可知，</w:t>
            </w:r>
            <w:r>
              <w:rPr>
                <w:bCs/>
                <w:color w:val="auto"/>
                <w:sz w:val="24"/>
                <w:u w:val="none" w:color="auto"/>
              </w:rPr>
              <w:t>洋沙湖水质</w:t>
            </w:r>
            <w:r>
              <w:rPr>
                <w:rFonts w:hint="default" w:ascii="Times New Roman" w:hAnsi="Times New Roman" w:eastAsia="宋体" w:cs="Times New Roman"/>
                <w:iCs w:val="0"/>
                <w:color w:val="auto"/>
                <w:kern w:val="2"/>
                <w:sz w:val="24"/>
                <w:szCs w:val="24"/>
                <w:u w:val="none" w:color="auto"/>
                <w:lang w:val="en-US" w:eastAsia="zh-CN" w:bidi="ar-SA"/>
              </w:rPr>
              <w:t>所有监测指标均符合《地表水环境质量标准》(GB3838-2002)Ⅲ类水质标准要求，未出现超标，项目所在地地表水体水质状况尚好。</w:t>
            </w:r>
          </w:p>
          <w:p>
            <w:pPr>
              <w:pStyle w:val="5"/>
              <w:keepNext w:val="0"/>
              <w:keepLines w:val="0"/>
              <w:pageBreakBefore w:val="0"/>
              <w:widowControl w:val="0"/>
              <w:kinsoku/>
              <w:wordWrap/>
              <w:overflowPunct/>
              <w:topLinePunct w:val="0"/>
              <w:autoSpaceDE/>
              <w:autoSpaceDN/>
              <w:bidi w:val="0"/>
              <w:spacing w:after="0" w:afterLines="0" w:line="360" w:lineRule="auto"/>
              <w:ind w:left="0" w:right="0" w:firstLine="466" w:firstLineChars="200"/>
              <w:jc w:val="both"/>
              <w:textAlignment w:val="auto"/>
              <w:rPr>
                <w:rFonts w:hint="default" w:ascii="Times New Roman" w:hAnsi="Times New Roman" w:eastAsia="宋体" w:cs="Times New Roman"/>
                <w:iCs w:val="0"/>
                <w:color w:val="auto"/>
                <w:kern w:val="2"/>
                <w:sz w:val="24"/>
                <w:szCs w:val="24"/>
                <w:u w:val="none" w:color="auto"/>
                <w:lang w:val="en-US" w:eastAsia="zh-CN" w:bidi="ar-SA"/>
              </w:rPr>
            </w:pPr>
            <w:r>
              <w:rPr>
                <w:rFonts w:hint="default" w:ascii="Times New Roman" w:hAnsi="Times New Roman" w:eastAsia="宋体" w:cs="Times New Roman"/>
                <w:iCs w:val="0"/>
                <w:color w:val="auto"/>
                <w:kern w:val="2"/>
                <w:sz w:val="24"/>
                <w:szCs w:val="24"/>
                <w:u w:val="none" w:color="auto"/>
                <w:lang w:val="en-US" w:eastAsia="zh-CN" w:bidi="ar-SA"/>
              </w:rPr>
              <w:t>声环境</w:t>
            </w:r>
            <w:r>
              <w:rPr>
                <w:rFonts w:hint="default" w:ascii="Times New Roman" w:hAnsi="Times New Roman" w:cs="Times New Roman"/>
                <w:iCs w:val="0"/>
                <w:color w:val="auto"/>
                <w:kern w:val="2"/>
                <w:sz w:val="24"/>
                <w:szCs w:val="24"/>
                <w:u w:val="none" w:color="auto"/>
                <w:lang w:val="en-US" w:eastAsia="zh-CN" w:bidi="ar-SA"/>
              </w:rPr>
              <w:t>：</w:t>
            </w:r>
            <w:r>
              <w:rPr>
                <w:rFonts w:hint="default" w:ascii="Times New Roman" w:hAnsi="Times New Roman" w:eastAsia="宋体" w:cs="Times New Roman"/>
                <w:iCs w:val="0"/>
                <w:color w:val="auto"/>
                <w:kern w:val="2"/>
                <w:sz w:val="24"/>
                <w:szCs w:val="24"/>
                <w:u w:val="none" w:color="auto"/>
                <w:lang w:val="en-US" w:eastAsia="zh-CN" w:bidi="ar-SA"/>
              </w:rPr>
              <w:t>本项目声环境质量现状监测委托湖南</w:t>
            </w:r>
            <w:r>
              <w:rPr>
                <w:rFonts w:hint="default" w:ascii="Times New Roman" w:hAnsi="Times New Roman" w:cs="Times New Roman"/>
                <w:iCs w:val="0"/>
                <w:color w:val="auto"/>
                <w:kern w:val="2"/>
                <w:sz w:val="24"/>
                <w:szCs w:val="24"/>
                <w:u w:val="none" w:color="auto"/>
                <w:lang w:val="en-US" w:eastAsia="zh-CN" w:bidi="ar-SA"/>
              </w:rPr>
              <w:t>精准通检测技术</w:t>
            </w:r>
            <w:r>
              <w:rPr>
                <w:rFonts w:hint="default" w:ascii="Times New Roman" w:hAnsi="Times New Roman" w:eastAsia="宋体" w:cs="Times New Roman"/>
                <w:iCs w:val="0"/>
                <w:color w:val="auto"/>
                <w:kern w:val="2"/>
                <w:sz w:val="24"/>
                <w:szCs w:val="24"/>
                <w:u w:val="none" w:color="auto"/>
                <w:lang w:val="en-US" w:eastAsia="zh-CN" w:bidi="ar-SA"/>
              </w:rPr>
              <w:t>有限公司于20</w:t>
            </w:r>
            <w:r>
              <w:rPr>
                <w:rFonts w:hint="eastAsia" w:cs="Times New Roman"/>
                <w:iCs w:val="0"/>
                <w:color w:val="auto"/>
                <w:kern w:val="2"/>
                <w:sz w:val="24"/>
                <w:szCs w:val="24"/>
                <w:u w:val="none" w:color="auto"/>
                <w:lang w:val="en-US" w:eastAsia="zh-CN" w:bidi="ar-SA"/>
              </w:rPr>
              <w:t>20</w:t>
            </w:r>
            <w:r>
              <w:rPr>
                <w:rFonts w:hint="default" w:ascii="Times New Roman" w:hAnsi="Times New Roman" w:eastAsia="宋体" w:cs="Times New Roman"/>
                <w:iCs w:val="0"/>
                <w:color w:val="auto"/>
                <w:kern w:val="2"/>
                <w:sz w:val="24"/>
                <w:szCs w:val="24"/>
                <w:u w:val="none" w:color="auto"/>
                <w:lang w:val="en-US" w:eastAsia="zh-CN" w:bidi="ar-SA"/>
              </w:rPr>
              <w:t>年</w:t>
            </w:r>
            <w:r>
              <w:rPr>
                <w:rFonts w:hint="eastAsia" w:cs="Times New Roman"/>
                <w:iCs w:val="0"/>
                <w:color w:val="auto"/>
                <w:kern w:val="2"/>
                <w:sz w:val="24"/>
                <w:szCs w:val="24"/>
                <w:u w:val="none" w:color="auto"/>
                <w:lang w:val="en-US" w:eastAsia="zh-CN" w:bidi="ar-SA"/>
              </w:rPr>
              <w:t>10</w:t>
            </w:r>
            <w:r>
              <w:rPr>
                <w:rFonts w:hint="default" w:ascii="Times New Roman" w:hAnsi="Times New Roman" w:eastAsia="宋体" w:cs="Times New Roman"/>
                <w:iCs w:val="0"/>
                <w:color w:val="auto"/>
                <w:kern w:val="2"/>
                <w:sz w:val="24"/>
                <w:szCs w:val="24"/>
                <w:u w:val="none" w:color="auto"/>
                <w:lang w:val="en-US" w:eastAsia="zh-CN" w:bidi="ar-SA"/>
              </w:rPr>
              <w:t>月</w:t>
            </w:r>
            <w:r>
              <w:rPr>
                <w:rFonts w:hint="eastAsia" w:cs="Times New Roman"/>
                <w:iCs w:val="0"/>
                <w:color w:val="auto"/>
                <w:kern w:val="2"/>
                <w:sz w:val="24"/>
                <w:szCs w:val="24"/>
                <w:u w:val="none" w:color="auto"/>
                <w:lang w:val="en-US" w:eastAsia="zh-CN" w:bidi="ar-SA"/>
              </w:rPr>
              <w:t>30-31</w:t>
            </w:r>
            <w:r>
              <w:rPr>
                <w:rFonts w:hint="default" w:ascii="Times New Roman" w:hAnsi="Times New Roman" w:eastAsia="宋体" w:cs="Times New Roman"/>
                <w:iCs w:val="0"/>
                <w:color w:val="auto"/>
                <w:kern w:val="2"/>
                <w:sz w:val="24"/>
                <w:szCs w:val="24"/>
                <w:u w:val="none" w:color="auto"/>
                <w:lang w:val="en-US" w:eastAsia="zh-CN" w:bidi="ar-SA"/>
              </w:rPr>
              <w:t>日对项目 N1 项目建设地厂界东侧、N2 项目建设地厂界南侧、N3 项目建设地厂界西侧、N4 项目建设地厂界北侧进行了为期 2 天的声环境现状监测，共设置 4 个监测点，监测结果表示</w:t>
            </w:r>
            <w:r>
              <w:rPr>
                <w:rFonts w:hint="default" w:ascii="Times New Roman" w:hAnsi="Times New Roman" w:cs="Times New Roman"/>
                <w:iCs w:val="0"/>
                <w:color w:val="auto"/>
                <w:kern w:val="2"/>
                <w:sz w:val="24"/>
                <w:szCs w:val="24"/>
                <w:u w:val="none" w:color="auto"/>
                <w:lang w:val="en-US" w:eastAsia="zh-CN" w:bidi="ar-SA"/>
              </w:rPr>
              <w:t>：</w:t>
            </w:r>
            <w:r>
              <w:rPr>
                <w:rFonts w:hint="default" w:ascii="Times New Roman" w:hAnsi="Times New Roman" w:eastAsia="宋体" w:cs="Times New Roman"/>
                <w:iCs w:val="0"/>
                <w:color w:val="auto"/>
                <w:kern w:val="2"/>
                <w:sz w:val="24"/>
                <w:szCs w:val="24"/>
                <w:u w:val="none" w:color="auto"/>
                <w:lang w:val="en-US" w:eastAsia="zh-CN" w:bidi="ar-SA"/>
              </w:rPr>
              <w:t xml:space="preserve">这 4 个监测点可满足《声环境质量标准》(GB3096-2008) </w:t>
            </w:r>
            <w:r>
              <w:rPr>
                <w:rFonts w:hint="eastAsia" w:cs="Times New Roman"/>
                <w:iCs w:val="0"/>
                <w:color w:val="auto"/>
                <w:kern w:val="2"/>
                <w:sz w:val="24"/>
                <w:szCs w:val="24"/>
                <w:u w:val="none" w:color="auto"/>
                <w:lang w:val="en-US" w:eastAsia="zh-CN" w:bidi="ar-SA"/>
              </w:rPr>
              <w:t>3</w:t>
            </w:r>
            <w:r>
              <w:rPr>
                <w:rFonts w:hint="default" w:ascii="Times New Roman" w:hAnsi="Times New Roman" w:eastAsia="宋体" w:cs="Times New Roman"/>
                <w:iCs w:val="0"/>
                <w:color w:val="auto"/>
                <w:kern w:val="2"/>
                <w:sz w:val="24"/>
                <w:szCs w:val="24"/>
                <w:u w:val="none" w:color="auto"/>
                <w:lang w:val="en-US" w:eastAsia="zh-CN" w:bidi="ar-SA"/>
              </w:rPr>
              <w:t xml:space="preserve"> 类标准要求，项目所在区域声环境质量良好。</w:t>
            </w:r>
          </w:p>
          <w:p>
            <w:pPr>
              <w:snapToGrid w:val="0"/>
              <w:spacing w:line="360" w:lineRule="auto"/>
              <w:ind w:firstLine="457" w:firstLineChars="196"/>
              <w:rPr>
                <w:rFonts w:hAnsi="宋体"/>
                <w:sz w:val="24"/>
                <w:szCs w:val="24"/>
                <w:u w:val="none" w:color="auto"/>
              </w:rPr>
            </w:pPr>
            <w:r>
              <w:rPr>
                <w:rFonts w:hint="default" w:ascii="Times New Roman" w:hAnsi="Times New Roman" w:cs="Times New Roman"/>
                <w:color w:val="auto"/>
                <w:sz w:val="24"/>
                <w:u w:val="none" w:color="auto"/>
              </w:rPr>
              <w:t>总体表明，本项目所在地及周边区域大气、地表水、声环境现状较好</w:t>
            </w:r>
            <w:r>
              <w:rPr>
                <w:rFonts w:hint="eastAsia" w:hAnsi="宋体"/>
                <w:sz w:val="24"/>
                <w:szCs w:val="24"/>
                <w:u w:val="none" w:color="auto"/>
              </w:rPr>
              <w:t>。</w:t>
            </w:r>
          </w:p>
          <w:p>
            <w:pPr>
              <w:snapToGrid w:val="0"/>
              <w:spacing w:line="360" w:lineRule="auto"/>
              <w:ind w:firstLine="398" w:firstLineChars="196"/>
              <w:rPr>
                <w:b/>
                <w:bCs/>
                <w:sz w:val="24"/>
                <w:u w:val="none" w:color="auto"/>
              </w:rPr>
            </w:pPr>
            <w:r>
              <w:rPr>
                <w:b/>
                <w:u w:val="none" w:color="auto"/>
              </w:rPr>
              <w:t>3、</w:t>
            </w:r>
            <w:r>
              <w:rPr>
                <w:rFonts w:hint="eastAsia"/>
                <w:b/>
                <w:bCs/>
                <w:sz w:val="24"/>
                <w:u w:val="none" w:color="auto"/>
              </w:rPr>
              <w:t>环境影响分析结论</w:t>
            </w:r>
          </w:p>
          <w:p>
            <w:pPr>
              <w:snapToGrid w:val="0"/>
              <w:spacing w:line="360" w:lineRule="auto"/>
              <w:ind w:firstLine="457" w:firstLineChars="196"/>
              <w:rPr>
                <w:rFonts w:hAnsi="宋体"/>
                <w:sz w:val="24"/>
                <w:szCs w:val="24"/>
                <w:u w:val="none" w:color="auto"/>
              </w:rPr>
            </w:pPr>
            <w:r>
              <w:rPr>
                <w:rFonts w:hint="eastAsia" w:hAnsi="宋体"/>
                <w:sz w:val="24"/>
                <w:szCs w:val="24"/>
                <w:u w:val="none" w:color="auto"/>
              </w:rPr>
              <w:t>（1）水环境</w:t>
            </w:r>
          </w:p>
          <w:p>
            <w:pPr>
              <w:snapToGrid w:val="0"/>
              <w:spacing w:line="360" w:lineRule="auto"/>
              <w:ind w:firstLine="457" w:firstLineChars="196"/>
              <w:rPr>
                <w:rFonts w:hAnsi="宋体"/>
                <w:sz w:val="24"/>
                <w:szCs w:val="24"/>
                <w:u w:val="none" w:color="auto"/>
              </w:rPr>
            </w:pPr>
            <w:r>
              <w:rPr>
                <w:rFonts w:hint="eastAsia" w:hAnsi="宋体"/>
                <w:sz w:val="24"/>
                <w:szCs w:val="24"/>
                <w:u w:val="none" w:color="auto"/>
              </w:rPr>
              <w:t>本项目排水实行“雨污分流”制。</w:t>
            </w:r>
            <w:r>
              <w:rPr>
                <w:rFonts w:hint="eastAsia" w:hAnsi="宋体"/>
                <w:sz w:val="24"/>
                <w:u w:val="none" w:color="auto"/>
              </w:rPr>
              <w:t>营运期废水为生活污水</w:t>
            </w:r>
            <w:r>
              <w:rPr>
                <w:rFonts w:hint="eastAsia" w:hAnsi="宋体"/>
                <w:sz w:val="24"/>
                <w:szCs w:val="24"/>
                <w:u w:val="none" w:color="auto"/>
              </w:rPr>
              <w:t>，</w:t>
            </w:r>
            <w:r>
              <w:rPr>
                <w:rFonts w:hint="eastAsia"/>
                <w:sz w:val="24"/>
                <w:szCs w:val="24"/>
                <w:u w:val="none" w:color="auto"/>
                <w:lang w:val="en-US" w:eastAsia="zh-CN"/>
              </w:rPr>
              <w:t>湘阴县第三污水处理厂建成且接通前：</w:t>
            </w:r>
            <w:r>
              <w:rPr>
                <w:sz w:val="24"/>
                <w:szCs w:val="24"/>
                <w:u w:val="none" w:color="auto"/>
              </w:rPr>
              <w:t>项目</w:t>
            </w:r>
            <w:r>
              <w:rPr>
                <w:rFonts w:hint="eastAsia"/>
                <w:sz w:val="24"/>
                <w:szCs w:val="24"/>
                <w:u w:val="none" w:color="auto"/>
                <w:lang w:val="en-US" w:eastAsia="zh-CN"/>
              </w:rPr>
              <w:t>生活</w:t>
            </w:r>
            <w:r>
              <w:rPr>
                <w:sz w:val="24"/>
                <w:szCs w:val="24"/>
                <w:u w:val="none" w:color="auto"/>
              </w:rPr>
              <w:t>污水通过化粪池处理后排入园区污水管网再进入</w:t>
            </w:r>
            <w:r>
              <w:rPr>
                <w:rFonts w:hint="eastAsia"/>
                <w:sz w:val="24"/>
                <w:szCs w:val="24"/>
                <w:u w:val="none" w:color="auto"/>
                <w:lang w:eastAsia="zh-CN"/>
              </w:rPr>
              <w:t>卓达金谷创业园自建的污水处理站</w:t>
            </w:r>
            <w:r>
              <w:rPr>
                <w:sz w:val="24"/>
                <w:szCs w:val="24"/>
                <w:u w:val="none" w:color="auto"/>
              </w:rPr>
              <w:t>处理</w:t>
            </w:r>
            <w:r>
              <w:rPr>
                <w:rFonts w:hAnsi="宋体"/>
                <w:sz w:val="24"/>
                <w:szCs w:val="24"/>
                <w:u w:val="none" w:color="auto"/>
              </w:rPr>
              <w:t>达</w:t>
            </w:r>
            <w:r>
              <w:rPr>
                <w:rFonts w:hint="eastAsia" w:hAnsi="宋体"/>
                <w:sz w:val="24"/>
                <w:szCs w:val="24"/>
                <w:u w:val="none" w:color="auto"/>
                <w:lang w:eastAsia="zh-CN"/>
              </w:rPr>
              <w:t>到</w:t>
            </w:r>
            <w:r>
              <w:rPr>
                <w:sz w:val="24"/>
                <w:szCs w:val="24"/>
                <w:u w:val="none" w:color="auto"/>
              </w:rPr>
              <w:t>《城镇污水处理厂污染物排放标准（GB18918—2002）》中一级标准的A类标准后</w:t>
            </w:r>
            <w:r>
              <w:rPr>
                <w:rFonts w:hint="eastAsia"/>
                <w:sz w:val="24"/>
                <w:szCs w:val="24"/>
                <w:u w:val="none" w:color="auto"/>
                <w:lang w:eastAsia="zh-CN"/>
              </w:rPr>
              <w:t>进入洋沙河</w:t>
            </w:r>
            <w:r>
              <w:rPr>
                <w:rFonts w:hint="eastAsia"/>
                <w:sz w:val="24"/>
                <w:szCs w:val="24"/>
                <w:u w:val="none" w:color="auto"/>
                <w:lang w:val="en-US" w:eastAsia="zh-CN"/>
              </w:rPr>
              <w:t>排入洋沙湖</w:t>
            </w:r>
            <w:r>
              <w:rPr>
                <w:sz w:val="24"/>
                <w:szCs w:val="24"/>
                <w:u w:val="none" w:color="auto"/>
              </w:rPr>
              <w:t>，最终汇入湘江</w:t>
            </w:r>
            <w:r>
              <w:rPr>
                <w:rFonts w:hint="eastAsia"/>
                <w:sz w:val="24"/>
                <w:szCs w:val="24"/>
                <w:u w:val="none" w:color="auto"/>
                <w:lang w:eastAsia="zh-CN"/>
              </w:rPr>
              <w:t>。</w:t>
            </w:r>
            <w:r>
              <w:rPr>
                <w:rFonts w:hint="eastAsia"/>
                <w:sz w:val="24"/>
                <w:szCs w:val="24"/>
                <w:u w:val="none" w:color="auto"/>
                <w:lang w:val="en-US" w:eastAsia="zh-CN"/>
              </w:rPr>
              <w:t>湘阴县第三污水处理厂建成且接通后：</w:t>
            </w:r>
            <w:r>
              <w:rPr>
                <w:sz w:val="24"/>
                <w:szCs w:val="24"/>
                <w:u w:val="none" w:color="auto"/>
              </w:rPr>
              <w:t>项目</w:t>
            </w:r>
            <w:r>
              <w:rPr>
                <w:rFonts w:hint="eastAsia"/>
                <w:sz w:val="24"/>
                <w:szCs w:val="24"/>
                <w:u w:val="none" w:color="auto"/>
                <w:lang w:val="en-US" w:eastAsia="zh-CN"/>
              </w:rPr>
              <w:t>生活</w:t>
            </w:r>
            <w:r>
              <w:rPr>
                <w:sz w:val="24"/>
                <w:szCs w:val="24"/>
                <w:u w:val="none" w:color="auto"/>
              </w:rPr>
              <w:t>污水通过化粪池处理后排入园区污水管网</w:t>
            </w:r>
            <w:r>
              <w:rPr>
                <w:rFonts w:hint="eastAsia"/>
                <w:sz w:val="24"/>
                <w:szCs w:val="24"/>
                <w:u w:val="none" w:color="auto"/>
                <w:lang w:val="en-US" w:eastAsia="zh-CN"/>
              </w:rPr>
              <w:t>进入湘阴县第三污水处理厂处理后排入洋沙河流入洋沙湖，最终进入湘江</w:t>
            </w:r>
            <w:r>
              <w:rPr>
                <w:rFonts w:hint="eastAsia" w:hAnsi="宋体"/>
                <w:sz w:val="24"/>
                <w:szCs w:val="24"/>
                <w:u w:val="none" w:color="auto"/>
              </w:rPr>
              <w:t>。</w:t>
            </w:r>
            <w:r>
              <w:rPr>
                <w:rFonts w:hAnsi="宋体"/>
                <w:sz w:val="24"/>
                <w:szCs w:val="24"/>
                <w:u w:val="none" w:color="auto"/>
              </w:rPr>
              <w:t>对区域水环境影响较小</w:t>
            </w:r>
            <w:r>
              <w:rPr>
                <w:rFonts w:hint="eastAsia" w:hAnsi="宋体"/>
                <w:sz w:val="24"/>
                <w:szCs w:val="24"/>
                <w:u w:val="none" w:color="auto"/>
                <w:lang w:eastAsia="zh-CN"/>
              </w:rPr>
              <w:t>，</w:t>
            </w:r>
            <w:r>
              <w:rPr>
                <w:rFonts w:hint="eastAsia" w:hAnsi="宋体"/>
                <w:sz w:val="24"/>
                <w:szCs w:val="24"/>
                <w:u w:val="none" w:color="auto"/>
                <w:lang w:val="en-US" w:eastAsia="zh-CN"/>
              </w:rPr>
              <w:t>擦洗废水收集后</w:t>
            </w:r>
            <w:r>
              <w:rPr>
                <w:rFonts w:hint="eastAsia"/>
                <w:color w:val="auto"/>
                <w:sz w:val="24"/>
                <w:szCs w:val="24"/>
                <w:u w:val="none" w:color="auto"/>
                <w:lang w:val="en-US" w:eastAsia="zh-CN"/>
              </w:rPr>
              <w:t>交由湖南洋沙湖危险废物治理有限公司进行托运和处置（处理协议详见附件8）</w:t>
            </w:r>
            <w:r>
              <w:rPr>
                <w:rFonts w:hAnsi="宋体"/>
                <w:sz w:val="24"/>
                <w:szCs w:val="24"/>
                <w:u w:val="none" w:color="auto"/>
              </w:rPr>
              <w:t>。</w:t>
            </w:r>
          </w:p>
          <w:p>
            <w:pPr>
              <w:pStyle w:val="4"/>
              <w:spacing w:before="0" w:beforeLines="0"/>
              <w:ind w:firstLine="460"/>
              <w:rPr>
                <w:rFonts w:hAnsi="宋体"/>
                <w:szCs w:val="24"/>
                <w:u w:val="none" w:color="auto"/>
              </w:rPr>
            </w:pPr>
            <w:r>
              <w:rPr>
                <w:u w:val="none" w:color="auto"/>
              </w:rPr>
              <w:t>（2）</w:t>
            </w:r>
            <w:r>
              <w:rPr>
                <w:rFonts w:hint="eastAsia" w:hAnsi="宋体"/>
                <w:szCs w:val="24"/>
                <w:u w:val="none" w:color="auto"/>
              </w:rPr>
              <w:t>大气环境</w:t>
            </w:r>
          </w:p>
          <w:p>
            <w:pPr>
              <w:snapToGrid w:val="0"/>
              <w:spacing w:line="360" w:lineRule="auto"/>
              <w:ind w:firstLine="457" w:firstLineChars="196"/>
              <w:rPr>
                <w:rFonts w:hint="eastAsia" w:eastAsia="宋体"/>
                <w:b/>
                <w:sz w:val="24"/>
                <w:u w:val="none" w:color="auto"/>
                <w:lang w:eastAsia="zh-CN"/>
              </w:rPr>
            </w:pPr>
            <w:r>
              <w:rPr>
                <w:rFonts w:hint="eastAsia"/>
                <w:bCs/>
                <w:sz w:val="24"/>
                <w:szCs w:val="24"/>
                <w:u w:val="none" w:color="auto"/>
              </w:rPr>
              <w:t>本项目运营过程中产生的废气主要有</w:t>
            </w:r>
            <w:r>
              <w:rPr>
                <w:rFonts w:hint="eastAsia"/>
                <w:bCs/>
                <w:sz w:val="24"/>
                <w:szCs w:val="24"/>
                <w:u w:val="none" w:color="auto"/>
                <w:lang w:eastAsia="zh-CN"/>
              </w:rPr>
              <w:t>印刷、</w:t>
            </w:r>
            <w:r>
              <w:rPr>
                <w:rFonts w:hint="eastAsia"/>
                <w:bCs/>
                <w:sz w:val="24"/>
                <w:szCs w:val="24"/>
                <w:u w:val="none" w:color="auto"/>
                <w:lang w:val="en-US" w:eastAsia="zh-CN"/>
              </w:rPr>
              <w:t>固化</w:t>
            </w:r>
            <w:r>
              <w:rPr>
                <w:rFonts w:hint="eastAsia"/>
                <w:bCs/>
                <w:sz w:val="24"/>
                <w:szCs w:val="24"/>
                <w:u w:val="none" w:color="auto"/>
                <w:lang w:eastAsia="zh-CN"/>
              </w:rPr>
              <w:t>废气、</w:t>
            </w:r>
            <w:r>
              <w:rPr>
                <w:rFonts w:hint="eastAsia"/>
                <w:bCs/>
                <w:sz w:val="24"/>
                <w:szCs w:val="24"/>
                <w:u w:val="none" w:color="auto"/>
                <w:lang w:val="en-US" w:eastAsia="zh-CN"/>
              </w:rPr>
              <w:t>分切</w:t>
            </w:r>
            <w:r>
              <w:rPr>
                <w:rFonts w:hint="eastAsia"/>
                <w:bCs/>
                <w:sz w:val="24"/>
                <w:szCs w:val="24"/>
                <w:u w:val="none" w:color="auto"/>
                <w:lang w:eastAsia="zh-CN"/>
              </w:rPr>
              <w:t>废气。</w:t>
            </w:r>
          </w:p>
          <w:p>
            <w:pPr>
              <w:pStyle w:val="34"/>
              <w:spacing w:line="360" w:lineRule="auto"/>
              <w:ind w:left="0" w:leftChars="0" w:firstLine="466" w:firstLineChars="200"/>
              <w:jc w:val="left"/>
              <w:rPr>
                <w:sz w:val="24"/>
                <w:szCs w:val="24"/>
                <w:u w:val="none" w:color="auto"/>
              </w:rPr>
            </w:pPr>
            <w:r>
              <w:rPr>
                <w:rFonts w:hint="eastAsia"/>
                <w:sz w:val="24"/>
                <w:u w:val="none" w:color="auto"/>
                <w:lang w:eastAsia="zh-CN"/>
              </w:rPr>
              <w:t>印刷、</w:t>
            </w:r>
            <w:r>
              <w:rPr>
                <w:rFonts w:hint="eastAsia"/>
                <w:sz w:val="24"/>
                <w:u w:val="none" w:color="auto"/>
                <w:lang w:val="en-US" w:eastAsia="zh-CN"/>
              </w:rPr>
              <w:t>固化</w:t>
            </w:r>
            <w:r>
              <w:rPr>
                <w:rFonts w:hint="eastAsia"/>
                <w:sz w:val="24"/>
                <w:u w:val="none" w:color="auto"/>
                <w:lang w:eastAsia="zh-CN"/>
              </w:rPr>
              <w:t>废气</w:t>
            </w:r>
            <w:r>
              <w:rPr>
                <w:rFonts w:hint="eastAsia"/>
                <w:sz w:val="24"/>
                <w:u w:val="none" w:color="auto"/>
                <w:lang w:val="en-US" w:eastAsia="zh-CN"/>
              </w:rPr>
              <w:t>经集气罩收集后再通过UV光解设施+活性炭吸附+24m高排气筒排放</w:t>
            </w:r>
            <w:r>
              <w:rPr>
                <w:rFonts w:hint="default" w:ascii="Times New Roman" w:hAnsi="Times New Roman" w:cs="Times New Roman"/>
                <w:color w:val="auto"/>
                <w:sz w:val="24"/>
                <w:szCs w:val="24"/>
                <w:u w:val="none" w:color="auto"/>
                <w:lang w:eastAsia="zh-CN"/>
              </w:rPr>
              <w:t>，</w:t>
            </w:r>
            <w:r>
              <w:rPr>
                <w:rFonts w:hint="eastAsia" w:ascii="Times New Roman" w:hAnsi="Times New Roman" w:cs="Times New Roman"/>
                <w:color w:val="auto"/>
                <w:sz w:val="24"/>
                <w:szCs w:val="24"/>
                <w:u w:val="none" w:color="auto"/>
                <w:lang w:val="en-US" w:eastAsia="zh-CN"/>
              </w:rPr>
              <w:t>经处理后</w:t>
            </w:r>
            <w:r>
              <w:rPr>
                <w:rFonts w:hint="eastAsia" w:cs="Times New Roman"/>
                <w:color w:val="auto"/>
                <w:sz w:val="24"/>
                <w:szCs w:val="24"/>
                <w:u w:val="none" w:color="auto"/>
                <w:lang w:val="en-US" w:eastAsia="zh-CN"/>
              </w:rPr>
              <w:t>，</w:t>
            </w:r>
            <w:r>
              <w:rPr>
                <w:rFonts w:hint="eastAsia" w:ascii="Times New Roman" w:hAnsi="Times New Roman" w:cs="Times New Roman"/>
                <w:color w:val="auto"/>
                <w:sz w:val="24"/>
                <w:szCs w:val="24"/>
                <w:u w:val="none" w:color="auto"/>
                <w:lang w:val="en-US" w:eastAsia="zh-CN"/>
              </w:rPr>
              <w:t>废气中有机废气</w:t>
            </w:r>
            <w:r>
              <w:rPr>
                <w:rFonts w:hint="eastAsia" w:cs="Times New Roman"/>
                <w:color w:val="auto"/>
                <w:sz w:val="24"/>
                <w:szCs w:val="24"/>
                <w:u w:val="none" w:color="auto"/>
                <w:lang w:val="en-US" w:eastAsia="zh-CN"/>
              </w:rPr>
              <w:t>排放浓度</w:t>
            </w:r>
            <w:r>
              <w:rPr>
                <w:rFonts w:hint="eastAsia" w:ascii="Times New Roman" w:hAnsi="Times New Roman" w:cs="Times New Roman"/>
                <w:color w:val="auto"/>
                <w:sz w:val="24"/>
                <w:szCs w:val="24"/>
                <w:u w:val="none" w:color="auto"/>
                <w:lang w:val="en-US" w:eastAsia="zh-CN"/>
              </w:rPr>
              <w:t>可达到</w:t>
            </w:r>
            <w:r>
              <w:rPr>
                <w:rFonts w:hint="eastAsia" w:cs="Times New Roman"/>
                <w:color w:val="auto"/>
                <w:kern w:val="0"/>
                <w:sz w:val="24"/>
                <w:szCs w:val="24"/>
                <w:u w:val="none" w:color="auto"/>
                <w:lang w:val="en-US" w:eastAsia="zh-CN" w:bidi="ar"/>
              </w:rPr>
              <w:t>《印刷业挥发性有机物排放标准》（DB43/1357-2017）中排放标准限值要求。</w:t>
            </w:r>
            <w:r>
              <w:rPr>
                <w:rFonts w:hint="eastAsia"/>
                <w:sz w:val="24"/>
                <w:u w:val="none" w:color="auto"/>
                <w:lang w:val="en-US" w:eastAsia="zh-CN"/>
              </w:rPr>
              <w:t>分切工序</w:t>
            </w:r>
            <w:r>
              <w:rPr>
                <w:rFonts w:hint="eastAsia"/>
                <w:sz w:val="24"/>
                <w:u w:val="none" w:color="auto"/>
                <w:lang w:eastAsia="zh-CN"/>
              </w:rPr>
              <w:t>废气</w:t>
            </w:r>
            <w:r>
              <w:rPr>
                <w:rFonts w:hint="eastAsia" w:cs="Times New Roman"/>
                <w:color w:val="333333"/>
                <w:sz w:val="24"/>
                <w:szCs w:val="24"/>
                <w:u w:val="none" w:color="auto"/>
                <w:lang w:val="en-US" w:eastAsia="zh-CN"/>
              </w:rPr>
              <w:t>经</w:t>
            </w:r>
            <w:r>
              <w:rPr>
                <w:rFonts w:hint="eastAsia" w:ascii="Times New Roman" w:hAnsi="Times New Roman" w:cs="Times New Roman"/>
                <w:color w:val="333333"/>
                <w:sz w:val="24"/>
                <w:szCs w:val="24"/>
                <w:u w:val="none" w:color="auto"/>
                <w:lang w:val="en-US" w:eastAsia="zh-CN"/>
              </w:rPr>
              <w:t>集气罩收集后通过布袋除尘器处理后和印刷废气一同经同一根</w:t>
            </w:r>
            <w:r>
              <w:rPr>
                <w:rFonts w:hint="eastAsia" w:cs="Times New Roman"/>
                <w:color w:val="333333"/>
                <w:sz w:val="24"/>
                <w:szCs w:val="24"/>
                <w:u w:val="none" w:color="auto"/>
                <w:lang w:val="en-US" w:eastAsia="zh-CN"/>
              </w:rPr>
              <w:t>24m高</w:t>
            </w:r>
            <w:r>
              <w:rPr>
                <w:rFonts w:hint="eastAsia" w:ascii="Times New Roman" w:hAnsi="Times New Roman" w:cs="Times New Roman"/>
                <w:color w:val="333333"/>
                <w:sz w:val="24"/>
                <w:szCs w:val="24"/>
                <w:u w:val="none" w:color="auto"/>
                <w:lang w:val="en-US" w:eastAsia="zh-CN"/>
              </w:rPr>
              <w:t>排气筒高空排放排放</w:t>
            </w:r>
            <w:r>
              <w:rPr>
                <w:rFonts w:hint="eastAsia"/>
                <w:sz w:val="24"/>
                <w:u w:val="none" w:color="auto"/>
                <w:lang w:val="en-US" w:eastAsia="zh-CN"/>
              </w:rPr>
              <w:t>，</w:t>
            </w:r>
            <w:r>
              <w:rPr>
                <w:rFonts w:hint="eastAsia"/>
                <w:color w:val="auto"/>
                <w:sz w:val="24"/>
                <w:szCs w:val="24"/>
                <w:u w:val="none" w:color="auto"/>
                <w:lang w:val="en-US" w:eastAsia="zh-CN"/>
              </w:rPr>
              <w:t>经处理后，废气中颗粒物排放浓度可达到</w:t>
            </w:r>
            <w:r>
              <w:rPr>
                <w:rFonts w:hint="default" w:ascii="Times New Roman" w:hAnsi="Times New Roman" w:eastAsia="宋体" w:cs="Times New Roman"/>
                <w:color w:val="auto"/>
                <w:kern w:val="0"/>
                <w:sz w:val="24"/>
                <w:szCs w:val="24"/>
                <w:u w:val="none" w:color="auto"/>
                <w:lang w:val="en-US" w:eastAsia="zh-CN" w:bidi="ar"/>
              </w:rPr>
              <w:t>《大气污染物综合排放标准》（GB16297-1996）表2的二级标准</w:t>
            </w:r>
            <w:r>
              <w:rPr>
                <w:rFonts w:hint="default" w:ascii="Times New Roman" w:hAnsi="Times New Roman" w:cs="Times New Roman"/>
                <w:color w:val="auto"/>
                <w:kern w:val="0"/>
                <w:sz w:val="24"/>
                <w:szCs w:val="24"/>
                <w:u w:val="none" w:color="auto"/>
                <w:lang w:val="en-US" w:eastAsia="zh-CN" w:bidi="ar"/>
              </w:rPr>
              <w:t>和无组织排放标准</w:t>
            </w:r>
            <w:r>
              <w:rPr>
                <w:rFonts w:hint="eastAsia" w:cs="Times New Roman"/>
                <w:color w:val="auto"/>
                <w:kern w:val="0"/>
                <w:sz w:val="24"/>
                <w:szCs w:val="24"/>
                <w:u w:val="none" w:color="auto"/>
                <w:lang w:val="en-US" w:eastAsia="zh-CN" w:bidi="ar"/>
              </w:rPr>
              <w:t>限值要求</w:t>
            </w:r>
            <w:r>
              <w:rPr>
                <w:rFonts w:hint="eastAsia"/>
                <w:sz w:val="24"/>
                <w:szCs w:val="24"/>
                <w:u w:val="none" w:color="auto"/>
              </w:rPr>
              <w:t>。</w:t>
            </w:r>
          </w:p>
          <w:p>
            <w:pPr>
              <w:snapToGrid w:val="0"/>
              <w:spacing w:line="360" w:lineRule="auto"/>
              <w:ind w:firstLine="457" w:firstLineChars="196"/>
              <w:rPr>
                <w:rFonts w:hAnsi="宋体"/>
                <w:sz w:val="24"/>
                <w:szCs w:val="24"/>
                <w:u w:val="none" w:color="auto"/>
              </w:rPr>
            </w:pPr>
            <w:r>
              <w:rPr>
                <w:rFonts w:hint="eastAsia" w:hAnsi="宋体"/>
                <w:sz w:val="24"/>
                <w:szCs w:val="24"/>
                <w:u w:val="none" w:color="auto"/>
              </w:rPr>
              <w:t>（3）噪声</w:t>
            </w:r>
          </w:p>
          <w:p>
            <w:pPr>
              <w:snapToGrid w:val="0"/>
              <w:spacing w:line="360" w:lineRule="auto"/>
              <w:ind w:firstLine="457" w:firstLineChars="196"/>
              <w:rPr>
                <w:rFonts w:hAnsi="宋体"/>
                <w:sz w:val="24"/>
                <w:u w:val="none" w:color="auto"/>
              </w:rPr>
            </w:pPr>
            <w:r>
              <w:rPr>
                <w:rFonts w:hint="eastAsia"/>
                <w:sz w:val="24"/>
                <w:u w:val="none" w:color="auto"/>
              </w:rPr>
              <w:t>本项目的主要噪声源为车间中的生产设备，噪声值为</w:t>
            </w:r>
            <w:r>
              <w:rPr>
                <w:rFonts w:hint="eastAsia"/>
                <w:sz w:val="24"/>
                <w:u w:val="none" w:color="auto"/>
                <w:lang w:val="en-US" w:eastAsia="zh-CN"/>
              </w:rPr>
              <w:t>65-80</w:t>
            </w:r>
            <w:r>
              <w:rPr>
                <w:rFonts w:hint="eastAsia"/>
                <w:sz w:val="24"/>
                <w:u w:val="none" w:color="auto"/>
              </w:rPr>
              <w:t>dB(A)</w:t>
            </w:r>
            <w:r>
              <w:rPr>
                <w:rFonts w:hint="eastAsia" w:hAnsi="宋体"/>
                <w:sz w:val="24"/>
                <w:szCs w:val="24"/>
                <w:u w:val="none" w:color="auto"/>
              </w:rPr>
              <w:t>，经采取合理布局、隔音、减振等措施后，厂界噪声能够满足《工业企业场界环境噪声排放标准》（GB12348-2008）</w:t>
            </w:r>
            <w:r>
              <w:rPr>
                <w:rFonts w:hint="eastAsia" w:hAnsi="宋体"/>
                <w:sz w:val="24"/>
                <w:szCs w:val="24"/>
                <w:u w:val="none" w:color="auto"/>
                <w:lang w:val="en-US" w:eastAsia="zh-CN"/>
              </w:rPr>
              <w:t>3</w:t>
            </w:r>
            <w:r>
              <w:rPr>
                <w:rFonts w:hint="eastAsia" w:hAnsi="宋体"/>
                <w:sz w:val="24"/>
                <w:szCs w:val="24"/>
                <w:u w:val="none" w:color="auto"/>
              </w:rPr>
              <w:t>类标准</w:t>
            </w:r>
            <w:r>
              <w:rPr>
                <w:rFonts w:hint="eastAsia" w:hAnsi="宋体"/>
                <w:sz w:val="24"/>
                <w:u w:val="none" w:color="auto"/>
              </w:rPr>
              <w:t>，对周围声环境产生影响较小。</w:t>
            </w:r>
          </w:p>
          <w:p>
            <w:pPr>
              <w:snapToGrid w:val="0"/>
              <w:spacing w:line="276" w:lineRule="auto"/>
              <w:ind w:firstLine="466" w:firstLineChars="200"/>
              <w:jc w:val="left"/>
              <w:rPr>
                <w:rFonts w:hAnsi="宋体"/>
                <w:sz w:val="24"/>
                <w:szCs w:val="24"/>
                <w:u w:val="none" w:color="auto"/>
              </w:rPr>
            </w:pPr>
            <w:r>
              <w:rPr>
                <w:rFonts w:hint="eastAsia" w:hAnsi="宋体"/>
                <w:sz w:val="24"/>
                <w:szCs w:val="24"/>
                <w:u w:val="none" w:color="auto"/>
              </w:rPr>
              <w:t>（4）固体废物</w:t>
            </w:r>
          </w:p>
          <w:p>
            <w:pPr>
              <w:pStyle w:val="34"/>
              <w:spacing w:line="360" w:lineRule="auto"/>
              <w:ind w:left="0" w:leftChars="0" w:firstLine="466" w:firstLineChars="200"/>
              <w:rPr>
                <w:rFonts w:ascii="宋体" w:hAnsi="宋体"/>
                <w:sz w:val="24"/>
                <w:szCs w:val="32"/>
                <w:u w:val="none" w:color="auto"/>
              </w:rPr>
            </w:pPr>
            <w:r>
              <w:rPr>
                <w:rFonts w:hint="eastAsia" w:ascii="宋体" w:hAnsi="宋体"/>
                <w:sz w:val="24"/>
                <w:szCs w:val="32"/>
                <w:u w:val="none" w:color="auto"/>
              </w:rPr>
              <w:t>本项目产生的固体废物有废</w:t>
            </w:r>
            <w:r>
              <w:rPr>
                <w:rFonts w:hint="eastAsia" w:ascii="宋体" w:hAnsi="宋体"/>
                <w:sz w:val="24"/>
                <w:szCs w:val="32"/>
                <w:u w:val="none" w:color="auto"/>
                <w:lang w:eastAsia="zh-CN"/>
              </w:rPr>
              <w:t>边角料、</w:t>
            </w:r>
            <w:r>
              <w:rPr>
                <w:rFonts w:hint="eastAsia" w:ascii="宋体" w:hAnsi="宋体"/>
                <w:sz w:val="24"/>
                <w:szCs w:val="32"/>
                <w:u w:val="none" w:color="auto"/>
                <w:lang w:val="en-US" w:eastAsia="zh-CN"/>
              </w:rPr>
              <w:t>不合格产品</w:t>
            </w:r>
            <w:r>
              <w:rPr>
                <w:rFonts w:hint="eastAsia" w:ascii="宋体" w:hAnsi="宋体"/>
                <w:sz w:val="24"/>
                <w:szCs w:val="32"/>
                <w:u w:val="none" w:color="auto"/>
              </w:rPr>
              <w:t>、生活垃圾</w:t>
            </w:r>
            <w:r>
              <w:rPr>
                <w:rFonts w:hint="eastAsia" w:ascii="宋体" w:hAnsi="宋体"/>
                <w:sz w:val="24"/>
                <w:szCs w:val="32"/>
                <w:u w:val="none" w:color="auto"/>
                <w:lang w:eastAsia="zh-CN"/>
              </w:rPr>
              <w:t>、废油墨桶、废活性炭</w:t>
            </w:r>
            <w:r>
              <w:rPr>
                <w:rFonts w:hint="default" w:ascii="Times New Roman" w:hAnsi="Times New Roman" w:cs="Times New Roman"/>
                <w:sz w:val="24"/>
                <w:szCs w:val="32"/>
                <w:u w:val="none" w:color="auto"/>
                <w:lang w:eastAsia="zh-CN"/>
              </w:rPr>
              <w:t>、</w:t>
            </w:r>
            <w:r>
              <w:rPr>
                <w:rFonts w:hint="default" w:ascii="Times New Roman" w:hAnsi="Times New Roman" w:cs="Times New Roman"/>
                <w:sz w:val="24"/>
                <w:szCs w:val="32"/>
                <w:u w:val="none" w:color="auto"/>
                <w:lang w:val="en-US" w:eastAsia="zh-CN"/>
              </w:rPr>
              <w:t>废UV灯管</w:t>
            </w:r>
            <w:r>
              <w:rPr>
                <w:rFonts w:hint="eastAsia" w:ascii="宋体" w:hAnsi="宋体"/>
                <w:sz w:val="24"/>
                <w:szCs w:val="32"/>
                <w:u w:val="none" w:color="auto"/>
                <w:lang w:val="en-US" w:eastAsia="zh-CN"/>
              </w:rPr>
              <w:t>、废包装袋、废印刷版、印刷工序擦洗抹布手套、布袋除尘器收集的粉尘</w:t>
            </w:r>
            <w:r>
              <w:rPr>
                <w:rFonts w:hint="eastAsia" w:ascii="宋体" w:hAnsi="宋体"/>
                <w:sz w:val="24"/>
                <w:szCs w:val="32"/>
                <w:u w:val="none" w:color="auto"/>
              </w:rPr>
              <w:t>等。</w:t>
            </w:r>
          </w:p>
          <w:p>
            <w:pPr>
              <w:pStyle w:val="34"/>
              <w:spacing w:line="360" w:lineRule="auto"/>
              <w:ind w:left="0" w:leftChars="0" w:firstLine="466" w:firstLineChars="200"/>
              <w:jc w:val="left"/>
              <w:rPr>
                <w:rFonts w:hint="default" w:ascii="Times New Roman" w:hAnsi="Times New Roman" w:cs="Times New Roman"/>
                <w:sz w:val="24"/>
                <w:u w:val="none" w:color="auto"/>
                <w:lang w:val="en-US" w:eastAsia="zh-CN"/>
              </w:rPr>
            </w:pPr>
            <w:r>
              <w:rPr>
                <w:rFonts w:hint="eastAsia" w:ascii="宋体" w:hAnsi="宋体"/>
                <w:sz w:val="24"/>
                <w:szCs w:val="32"/>
                <w:u w:val="none" w:color="auto"/>
                <w:lang w:val="en-US" w:eastAsia="zh-CN"/>
              </w:rPr>
              <w:t>其中</w:t>
            </w:r>
            <w:r>
              <w:rPr>
                <w:rFonts w:hint="eastAsia" w:ascii="宋体" w:hAnsi="宋体"/>
                <w:sz w:val="24"/>
                <w:szCs w:val="32"/>
                <w:u w:val="none" w:color="auto"/>
                <w:lang w:eastAsia="zh-CN"/>
              </w:rPr>
              <w:t>废边角料、</w:t>
            </w:r>
            <w:r>
              <w:rPr>
                <w:rFonts w:hint="eastAsia" w:ascii="宋体" w:hAnsi="宋体"/>
                <w:sz w:val="24"/>
                <w:szCs w:val="32"/>
                <w:u w:val="none" w:color="auto"/>
                <w:lang w:val="en-US" w:eastAsia="zh-CN"/>
              </w:rPr>
              <w:t>不合格产品</w:t>
            </w:r>
            <w:r>
              <w:rPr>
                <w:rFonts w:hint="eastAsia" w:ascii="宋体" w:hAnsi="宋体"/>
                <w:sz w:val="24"/>
                <w:szCs w:val="32"/>
                <w:u w:val="none" w:color="auto"/>
                <w:lang w:eastAsia="zh-CN"/>
              </w:rPr>
              <w:t>、</w:t>
            </w:r>
            <w:r>
              <w:rPr>
                <w:rFonts w:hint="eastAsia" w:ascii="宋体" w:hAnsi="宋体"/>
                <w:sz w:val="24"/>
                <w:szCs w:val="32"/>
                <w:u w:val="none" w:color="auto"/>
                <w:lang w:val="en-US" w:eastAsia="zh-CN"/>
              </w:rPr>
              <w:t>废包装袋</w:t>
            </w:r>
            <w:r>
              <w:rPr>
                <w:rFonts w:hint="default" w:ascii="Times New Roman" w:hAnsi="Times New Roman" w:cs="Times New Roman"/>
                <w:sz w:val="24"/>
                <w:u w:val="none" w:color="auto"/>
              </w:rPr>
              <w:t>收集后均</w:t>
            </w:r>
            <w:r>
              <w:rPr>
                <w:rFonts w:hint="eastAsia" w:cs="Times New Roman"/>
                <w:sz w:val="24"/>
                <w:u w:val="none" w:color="auto"/>
                <w:lang w:val="en-US" w:eastAsia="zh-CN"/>
              </w:rPr>
              <w:t>外售废品回收站综合利用</w:t>
            </w:r>
            <w:r>
              <w:rPr>
                <w:rFonts w:hint="default" w:ascii="Times New Roman" w:hAnsi="Times New Roman" w:cs="Times New Roman"/>
                <w:sz w:val="24"/>
                <w:u w:val="none" w:color="auto"/>
              </w:rPr>
              <w:t>。</w:t>
            </w:r>
            <w:r>
              <w:rPr>
                <w:rFonts w:hint="default" w:ascii="Times New Roman" w:hAnsi="Times New Roman" w:cs="Times New Roman"/>
                <w:sz w:val="24"/>
                <w:szCs w:val="24"/>
                <w:u w:val="none" w:color="auto"/>
              </w:rPr>
              <w:t>生活垃圾集中收集后交环卫部门统一清运处理。</w:t>
            </w:r>
            <w:r>
              <w:rPr>
                <w:rFonts w:hint="eastAsia" w:cs="Times New Roman"/>
                <w:sz w:val="24"/>
                <w:u w:val="none" w:color="auto"/>
                <w:lang w:val="en-US" w:eastAsia="zh-CN"/>
              </w:rPr>
              <w:t>布袋除尘器收集的粉尘收集后外售废品回收站综合利用。</w:t>
            </w:r>
          </w:p>
          <w:p>
            <w:pPr>
              <w:pStyle w:val="34"/>
              <w:spacing w:line="360" w:lineRule="auto"/>
              <w:ind w:left="0" w:leftChars="0" w:firstLine="466" w:firstLineChars="200"/>
              <w:rPr>
                <w:rFonts w:ascii="宋体" w:hAnsi="宋体"/>
                <w:sz w:val="24"/>
                <w:szCs w:val="32"/>
                <w:u w:val="none" w:color="auto"/>
              </w:rPr>
            </w:pPr>
            <w:r>
              <w:rPr>
                <w:rFonts w:hint="eastAsia" w:hAnsi="宋体"/>
                <w:sz w:val="24"/>
                <w:u w:val="none" w:color="auto"/>
                <w:lang w:val="en-US" w:eastAsia="zh-CN"/>
              </w:rPr>
              <w:t>废活性炭、</w:t>
            </w:r>
            <w:r>
              <w:rPr>
                <w:rFonts w:hint="default" w:ascii="Times New Roman" w:hAnsi="Times New Roman" w:cs="Times New Roman"/>
                <w:color w:val="auto"/>
                <w:kern w:val="2"/>
                <w:sz w:val="24"/>
                <w:szCs w:val="24"/>
                <w:u w:val="none" w:color="auto"/>
                <w:lang w:val="en-US" w:eastAsia="zh-CN" w:bidi="ar-SA"/>
              </w:rPr>
              <w:t>废灯管</w:t>
            </w:r>
            <w:r>
              <w:rPr>
                <w:rFonts w:hint="eastAsia" w:cs="Times New Roman"/>
                <w:color w:val="auto"/>
                <w:kern w:val="2"/>
                <w:sz w:val="24"/>
                <w:szCs w:val="24"/>
                <w:u w:val="none" w:color="auto"/>
                <w:lang w:val="en-US" w:eastAsia="zh-CN" w:bidi="ar-SA"/>
              </w:rPr>
              <w:t>、</w:t>
            </w:r>
            <w:r>
              <w:rPr>
                <w:rFonts w:hint="eastAsia" w:hAnsi="宋体"/>
                <w:sz w:val="24"/>
                <w:u w:val="none" w:color="auto"/>
                <w:lang w:val="en-US" w:eastAsia="zh-CN"/>
              </w:rPr>
              <w:t>废油墨桶、印刷工序擦洗抹布手套、废印刷版属于危险废物，均</w:t>
            </w:r>
            <w:r>
              <w:rPr>
                <w:rFonts w:hint="eastAsia" w:hAnsi="宋体"/>
                <w:sz w:val="24"/>
                <w:u w:val="none" w:color="auto"/>
                <w:lang w:eastAsia="zh-CN"/>
              </w:rPr>
              <w:t>收集于危险废物储存间内，再交由有资质单位进行处理</w:t>
            </w:r>
            <w:r>
              <w:rPr>
                <w:rFonts w:hint="eastAsia" w:ascii="宋体" w:hAnsi="宋体"/>
                <w:sz w:val="24"/>
                <w:szCs w:val="32"/>
                <w:u w:val="none" w:color="auto"/>
              </w:rPr>
              <w:t>。</w:t>
            </w:r>
          </w:p>
          <w:p>
            <w:pPr>
              <w:snapToGrid w:val="0"/>
              <w:spacing w:line="360" w:lineRule="auto"/>
              <w:ind w:firstLine="466" w:firstLineChars="200"/>
              <w:jc w:val="left"/>
              <w:rPr>
                <w:rFonts w:hAnsi="宋体"/>
                <w:sz w:val="24"/>
                <w:szCs w:val="24"/>
                <w:u w:val="none" w:color="auto"/>
              </w:rPr>
            </w:pPr>
            <w:r>
              <w:rPr>
                <w:rFonts w:hint="eastAsia" w:hAnsi="宋体"/>
                <w:sz w:val="24"/>
                <w:szCs w:val="24"/>
                <w:u w:val="none" w:color="auto"/>
              </w:rPr>
              <w:t>本项目营运期产生的各类固体废物均得到了很好的处理和处置，对外环境影响较小。</w:t>
            </w:r>
          </w:p>
          <w:p>
            <w:pPr>
              <w:snapToGrid w:val="0"/>
              <w:spacing w:line="360" w:lineRule="auto"/>
              <w:ind w:firstLine="457" w:firstLineChars="196"/>
              <w:rPr>
                <w:rFonts w:hint="eastAsia"/>
                <w:b/>
                <w:bCs/>
                <w:sz w:val="24"/>
                <w:u w:val="none" w:color="auto"/>
              </w:rPr>
            </w:pPr>
          </w:p>
          <w:p>
            <w:pPr>
              <w:snapToGrid w:val="0"/>
              <w:spacing w:line="360" w:lineRule="auto"/>
              <w:ind w:firstLine="457" w:firstLineChars="196"/>
              <w:rPr>
                <w:b/>
                <w:bCs/>
                <w:sz w:val="24"/>
                <w:u w:val="none" w:color="auto"/>
              </w:rPr>
            </w:pPr>
            <w:r>
              <w:rPr>
                <w:rFonts w:hint="eastAsia"/>
                <w:b/>
                <w:bCs/>
                <w:sz w:val="24"/>
                <w:u w:val="none" w:color="auto"/>
              </w:rPr>
              <w:t>4、项目可行性分析</w:t>
            </w:r>
          </w:p>
          <w:p>
            <w:pPr>
              <w:snapToGrid w:val="0"/>
              <w:spacing w:line="360" w:lineRule="auto"/>
              <w:ind w:firstLine="457" w:firstLineChars="196"/>
              <w:rPr>
                <w:rFonts w:hAnsi="宋体"/>
                <w:sz w:val="24"/>
                <w:u w:val="none" w:color="auto"/>
              </w:rPr>
            </w:pPr>
            <w:r>
              <w:rPr>
                <w:rFonts w:hint="default" w:ascii="Times New Roman" w:hAnsi="Times New Roman" w:cs="Times New Roman"/>
                <w:sz w:val="24"/>
                <w:szCs w:val="24"/>
                <w:u w:val="none" w:color="auto"/>
              </w:rPr>
              <w:t>本项目为</w:t>
            </w:r>
            <w:r>
              <w:rPr>
                <w:rFonts w:hint="eastAsia" w:cs="Times New Roman"/>
                <w:sz w:val="24"/>
                <w:szCs w:val="24"/>
                <w:u w:val="none" w:color="auto"/>
                <w:lang w:val="en-US" w:eastAsia="zh-CN"/>
              </w:rPr>
              <w:t>纸</w:t>
            </w:r>
            <w:r>
              <w:rPr>
                <w:rFonts w:hint="eastAsia" w:cs="Times New Roman"/>
                <w:sz w:val="24"/>
                <w:szCs w:val="24"/>
                <w:u w:val="none" w:color="auto"/>
                <w:lang w:eastAsia="zh-CN"/>
              </w:rPr>
              <w:t>制品</w:t>
            </w:r>
            <w:r>
              <w:rPr>
                <w:rFonts w:hint="eastAsia" w:cs="Times New Roman"/>
                <w:sz w:val="24"/>
                <w:szCs w:val="24"/>
                <w:u w:val="none" w:color="auto"/>
                <w:lang w:val="en-US" w:eastAsia="zh-CN"/>
              </w:rPr>
              <w:t>加工</w:t>
            </w:r>
            <w:r>
              <w:rPr>
                <w:rFonts w:hint="default" w:ascii="Times New Roman" w:hAnsi="Times New Roman" w:cs="Times New Roman"/>
                <w:sz w:val="24"/>
                <w:szCs w:val="24"/>
                <w:u w:val="none" w:color="auto"/>
              </w:rPr>
              <w:t>，根据中华人民共和国发展和改革委员会《产业结构调整指导目录（201</w:t>
            </w:r>
            <w:r>
              <w:rPr>
                <w:rFonts w:hint="eastAsia" w:cs="Times New Roman"/>
                <w:sz w:val="24"/>
                <w:szCs w:val="24"/>
                <w:u w:val="none" w:color="auto"/>
                <w:lang w:val="en-US" w:eastAsia="zh-CN"/>
              </w:rPr>
              <w:t>9</w:t>
            </w:r>
            <w:r>
              <w:rPr>
                <w:rFonts w:hint="default" w:ascii="Times New Roman" w:hAnsi="Times New Roman" w:cs="Times New Roman"/>
                <w:sz w:val="24"/>
                <w:szCs w:val="24"/>
                <w:u w:val="none" w:color="auto"/>
              </w:rPr>
              <w:t>年本）》，该类项目不属于限制类和淘汰类项目，符合国家产业政策要求</w:t>
            </w:r>
            <w:r>
              <w:rPr>
                <w:rFonts w:hint="eastAsia" w:cs="Times New Roman"/>
                <w:sz w:val="24"/>
                <w:szCs w:val="24"/>
                <w:u w:val="none" w:color="auto"/>
                <w:lang w:eastAsia="zh-CN"/>
              </w:rPr>
              <w:t>，</w:t>
            </w:r>
            <w:r>
              <w:rPr>
                <w:color w:val="auto"/>
                <w:spacing w:val="-6"/>
                <w:sz w:val="24"/>
                <w:u w:val="none" w:color="auto"/>
              </w:rPr>
              <w:t>项目设备</w:t>
            </w:r>
            <w:r>
              <w:rPr>
                <w:rFonts w:hint="default" w:ascii="Times New Roman" w:hAnsi="Times New Roman" w:eastAsia="宋体" w:cs="Times New Roman"/>
                <w:bCs/>
                <w:color w:val="auto"/>
                <w:sz w:val="24"/>
                <w:szCs w:val="24"/>
                <w:u w:val="none" w:color="auto"/>
              </w:rPr>
              <w:t>无国家发改委《产业结构调整指导目录》（2019 年本）</w:t>
            </w:r>
            <w:r>
              <w:rPr>
                <w:rFonts w:hint="eastAsia" w:ascii="Times New Roman" w:hAnsi="Times New Roman" w:eastAsia="宋体" w:cs="Times New Roman"/>
                <w:bCs/>
                <w:color w:val="auto"/>
                <w:sz w:val="24"/>
                <w:szCs w:val="24"/>
                <w:u w:val="none" w:color="auto"/>
                <w:lang w:eastAsia="zh-CN"/>
              </w:rPr>
              <w:t>、</w:t>
            </w:r>
            <w:r>
              <w:rPr>
                <w:rFonts w:hint="default" w:ascii="Times New Roman" w:hAnsi="Times New Roman" w:eastAsia="宋体" w:cs="Times New Roman"/>
                <w:bCs/>
                <w:color w:val="auto"/>
                <w:sz w:val="24"/>
                <w:szCs w:val="24"/>
                <w:u w:val="none" w:color="auto"/>
              </w:rPr>
              <w:t>《工业和信息化部高耗能落后机电设备（产品）淘汰目录》、《部分工业行业淘汰落后生产工艺装备和产品指导目录》中淘汰及明令禁止使用的设备</w:t>
            </w:r>
            <w:r>
              <w:rPr>
                <w:rFonts w:hint="eastAsia" w:hAnsi="宋体"/>
                <w:sz w:val="24"/>
                <w:u w:val="none" w:color="auto"/>
              </w:rPr>
              <w:t>。</w:t>
            </w:r>
          </w:p>
          <w:p>
            <w:pPr>
              <w:snapToGrid w:val="0"/>
              <w:spacing w:line="360" w:lineRule="auto"/>
              <w:ind w:firstLine="457" w:firstLineChars="196"/>
              <w:rPr>
                <w:rFonts w:hint="eastAsia"/>
                <w:b w:val="0"/>
                <w:bCs w:val="0"/>
                <w:sz w:val="24"/>
                <w:u w:val="none" w:color="auto"/>
              </w:rPr>
            </w:pPr>
            <w:r>
              <w:rPr>
                <w:rFonts w:hint="eastAsia" w:hAnsi="宋体"/>
                <w:sz w:val="24"/>
                <w:u w:val="none" w:color="auto"/>
              </w:rPr>
              <w:t>本项目</w:t>
            </w:r>
            <w:r>
              <w:rPr>
                <w:rFonts w:hint="eastAsia" w:hAnsi="宋体"/>
                <w:sz w:val="24"/>
                <w:szCs w:val="24"/>
                <w:u w:val="none" w:color="auto"/>
              </w:rPr>
              <w:t>选址所在地基础设施完善，地理位置优越、交通方便、各类污染物经处理后能实现达标排放，且无与本项目有关的制约因素；平面布置比较合理，布局紧凑、管理方便。因此本项目的选址是可行的。</w:t>
            </w:r>
          </w:p>
          <w:p>
            <w:pPr>
              <w:snapToGrid w:val="0"/>
              <w:spacing w:line="360" w:lineRule="auto"/>
              <w:ind w:firstLine="457" w:firstLineChars="196"/>
              <w:rPr>
                <w:rFonts w:hint="eastAsia"/>
                <w:b/>
                <w:bCs/>
                <w:sz w:val="24"/>
                <w:u w:val="none" w:color="auto"/>
              </w:rPr>
            </w:pPr>
            <w:r>
              <w:rPr>
                <w:rFonts w:hint="eastAsia" w:ascii="宋体" w:hAnsi="宋体" w:eastAsia="宋体" w:cs="宋体"/>
                <w:b w:val="0"/>
                <w:bCs w:val="0"/>
                <w:i w:val="0"/>
                <w:caps w:val="0"/>
                <w:color w:val="auto"/>
                <w:spacing w:val="0"/>
                <w:sz w:val="24"/>
                <w:szCs w:val="24"/>
                <w:u w:val="none" w:color="auto"/>
                <w:shd w:val="clear" w:fill="FFFFFF"/>
              </w:rPr>
              <w:t>建设项目</w:t>
            </w:r>
            <w:r>
              <w:rPr>
                <w:rFonts w:hint="eastAsia" w:ascii="宋体" w:hAnsi="宋体" w:eastAsia="宋体" w:cs="宋体"/>
                <w:b w:val="0"/>
                <w:bCs w:val="0"/>
                <w:i w:val="0"/>
                <w:caps w:val="0"/>
                <w:color w:val="auto"/>
                <w:spacing w:val="0"/>
                <w:sz w:val="24"/>
                <w:szCs w:val="24"/>
                <w:u w:val="none" w:color="auto"/>
                <w:shd w:val="clear" w:fill="FFFFFF"/>
                <w:lang w:val="en-US" w:eastAsia="zh-CN"/>
              </w:rPr>
              <w:t>符合湘阴县</w:t>
            </w:r>
            <w:r>
              <w:rPr>
                <w:rFonts w:hint="eastAsia" w:cs="Times New Roman"/>
                <w:b w:val="0"/>
                <w:bCs w:val="0"/>
                <w:color w:val="auto"/>
                <w:sz w:val="24"/>
                <w:szCs w:val="24"/>
                <w:u w:val="none" w:color="auto"/>
                <w:lang w:eastAsia="zh-CN"/>
              </w:rPr>
              <w:t>金龙新区规划</w:t>
            </w:r>
            <w:r>
              <w:rPr>
                <w:rFonts w:hint="eastAsia" w:cs="Times New Roman"/>
                <w:b w:val="0"/>
                <w:bCs w:val="0"/>
                <w:color w:val="auto"/>
                <w:sz w:val="24"/>
                <w:szCs w:val="24"/>
                <w:u w:val="none" w:color="auto"/>
                <w:lang w:val="en-US" w:eastAsia="zh-CN"/>
              </w:rPr>
              <w:t>要求、符合</w:t>
            </w:r>
            <w:r>
              <w:rPr>
                <w:rFonts w:hint="default" w:ascii="Times New Roman" w:hAnsi="Times New Roman" w:cs="Times New Roman"/>
                <w:b w:val="0"/>
                <w:bCs w:val="0"/>
                <w:color w:val="auto"/>
                <w:sz w:val="24"/>
                <w:szCs w:val="24"/>
                <w:u w:val="none" w:color="auto"/>
              </w:rPr>
              <w:t>《“十</w:t>
            </w:r>
            <w:r>
              <w:rPr>
                <w:rFonts w:hint="default" w:ascii="Times New Roman" w:hAnsi="Times New Roman" w:cs="Times New Roman"/>
                <w:color w:val="auto"/>
                <w:sz w:val="24"/>
                <w:szCs w:val="24"/>
                <w:u w:val="none" w:color="auto"/>
              </w:rPr>
              <w:t>三五”挥发性有机物污染防治工作方案》</w:t>
            </w:r>
            <w:r>
              <w:rPr>
                <w:rFonts w:hint="eastAsia" w:cs="Times New Roman"/>
                <w:color w:val="auto"/>
                <w:sz w:val="24"/>
                <w:szCs w:val="24"/>
                <w:u w:val="none" w:color="auto"/>
                <w:lang w:val="en-US" w:eastAsia="zh-CN"/>
              </w:rPr>
              <w:t>中相关要求、符合</w:t>
            </w:r>
            <w:r>
              <w:rPr>
                <w:rFonts w:hint="default" w:ascii="Times New Roman" w:hAnsi="Times New Roman" w:cs="Times New Roman"/>
                <w:color w:val="auto"/>
                <w:sz w:val="24"/>
                <w:szCs w:val="24"/>
                <w:u w:val="none" w:color="auto"/>
              </w:rPr>
              <w:t>《湖南省挥发性有机物污染防治三年行动实施方案（2018-2020 年）》</w:t>
            </w:r>
            <w:r>
              <w:rPr>
                <w:rFonts w:hint="eastAsia" w:cs="Times New Roman"/>
                <w:color w:val="auto"/>
                <w:sz w:val="24"/>
                <w:szCs w:val="24"/>
                <w:u w:val="none" w:color="auto"/>
                <w:lang w:val="en-US" w:eastAsia="zh-CN"/>
              </w:rPr>
              <w:t>中相关要求、符合</w:t>
            </w:r>
            <w:r>
              <w:rPr>
                <w:rFonts w:hint="eastAsia" w:ascii="Times New Roman" w:hAnsi="Times New Roman" w:cs="Times New Roman"/>
                <w:b w:val="0"/>
                <w:bCs w:val="0"/>
                <w:color w:val="auto"/>
                <w:sz w:val="24"/>
                <w:szCs w:val="24"/>
                <w:u w:val="none" w:color="auto"/>
                <w:lang w:val="en-US" w:eastAsia="zh-CN"/>
              </w:rPr>
              <w:t>《</w:t>
            </w:r>
            <w:r>
              <w:rPr>
                <w:rFonts w:hint="eastAsia" w:cs="Times New Roman"/>
                <w:b w:val="0"/>
                <w:bCs w:val="0"/>
                <w:color w:val="auto"/>
                <w:sz w:val="24"/>
                <w:szCs w:val="24"/>
                <w:u w:val="none" w:color="auto"/>
                <w:lang w:val="en-US" w:eastAsia="zh-CN"/>
              </w:rPr>
              <w:t>重点行业挥发性有机物综合治理方案</w:t>
            </w:r>
            <w:r>
              <w:rPr>
                <w:rFonts w:hint="eastAsia" w:ascii="Times New Roman" w:hAnsi="Times New Roman" w:cs="Times New Roman"/>
                <w:b w:val="0"/>
                <w:bCs w:val="0"/>
                <w:color w:val="auto"/>
                <w:sz w:val="24"/>
                <w:szCs w:val="24"/>
                <w:u w:val="none" w:color="auto"/>
                <w:lang w:val="en-US" w:eastAsia="zh-CN"/>
              </w:rPr>
              <w:t>》</w:t>
            </w:r>
            <w:r>
              <w:rPr>
                <w:rFonts w:hint="eastAsia" w:cs="Times New Roman"/>
                <w:b w:val="0"/>
                <w:bCs w:val="0"/>
                <w:color w:val="auto"/>
                <w:sz w:val="24"/>
                <w:szCs w:val="24"/>
                <w:u w:val="none" w:color="auto"/>
                <w:lang w:val="en-US" w:eastAsia="zh-CN"/>
              </w:rPr>
              <w:t>中相关要求</w:t>
            </w:r>
            <w:r>
              <w:rPr>
                <w:rFonts w:hint="eastAsia" w:cs="Times New Roman"/>
                <w:color w:val="auto"/>
                <w:sz w:val="24"/>
                <w:szCs w:val="24"/>
                <w:u w:val="none" w:color="auto"/>
                <w:lang w:eastAsia="zh-CN"/>
              </w:rPr>
              <w:t>。</w:t>
            </w:r>
          </w:p>
          <w:p>
            <w:pPr>
              <w:snapToGrid w:val="0"/>
              <w:spacing w:line="360" w:lineRule="auto"/>
              <w:ind w:firstLine="457" w:firstLineChars="196"/>
              <w:rPr>
                <w:b/>
                <w:bCs/>
                <w:sz w:val="24"/>
                <w:u w:val="none" w:color="auto"/>
              </w:rPr>
            </w:pPr>
            <w:r>
              <w:rPr>
                <w:rFonts w:hint="eastAsia"/>
                <w:b/>
                <w:bCs/>
                <w:sz w:val="24"/>
                <w:u w:val="none" w:color="auto"/>
                <w:lang w:val="en-US" w:eastAsia="zh-CN"/>
              </w:rPr>
              <w:t>5</w:t>
            </w:r>
            <w:r>
              <w:rPr>
                <w:rFonts w:hint="eastAsia"/>
                <w:b/>
                <w:bCs/>
                <w:sz w:val="24"/>
                <w:u w:val="none" w:color="auto"/>
              </w:rPr>
              <w:t>、项目建设环境制约因素</w:t>
            </w:r>
          </w:p>
          <w:p>
            <w:pPr>
              <w:snapToGrid w:val="0"/>
              <w:spacing w:line="360" w:lineRule="auto"/>
              <w:ind w:firstLine="457" w:firstLineChars="196"/>
              <w:rPr>
                <w:rFonts w:hAnsi="宋体"/>
                <w:sz w:val="24"/>
                <w:u w:val="none" w:color="auto"/>
              </w:rPr>
            </w:pPr>
            <w:r>
              <w:rPr>
                <w:rFonts w:hint="eastAsia" w:hAnsi="宋体"/>
                <w:sz w:val="24"/>
                <w:u w:val="none" w:color="auto"/>
              </w:rPr>
              <w:t>本项目建设没有</w:t>
            </w:r>
            <w:bookmarkStart w:id="13" w:name="OLE_LINK19"/>
            <w:r>
              <w:rPr>
                <w:rFonts w:hint="eastAsia" w:hAnsi="宋体"/>
                <w:sz w:val="24"/>
                <w:u w:val="none" w:color="auto"/>
              </w:rPr>
              <w:t>明显的环境制约因素</w:t>
            </w:r>
            <w:bookmarkEnd w:id="13"/>
            <w:r>
              <w:rPr>
                <w:rFonts w:hint="eastAsia" w:hAnsi="宋体"/>
                <w:sz w:val="24"/>
                <w:u w:val="none" w:color="auto"/>
              </w:rPr>
              <w:t>。</w:t>
            </w:r>
          </w:p>
          <w:p>
            <w:pPr>
              <w:snapToGrid w:val="0"/>
              <w:spacing w:line="360" w:lineRule="auto"/>
              <w:ind w:firstLine="466" w:firstLineChars="200"/>
              <w:rPr>
                <w:b/>
                <w:sz w:val="24"/>
                <w:szCs w:val="24"/>
                <w:u w:val="none" w:color="auto"/>
              </w:rPr>
            </w:pPr>
            <w:r>
              <w:rPr>
                <w:rFonts w:hint="eastAsia"/>
                <w:b/>
                <w:sz w:val="24"/>
                <w:szCs w:val="24"/>
                <w:u w:val="none" w:color="auto"/>
              </w:rPr>
              <w:t>总</w:t>
            </w:r>
            <w:r>
              <w:rPr>
                <w:rFonts w:hint="eastAsia"/>
                <w:b/>
                <w:sz w:val="24"/>
                <w:szCs w:val="24"/>
                <w:u w:val="none" w:color="auto"/>
                <w:lang w:eastAsia="zh-CN"/>
              </w:rPr>
              <w:t>体</w:t>
            </w:r>
            <w:r>
              <w:rPr>
                <w:b/>
                <w:sz w:val="24"/>
                <w:szCs w:val="24"/>
                <w:u w:val="none" w:color="auto"/>
              </w:rPr>
              <w:t>结论</w:t>
            </w:r>
          </w:p>
          <w:p>
            <w:pPr>
              <w:snapToGrid w:val="0"/>
              <w:spacing w:line="360" w:lineRule="auto"/>
              <w:ind w:firstLine="457" w:firstLineChars="196"/>
              <w:rPr>
                <w:rFonts w:hint="eastAsia" w:hAnsi="宋体"/>
                <w:sz w:val="24"/>
                <w:szCs w:val="24"/>
                <w:u w:val="none" w:color="auto"/>
              </w:rPr>
            </w:pPr>
            <w:r>
              <w:rPr>
                <w:rFonts w:hint="eastAsia" w:hAnsi="宋体"/>
                <w:sz w:val="24"/>
                <w:u w:val="none" w:color="auto"/>
              </w:rPr>
              <w:t>综上所述，</w:t>
            </w:r>
            <w:r>
              <w:rPr>
                <w:rFonts w:hint="eastAsia"/>
                <w:sz w:val="24"/>
                <w:szCs w:val="24"/>
                <w:u w:val="none" w:color="auto"/>
                <w:lang w:eastAsia="zh-CN"/>
              </w:rPr>
              <w:t>深圳市帝彩纸业有限公司岳阳市分公司年产4500吨纸业用品建设项目</w:t>
            </w:r>
            <w:r>
              <w:rPr>
                <w:rFonts w:hint="eastAsia" w:hAnsi="宋体"/>
                <w:sz w:val="24"/>
                <w:u w:val="none" w:color="auto"/>
              </w:rPr>
              <w:t>建设符合国家产业政策，平面布局合理，选址可行。在认真落实本环评报告提出的各项环保措施的前提下，废气、废水、噪声可实现达标排放，固废可得到有效处置，项目建设及营运</w:t>
            </w:r>
            <w:r>
              <w:rPr>
                <w:rFonts w:hint="eastAsia" w:hAnsi="宋体"/>
                <w:sz w:val="24"/>
                <w:szCs w:val="24"/>
                <w:u w:val="none" w:color="auto"/>
              </w:rPr>
              <w:t>对环境保护目标及周围环境影响较小。从环境保护角度分析，本项目的建设是可行的。</w:t>
            </w:r>
          </w:p>
          <w:p>
            <w:pPr>
              <w:snapToGrid w:val="0"/>
              <w:spacing w:line="360" w:lineRule="auto"/>
              <w:ind w:firstLine="457" w:firstLineChars="196"/>
              <w:rPr>
                <w:b/>
                <w:sz w:val="24"/>
                <w:szCs w:val="24"/>
                <w:u w:val="none" w:color="auto"/>
              </w:rPr>
            </w:pPr>
            <w:r>
              <w:rPr>
                <w:b/>
                <w:sz w:val="24"/>
                <w:szCs w:val="24"/>
                <w:u w:val="none" w:color="auto"/>
              </w:rPr>
              <w:t xml:space="preserve"> </w:t>
            </w:r>
            <w:r>
              <w:rPr>
                <w:rFonts w:hint="eastAsia"/>
                <w:b/>
                <w:sz w:val="24"/>
                <w:szCs w:val="24"/>
                <w:u w:val="none" w:color="auto"/>
              </w:rPr>
              <w:t>建议与要求</w:t>
            </w:r>
          </w:p>
          <w:p>
            <w:pPr>
              <w:spacing w:line="360" w:lineRule="auto"/>
              <w:rPr>
                <w:rFonts w:hint="default" w:ascii="Times New Roman" w:hAnsi="Times New Roman" w:eastAsia="宋体" w:cs="Times New Roman"/>
                <w:sz w:val="24"/>
                <w:szCs w:val="24"/>
                <w:u w:val="none" w:color="auto"/>
              </w:rPr>
            </w:pPr>
            <w:r>
              <w:rPr>
                <w:rFonts w:hint="default" w:ascii="Times New Roman" w:hAnsi="Times New Roman" w:eastAsia="宋体" w:cs="Times New Roman"/>
                <w:sz w:val="24"/>
                <w:szCs w:val="24"/>
                <w:u w:val="none" w:color="auto"/>
              </w:rPr>
              <w:t xml:space="preserve"> 为搞好项目营运，减少环境污染，提出以下建议和要求。</w:t>
            </w:r>
          </w:p>
          <w:p>
            <w:pPr>
              <w:spacing w:line="360" w:lineRule="auto"/>
              <w:rPr>
                <w:rFonts w:hint="default" w:ascii="Times New Roman" w:hAnsi="Times New Roman" w:eastAsia="宋体" w:cs="Times New Roman"/>
                <w:sz w:val="24"/>
                <w:szCs w:val="24"/>
                <w:u w:val="none" w:color="auto"/>
              </w:rPr>
            </w:pPr>
            <w:r>
              <w:rPr>
                <w:rFonts w:hint="default" w:ascii="Times New Roman" w:hAnsi="Times New Roman" w:eastAsia="宋体" w:cs="Times New Roman"/>
                <w:sz w:val="24"/>
                <w:szCs w:val="24"/>
                <w:u w:val="none" w:color="auto"/>
              </w:rPr>
              <w:t xml:space="preserve">    1、项目必须及时办理相关的环保报批和验收手续，待验收合格后方可进行正式营运。</w:t>
            </w:r>
          </w:p>
          <w:p>
            <w:pPr>
              <w:spacing w:line="360" w:lineRule="auto"/>
              <w:rPr>
                <w:rFonts w:hint="default" w:ascii="Times New Roman" w:hAnsi="Times New Roman" w:eastAsia="宋体" w:cs="Times New Roman"/>
                <w:sz w:val="24"/>
                <w:szCs w:val="24"/>
                <w:u w:val="none" w:color="auto"/>
              </w:rPr>
            </w:pPr>
            <w:r>
              <w:rPr>
                <w:rFonts w:hint="default" w:ascii="Times New Roman" w:hAnsi="Times New Roman" w:eastAsia="宋体" w:cs="Times New Roman"/>
                <w:sz w:val="24"/>
                <w:szCs w:val="24"/>
                <w:u w:val="none" w:color="auto"/>
              </w:rPr>
              <w:t xml:space="preserve">    2、施工期应有专人负责施工污染控制工作，实行项目工作责任制。</w:t>
            </w:r>
          </w:p>
          <w:p>
            <w:pPr>
              <w:spacing w:line="360" w:lineRule="auto"/>
              <w:rPr>
                <w:rFonts w:hint="default" w:ascii="Times New Roman" w:hAnsi="Times New Roman" w:eastAsia="宋体" w:cs="Times New Roman"/>
                <w:sz w:val="24"/>
                <w:szCs w:val="24"/>
                <w:u w:val="none" w:color="auto"/>
              </w:rPr>
            </w:pPr>
            <w:r>
              <w:rPr>
                <w:rFonts w:hint="default" w:ascii="Times New Roman" w:hAnsi="Times New Roman" w:eastAsia="宋体" w:cs="Times New Roman"/>
                <w:sz w:val="24"/>
                <w:szCs w:val="24"/>
                <w:u w:val="none" w:color="auto"/>
              </w:rPr>
              <w:t xml:space="preserve">    </w:t>
            </w:r>
            <w:r>
              <w:rPr>
                <w:rFonts w:hint="eastAsia" w:ascii="Times New Roman" w:hAnsi="Times New Roman" w:eastAsia="宋体" w:cs="Times New Roman"/>
                <w:sz w:val="24"/>
                <w:szCs w:val="24"/>
                <w:u w:val="none" w:color="auto"/>
                <w:lang w:val="en-US" w:eastAsia="zh-CN"/>
              </w:rPr>
              <w:t>3</w:t>
            </w:r>
            <w:r>
              <w:rPr>
                <w:rFonts w:hint="default" w:ascii="Times New Roman" w:hAnsi="Times New Roman" w:eastAsia="宋体" w:cs="Times New Roman"/>
                <w:sz w:val="24"/>
                <w:szCs w:val="24"/>
                <w:u w:val="none" w:color="auto"/>
              </w:rPr>
              <w:t>、在添加新设备时，应选用节能、低噪声设备。</w:t>
            </w:r>
          </w:p>
          <w:p>
            <w:pPr>
              <w:spacing w:line="360" w:lineRule="auto"/>
              <w:ind w:firstLine="480"/>
              <w:rPr>
                <w:rFonts w:hint="default" w:ascii="Times New Roman" w:hAnsi="Times New Roman" w:eastAsia="宋体" w:cs="Times New Roman"/>
                <w:sz w:val="24"/>
                <w:szCs w:val="24"/>
                <w:u w:val="none" w:color="auto"/>
                <w:lang w:eastAsia="zh-CN"/>
              </w:rPr>
            </w:pPr>
            <w:r>
              <w:rPr>
                <w:rFonts w:hint="eastAsia" w:ascii="Times New Roman" w:hAnsi="Times New Roman" w:eastAsia="宋体" w:cs="Times New Roman"/>
                <w:kern w:val="0"/>
                <w:sz w:val="24"/>
                <w:u w:val="none" w:color="auto"/>
                <w:lang w:val="en-US" w:eastAsia="zh-CN"/>
              </w:rPr>
              <w:t>4</w:t>
            </w:r>
            <w:r>
              <w:rPr>
                <w:rFonts w:hint="default" w:ascii="Times New Roman" w:hAnsi="Times New Roman" w:eastAsia="宋体" w:cs="Times New Roman"/>
                <w:kern w:val="0"/>
                <w:sz w:val="24"/>
                <w:u w:val="none" w:color="auto"/>
              </w:rPr>
              <w:t>、对生产车间产生的固体废弃物要妥善收集、保管，严禁乱丢乱放。对该类废弃物的暂存场地采取防雨、防火及防渗漏措施，严防其二次污染</w:t>
            </w:r>
            <w:r>
              <w:rPr>
                <w:rFonts w:hint="default" w:ascii="Times New Roman" w:hAnsi="Times New Roman" w:eastAsia="宋体" w:cs="Times New Roman"/>
                <w:kern w:val="0"/>
                <w:sz w:val="24"/>
                <w:u w:val="none" w:color="auto"/>
                <w:lang w:eastAsia="zh-CN"/>
              </w:rPr>
              <w:t>。</w:t>
            </w:r>
          </w:p>
          <w:p>
            <w:pPr>
              <w:spacing w:line="360" w:lineRule="auto"/>
              <w:ind w:firstLine="480"/>
              <w:rPr>
                <w:rFonts w:hint="default"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lang w:val="en-US" w:eastAsia="zh-CN"/>
              </w:rPr>
              <w:t>5</w:t>
            </w:r>
            <w:r>
              <w:rPr>
                <w:rFonts w:hint="default" w:ascii="Times New Roman" w:hAnsi="Times New Roman" w:eastAsia="宋体" w:cs="Times New Roman"/>
                <w:sz w:val="24"/>
                <w:szCs w:val="24"/>
                <w:u w:val="none" w:color="auto"/>
              </w:rPr>
              <w:t>、建议业主定期进行设备检修，杜绝安全事故发生。</w:t>
            </w:r>
          </w:p>
          <w:p>
            <w:pPr>
              <w:snapToGrid w:val="0"/>
              <w:spacing w:line="360" w:lineRule="auto"/>
              <w:ind w:firstLine="466" w:firstLineChars="200"/>
              <w:rPr>
                <w:rFonts w:hint="eastAsia" w:ascii="Times New Roman" w:hAnsi="Times New Roman" w:eastAsia="宋体" w:cs="Times New Roman"/>
                <w:sz w:val="24"/>
                <w:szCs w:val="24"/>
                <w:u w:val="none" w:color="auto"/>
                <w:lang w:val="en-US" w:eastAsia="zh-CN"/>
              </w:rPr>
            </w:pPr>
            <w:r>
              <w:rPr>
                <w:rFonts w:hint="eastAsia" w:ascii="Times New Roman" w:hAnsi="Times New Roman" w:eastAsia="宋体" w:cs="Times New Roman"/>
                <w:sz w:val="24"/>
                <w:szCs w:val="24"/>
                <w:u w:val="none" w:color="auto"/>
                <w:lang w:val="en-US" w:eastAsia="zh-CN"/>
              </w:rPr>
              <w:t>6、企业应建立台账，记录含VOCs原辅材料和含VOCs产品的名称、使用量、回收量、废弃量、去向以及VOCs含量等信息。台账保存期限不少于3年。</w:t>
            </w:r>
          </w:p>
          <w:p>
            <w:pPr>
              <w:snapToGrid w:val="0"/>
              <w:spacing w:line="360" w:lineRule="auto"/>
              <w:ind w:firstLine="466" w:firstLineChars="200"/>
              <w:rPr>
                <w:rFonts w:hAnsi="宋体"/>
                <w:b/>
                <w:sz w:val="24"/>
                <w:szCs w:val="24"/>
                <w:u w:val="none" w:color="auto"/>
              </w:rPr>
            </w:pPr>
            <w:r>
              <w:rPr>
                <w:rFonts w:hint="eastAsia" w:hAnsi="宋体"/>
                <w:sz w:val="24"/>
                <w:szCs w:val="24"/>
                <w:u w:val="none" w:color="auto"/>
                <w:lang w:val="en-US" w:eastAsia="zh-CN"/>
              </w:rPr>
              <w:t>7、</w:t>
            </w:r>
            <w:r>
              <w:rPr>
                <w:rFonts w:hint="eastAsia" w:hAnsi="宋体"/>
                <w:sz w:val="24"/>
                <w:szCs w:val="24"/>
                <w:u w:val="none" w:color="auto"/>
              </w:rPr>
              <w:t>本项目基础资料由建设单位提供，并对其准确性负责。建设单位以后若增加本报告表所涉及之外的污染源或对其功能进行改变，则应按要求向有关环保部门进行申报，并按污染控制目标采取相应的污染治理措施。</w:t>
            </w:r>
          </w:p>
        </w:tc>
      </w:tr>
    </w:tbl>
    <w:p>
      <w:pPr>
        <w:rPr>
          <w:u w:val="none" w:color="auto"/>
        </w:rPr>
      </w:pPr>
    </w:p>
    <w:p>
      <w:pPr>
        <w:pStyle w:val="8"/>
        <w:bidi w:val="0"/>
        <w:rPr>
          <w:rFonts w:hint="eastAsia"/>
          <w:u w:val="none" w:color="auto"/>
          <w:lang w:val="en-US" w:eastAsia="zh-CN"/>
        </w:rPr>
      </w:pPr>
      <w:r>
        <w:rPr>
          <w:rFonts w:hint="eastAsia"/>
          <w:u w:val="none" w:color="auto"/>
          <w:lang w:val="en-US" w:eastAsia="zh-CN"/>
        </w:rPr>
        <w:t>附表：</w:t>
      </w:r>
    </w:p>
    <w:p>
      <w:pPr>
        <w:jc w:val="center"/>
        <w:rPr>
          <w:rFonts w:hint="eastAsia"/>
          <w:b/>
          <w:bCs/>
          <w:sz w:val="24"/>
          <w:szCs w:val="24"/>
          <w:u w:val="none" w:color="auto"/>
          <w:lang w:val="en-US" w:eastAsia="zh-CN"/>
        </w:rPr>
      </w:pPr>
      <w:r>
        <w:rPr>
          <w:rFonts w:hint="eastAsia"/>
          <w:b/>
          <w:bCs/>
          <w:sz w:val="24"/>
          <w:szCs w:val="24"/>
          <w:u w:val="none" w:color="auto"/>
          <w:lang w:val="en-US" w:eastAsia="zh-CN"/>
        </w:rPr>
        <w:t>表1 建设项目大气环境影响评价自查表</w:t>
      </w:r>
    </w:p>
    <w:tbl>
      <w:tblPr>
        <w:tblStyle w:val="40"/>
        <w:tblW w:w="9855" w:type="dxa"/>
        <w:tblInd w:w="-3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94"/>
        <w:gridCol w:w="1717"/>
        <w:gridCol w:w="797"/>
        <w:gridCol w:w="915"/>
        <w:gridCol w:w="264"/>
        <w:gridCol w:w="921"/>
        <w:gridCol w:w="742"/>
        <w:gridCol w:w="293"/>
        <w:gridCol w:w="1417"/>
        <w:gridCol w:w="90"/>
        <w:gridCol w:w="590"/>
        <w:gridCol w:w="1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2811"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工作内容</w:t>
            </w:r>
          </w:p>
        </w:tc>
        <w:tc>
          <w:tcPr>
            <w:tcW w:w="7044" w:type="dxa"/>
            <w:gridSpan w:val="10"/>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自查项目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7" w:hRule="exact"/>
        </w:trPr>
        <w:tc>
          <w:tcPr>
            <w:tcW w:w="1094" w:type="dxa"/>
            <w:vMerge w:val="restart"/>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评价等级与范围</w:t>
            </w:r>
          </w:p>
        </w:tc>
        <w:tc>
          <w:tcPr>
            <w:tcW w:w="171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评价等级</w:t>
            </w:r>
          </w:p>
        </w:tc>
        <w:tc>
          <w:tcPr>
            <w:tcW w:w="2897" w:type="dxa"/>
            <w:gridSpan w:val="4"/>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一级□</w:t>
            </w:r>
          </w:p>
        </w:tc>
        <w:tc>
          <w:tcPr>
            <w:tcW w:w="2452"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二级</w:t>
            </w:r>
            <w:r>
              <w:rPr>
                <w:rStyle w:val="68"/>
                <w:rFonts w:hint="default" w:ascii="Times New Roman" w:hAnsi="Times New Roman" w:cs="Times New Roman"/>
                <w:sz w:val="21"/>
                <w:szCs w:val="21"/>
                <w:u w:val="none" w:color="auto"/>
                <w:lang w:val="en-US" w:eastAsia="zh-CN" w:bidi="ar"/>
              </w:rPr>
              <w:sym w:font="Wingdings 2" w:char="0052"/>
            </w:r>
          </w:p>
        </w:tc>
        <w:tc>
          <w:tcPr>
            <w:tcW w:w="1695"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三级</w:t>
            </w:r>
            <w:r>
              <w:rPr>
                <w:rStyle w:val="108"/>
                <w:rFonts w:hint="eastAsia" w:cs="Times New Roman"/>
                <w:sz w:val="21"/>
                <w:szCs w:val="21"/>
                <w:u w:val="none" w:color="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2" w:hRule="exact"/>
        </w:trPr>
        <w:tc>
          <w:tcPr>
            <w:tcW w:w="1094" w:type="dxa"/>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71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评价范围</w:t>
            </w:r>
          </w:p>
        </w:tc>
        <w:tc>
          <w:tcPr>
            <w:tcW w:w="2897" w:type="dxa"/>
            <w:gridSpan w:val="4"/>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边长</w:t>
            </w:r>
            <w:r>
              <w:rPr>
                <w:rStyle w:val="118"/>
                <w:rFonts w:hint="default" w:ascii="Times New Roman" w:hAnsi="Times New Roman" w:eastAsia="宋体" w:cs="Times New Roman"/>
                <w:sz w:val="21"/>
                <w:szCs w:val="21"/>
                <w:u w:val="none" w:color="auto"/>
                <w:lang w:val="en-US" w:eastAsia="zh-CN" w:bidi="ar"/>
              </w:rPr>
              <w:t>=50km</w:t>
            </w:r>
            <w:r>
              <w:rPr>
                <w:rStyle w:val="108"/>
                <w:rFonts w:hint="default" w:ascii="Times New Roman" w:hAnsi="Times New Roman" w:cs="Times New Roman"/>
                <w:sz w:val="21"/>
                <w:szCs w:val="21"/>
                <w:u w:val="none" w:color="auto"/>
                <w:lang w:val="en-US" w:eastAsia="zh-CN" w:bidi="ar"/>
              </w:rPr>
              <w:t>□</w:t>
            </w:r>
          </w:p>
        </w:tc>
        <w:tc>
          <w:tcPr>
            <w:tcW w:w="2452"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边长</w:t>
            </w:r>
            <w:r>
              <w:rPr>
                <w:rStyle w:val="118"/>
                <w:rFonts w:hint="default" w:ascii="Times New Roman" w:hAnsi="Times New Roman" w:eastAsia="宋体" w:cs="Times New Roman"/>
                <w:sz w:val="21"/>
                <w:szCs w:val="21"/>
                <w:u w:val="none" w:color="auto"/>
                <w:lang w:val="en-US" w:eastAsia="zh-CN" w:bidi="ar"/>
              </w:rPr>
              <w:t>=5~50km</w:t>
            </w:r>
            <w:r>
              <w:rPr>
                <w:rStyle w:val="108"/>
                <w:rFonts w:hint="default" w:ascii="Times New Roman" w:hAnsi="Times New Roman" w:cs="Times New Roman"/>
                <w:sz w:val="21"/>
                <w:szCs w:val="21"/>
                <w:u w:val="none" w:color="auto"/>
                <w:lang w:val="en-US" w:eastAsia="zh-CN" w:bidi="ar"/>
              </w:rPr>
              <w:t>□</w:t>
            </w:r>
          </w:p>
        </w:tc>
        <w:tc>
          <w:tcPr>
            <w:tcW w:w="1695"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边长</w:t>
            </w:r>
            <w:r>
              <w:rPr>
                <w:rStyle w:val="118"/>
                <w:rFonts w:hint="default" w:ascii="Times New Roman" w:hAnsi="Times New Roman" w:eastAsia="宋体" w:cs="Times New Roman"/>
                <w:sz w:val="21"/>
                <w:szCs w:val="21"/>
                <w:u w:val="none" w:color="auto"/>
                <w:lang w:val="en-US" w:eastAsia="zh-CN" w:bidi="ar"/>
              </w:rPr>
              <w:t>=5km</w:t>
            </w:r>
            <w:r>
              <w:rPr>
                <w:rStyle w:val="108"/>
                <w:rFonts w:hint="default" w:ascii="Times New Roman" w:hAnsi="Times New Roman" w:cs="Times New Roman"/>
                <w:sz w:val="21"/>
                <w:szCs w:val="21"/>
                <w:u w:val="none" w:color="auto"/>
                <w:lang w:val="en-US" w:eastAsia="zh-CN" w:bidi="ar"/>
              </w:rPr>
              <w:sym w:font="Wingdings 2" w:char="00A3"/>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7" w:hRule="exact"/>
        </w:trPr>
        <w:tc>
          <w:tcPr>
            <w:tcW w:w="1094" w:type="dxa"/>
            <w:vMerge w:val="restart"/>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评价因子</w:t>
            </w:r>
          </w:p>
        </w:tc>
        <w:tc>
          <w:tcPr>
            <w:tcW w:w="171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SO</w:t>
            </w:r>
            <w:r>
              <w:rPr>
                <w:rStyle w:val="103"/>
                <w:rFonts w:hint="default" w:ascii="Times New Roman" w:hAnsi="Times New Roman" w:eastAsia="宋体" w:cs="Times New Roman"/>
                <w:sz w:val="21"/>
                <w:szCs w:val="21"/>
                <w:u w:val="none" w:color="auto"/>
                <w:lang w:val="en-US" w:eastAsia="zh-CN" w:bidi="ar"/>
              </w:rPr>
              <w:t>2</w:t>
            </w:r>
            <w:r>
              <w:rPr>
                <w:rStyle w:val="118"/>
                <w:rFonts w:hint="default" w:ascii="Times New Roman" w:hAnsi="Times New Roman" w:eastAsia="宋体" w:cs="Times New Roman"/>
                <w:sz w:val="21"/>
                <w:szCs w:val="21"/>
                <w:u w:val="none" w:color="auto"/>
                <w:lang w:val="en-US" w:eastAsia="zh-CN" w:bidi="ar"/>
              </w:rPr>
              <w:t>+NOx</w:t>
            </w:r>
            <w:r>
              <w:rPr>
                <w:rStyle w:val="108"/>
                <w:rFonts w:hint="default" w:ascii="Times New Roman" w:hAnsi="Times New Roman" w:cs="Times New Roman"/>
                <w:sz w:val="21"/>
                <w:szCs w:val="21"/>
                <w:u w:val="none" w:color="auto"/>
                <w:lang w:val="en-US" w:eastAsia="zh-CN" w:bidi="ar"/>
              </w:rPr>
              <w:t>排放量</w:t>
            </w:r>
          </w:p>
        </w:tc>
        <w:tc>
          <w:tcPr>
            <w:tcW w:w="1712"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w:t>
            </w:r>
            <w:r>
              <w:rPr>
                <w:rStyle w:val="118"/>
                <w:rFonts w:hint="default" w:ascii="Times New Roman" w:hAnsi="Times New Roman" w:eastAsia="宋体" w:cs="Times New Roman"/>
                <w:sz w:val="21"/>
                <w:szCs w:val="21"/>
                <w:u w:val="none" w:color="auto"/>
                <w:lang w:val="en-US" w:eastAsia="zh-CN" w:bidi="ar"/>
              </w:rPr>
              <w:t>2000t/a</w:t>
            </w:r>
            <w:r>
              <w:rPr>
                <w:rStyle w:val="108"/>
                <w:rFonts w:hint="default" w:ascii="Times New Roman" w:hAnsi="Times New Roman" w:cs="Times New Roman"/>
                <w:sz w:val="21"/>
                <w:szCs w:val="21"/>
                <w:u w:val="none" w:color="auto"/>
                <w:lang w:val="en-US" w:eastAsia="zh-CN" w:bidi="ar"/>
              </w:rPr>
              <w:t>□</w:t>
            </w:r>
          </w:p>
        </w:tc>
        <w:tc>
          <w:tcPr>
            <w:tcW w:w="2220" w:type="dxa"/>
            <w:gridSpan w:val="4"/>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500~2000t/a</w:t>
            </w:r>
            <w:r>
              <w:rPr>
                <w:rStyle w:val="108"/>
                <w:rFonts w:hint="default" w:ascii="Times New Roman" w:hAnsi="Times New Roman" w:cs="Times New Roman"/>
                <w:sz w:val="21"/>
                <w:szCs w:val="21"/>
                <w:u w:val="none" w:color="auto"/>
                <w:lang w:val="en-US" w:eastAsia="zh-CN" w:bidi="ar"/>
              </w:rPr>
              <w:t>□</w:t>
            </w:r>
          </w:p>
        </w:tc>
        <w:tc>
          <w:tcPr>
            <w:tcW w:w="3112" w:type="dxa"/>
            <w:gridSpan w:val="4"/>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&lt;500t/a</w:t>
            </w:r>
            <w:r>
              <w:rPr>
                <w:rFonts w:hint="default" w:ascii="Times New Roman" w:hAnsi="Times New Roman" w:eastAsia="宋体" w:cs="Times New Roman"/>
                <w:i w:val="0"/>
                <w:color w:val="000000"/>
                <w:kern w:val="0"/>
                <w:sz w:val="21"/>
                <w:szCs w:val="21"/>
                <w:u w:val="none" w:color="auto"/>
                <w:lang w:val="en-US" w:eastAsia="zh-CN" w:bidi="ar"/>
              </w:rPr>
              <w:sym w:font="Wingdings 2" w:char="00A3"/>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2" w:hRule="exact"/>
        </w:trPr>
        <w:tc>
          <w:tcPr>
            <w:tcW w:w="1094" w:type="dxa"/>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717" w:type="dxa"/>
            <w:vMerge w:val="restart"/>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评价因子</w:t>
            </w:r>
          </w:p>
        </w:tc>
        <w:tc>
          <w:tcPr>
            <w:tcW w:w="3932" w:type="dxa"/>
            <w:gridSpan w:val="6"/>
            <w:tcBorders>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基本污染物（</w:t>
            </w:r>
            <w:r>
              <w:rPr>
                <w:rStyle w:val="118"/>
                <w:rFonts w:hint="default" w:ascii="Times New Roman" w:hAnsi="Times New Roman" w:eastAsia="宋体" w:cs="Times New Roman"/>
                <w:sz w:val="21"/>
                <w:szCs w:val="21"/>
                <w:u w:val="none" w:color="auto"/>
                <w:lang w:val="en-US" w:eastAsia="zh-CN" w:bidi="ar"/>
              </w:rPr>
              <w:t>SO</w:t>
            </w:r>
            <w:r>
              <w:rPr>
                <w:rStyle w:val="103"/>
                <w:rFonts w:hint="default" w:ascii="Times New Roman" w:hAnsi="Times New Roman" w:eastAsia="宋体" w:cs="Times New Roman"/>
                <w:sz w:val="21"/>
                <w:szCs w:val="21"/>
                <w:u w:val="none" w:color="auto"/>
                <w:lang w:val="en-US" w:eastAsia="zh-CN" w:bidi="ar"/>
              </w:rPr>
              <w:t>2</w:t>
            </w:r>
            <w:r>
              <w:rPr>
                <w:rStyle w:val="108"/>
                <w:rFonts w:hint="default" w:ascii="Times New Roman" w:hAnsi="Times New Roman" w:cs="Times New Roman"/>
                <w:sz w:val="21"/>
                <w:szCs w:val="21"/>
                <w:u w:val="none" w:color="auto"/>
                <w:lang w:val="en-US" w:eastAsia="zh-CN" w:bidi="ar"/>
              </w:rPr>
              <w:t>、</w:t>
            </w:r>
            <w:r>
              <w:rPr>
                <w:rStyle w:val="118"/>
                <w:rFonts w:hint="default" w:ascii="Times New Roman" w:hAnsi="Times New Roman" w:eastAsia="宋体" w:cs="Times New Roman"/>
                <w:sz w:val="21"/>
                <w:szCs w:val="21"/>
                <w:u w:val="none" w:color="auto"/>
                <w:lang w:val="en-US" w:eastAsia="zh-CN" w:bidi="ar"/>
              </w:rPr>
              <w:t>NO</w:t>
            </w:r>
            <w:r>
              <w:rPr>
                <w:rStyle w:val="103"/>
                <w:rFonts w:hint="default" w:ascii="Times New Roman" w:hAnsi="Times New Roman" w:eastAsia="宋体" w:cs="Times New Roman"/>
                <w:sz w:val="21"/>
                <w:szCs w:val="21"/>
                <w:u w:val="none" w:color="auto"/>
                <w:lang w:val="en-US" w:eastAsia="zh-CN" w:bidi="ar"/>
              </w:rPr>
              <w:t>2</w:t>
            </w:r>
            <w:r>
              <w:rPr>
                <w:rStyle w:val="108"/>
                <w:rFonts w:hint="default" w:ascii="Times New Roman" w:hAnsi="Times New Roman" w:cs="Times New Roman"/>
                <w:sz w:val="21"/>
                <w:szCs w:val="21"/>
                <w:u w:val="none" w:color="auto"/>
                <w:lang w:val="en-US" w:eastAsia="zh-CN" w:bidi="ar"/>
              </w:rPr>
              <w:t>、</w:t>
            </w:r>
            <w:r>
              <w:rPr>
                <w:rStyle w:val="118"/>
                <w:rFonts w:hint="default" w:ascii="Times New Roman" w:hAnsi="Times New Roman" w:eastAsia="宋体" w:cs="Times New Roman"/>
                <w:sz w:val="21"/>
                <w:szCs w:val="21"/>
                <w:u w:val="none" w:color="auto"/>
                <w:lang w:val="en-US" w:eastAsia="zh-CN" w:bidi="ar"/>
              </w:rPr>
              <w:t>PM</w:t>
            </w:r>
            <w:r>
              <w:rPr>
                <w:rStyle w:val="103"/>
                <w:rFonts w:hint="default" w:ascii="Times New Roman" w:hAnsi="Times New Roman" w:eastAsia="宋体" w:cs="Times New Roman"/>
                <w:sz w:val="21"/>
                <w:szCs w:val="21"/>
                <w:u w:val="none" w:color="auto"/>
                <w:vertAlign w:val="subscript"/>
                <w:lang w:val="en-US" w:eastAsia="zh-CN" w:bidi="ar"/>
              </w:rPr>
              <w:t>10</w:t>
            </w:r>
            <w:r>
              <w:rPr>
                <w:rStyle w:val="108"/>
                <w:rFonts w:hint="default" w:ascii="Times New Roman" w:hAnsi="Times New Roman" w:cs="Times New Roman"/>
                <w:sz w:val="21"/>
                <w:szCs w:val="21"/>
                <w:u w:val="none" w:color="auto"/>
                <w:lang w:val="en-US" w:eastAsia="zh-CN" w:bidi="ar"/>
              </w:rPr>
              <w:t>、</w:t>
            </w:r>
            <w:r>
              <w:rPr>
                <w:rStyle w:val="118"/>
                <w:rFonts w:hint="default" w:ascii="Times New Roman" w:hAnsi="Times New Roman" w:eastAsia="宋体" w:cs="Times New Roman"/>
                <w:sz w:val="21"/>
                <w:szCs w:val="21"/>
                <w:u w:val="none" w:color="auto"/>
                <w:lang w:val="en-US" w:eastAsia="zh-CN" w:bidi="ar"/>
              </w:rPr>
              <w:t xml:space="preserve"> PM</w:t>
            </w:r>
            <w:r>
              <w:rPr>
                <w:rStyle w:val="103"/>
                <w:rFonts w:hint="default" w:ascii="Times New Roman" w:hAnsi="Times New Roman" w:eastAsia="宋体" w:cs="Times New Roman"/>
                <w:sz w:val="21"/>
                <w:szCs w:val="21"/>
                <w:u w:val="none" w:color="auto"/>
                <w:vertAlign w:val="subscript"/>
                <w:lang w:val="en-US" w:eastAsia="zh-CN" w:bidi="ar"/>
              </w:rPr>
              <w:t>2.5</w:t>
            </w:r>
            <w:r>
              <w:rPr>
                <w:rStyle w:val="108"/>
                <w:rFonts w:hint="default" w:ascii="Times New Roman" w:hAnsi="Times New Roman" w:cs="Times New Roman"/>
                <w:sz w:val="21"/>
                <w:szCs w:val="21"/>
                <w:u w:val="none" w:color="auto"/>
                <w:lang w:val="en-US" w:eastAsia="zh-CN" w:bidi="ar"/>
              </w:rPr>
              <w:t>、</w:t>
            </w:r>
            <w:r>
              <w:rPr>
                <w:rStyle w:val="118"/>
                <w:rFonts w:hint="default" w:ascii="Times New Roman" w:hAnsi="Times New Roman" w:eastAsia="宋体" w:cs="Times New Roman"/>
                <w:sz w:val="21"/>
                <w:szCs w:val="21"/>
                <w:u w:val="none" w:color="auto"/>
                <w:lang w:val="en-US" w:eastAsia="zh-CN" w:bidi="ar"/>
              </w:rPr>
              <w:t>CO</w:t>
            </w:r>
            <w:r>
              <w:rPr>
                <w:rStyle w:val="108"/>
                <w:rFonts w:hint="default" w:ascii="Times New Roman" w:hAnsi="Times New Roman" w:cs="Times New Roman"/>
                <w:sz w:val="21"/>
                <w:szCs w:val="21"/>
                <w:u w:val="none" w:color="auto"/>
                <w:lang w:val="en-US" w:eastAsia="zh-CN" w:bidi="ar"/>
              </w:rPr>
              <w:t>、</w:t>
            </w:r>
            <w:r>
              <w:rPr>
                <w:rStyle w:val="118"/>
                <w:rFonts w:hint="default" w:ascii="Times New Roman" w:hAnsi="Times New Roman" w:eastAsia="宋体" w:cs="Times New Roman"/>
                <w:sz w:val="21"/>
                <w:szCs w:val="21"/>
                <w:u w:val="none" w:color="auto"/>
                <w:lang w:val="en-US" w:eastAsia="zh-CN" w:bidi="ar"/>
              </w:rPr>
              <w:t xml:space="preserve"> O</w:t>
            </w:r>
            <w:r>
              <w:rPr>
                <w:rStyle w:val="103"/>
                <w:rFonts w:hint="default" w:ascii="Times New Roman" w:hAnsi="Times New Roman" w:eastAsia="宋体" w:cs="Times New Roman"/>
                <w:sz w:val="21"/>
                <w:szCs w:val="21"/>
                <w:u w:val="none" w:color="auto"/>
                <w:lang w:val="en-US" w:eastAsia="zh-CN" w:bidi="ar"/>
              </w:rPr>
              <w:t>3</w:t>
            </w:r>
            <w:r>
              <w:rPr>
                <w:rStyle w:val="108"/>
                <w:rFonts w:hint="default" w:ascii="Times New Roman" w:hAnsi="Times New Roman" w:cs="Times New Roman"/>
                <w:sz w:val="21"/>
                <w:szCs w:val="21"/>
                <w:u w:val="none" w:color="auto"/>
                <w:lang w:val="en-US" w:eastAsia="zh-CN" w:bidi="ar"/>
              </w:rPr>
              <w:t>）</w:t>
            </w:r>
          </w:p>
        </w:tc>
        <w:tc>
          <w:tcPr>
            <w:tcW w:w="3112" w:type="dxa"/>
            <w:gridSpan w:val="4"/>
            <w:tcBorders>
              <w:right w:val="single" w:color="000000" w:sz="12"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包括二次</w:t>
            </w:r>
            <w:r>
              <w:rPr>
                <w:rStyle w:val="118"/>
                <w:rFonts w:hint="default" w:ascii="Times New Roman" w:hAnsi="Times New Roman" w:eastAsia="宋体" w:cs="Times New Roman"/>
                <w:sz w:val="21"/>
                <w:szCs w:val="21"/>
                <w:u w:val="none" w:color="auto"/>
                <w:lang w:val="en-US" w:eastAsia="zh-CN" w:bidi="ar"/>
              </w:rPr>
              <w:t>PM</w:t>
            </w:r>
            <w:r>
              <w:rPr>
                <w:rStyle w:val="103"/>
                <w:rFonts w:hint="default" w:ascii="Times New Roman" w:hAnsi="Times New Roman" w:eastAsia="宋体" w:cs="Times New Roman"/>
                <w:sz w:val="21"/>
                <w:szCs w:val="21"/>
                <w:u w:val="none" w:color="auto"/>
                <w:vertAlign w:val="subscript"/>
                <w:lang w:val="en-US" w:eastAsia="zh-CN" w:bidi="ar"/>
              </w:rPr>
              <w:t>2.5</w:t>
            </w:r>
            <w:r>
              <w:rPr>
                <w:rStyle w:val="108"/>
                <w:rFonts w:hint="default" w:ascii="Times New Roman" w:hAnsi="Times New Roman" w:cs="Times New Roman"/>
                <w:sz w:val="21"/>
                <w:szCs w:val="21"/>
                <w:u w:val="none" w:color="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exact"/>
        </w:trPr>
        <w:tc>
          <w:tcPr>
            <w:tcW w:w="1094" w:type="dxa"/>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717" w:type="dxa"/>
            <w:vMerge w:val="continue"/>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3932" w:type="dxa"/>
            <w:gridSpan w:val="6"/>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其他污染物（</w:t>
            </w:r>
            <w:r>
              <w:rPr>
                <w:rStyle w:val="108"/>
                <w:rFonts w:hint="eastAsia" w:cs="Times New Roman"/>
                <w:sz w:val="21"/>
                <w:szCs w:val="21"/>
                <w:u w:val="none" w:color="auto"/>
                <w:lang w:val="en-US" w:eastAsia="zh-CN" w:bidi="ar"/>
              </w:rPr>
              <w:t xml:space="preserve">  </w:t>
            </w:r>
            <w:r>
              <w:rPr>
                <w:rStyle w:val="108"/>
                <w:rFonts w:hint="default" w:ascii="Times New Roman" w:hAnsi="Times New Roman" w:cs="Times New Roman"/>
                <w:sz w:val="21"/>
                <w:szCs w:val="21"/>
                <w:u w:val="none" w:color="auto"/>
                <w:lang w:val="en-US" w:eastAsia="zh-CN" w:bidi="ar"/>
              </w:rPr>
              <w:t>）</w:t>
            </w:r>
          </w:p>
        </w:tc>
        <w:tc>
          <w:tcPr>
            <w:tcW w:w="3112" w:type="dxa"/>
            <w:gridSpan w:val="4"/>
            <w:tcBorders>
              <w:bottom w:val="single" w:color="000000" w:sz="12" w:space="0"/>
              <w:right w:val="single" w:color="000000" w:sz="12"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不包括二次</w:t>
            </w:r>
            <w:r>
              <w:rPr>
                <w:rStyle w:val="118"/>
                <w:rFonts w:hint="default" w:ascii="Times New Roman" w:hAnsi="Times New Roman" w:eastAsia="宋体" w:cs="Times New Roman"/>
                <w:sz w:val="21"/>
                <w:szCs w:val="21"/>
                <w:u w:val="none" w:color="auto"/>
                <w:lang w:val="en-US" w:eastAsia="zh-CN" w:bidi="ar"/>
              </w:rPr>
              <w:t>PM</w:t>
            </w:r>
            <w:r>
              <w:rPr>
                <w:rStyle w:val="103"/>
                <w:rFonts w:hint="default" w:ascii="Times New Roman" w:hAnsi="Times New Roman" w:eastAsia="宋体" w:cs="Times New Roman"/>
                <w:sz w:val="21"/>
                <w:szCs w:val="21"/>
                <w:u w:val="none" w:color="auto"/>
                <w:vertAlign w:val="subscript"/>
                <w:lang w:val="en-US" w:eastAsia="zh-CN" w:bidi="ar"/>
              </w:rPr>
              <w:t>2.5</w:t>
            </w:r>
            <w:r>
              <w:rPr>
                <w:rFonts w:hint="default" w:ascii="Times New Roman" w:hAnsi="Times New Roman" w:eastAsia="宋体" w:cs="Times New Roman"/>
                <w:i w:val="0"/>
                <w:color w:val="000000"/>
                <w:kern w:val="0"/>
                <w:sz w:val="21"/>
                <w:szCs w:val="21"/>
                <w:u w:val="none" w:color="auto"/>
                <w:lang w:val="en-US" w:eastAsia="zh-CN" w:bidi="ar"/>
              </w:rPr>
              <w:sym w:font="Wingdings 2" w:char="00A3"/>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7" w:hRule="exact"/>
        </w:trPr>
        <w:tc>
          <w:tcPr>
            <w:tcW w:w="1094"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评价标准</w:t>
            </w:r>
          </w:p>
        </w:tc>
        <w:tc>
          <w:tcPr>
            <w:tcW w:w="171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评价标准</w:t>
            </w:r>
          </w:p>
        </w:tc>
        <w:tc>
          <w:tcPr>
            <w:tcW w:w="1976"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国家标准</w:t>
            </w:r>
            <w:r>
              <w:rPr>
                <w:rStyle w:val="108"/>
                <w:rFonts w:hint="default" w:ascii="Times New Roman" w:hAnsi="Times New Roman" w:cs="Times New Roman"/>
                <w:sz w:val="21"/>
                <w:szCs w:val="21"/>
                <w:u w:val="none" w:color="auto"/>
                <w:lang w:val="en-US" w:eastAsia="zh-CN" w:bidi="ar"/>
              </w:rPr>
              <w:sym w:font="Wingdings 2" w:char="0052"/>
            </w:r>
          </w:p>
        </w:tc>
        <w:tc>
          <w:tcPr>
            <w:tcW w:w="1956"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地方标准□</w:t>
            </w:r>
          </w:p>
        </w:tc>
        <w:tc>
          <w:tcPr>
            <w:tcW w:w="141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附录</w:t>
            </w:r>
            <w:r>
              <w:rPr>
                <w:rStyle w:val="118"/>
                <w:rFonts w:hint="default" w:ascii="Times New Roman" w:hAnsi="Times New Roman" w:eastAsia="宋体" w:cs="Times New Roman"/>
                <w:sz w:val="21"/>
                <w:szCs w:val="21"/>
                <w:u w:val="none" w:color="auto"/>
                <w:lang w:val="en-US" w:eastAsia="zh-CN" w:bidi="ar"/>
              </w:rPr>
              <w:t>D</w:t>
            </w:r>
            <w:r>
              <w:rPr>
                <w:rStyle w:val="68"/>
                <w:rFonts w:hint="default" w:ascii="Times New Roman" w:hAnsi="Times New Roman" w:cs="Times New Roman"/>
                <w:sz w:val="21"/>
                <w:szCs w:val="21"/>
                <w:u w:val="none" w:color="auto"/>
                <w:lang w:val="en-US" w:eastAsia="zh-CN" w:bidi="ar"/>
              </w:rPr>
              <w:t>R</w:t>
            </w:r>
          </w:p>
        </w:tc>
        <w:tc>
          <w:tcPr>
            <w:tcW w:w="1695"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其他标准□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7" w:hRule="exact"/>
        </w:trPr>
        <w:tc>
          <w:tcPr>
            <w:tcW w:w="1094" w:type="dxa"/>
            <w:vMerge w:val="restart"/>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现状评价</w:t>
            </w:r>
          </w:p>
        </w:tc>
        <w:tc>
          <w:tcPr>
            <w:tcW w:w="171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评价功能区</w:t>
            </w:r>
          </w:p>
        </w:tc>
        <w:tc>
          <w:tcPr>
            <w:tcW w:w="2897" w:type="dxa"/>
            <w:gridSpan w:val="4"/>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一类区□</w:t>
            </w:r>
          </w:p>
        </w:tc>
        <w:tc>
          <w:tcPr>
            <w:tcW w:w="2452"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二类区</w:t>
            </w:r>
            <w:r>
              <w:rPr>
                <w:rFonts w:hint="default" w:ascii="Times New Roman" w:hAnsi="Times New Roman" w:eastAsia="宋体" w:cs="Times New Roman"/>
                <w:i w:val="0"/>
                <w:color w:val="000000"/>
                <w:kern w:val="0"/>
                <w:sz w:val="21"/>
                <w:szCs w:val="21"/>
                <w:u w:val="none" w:color="auto"/>
                <w:lang w:val="en-US" w:eastAsia="zh-CN" w:bidi="ar"/>
              </w:rPr>
              <w:t>☑</w:t>
            </w:r>
          </w:p>
        </w:tc>
        <w:tc>
          <w:tcPr>
            <w:tcW w:w="1695"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一类区和二类区□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2" w:hRule="exact"/>
        </w:trPr>
        <w:tc>
          <w:tcPr>
            <w:tcW w:w="1094" w:type="dxa"/>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71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评价基准年</w:t>
            </w:r>
          </w:p>
        </w:tc>
        <w:tc>
          <w:tcPr>
            <w:tcW w:w="7044" w:type="dxa"/>
            <w:gridSpan w:val="10"/>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（2018、</w:t>
            </w:r>
            <w:r>
              <w:rPr>
                <w:rStyle w:val="118"/>
                <w:rFonts w:hint="default" w:ascii="Times New Roman" w:hAnsi="Times New Roman" w:eastAsia="宋体" w:cs="Times New Roman"/>
                <w:sz w:val="21"/>
                <w:szCs w:val="21"/>
                <w:u w:val="none" w:color="auto"/>
                <w:lang w:val="en-US" w:eastAsia="zh-CN" w:bidi="ar"/>
              </w:rPr>
              <w:t>201</w:t>
            </w:r>
            <w:r>
              <w:rPr>
                <w:rStyle w:val="118"/>
                <w:rFonts w:hint="default" w:ascii="Times New Roman" w:hAnsi="Times New Roman" w:cs="Times New Roman"/>
                <w:sz w:val="21"/>
                <w:szCs w:val="21"/>
                <w:u w:val="none" w:color="auto"/>
                <w:lang w:val="en-US" w:eastAsia="zh-CN" w:bidi="ar"/>
              </w:rPr>
              <w:t>9</w:t>
            </w:r>
            <w:r>
              <w:rPr>
                <w:rStyle w:val="108"/>
                <w:rFonts w:hint="default" w:ascii="Times New Roman" w:hAnsi="Times New Roman" w:cs="Times New Roman"/>
                <w:sz w:val="21"/>
                <w:szCs w:val="21"/>
                <w:u w:val="none" w:color="auto"/>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52" w:hRule="exact"/>
        </w:trPr>
        <w:tc>
          <w:tcPr>
            <w:tcW w:w="1094" w:type="dxa"/>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71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环境空气质量现状调查数据来源</w:t>
            </w:r>
          </w:p>
        </w:tc>
        <w:tc>
          <w:tcPr>
            <w:tcW w:w="2897" w:type="dxa"/>
            <w:gridSpan w:val="4"/>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长期例行监测数据□</w:t>
            </w:r>
          </w:p>
        </w:tc>
        <w:tc>
          <w:tcPr>
            <w:tcW w:w="2452"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主管部门发布的数据</w:t>
            </w:r>
            <w:r>
              <w:rPr>
                <w:rFonts w:hint="default" w:ascii="Times New Roman" w:hAnsi="Times New Roman" w:eastAsia="宋体" w:cs="Times New Roman"/>
                <w:i w:val="0"/>
                <w:color w:val="000000"/>
                <w:kern w:val="0"/>
                <w:sz w:val="21"/>
                <w:szCs w:val="21"/>
                <w:u w:val="none" w:color="auto"/>
                <w:lang w:val="en-US" w:eastAsia="zh-CN" w:bidi="ar"/>
              </w:rPr>
              <w:t>☑</w:t>
            </w:r>
          </w:p>
        </w:tc>
        <w:tc>
          <w:tcPr>
            <w:tcW w:w="1695"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现状补充检测</w:t>
            </w:r>
            <w:r>
              <w:rPr>
                <w:rFonts w:hint="default" w:ascii="Times New Roman" w:hAnsi="Times New Roman" w:eastAsia="宋体" w:cs="Times New Roman"/>
                <w:i w:val="0"/>
                <w:color w:val="000000"/>
                <w:kern w:val="0"/>
                <w:sz w:val="21"/>
                <w:szCs w:val="21"/>
                <w:u w:val="none" w:color="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7" w:hRule="exact"/>
        </w:trPr>
        <w:tc>
          <w:tcPr>
            <w:tcW w:w="1094" w:type="dxa"/>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71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现状评价</w:t>
            </w:r>
          </w:p>
        </w:tc>
        <w:tc>
          <w:tcPr>
            <w:tcW w:w="3932" w:type="dxa"/>
            <w:gridSpan w:val="6"/>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达标区□</w:t>
            </w:r>
          </w:p>
        </w:tc>
        <w:tc>
          <w:tcPr>
            <w:tcW w:w="3112" w:type="dxa"/>
            <w:gridSpan w:val="4"/>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不达标区</w:t>
            </w:r>
            <w:r>
              <w:rPr>
                <w:rFonts w:hint="eastAsia" w:cs="Times New Roman"/>
                <w:i w:val="0"/>
                <w:color w:val="000000"/>
                <w:kern w:val="0"/>
                <w:sz w:val="21"/>
                <w:szCs w:val="21"/>
                <w:u w:val="none" w:color="auto"/>
                <w:lang w:val="en-US" w:eastAsia="zh-CN" w:bidi="ar"/>
              </w:rPr>
              <w:sym w:font="Wingdings 2" w:char="0052"/>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exact"/>
        </w:trPr>
        <w:tc>
          <w:tcPr>
            <w:tcW w:w="1094" w:type="dxa"/>
            <w:vMerge w:val="restart"/>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污染源调查</w:t>
            </w:r>
          </w:p>
        </w:tc>
        <w:tc>
          <w:tcPr>
            <w:tcW w:w="1717" w:type="dxa"/>
            <w:vMerge w:val="restart"/>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调查内容</w:t>
            </w:r>
          </w:p>
        </w:tc>
        <w:tc>
          <w:tcPr>
            <w:tcW w:w="1976" w:type="dxa"/>
            <w:gridSpan w:val="3"/>
            <w:tcBorders>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本项目正常排放源</w:t>
            </w:r>
            <w:r>
              <w:rPr>
                <w:rFonts w:hint="default" w:ascii="Times New Roman" w:hAnsi="Times New Roman" w:eastAsia="宋体" w:cs="Times New Roman"/>
                <w:i w:val="0"/>
                <w:color w:val="000000"/>
                <w:kern w:val="0"/>
                <w:sz w:val="21"/>
                <w:szCs w:val="21"/>
                <w:u w:val="none" w:color="auto"/>
                <w:lang w:val="en-US" w:eastAsia="zh-CN" w:bidi="ar"/>
              </w:rPr>
              <w:sym w:font="Wingdings 2" w:char="00A3"/>
            </w:r>
          </w:p>
        </w:tc>
        <w:tc>
          <w:tcPr>
            <w:tcW w:w="1956" w:type="dxa"/>
            <w:gridSpan w:val="3"/>
            <w:vMerge w:val="restart"/>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拟替代的污染源□</w:t>
            </w:r>
          </w:p>
        </w:tc>
        <w:tc>
          <w:tcPr>
            <w:tcW w:w="1417" w:type="dxa"/>
            <w:vMerge w:val="restart"/>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其他在建、拟建项目污染源</w:t>
            </w:r>
            <w:r>
              <w:rPr>
                <w:rFonts w:hint="default" w:ascii="Times New Roman" w:hAnsi="Times New Roman" w:cs="Times New Roman"/>
                <w:i w:val="0"/>
                <w:color w:val="000000"/>
                <w:kern w:val="0"/>
                <w:sz w:val="21"/>
                <w:szCs w:val="21"/>
                <w:u w:val="none" w:color="auto"/>
                <w:lang w:val="en-US" w:eastAsia="zh-CN" w:bidi="ar"/>
              </w:rPr>
              <w:t>□</w:t>
            </w:r>
          </w:p>
        </w:tc>
        <w:tc>
          <w:tcPr>
            <w:tcW w:w="1695" w:type="dxa"/>
            <w:gridSpan w:val="3"/>
            <w:vMerge w:val="restart"/>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区域污染源□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094" w:type="dxa"/>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717" w:type="dxa"/>
            <w:vMerge w:val="continue"/>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976" w:type="dxa"/>
            <w:gridSpan w:val="3"/>
            <w:tcBorders>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本项目非正常排放源□</w:t>
            </w:r>
          </w:p>
        </w:tc>
        <w:tc>
          <w:tcPr>
            <w:tcW w:w="1956" w:type="dxa"/>
            <w:gridSpan w:val="3"/>
            <w:vMerge w:val="continue"/>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417" w:type="dxa"/>
            <w:vMerge w:val="continue"/>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695" w:type="dxa"/>
            <w:gridSpan w:val="3"/>
            <w:vMerge w:val="continue"/>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2" w:hRule="exact"/>
        </w:trPr>
        <w:tc>
          <w:tcPr>
            <w:tcW w:w="1094" w:type="dxa"/>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717" w:type="dxa"/>
            <w:vMerge w:val="continue"/>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976"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现有污染源□</w:t>
            </w:r>
          </w:p>
        </w:tc>
        <w:tc>
          <w:tcPr>
            <w:tcW w:w="1956" w:type="dxa"/>
            <w:gridSpan w:val="3"/>
            <w:vMerge w:val="continue"/>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417" w:type="dxa"/>
            <w:vMerge w:val="continue"/>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695" w:type="dxa"/>
            <w:gridSpan w:val="3"/>
            <w:vMerge w:val="continue"/>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12" w:hRule="exact"/>
        </w:trPr>
        <w:tc>
          <w:tcPr>
            <w:tcW w:w="1094" w:type="dxa"/>
            <w:vMerge w:val="restart"/>
            <w:tcBorders>
              <w:left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color="auto"/>
                <w:lang w:val="en-US" w:eastAsia="zh-CN" w:bidi="ar"/>
              </w:rPr>
            </w:pPr>
            <w:r>
              <w:rPr>
                <w:rFonts w:hint="default" w:ascii="Times New Roman" w:hAnsi="Times New Roman" w:eastAsia="宋体" w:cs="Times New Roman"/>
                <w:i w:val="0"/>
                <w:color w:val="000000"/>
                <w:kern w:val="0"/>
                <w:sz w:val="21"/>
                <w:szCs w:val="21"/>
                <w:u w:val="none" w:color="auto"/>
                <w:lang w:val="en-US" w:eastAsia="zh-CN" w:bidi="ar"/>
              </w:rPr>
              <w:t>大气环境影响预测与评价</w:t>
            </w:r>
          </w:p>
          <w:p>
            <w:pPr>
              <w:keepNext w:val="0"/>
              <w:keepLines w:val="0"/>
              <w:widowControl/>
              <w:suppressLineNumbers w:val="0"/>
              <w:jc w:val="both"/>
              <w:textAlignment w:val="bottom"/>
              <w:rPr>
                <w:rFonts w:hint="default" w:ascii="Times New Roman" w:hAnsi="Times New Roman" w:eastAsia="宋体" w:cs="Times New Roman"/>
                <w:i w:val="0"/>
                <w:color w:val="000000"/>
                <w:sz w:val="21"/>
                <w:szCs w:val="21"/>
                <w:u w:val="none" w:color="auto"/>
              </w:rPr>
            </w:pPr>
          </w:p>
        </w:tc>
        <w:tc>
          <w:tcPr>
            <w:tcW w:w="171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预测模型</w:t>
            </w:r>
          </w:p>
        </w:tc>
        <w:tc>
          <w:tcPr>
            <w:tcW w:w="79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AERMOD</w:t>
            </w:r>
            <w:r>
              <w:rPr>
                <w:rStyle w:val="108"/>
                <w:rFonts w:hint="default" w:ascii="Times New Roman" w:hAnsi="Times New Roman" w:cs="Times New Roman"/>
                <w:sz w:val="21"/>
                <w:szCs w:val="21"/>
                <w:u w:val="none" w:color="auto"/>
                <w:lang w:val="en-US" w:eastAsia="zh-CN" w:bidi="ar"/>
              </w:rPr>
              <w:sym w:font="Wingdings 2" w:char="00A3"/>
            </w:r>
          </w:p>
        </w:tc>
        <w:tc>
          <w:tcPr>
            <w:tcW w:w="9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ADMS</w:t>
            </w:r>
            <w:r>
              <w:rPr>
                <w:rStyle w:val="108"/>
                <w:rFonts w:hint="default" w:ascii="Times New Roman" w:hAnsi="Times New Roman" w:cs="Times New Roman"/>
                <w:sz w:val="21"/>
                <w:szCs w:val="21"/>
                <w:u w:val="none" w:color="auto"/>
                <w:lang w:val="en-US" w:eastAsia="zh-CN" w:bidi="ar"/>
              </w:rPr>
              <w:t>□</w:t>
            </w:r>
          </w:p>
        </w:tc>
        <w:tc>
          <w:tcPr>
            <w:tcW w:w="1185"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AUSTAL2000</w:t>
            </w:r>
            <w:r>
              <w:rPr>
                <w:rStyle w:val="108"/>
                <w:rFonts w:hint="default" w:ascii="Times New Roman" w:hAnsi="Times New Roman" w:cs="Times New Roman"/>
                <w:sz w:val="21"/>
                <w:szCs w:val="21"/>
                <w:u w:val="none" w:color="auto"/>
                <w:lang w:val="en-US" w:eastAsia="zh-CN" w:bidi="ar"/>
              </w:rPr>
              <w:t>□</w:t>
            </w:r>
          </w:p>
        </w:tc>
        <w:tc>
          <w:tcPr>
            <w:tcW w:w="1035"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EDMS/AEDT</w:t>
            </w:r>
            <w:r>
              <w:rPr>
                <w:rStyle w:val="108"/>
                <w:rFonts w:hint="default" w:ascii="Times New Roman" w:hAnsi="Times New Roman" w:cs="Times New Roman"/>
                <w:sz w:val="21"/>
                <w:szCs w:val="21"/>
                <w:u w:val="none" w:color="auto"/>
                <w:lang w:val="en-US" w:eastAsia="zh-CN" w:bidi="ar"/>
              </w:rPr>
              <w:t>□</w:t>
            </w:r>
          </w:p>
        </w:tc>
        <w:tc>
          <w:tcPr>
            <w:tcW w:w="141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CALPUFF</w:t>
            </w:r>
            <w:r>
              <w:rPr>
                <w:rStyle w:val="108"/>
                <w:rFonts w:hint="default" w:ascii="Times New Roman" w:hAnsi="Times New Roman" w:cs="Times New Roman"/>
                <w:sz w:val="21"/>
                <w:szCs w:val="21"/>
                <w:u w:val="none" w:color="auto"/>
                <w:lang w:val="en-US" w:eastAsia="zh-CN" w:bidi="ar"/>
              </w:rPr>
              <w:t>□</w:t>
            </w:r>
          </w:p>
        </w:tc>
        <w:tc>
          <w:tcPr>
            <w:tcW w:w="680"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网格模型□</w:t>
            </w:r>
          </w:p>
        </w:tc>
        <w:tc>
          <w:tcPr>
            <w:tcW w:w="10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7" w:hRule="exact"/>
        </w:trPr>
        <w:tc>
          <w:tcPr>
            <w:tcW w:w="1094" w:type="dxa"/>
            <w:vMerge w:val="continue"/>
            <w:tcBorders>
              <w:left w:val="single" w:color="000000" w:sz="12" w:space="0"/>
              <w:right w:val="single" w:color="000000" w:sz="12" w:space="0"/>
            </w:tcBorders>
            <w:shd w:val="clear" w:color="auto" w:fill="auto"/>
            <w:vAlign w:val="bottom"/>
          </w:tcPr>
          <w:p>
            <w:pPr>
              <w:keepNext w:val="0"/>
              <w:keepLines w:val="0"/>
              <w:widowControl/>
              <w:suppressLineNumbers w:val="0"/>
              <w:jc w:val="both"/>
              <w:textAlignment w:val="bottom"/>
              <w:rPr>
                <w:rFonts w:hint="default" w:ascii="Times New Roman" w:hAnsi="Times New Roman" w:eastAsia="宋体" w:cs="Times New Roman"/>
                <w:i w:val="0"/>
                <w:color w:val="000000"/>
                <w:sz w:val="21"/>
                <w:szCs w:val="21"/>
                <w:u w:val="none" w:color="auto"/>
              </w:rPr>
            </w:pPr>
          </w:p>
        </w:tc>
        <w:tc>
          <w:tcPr>
            <w:tcW w:w="171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预测范围</w:t>
            </w:r>
          </w:p>
        </w:tc>
        <w:tc>
          <w:tcPr>
            <w:tcW w:w="2897" w:type="dxa"/>
            <w:gridSpan w:val="4"/>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边长≥</w:t>
            </w:r>
            <w:r>
              <w:rPr>
                <w:rStyle w:val="118"/>
                <w:rFonts w:hint="default" w:ascii="Times New Roman" w:hAnsi="Times New Roman" w:eastAsia="宋体" w:cs="Times New Roman"/>
                <w:sz w:val="21"/>
                <w:szCs w:val="21"/>
                <w:u w:val="none" w:color="auto"/>
                <w:lang w:val="en-US" w:eastAsia="zh-CN" w:bidi="ar"/>
              </w:rPr>
              <w:t>50km</w:t>
            </w:r>
            <w:r>
              <w:rPr>
                <w:rStyle w:val="108"/>
                <w:rFonts w:hint="default" w:ascii="Times New Roman" w:hAnsi="Times New Roman" w:cs="Times New Roman"/>
                <w:sz w:val="21"/>
                <w:szCs w:val="21"/>
                <w:u w:val="none" w:color="auto"/>
                <w:lang w:val="en-US" w:eastAsia="zh-CN" w:bidi="ar"/>
              </w:rPr>
              <w:t>□</w:t>
            </w:r>
          </w:p>
        </w:tc>
        <w:tc>
          <w:tcPr>
            <w:tcW w:w="2452"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边长</w:t>
            </w:r>
            <w:r>
              <w:rPr>
                <w:rStyle w:val="118"/>
                <w:rFonts w:hint="default" w:ascii="Times New Roman" w:hAnsi="Times New Roman" w:eastAsia="宋体" w:cs="Times New Roman"/>
                <w:sz w:val="21"/>
                <w:szCs w:val="21"/>
                <w:u w:val="none" w:color="auto"/>
                <w:lang w:val="en-US" w:eastAsia="zh-CN" w:bidi="ar"/>
              </w:rPr>
              <w:t>5~50km</w:t>
            </w:r>
            <w:r>
              <w:rPr>
                <w:rStyle w:val="108"/>
                <w:rFonts w:hint="default" w:ascii="Times New Roman" w:hAnsi="Times New Roman" w:cs="Times New Roman"/>
                <w:sz w:val="21"/>
                <w:szCs w:val="21"/>
                <w:u w:val="none" w:color="auto"/>
                <w:lang w:val="en-US" w:eastAsia="zh-CN" w:bidi="ar"/>
              </w:rPr>
              <w:t>□</w:t>
            </w:r>
          </w:p>
        </w:tc>
        <w:tc>
          <w:tcPr>
            <w:tcW w:w="1695"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边长</w:t>
            </w:r>
            <w:r>
              <w:rPr>
                <w:rStyle w:val="118"/>
                <w:rFonts w:hint="default" w:ascii="Times New Roman" w:hAnsi="Times New Roman" w:eastAsia="宋体" w:cs="Times New Roman"/>
                <w:sz w:val="21"/>
                <w:szCs w:val="21"/>
                <w:u w:val="none" w:color="auto"/>
                <w:lang w:val="en-US" w:eastAsia="zh-CN" w:bidi="ar"/>
              </w:rPr>
              <w:t>=5km</w:t>
            </w:r>
            <w:r>
              <w:rPr>
                <w:rStyle w:val="108"/>
                <w:rFonts w:hint="eastAsia" w:ascii="Times New Roman" w:hAnsi="Times New Roman" w:cs="Times New Roman"/>
                <w:sz w:val="21"/>
                <w:szCs w:val="21"/>
                <w:u w:val="none" w:color="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exact"/>
        </w:trPr>
        <w:tc>
          <w:tcPr>
            <w:tcW w:w="1094" w:type="dxa"/>
            <w:vMerge w:val="continue"/>
            <w:tcBorders>
              <w:left w:val="single" w:color="000000" w:sz="12" w:space="0"/>
              <w:right w:val="single" w:color="000000" w:sz="12" w:space="0"/>
            </w:tcBorders>
            <w:shd w:val="clear" w:color="auto" w:fill="auto"/>
            <w:vAlign w:val="bottom"/>
          </w:tcPr>
          <w:p>
            <w:pPr>
              <w:rPr>
                <w:rFonts w:hint="default" w:ascii="Times New Roman" w:hAnsi="Times New Roman" w:eastAsia="宋体" w:cs="Times New Roman"/>
                <w:i w:val="0"/>
                <w:color w:val="000000"/>
                <w:sz w:val="21"/>
                <w:szCs w:val="21"/>
                <w:u w:val="none" w:color="auto"/>
              </w:rPr>
            </w:pPr>
          </w:p>
        </w:tc>
        <w:tc>
          <w:tcPr>
            <w:tcW w:w="1717" w:type="dxa"/>
            <w:vMerge w:val="restart"/>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预测因子</w:t>
            </w:r>
          </w:p>
        </w:tc>
        <w:tc>
          <w:tcPr>
            <w:tcW w:w="3932" w:type="dxa"/>
            <w:gridSpan w:val="6"/>
            <w:vMerge w:val="restart"/>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预测因子（</w:t>
            </w:r>
            <w:r>
              <w:rPr>
                <w:rStyle w:val="108"/>
                <w:rFonts w:hint="eastAsia" w:cs="Times New Roman"/>
                <w:sz w:val="21"/>
                <w:szCs w:val="21"/>
                <w:u w:val="none" w:color="auto"/>
                <w:lang w:val="en-US" w:eastAsia="zh-CN" w:bidi="ar"/>
              </w:rPr>
              <w:t xml:space="preserve"> </w:t>
            </w:r>
            <w:r>
              <w:rPr>
                <w:rStyle w:val="108"/>
                <w:rFonts w:hint="default" w:ascii="Times New Roman" w:hAnsi="Times New Roman" w:cs="Times New Roman"/>
                <w:sz w:val="21"/>
                <w:szCs w:val="21"/>
                <w:u w:val="none" w:color="auto"/>
                <w:lang w:val="en-US" w:eastAsia="zh-CN" w:bidi="ar"/>
              </w:rPr>
              <w:t>）</w:t>
            </w:r>
          </w:p>
        </w:tc>
        <w:tc>
          <w:tcPr>
            <w:tcW w:w="3112" w:type="dxa"/>
            <w:gridSpan w:val="4"/>
            <w:tcBorders>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包括二次</w:t>
            </w:r>
            <w:r>
              <w:rPr>
                <w:rStyle w:val="118"/>
                <w:rFonts w:hint="default" w:ascii="Times New Roman" w:hAnsi="Times New Roman" w:eastAsia="宋体" w:cs="Times New Roman"/>
                <w:sz w:val="21"/>
                <w:szCs w:val="21"/>
                <w:u w:val="none" w:color="auto"/>
                <w:lang w:val="en-US" w:eastAsia="zh-CN" w:bidi="ar"/>
              </w:rPr>
              <w:t>PM</w:t>
            </w:r>
            <w:r>
              <w:rPr>
                <w:rStyle w:val="103"/>
                <w:rFonts w:hint="default" w:ascii="Times New Roman" w:hAnsi="Times New Roman" w:eastAsia="宋体" w:cs="Times New Roman"/>
                <w:sz w:val="21"/>
                <w:szCs w:val="21"/>
                <w:u w:val="none" w:color="auto"/>
                <w:lang w:val="en-US" w:eastAsia="zh-CN" w:bidi="ar"/>
              </w:rPr>
              <w:t>2.5</w:t>
            </w:r>
            <w:r>
              <w:rPr>
                <w:rStyle w:val="108"/>
                <w:rFonts w:hint="default" w:ascii="Times New Roman" w:hAnsi="Times New Roman" w:cs="Times New Roman"/>
                <w:sz w:val="21"/>
                <w:szCs w:val="21"/>
                <w:u w:val="none" w:color="auto"/>
                <w:lang w:val="en-US" w:eastAsia="zh-CN" w:bidi="ar"/>
              </w:rPr>
              <w:sym w:font="Wingdings 2" w:char="00A3"/>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exact"/>
        </w:trPr>
        <w:tc>
          <w:tcPr>
            <w:tcW w:w="1094" w:type="dxa"/>
            <w:vMerge w:val="continue"/>
            <w:tcBorders>
              <w:left w:val="single" w:color="000000" w:sz="12" w:space="0"/>
              <w:right w:val="single" w:color="000000" w:sz="12" w:space="0"/>
            </w:tcBorders>
            <w:shd w:val="clear" w:color="auto" w:fill="auto"/>
            <w:vAlign w:val="bottom"/>
          </w:tcPr>
          <w:p>
            <w:pPr>
              <w:rPr>
                <w:rFonts w:hint="default" w:ascii="Times New Roman" w:hAnsi="Times New Roman" w:eastAsia="宋体" w:cs="Times New Roman"/>
                <w:i w:val="0"/>
                <w:color w:val="000000"/>
                <w:sz w:val="21"/>
                <w:szCs w:val="21"/>
                <w:u w:val="none" w:color="auto"/>
              </w:rPr>
            </w:pPr>
          </w:p>
        </w:tc>
        <w:tc>
          <w:tcPr>
            <w:tcW w:w="1717" w:type="dxa"/>
            <w:vMerge w:val="continue"/>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3932" w:type="dxa"/>
            <w:gridSpan w:val="6"/>
            <w:vMerge w:val="continue"/>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3112" w:type="dxa"/>
            <w:gridSpan w:val="4"/>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不包括二次</w:t>
            </w:r>
            <w:r>
              <w:rPr>
                <w:rStyle w:val="118"/>
                <w:rFonts w:hint="default" w:ascii="Times New Roman" w:hAnsi="Times New Roman" w:eastAsia="宋体" w:cs="Times New Roman"/>
                <w:sz w:val="21"/>
                <w:szCs w:val="21"/>
                <w:u w:val="none" w:color="auto"/>
                <w:lang w:val="en-US" w:eastAsia="zh-CN" w:bidi="ar"/>
              </w:rPr>
              <w:t>PM</w:t>
            </w:r>
            <w:r>
              <w:rPr>
                <w:rStyle w:val="103"/>
                <w:rFonts w:hint="default" w:ascii="Times New Roman" w:hAnsi="Times New Roman" w:eastAsia="宋体" w:cs="Times New Roman"/>
                <w:sz w:val="21"/>
                <w:szCs w:val="21"/>
                <w:u w:val="none" w:color="auto"/>
                <w:lang w:val="en-US" w:eastAsia="zh-CN" w:bidi="ar"/>
              </w:rPr>
              <w:t>2.5</w:t>
            </w:r>
            <w:r>
              <w:rPr>
                <w:rStyle w:val="108"/>
                <w:rFonts w:hint="default" w:ascii="Times New Roman" w:hAnsi="Times New Roman" w:cs="Times New Roman"/>
                <w:sz w:val="21"/>
                <w:szCs w:val="21"/>
                <w:u w:val="none" w:color="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7" w:hRule="exact"/>
        </w:trPr>
        <w:tc>
          <w:tcPr>
            <w:tcW w:w="1094" w:type="dxa"/>
            <w:vMerge w:val="continue"/>
            <w:tcBorders>
              <w:left w:val="single" w:color="000000" w:sz="12" w:space="0"/>
              <w:right w:val="single" w:color="000000" w:sz="12" w:space="0"/>
            </w:tcBorders>
            <w:shd w:val="clear" w:color="auto" w:fill="auto"/>
            <w:vAlign w:val="bottom"/>
          </w:tcPr>
          <w:p>
            <w:pPr>
              <w:rPr>
                <w:rFonts w:hint="default" w:ascii="Times New Roman" w:hAnsi="Times New Roman" w:eastAsia="宋体" w:cs="Times New Roman"/>
                <w:i w:val="0"/>
                <w:color w:val="000000"/>
                <w:sz w:val="21"/>
                <w:szCs w:val="21"/>
                <w:u w:val="none" w:color="auto"/>
              </w:rPr>
            </w:pPr>
          </w:p>
        </w:tc>
        <w:tc>
          <w:tcPr>
            <w:tcW w:w="171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正常排放短期浓度贡献值</w:t>
            </w:r>
          </w:p>
        </w:tc>
        <w:tc>
          <w:tcPr>
            <w:tcW w:w="3932" w:type="dxa"/>
            <w:gridSpan w:val="6"/>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C</w:t>
            </w:r>
            <w:r>
              <w:rPr>
                <w:rStyle w:val="108"/>
                <w:rFonts w:hint="default" w:ascii="Times New Roman" w:hAnsi="Times New Roman" w:cs="Times New Roman"/>
                <w:sz w:val="21"/>
                <w:szCs w:val="21"/>
                <w:u w:val="none" w:color="auto"/>
                <w:lang w:val="en-US" w:eastAsia="zh-CN" w:bidi="ar"/>
              </w:rPr>
              <w:t>本项目最大占标率≤</w:t>
            </w:r>
            <w:r>
              <w:rPr>
                <w:rStyle w:val="118"/>
                <w:rFonts w:hint="default" w:ascii="Times New Roman" w:hAnsi="Times New Roman" w:eastAsia="宋体" w:cs="Times New Roman"/>
                <w:sz w:val="21"/>
                <w:szCs w:val="21"/>
                <w:u w:val="none" w:color="auto"/>
                <w:lang w:val="en-US" w:eastAsia="zh-CN" w:bidi="ar"/>
              </w:rPr>
              <w:t>100%</w:t>
            </w:r>
            <w:r>
              <w:rPr>
                <w:rStyle w:val="108"/>
                <w:rFonts w:hint="default" w:ascii="Times New Roman" w:hAnsi="Times New Roman" w:cs="Times New Roman"/>
                <w:sz w:val="21"/>
                <w:szCs w:val="21"/>
                <w:u w:val="none" w:color="auto"/>
                <w:lang w:val="en-US" w:eastAsia="zh-CN" w:bidi="ar"/>
              </w:rPr>
              <w:sym w:font="Wingdings 2" w:char="00A3"/>
            </w:r>
          </w:p>
        </w:tc>
        <w:tc>
          <w:tcPr>
            <w:tcW w:w="3112" w:type="dxa"/>
            <w:gridSpan w:val="4"/>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C</w:t>
            </w:r>
            <w:r>
              <w:rPr>
                <w:rStyle w:val="108"/>
                <w:rFonts w:hint="default" w:ascii="Times New Roman" w:hAnsi="Times New Roman" w:cs="Times New Roman"/>
                <w:sz w:val="21"/>
                <w:szCs w:val="21"/>
                <w:u w:val="none" w:color="auto"/>
                <w:lang w:val="en-US" w:eastAsia="zh-CN" w:bidi="ar"/>
              </w:rPr>
              <w:t>本项目最大占标率</w:t>
            </w:r>
            <w:r>
              <w:rPr>
                <w:rStyle w:val="118"/>
                <w:rFonts w:hint="default" w:ascii="Times New Roman" w:hAnsi="Times New Roman" w:eastAsia="宋体" w:cs="Times New Roman"/>
                <w:sz w:val="21"/>
                <w:szCs w:val="21"/>
                <w:u w:val="none" w:color="auto"/>
                <w:lang w:val="en-US" w:eastAsia="zh-CN" w:bidi="ar"/>
              </w:rPr>
              <w:t>&gt;100%</w:t>
            </w:r>
            <w:r>
              <w:rPr>
                <w:rStyle w:val="108"/>
                <w:rFonts w:hint="default" w:ascii="Times New Roman" w:hAnsi="Times New Roman" w:cs="Times New Roman"/>
                <w:sz w:val="21"/>
                <w:szCs w:val="21"/>
                <w:u w:val="none" w:color="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2" w:hRule="exact"/>
        </w:trPr>
        <w:tc>
          <w:tcPr>
            <w:tcW w:w="1094" w:type="dxa"/>
            <w:vMerge w:val="continue"/>
            <w:tcBorders>
              <w:left w:val="single" w:color="000000" w:sz="12" w:space="0"/>
              <w:right w:val="single" w:color="000000" w:sz="12" w:space="0"/>
            </w:tcBorders>
            <w:shd w:val="clear" w:color="auto" w:fill="auto"/>
            <w:vAlign w:val="bottom"/>
          </w:tcPr>
          <w:p>
            <w:pPr>
              <w:rPr>
                <w:rFonts w:hint="default" w:ascii="Times New Roman" w:hAnsi="Times New Roman" w:eastAsia="宋体" w:cs="Times New Roman"/>
                <w:i w:val="0"/>
                <w:color w:val="000000"/>
                <w:sz w:val="21"/>
                <w:szCs w:val="21"/>
                <w:u w:val="none" w:color="auto"/>
              </w:rPr>
            </w:pPr>
          </w:p>
        </w:tc>
        <w:tc>
          <w:tcPr>
            <w:tcW w:w="1717" w:type="dxa"/>
            <w:vMerge w:val="restart"/>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正常排放年均浓度贡献值</w:t>
            </w:r>
          </w:p>
        </w:tc>
        <w:tc>
          <w:tcPr>
            <w:tcW w:w="1712"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一类区</w:t>
            </w:r>
          </w:p>
        </w:tc>
        <w:tc>
          <w:tcPr>
            <w:tcW w:w="2220" w:type="dxa"/>
            <w:gridSpan w:val="4"/>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C</w:t>
            </w:r>
            <w:r>
              <w:rPr>
                <w:rStyle w:val="107"/>
                <w:rFonts w:hint="default" w:ascii="Times New Roman" w:hAnsi="Times New Roman" w:cs="Times New Roman"/>
                <w:sz w:val="21"/>
                <w:szCs w:val="21"/>
                <w:u w:val="none" w:color="auto"/>
                <w:lang w:val="en-US" w:eastAsia="zh-CN" w:bidi="ar"/>
              </w:rPr>
              <w:t>本项目</w:t>
            </w:r>
            <w:r>
              <w:rPr>
                <w:rStyle w:val="108"/>
                <w:rFonts w:hint="default" w:ascii="Times New Roman" w:hAnsi="Times New Roman" w:cs="Times New Roman"/>
                <w:sz w:val="21"/>
                <w:szCs w:val="21"/>
                <w:u w:val="none" w:color="auto"/>
                <w:lang w:val="en-US" w:eastAsia="zh-CN" w:bidi="ar"/>
              </w:rPr>
              <w:t>最大占标率≤</w:t>
            </w:r>
            <w:r>
              <w:rPr>
                <w:rStyle w:val="118"/>
                <w:rFonts w:hint="default" w:ascii="Times New Roman" w:hAnsi="Times New Roman" w:eastAsia="宋体" w:cs="Times New Roman"/>
                <w:sz w:val="21"/>
                <w:szCs w:val="21"/>
                <w:u w:val="none" w:color="auto"/>
                <w:lang w:val="en-US" w:eastAsia="zh-CN" w:bidi="ar"/>
              </w:rPr>
              <w:t>10%</w:t>
            </w:r>
            <w:r>
              <w:rPr>
                <w:rStyle w:val="108"/>
                <w:rFonts w:hint="default" w:ascii="Times New Roman" w:hAnsi="Times New Roman" w:cs="Times New Roman"/>
                <w:sz w:val="21"/>
                <w:szCs w:val="21"/>
                <w:u w:val="none" w:color="auto"/>
                <w:lang w:val="en-US" w:eastAsia="zh-CN" w:bidi="ar"/>
              </w:rPr>
              <w:sym w:font="Wingdings 2" w:char="00A3"/>
            </w:r>
          </w:p>
        </w:tc>
        <w:tc>
          <w:tcPr>
            <w:tcW w:w="3112" w:type="dxa"/>
            <w:gridSpan w:val="4"/>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C</w:t>
            </w:r>
            <w:r>
              <w:rPr>
                <w:rStyle w:val="107"/>
                <w:rFonts w:hint="default" w:ascii="Times New Roman" w:hAnsi="Times New Roman" w:cs="Times New Roman"/>
                <w:sz w:val="21"/>
                <w:szCs w:val="21"/>
                <w:u w:val="none" w:color="auto"/>
                <w:lang w:val="en-US" w:eastAsia="zh-CN" w:bidi="ar"/>
              </w:rPr>
              <w:t>本项目</w:t>
            </w:r>
            <w:r>
              <w:rPr>
                <w:rStyle w:val="108"/>
                <w:rFonts w:hint="default" w:ascii="Times New Roman" w:hAnsi="Times New Roman" w:cs="Times New Roman"/>
                <w:sz w:val="21"/>
                <w:szCs w:val="21"/>
                <w:u w:val="none" w:color="auto"/>
                <w:lang w:val="en-US" w:eastAsia="zh-CN" w:bidi="ar"/>
              </w:rPr>
              <w:t>最大占标率</w:t>
            </w:r>
            <w:r>
              <w:rPr>
                <w:rStyle w:val="118"/>
                <w:rFonts w:hint="default" w:ascii="Times New Roman" w:hAnsi="Times New Roman" w:eastAsia="宋体" w:cs="Times New Roman"/>
                <w:sz w:val="21"/>
                <w:szCs w:val="21"/>
                <w:u w:val="none" w:color="auto"/>
                <w:lang w:val="en-US" w:eastAsia="zh-CN" w:bidi="ar"/>
              </w:rPr>
              <w:t>&gt;10%</w:t>
            </w:r>
            <w:r>
              <w:rPr>
                <w:rStyle w:val="108"/>
                <w:rFonts w:hint="default" w:ascii="Times New Roman" w:hAnsi="Times New Roman" w:cs="Times New Roman"/>
                <w:sz w:val="21"/>
                <w:szCs w:val="21"/>
                <w:u w:val="none" w:color="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7" w:hRule="exact"/>
        </w:trPr>
        <w:tc>
          <w:tcPr>
            <w:tcW w:w="1094" w:type="dxa"/>
            <w:vMerge w:val="continue"/>
            <w:tcBorders>
              <w:left w:val="single" w:color="000000" w:sz="12" w:space="0"/>
              <w:right w:val="single" w:color="000000" w:sz="12" w:space="0"/>
            </w:tcBorders>
            <w:shd w:val="clear" w:color="auto" w:fill="auto"/>
            <w:vAlign w:val="bottom"/>
          </w:tcPr>
          <w:p>
            <w:pPr>
              <w:rPr>
                <w:rFonts w:hint="default" w:ascii="Times New Roman" w:hAnsi="Times New Roman" w:eastAsia="宋体" w:cs="Times New Roman"/>
                <w:i w:val="0"/>
                <w:color w:val="000000"/>
                <w:sz w:val="21"/>
                <w:szCs w:val="21"/>
                <w:u w:val="none" w:color="auto"/>
              </w:rPr>
            </w:pPr>
          </w:p>
        </w:tc>
        <w:tc>
          <w:tcPr>
            <w:tcW w:w="1717" w:type="dxa"/>
            <w:vMerge w:val="continue"/>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712"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二类区</w:t>
            </w:r>
          </w:p>
        </w:tc>
        <w:tc>
          <w:tcPr>
            <w:tcW w:w="2220" w:type="dxa"/>
            <w:gridSpan w:val="4"/>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C</w:t>
            </w:r>
            <w:r>
              <w:rPr>
                <w:rStyle w:val="107"/>
                <w:rFonts w:hint="default" w:ascii="Times New Roman" w:hAnsi="Times New Roman" w:cs="Times New Roman"/>
                <w:sz w:val="21"/>
                <w:szCs w:val="21"/>
                <w:u w:val="none" w:color="auto"/>
                <w:lang w:val="en-US" w:eastAsia="zh-CN" w:bidi="ar"/>
              </w:rPr>
              <w:t>本项目</w:t>
            </w:r>
            <w:r>
              <w:rPr>
                <w:rStyle w:val="108"/>
                <w:rFonts w:hint="default" w:ascii="Times New Roman" w:hAnsi="Times New Roman" w:cs="Times New Roman"/>
                <w:sz w:val="21"/>
                <w:szCs w:val="21"/>
                <w:u w:val="none" w:color="auto"/>
                <w:lang w:val="en-US" w:eastAsia="zh-CN" w:bidi="ar"/>
              </w:rPr>
              <w:t>最大占标率≤</w:t>
            </w:r>
            <w:r>
              <w:rPr>
                <w:rStyle w:val="118"/>
                <w:rFonts w:hint="default" w:ascii="Times New Roman" w:hAnsi="Times New Roman" w:eastAsia="宋体" w:cs="Times New Roman"/>
                <w:sz w:val="21"/>
                <w:szCs w:val="21"/>
                <w:u w:val="none" w:color="auto"/>
                <w:lang w:val="en-US" w:eastAsia="zh-CN" w:bidi="ar"/>
              </w:rPr>
              <w:t>30%</w:t>
            </w:r>
            <w:r>
              <w:rPr>
                <w:rStyle w:val="108"/>
                <w:rFonts w:hint="default" w:ascii="Times New Roman" w:hAnsi="Times New Roman" w:cs="Times New Roman"/>
                <w:sz w:val="21"/>
                <w:szCs w:val="21"/>
                <w:u w:val="none" w:color="auto"/>
                <w:lang w:val="en-US" w:eastAsia="zh-CN" w:bidi="ar"/>
              </w:rPr>
              <w:sym w:font="Wingdings 2" w:char="00A3"/>
            </w:r>
          </w:p>
        </w:tc>
        <w:tc>
          <w:tcPr>
            <w:tcW w:w="3112" w:type="dxa"/>
            <w:gridSpan w:val="4"/>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C</w:t>
            </w:r>
            <w:r>
              <w:rPr>
                <w:rStyle w:val="107"/>
                <w:rFonts w:hint="default" w:ascii="Times New Roman" w:hAnsi="Times New Roman" w:cs="Times New Roman"/>
                <w:sz w:val="21"/>
                <w:szCs w:val="21"/>
                <w:u w:val="none" w:color="auto"/>
                <w:lang w:val="en-US" w:eastAsia="zh-CN" w:bidi="ar"/>
              </w:rPr>
              <w:t>本项目</w:t>
            </w:r>
            <w:r>
              <w:rPr>
                <w:rStyle w:val="108"/>
                <w:rFonts w:hint="default" w:ascii="Times New Roman" w:hAnsi="Times New Roman" w:cs="Times New Roman"/>
                <w:sz w:val="21"/>
                <w:szCs w:val="21"/>
                <w:u w:val="none" w:color="auto"/>
                <w:lang w:val="en-US" w:eastAsia="zh-CN" w:bidi="ar"/>
              </w:rPr>
              <w:t>最大占标率</w:t>
            </w:r>
            <w:r>
              <w:rPr>
                <w:rStyle w:val="118"/>
                <w:rFonts w:hint="default" w:ascii="Times New Roman" w:hAnsi="Times New Roman" w:eastAsia="宋体" w:cs="Times New Roman"/>
                <w:sz w:val="21"/>
                <w:szCs w:val="21"/>
                <w:u w:val="none" w:color="auto"/>
                <w:lang w:val="en-US" w:eastAsia="zh-CN" w:bidi="ar"/>
              </w:rPr>
              <w:t>&gt;30%</w:t>
            </w:r>
            <w:r>
              <w:rPr>
                <w:rStyle w:val="108"/>
                <w:rFonts w:hint="default" w:ascii="Times New Roman" w:hAnsi="Times New Roman" w:cs="Times New Roman"/>
                <w:sz w:val="21"/>
                <w:szCs w:val="21"/>
                <w:u w:val="none" w:color="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exact"/>
        </w:trPr>
        <w:tc>
          <w:tcPr>
            <w:tcW w:w="1094" w:type="dxa"/>
            <w:vMerge w:val="continue"/>
            <w:tcBorders>
              <w:left w:val="single" w:color="000000" w:sz="12" w:space="0"/>
              <w:right w:val="single" w:color="000000" w:sz="12" w:space="0"/>
            </w:tcBorders>
            <w:shd w:val="clear" w:color="auto" w:fill="auto"/>
            <w:vAlign w:val="bottom"/>
          </w:tcPr>
          <w:p>
            <w:pPr>
              <w:rPr>
                <w:rFonts w:hint="default" w:ascii="Times New Roman" w:hAnsi="Times New Roman" w:eastAsia="宋体" w:cs="Times New Roman"/>
                <w:i w:val="0"/>
                <w:color w:val="000000"/>
                <w:sz w:val="21"/>
                <w:szCs w:val="21"/>
                <w:u w:val="none" w:color="auto"/>
              </w:rPr>
            </w:pPr>
          </w:p>
        </w:tc>
        <w:tc>
          <w:tcPr>
            <w:tcW w:w="1717" w:type="dxa"/>
            <w:vMerge w:val="restart"/>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非正常</w:t>
            </w:r>
            <w:r>
              <w:rPr>
                <w:rStyle w:val="118"/>
                <w:rFonts w:hint="default" w:ascii="Times New Roman" w:hAnsi="Times New Roman" w:eastAsia="宋体" w:cs="Times New Roman"/>
                <w:sz w:val="21"/>
                <w:szCs w:val="21"/>
                <w:u w:val="none" w:color="auto"/>
                <w:lang w:val="en-US" w:eastAsia="zh-CN" w:bidi="ar"/>
              </w:rPr>
              <w:t>1h</w:t>
            </w:r>
            <w:r>
              <w:rPr>
                <w:rStyle w:val="108"/>
                <w:rFonts w:hint="default" w:ascii="Times New Roman" w:hAnsi="Times New Roman" w:cs="Times New Roman"/>
                <w:sz w:val="21"/>
                <w:szCs w:val="21"/>
                <w:u w:val="none" w:color="auto"/>
                <w:lang w:val="en-US" w:eastAsia="zh-CN" w:bidi="ar"/>
              </w:rPr>
              <w:t>浓度贡献值</w:t>
            </w:r>
          </w:p>
        </w:tc>
        <w:tc>
          <w:tcPr>
            <w:tcW w:w="1976" w:type="dxa"/>
            <w:gridSpan w:val="3"/>
            <w:tcBorders>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非正常持续时长</w:t>
            </w:r>
          </w:p>
        </w:tc>
        <w:tc>
          <w:tcPr>
            <w:tcW w:w="3373" w:type="dxa"/>
            <w:gridSpan w:val="4"/>
            <w:vMerge w:val="restart"/>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C</w:t>
            </w:r>
            <w:r>
              <w:rPr>
                <w:rStyle w:val="107"/>
                <w:rFonts w:hint="default" w:ascii="Times New Roman" w:hAnsi="Times New Roman" w:cs="Times New Roman"/>
                <w:sz w:val="21"/>
                <w:szCs w:val="21"/>
                <w:u w:val="none" w:color="auto"/>
                <w:lang w:val="en-US" w:eastAsia="zh-CN" w:bidi="ar"/>
              </w:rPr>
              <w:t>非正常</w:t>
            </w:r>
            <w:r>
              <w:rPr>
                <w:rStyle w:val="108"/>
                <w:rFonts w:hint="default" w:ascii="Times New Roman" w:hAnsi="Times New Roman" w:cs="Times New Roman"/>
                <w:sz w:val="21"/>
                <w:szCs w:val="21"/>
                <w:u w:val="none" w:color="auto"/>
                <w:lang w:val="en-US" w:eastAsia="zh-CN" w:bidi="ar"/>
              </w:rPr>
              <w:t>占标率≤</w:t>
            </w:r>
            <w:r>
              <w:rPr>
                <w:rStyle w:val="118"/>
                <w:rFonts w:hint="default" w:ascii="Times New Roman" w:hAnsi="Times New Roman" w:eastAsia="宋体" w:cs="Times New Roman"/>
                <w:sz w:val="21"/>
                <w:szCs w:val="21"/>
                <w:u w:val="none" w:color="auto"/>
                <w:lang w:val="en-US" w:eastAsia="zh-CN" w:bidi="ar"/>
              </w:rPr>
              <w:t>100%</w:t>
            </w:r>
            <w:r>
              <w:rPr>
                <w:rStyle w:val="108"/>
                <w:rFonts w:hint="default" w:ascii="Times New Roman" w:hAnsi="Times New Roman" w:cs="Times New Roman"/>
                <w:sz w:val="21"/>
                <w:szCs w:val="21"/>
                <w:u w:val="none" w:color="auto"/>
                <w:lang w:val="en-US" w:eastAsia="zh-CN" w:bidi="ar"/>
              </w:rPr>
              <w:t>□</w:t>
            </w:r>
          </w:p>
        </w:tc>
        <w:tc>
          <w:tcPr>
            <w:tcW w:w="1695" w:type="dxa"/>
            <w:gridSpan w:val="3"/>
            <w:vMerge w:val="restart"/>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C</w:t>
            </w:r>
            <w:r>
              <w:rPr>
                <w:rStyle w:val="107"/>
                <w:rFonts w:hint="default" w:ascii="Times New Roman" w:hAnsi="Times New Roman" w:cs="Times New Roman"/>
                <w:sz w:val="21"/>
                <w:szCs w:val="21"/>
                <w:u w:val="none" w:color="auto"/>
                <w:lang w:val="en-US" w:eastAsia="zh-CN" w:bidi="ar"/>
              </w:rPr>
              <w:t>非正常</w:t>
            </w:r>
            <w:r>
              <w:rPr>
                <w:rStyle w:val="108"/>
                <w:rFonts w:hint="default" w:ascii="Times New Roman" w:hAnsi="Times New Roman" w:cs="Times New Roman"/>
                <w:sz w:val="21"/>
                <w:szCs w:val="21"/>
                <w:u w:val="none" w:color="auto"/>
                <w:lang w:val="en-US" w:eastAsia="zh-CN" w:bidi="ar"/>
              </w:rPr>
              <w:t>占标率</w:t>
            </w:r>
            <w:r>
              <w:rPr>
                <w:rStyle w:val="118"/>
                <w:rFonts w:hint="default" w:ascii="Times New Roman" w:hAnsi="Times New Roman" w:eastAsia="宋体" w:cs="Times New Roman"/>
                <w:sz w:val="21"/>
                <w:szCs w:val="21"/>
                <w:u w:val="none" w:color="auto"/>
                <w:lang w:val="en-US" w:eastAsia="zh-CN" w:bidi="ar"/>
              </w:rPr>
              <w:t>&gt;100%</w:t>
            </w:r>
            <w:r>
              <w:rPr>
                <w:rStyle w:val="108"/>
                <w:rFonts w:hint="default" w:ascii="Times New Roman" w:hAnsi="Times New Roman" w:cs="Times New Roman"/>
                <w:sz w:val="21"/>
                <w:szCs w:val="21"/>
                <w:u w:val="none" w:color="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2" w:hRule="exact"/>
        </w:trPr>
        <w:tc>
          <w:tcPr>
            <w:tcW w:w="1094" w:type="dxa"/>
            <w:vMerge w:val="continue"/>
            <w:tcBorders>
              <w:left w:val="single" w:color="000000" w:sz="12" w:space="0"/>
              <w:right w:val="single" w:color="000000" w:sz="12" w:space="0"/>
            </w:tcBorders>
            <w:shd w:val="clear" w:color="auto" w:fill="auto"/>
            <w:vAlign w:val="bottom"/>
          </w:tcPr>
          <w:p>
            <w:pPr>
              <w:rPr>
                <w:rFonts w:hint="default" w:ascii="Times New Roman" w:hAnsi="Times New Roman" w:eastAsia="宋体" w:cs="Times New Roman"/>
                <w:i w:val="0"/>
                <w:color w:val="000000"/>
                <w:sz w:val="21"/>
                <w:szCs w:val="21"/>
                <w:u w:val="none" w:color="auto"/>
              </w:rPr>
            </w:pPr>
          </w:p>
        </w:tc>
        <w:tc>
          <w:tcPr>
            <w:tcW w:w="1717" w:type="dxa"/>
            <w:vMerge w:val="continue"/>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976"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w:t>
            </w:r>
            <w:r>
              <w:rPr>
                <w:rStyle w:val="118"/>
                <w:rFonts w:hint="default" w:ascii="Times New Roman" w:hAnsi="Times New Roman" w:eastAsia="宋体" w:cs="Times New Roman"/>
                <w:sz w:val="21"/>
                <w:szCs w:val="21"/>
                <w:u w:val="none" w:color="auto"/>
                <w:lang w:val="en-US" w:eastAsia="zh-CN" w:bidi="ar"/>
              </w:rPr>
              <w:t xml:space="preserve">  </w:t>
            </w:r>
            <w:r>
              <w:rPr>
                <w:rStyle w:val="108"/>
                <w:rFonts w:hint="default" w:ascii="Times New Roman" w:hAnsi="Times New Roman" w:cs="Times New Roman"/>
                <w:sz w:val="21"/>
                <w:szCs w:val="21"/>
                <w:u w:val="none" w:color="auto"/>
                <w:lang w:val="en-US" w:eastAsia="zh-CN" w:bidi="ar"/>
              </w:rPr>
              <w:t>）</w:t>
            </w:r>
            <w:r>
              <w:rPr>
                <w:rStyle w:val="118"/>
                <w:rFonts w:hint="default" w:ascii="Times New Roman" w:hAnsi="Times New Roman" w:eastAsia="宋体" w:cs="Times New Roman"/>
                <w:sz w:val="21"/>
                <w:szCs w:val="21"/>
                <w:u w:val="none" w:color="auto"/>
                <w:lang w:val="en-US" w:eastAsia="zh-CN" w:bidi="ar"/>
              </w:rPr>
              <w:t>h</w:t>
            </w:r>
          </w:p>
        </w:tc>
        <w:tc>
          <w:tcPr>
            <w:tcW w:w="3373" w:type="dxa"/>
            <w:gridSpan w:val="4"/>
            <w:vMerge w:val="continue"/>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695" w:type="dxa"/>
            <w:gridSpan w:val="3"/>
            <w:vMerge w:val="continue"/>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42" w:hRule="exact"/>
        </w:trPr>
        <w:tc>
          <w:tcPr>
            <w:tcW w:w="1094" w:type="dxa"/>
            <w:vMerge w:val="continue"/>
            <w:tcBorders>
              <w:left w:val="single" w:color="000000" w:sz="12" w:space="0"/>
              <w:right w:val="single" w:color="000000" w:sz="12" w:space="0"/>
            </w:tcBorders>
            <w:shd w:val="clear" w:color="auto" w:fill="auto"/>
            <w:vAlign w:val="bottom"/>
          </w:tcPr>
          <w:p>
            <w:pPr>
              <w:rPr>
                <w:rFonts w:hint="default" w:ascii="Times New Roman" w:hAnsi="Times New Roman" w:eastAsia="宋体" w:cs="Times New Roman"/>
                <w:i w:val="0"/>
                <w:color w:val="000000"/>
                <w:sz w:val="21"/>
                <w:szCs w:val="21"/>
                <w:u w:val="none" w:color="auto"/>
              </w:rPr>
            </w:pPr>
          </w:p>
        </w:tc>
        <w:tc>
          <w:tcPr>
            <w:tcW w:w="171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保证率日平均浓度和年平均浓度叠加值</w:t>
            </w:r>
          </w:p>
        </w:tc>
        <w:tc>
          <w:tcPr>
            <w:tcW w:w="3932" w:type="dxa"/>
            <w:gridSpan w:val="6"/>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C</w:t>
            </w:r>
            <w:r>
              <w:rPr>
                <w:rStyle w:val="108"/>
                <w:rFonts w:hint="default" w:ascii="Times New Roman" w:hAnsi="Times New Roman" w:cs="Times New Roman"/>
                <w:sz w:val="21"/>
                <w:szCs w:val="21"/>
                <w:u w:val="none" w:color="auto"/>
                <w:lang w:val="en-US" w:eastAsia="zh-CN" w:bidi="ar"/>
              </w:rPr>
              <w:t>叠加达标</w:t>
            </w:r>
            <w:r>
              <w:rPr>
                <w:rStyle w:val="108"/>
                <w:rFonts w:hint="default" w:ascii="Times New Roman" w:hAnsi="Times New Roman" w:cs="Times New Roman"/>
                <w:sz w:val="21"/>
                <w:szCs w:val="21"/>
                <w:u w:val="none" w:color="auto"/>
                <w:lang w:val="en-US" w:eastAsia="zh-CN" w:bidi="ar"/>
              </w:rPr>
              <w:sym w:font="Wingdings 2" w:char="00A3"/>
            </w:r>
          </w:p>
        </w:tc>
        <w:tc>
          <w:tcPr>
            <w:tcW w:w="3112" w:type="dxa"/>
            <w:gridSpan w:val="4"/>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C</w:t>
            </w:r>
            <w:r>
              <w:rPr>
                <w:rStyle w:val="108"/>
                <w:rFonts w:hint="default" w:ascii="Times New Roman" w:hAnsi="Times New Roman" w:cs="Times New Roman"/>
                <w:sz w:val="21"/>
                <w:szCs w:val="21"/>
                <w:u w:val="none" w:color="auto"/>
                <w:lang w:val="en-US" w:eastAsia="zh-CN" w:bidi="ar"/>
              </w:rPr>
              <w:t>叠加不达标□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32" w:hRule="exact"/>
        </w:trPr>
        <w:tc>
          <w:tcPr>
            <w:tcW w:w="1094" w:type="dxa"/>
            <w:vMerge w:val="continue"/>
            <w:tcBorders>
              <w:left w:val="single" w:color="000000" w:sz="12" w:space="0"/>
              <w:bottom w:val="single" w:color="000000" w:sz="12" w:space="0"/>
              <w:right w:val="single" w:color="000000" w:sz="12" w:space="0"/>
            </w:tcBorders>
            <w:shd w:val="clear" w:color="auto" w:fill="auto"/>
            <w:vAlign w:val="bottom"/>
          </w:tcPr>
          <w:p>
            <w:pPr>
              <w:rPr>
                <w:rFonts w:hint="default" w:ascii="Times New Roman" w:hAnsi="Times New Roman" w:eastAsia="宋体" w:cs="Times New Roman"/>
                <w:i w:val="0"/>
                <w:color w:val="000000"/>
                <w:sz w:val="21"/>
                <w:szCs w:val="21"/>
                <w:u w:val="none" w:color="auto"/>
              </w:rPr>
            </w:pPr>
          </w:p>
        </w:tc>
        <w:tc>
          <w:tcPr>
            <w:tcW w:w="171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区域环境质量的整体变化情况</w:t>
            </w:r>
          </w:p>
        </w:tc>
        <w:tc>
          <w:tcPr>
            <w:tcW w:w="3932" w:type="dxa"/>
            <w:gridSpan w:val="6"/>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k</w:t>
            </w:r>
            <w:r>
              <w:rPr>
                <w:rStyle w:val="108"/>
                <w:rFonts w:hint="default" w:ascii="Times New Roman" w:hAnsi="Times New Roman" w:cs="Times New Roman"/>
                <w:sz w:val="21"/>
                <w:szCs w:val="21"/>
                <w:u w:val="none" w:color="auto"/>
                <w:lang w:val="en-US" w:eastAsia="zh-CN" w:bidi="ar"/>
              </w:rPr>
              <w:t>≤</w:t>
            </w:r>
            <w:r>
              <w:rPr>
                <w:rStyle w:val="118"/>
                <w:rFonts w:hint="default" w:ascii="Times New Roman" w:hAnsi="Times New Roman" w:eastAsia="宋体" w:cs="Times New Roman"/>
                <w:sz w:val="21"/>
                <w:szCs w:val="21"/>
                <w:u w:val="none" w:color="auto"/>
                <w:lang w:val="en-US" w:eastAsia="zh-CN" w:bidi="ar"/>
              </w:rPr>
              <w:t>-20%</w:t>
            </w:r>
            <w:r>
              <w:rPr>
                <w:rStyle w:val="108"/>
                <w:rFonts w:hint="default" w:ascii="Times New Roman" w:hAnsi="Times New Roman" w:cs="Times New Roman"/>
                <w:sz w:val="21"/>
                <w:szCs w:val="21"/>
                <w:u w:val="none" w:color="auto"/>
                <w:lang w:val="en-US" w:eastAsia="zh-CN" w:bidi="ar"/>
              </w:rPr>
              <w:t>□</w:t>
            </w:r>
          </w:p>
        </w:tc>
        <w:tc>
          <w:tcPr>
            <w:tcW w:w="3112" w:type="dxa"/>
            <w:gridSpan w:val="4"/>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k&gt;-20%</w:t>
            </w:r>
            <w:r>
              <w:rPr>
                <w:rStyle w:val="108"/>
                <w:rFonts w:hint="default" w:ascii="Times New Roman" w:hAnsi="Times New Roman" w:cs="Times New Roman"/>
                <w:sz w:val="21"/>
                <w:szCs w:val="21"/>
                <w:u w:val="none" w:color="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094" w:type="dxa"/>
            <w:vMerge w:val="restart"/>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环境监测计划</w:t>
            </w:r>
          </w:p>
        </w:tc>
        <w:tc>
          <w:tcPr>
            <w:tcW w:w="1717" w:type="dxa"/>
            <w:vMerge w:val="restart"/>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color="auto"/>
                <w:lang w:val="en-US" w:eastAsia="zh-CN" w:bidi="ar"/>
              </w:rPr>
            </w:pPr>
            <w:r>
              <w:rPr>
                <w:rFonts w:hint="default" w:ascii="Times New Roman" w:hAnsi="Times New Roman" w:eastAsia="宋体" w:cs="Times New Roman"/>
                <w:i w:val="0"/>
                <w:color w:val="000000"/>
                <w:kern w:val="0"/>
                <w:sz w:val="21"/>
                <w:szCs w:val="21"/>
                <w:u w:val="none" w:color="auto"/>
                <w:lang w:val="en-US" w:eastAsia="zh-CN" w:bidi="ar"/>
              </w:rPr>
              <w:t>污染源</w:t>
            </w:r>
          </w:p>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监测</w:t>
            </w:r>
          </w:p>
        </w:tc>
        <w:tc>
          <w:tcPr>
            <w:tcW w:w="2897" w:type="dxa"/>
            <w:gridSpan w:val="4"/>
            <w:vMerge w:val="restart"/>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监测因子：</w:t>
            </w:r>
            <w:r>
              <w:rPr>
                <w:rStyle w:val="108"/>
                <w:rFonts w:hint="default" w:ascii="Times New Roman" w:hAnsi="Times New Roman" w:eastAsia="宋体" w:cs="Times New Roman"/>
                <w:sz w:val="21"/>
                <w:szCs w:val="21"/>
                <w:u w:val="none" w:color="auto"/>
                <w:lang w:val="en-US" w:eastAsia="zh-CN" w:bidi="ar"/>
              </w:rPr>
              <w:t>（</w:t>
            </w:r>
            <w:r>
              <w:rPr>
                <w:rStyle w:val="108"/>
                <w:rFonts w:hint="eastAsia" w:cs="Times New Roman"/>
                <w:sz w:val="21"/>
                <w:szCs w:val="21"/>
                <w:u w:val="none" w:color="auto"/>
                <w:lang w:val="en-US" w:eastAsia="zh-CN" w:bidi="ar"/>
              </w:rPr>
              <w:t xml:space="preserve">  </w:t>
            </w:r>
            <w:r>
              <w:rPr>
                <w:rStyle w:val="108"/>
                <w:rFonts w:hint="default" w:ascii="Times New Roman" w:hAnsi="Times New Roman" w:cs="Times New Roman"/>
                <w:sz w:val="21"/>
                <w:szCs w:val="21"/>
                <w:u w:val="none" w:color="auto"/>
                <w:lang w:val="en-US" w:eastAsia="zh-CN" w:bidi="ar"/>
              </w:rPr>
              <w:t>）</w:t>
            </w:r>
          </w:p>
        </w:tc>
        <w:tc>
          <w:tcPr>
            <w:tcW w:w="2452" w:type="dxa"/>
            <w:gridSpan w:val="3"/>
            <w:tcBorders>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有组织废气监测</w:t>
            </w:r>
            <w:r>
              <w:rPr>
                <w:rFonts w:hint="default" w:ascii="Times New Roman" w:hAnsi="Times New Roman" w:eastAsia="宋体" w:cs="Times New Roman"/>
                <w:i w:val="0"/>
                <w:color w:val="000000"/>
                <w:kern w:val="0"/>
                <w:sz w:val="21"/>
                <w:szCs w:val="21"/>
                <w:u w:val="none" w:color="auto"/>
                <w:lang w:val="en-US" w:eastAsia="zh-CN" w:bidi="ar"/>
              </w:rPr>
              <w:sym w:font="Wingdings 2" w:char="00A3"/>
            </w:r>
          </w:p>
        </w:tc>
        <w:tc>
          <w:tcPr>
            <w:tcW w:w="1695" w:type="dxa"/>
            <w:gridSpan w:val="3"/>
            <w:vMerge w:val="restart"/>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无监测□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32" w:hRule="exact"/>
        </w:trPr>
        <w:tc>
          <w:tcPr>
            <w:tcW w:w="1094" w:type="dxa"/>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717" w:type="dxa"/>
            <w:vMerge w:val="continue"/>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2897" w:type="dxa"/>
            <w:gridSpan w:val="4"/>
            <w:vMerge w:val="continue"/>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2452"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无组织废气监测</w:t>
            </w:r>
            <w:r>
              <w:rPr>
                <w:rFonts w:hint="eastAsia" w:cs="Times New Roman"/>
                <w:i w:val="0"/>
                <w:color w:val="000000"/>
                <w:kern w:val="0"/>
                <w:sz w:val="21"/>
                <w:szCs w:val="21"/>
                <w:u w:val="none" w:color="auto"/>
                <w:lang w:val="en-US" w:eastAsia="zh-CN" w:bidi="ar"/>
              </w:rPr>
              <w:t>□</w:t>
            </w:r>
          </w:p>
        </w:tc>
        <w:tc>
          <w:tcPr>
            <w:tcW w:w="1695" w:type="dxa"/>
            <w:gridSpan w:val="3"/>
            <w:vMerge w:val="continue"/>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7" w:hRule="exact"/>
        </w:trPr>
        <w:tc>
          <w:tcPr>
            <w:tcW w:w="1094" w:type="dxa"/>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71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环境质量监测</w:t>
            </w:r>
          </w:p>
        </w:tc>
        <w:tc>
          <w:tcPr>
            <w:tcW w:w="2897" w:type="dxa"/>
            <w:gridSpan w:val="4"/>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监测因子：（</w:t>
            </w:r>
            <w:r>
              <w:rPr>
                <w:rStyle w:val="118"/>
                <w:rFonts w:hint="default" w:ascii="Times New Roman" w:hAnsi="Times New Roman" w:eastAsia="宋体" w:cs="Times New Roman"/>
                <w:sz w:val="21"/>
                <w:szCs w:val="21"/>
                <w:u w:val="none" w:color="auto"/>
                <w:lang w:val="en-US" w:eastAsia="zh-CN" w:bidi="ar"/>
              </w:rPr>
              <w:t xml:space="preserve"> </w:t>
            </w:r>
            <w:r>
              <w:rPr>
                <w:rStyle w:val="118"/>
                <w:rFonts w:hint="eastAsia" w:cs="Times New Roman"/>
                <w:sz w:val="21"/>
                <w:szCs w:val="21"/>
                <w:u w:val="none" w:color="auto"/>
                <w:lang w:val="en-US" w:eastAsia="zh-CN" w:bidi="ar"/>
              </w:rPr>
              <w:t xml:space="preserve"> </w:t>
            </w:r>
            <w:r>
              <w:rPr>
                <w:rStyle w:val="118"/>
                <w:rFonts w:hint="default" w:ascii="Times New Roman" w:hAnsi="Times New Roman" w:eastAsia="宋体" w:cs="Times New Roman"/>
                <w:sz w:val="21"/>
                <w:szCs w:val="21"/>
                <w:u w:val="none" w:color="auto"/>
                <w:lang w:val="en-US" w:eastAsia="zh-CN" w:bidi="ar"/>
              </w:rPr>
              <w:t xml:space="preserve"> </w:t>
            </w:r>
            <w:r>
              <w:rPr>
                <w:rStyle w:val="108"/>
                <w:rFonts w:hint="default" w:ascii="Times New Roman" w:hAnsi="Times New Roman" w:cs="Times New Roman"/>
                <w:sz w:val="21"/>
                <w:szCs w:val="21"/>
                <w:u w:val="none" w:color="auto"/>
                <w:lang w:val="en-US" w:eastAsia="zh-CN" w:bidi="ar"/>
              </w:rPr>
              <w:t>）</w:t>
            </w:r>
          </w:p>
        </w:tc>
        <w:tc>
          <w:tcPr>
            <w:tcW w:w="2452"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监测点位数（</w:t>
            </w:r>
            <w:r>
              <w:rPr>
                <w:rStyle w:val="118"/>
                <w:rFonts w:hint="default" w:ascii="Times New Roman" w:hAnsi="Times New Roman" w:eastAsia="宋体" w:cs="Times New Roman"/>
                <w:sz w:val="21"/>
                <w:szCs w:val="21"/>
                <w:u w:val="none" w:color="auto"/>
                <w:lang w:val="en-US" w:eastAsia="zh-CN" w:bidi="ar"/>
              </w:rPr>
              <w:t xml:space="preserve"> </w:t>
            </w:r>
            <w:r>
              <w:rPr>
                <w:rStyle w:val="118"/>
                <w:rFonts w:hint="eastAsia" w:cs="Times New Roman"/>
                <w:sz w:val="21"/>
                <w:szCs w:val="21"/>
                <w:u w:val="none" w:color="auto"/>
                <w:lang w:val="en-US" w:eastAsia="zh-CN" w:bidi="ar"/>
              </w:rPr>
              <w:t xml:space="preserve"> </w:t>
            </w:r>
            <w:r>
              <w:rPr>
                <w:rStyle w:val="108"/>
                <w:rFonts w:hint="default" w:ascii="Times New Roman" w:hAnsi="Times New Roman" w:cs="Times New Roman"/>
                <w:sz w:val="21"/>
                <w:szCs w:val="21"/>
                <w:u w:val="none" w:color="auto"/>
                <w:lang w:val="en-US" w:eastAsia="zh-CN" w:bidi="ar"/>
              </w:rPr>
              <w:t>）</w:t>
            </w:r>
          </w:p>
        </w:tc>
        <w:tc>
          <w:tcPr>
            <w:tcW w:w="1695"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无监测□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7" w:hRule="exact"/>
        </w:trPr>
        <w:tc>
          <w:tcPr>
            <w:tcW w:w="1094" w:type="dxa"/>
            <w:vMerge w:val="restart"/>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评价结论</w:t>
            </w:r>
          </w:p>
        </w:tc>
        <w:tc>
          <w:tcPr>
            <w:tcW w:w="171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环境影响</w:t>
            </w:r>
          </w:p>
        </w:tc>
        <w:tc>
          <w:tcPr>
            <w:tcW w:w="7044" w:type="dxa"/>
            <w:gridSpan w:val="10"/>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可以接受</w:t>
            </w:r>
            <w:r>
              <w:rPr>
                <w:rStyle w:val="118"/>
                <w:rFonts w:hint="default" w:ascii="Times New Roman" w:hAnsi="Times New Roman" w:eastAsia="宋体" w:cs="Times New Roman"/>
                <w:sz w:val="21"/>
                <w:szCs w:val="21"/>
                <w:u w:val="none" w:color="auto"/>
                <w:lang w:val="en-US" w:eastAsia="zh-CN" w:bidi="ar"/>
              </w:rPr>
              <w:t xml:space="preserve"> </w:t>
            </w:r>
            <w:r>
              <w:rPr>
                <w:rFonts w:hint="eastAsia" w:cs="Times New Roman"/>
                <w:i w:val="0"/>
                <w:color w:val="000000"/>
                <w:kern w:val="0"/>
                <w:sz w:val="21"/>
                <w:szCs w:val="21"/>
                <w:u w:val="none" w:color="auto"/>
                <w:lang w:val="en-US" w:eastAsia="zh-CN" w:bidi="ar"/>
              </w:rPr>
              <w:t>□</w:t>
            </w:r>
            <w:r>
              <w:rPr>
                <w:rStyle w:val="118"/>
                <w:rFonts w:hint="default" w:ascii="Times New Roman" w:hAnsi="Times New Roman" w:eastAsia="宋体" w:cs="Times New Roman"/>
                <w:sz w:val="21"/>
                <w:szCs w:val="21"/>
                <w:u w:val="none" w:color="auto"/>
                <w:lang w:val="en-US" w:eastAsia="zh-CN" w:bidi="ar"/>
              </w:rPr>
              <w:t xml:space="preserve">             </w:t>
            </w:r>
            <w:r>
              <w:rPr>
                <w:rStyle w:val="108"/>
                <w:rFonts w:hint="default" w:ascii="Times New Roman" w:hAnsi="Times New Roman" w:cs="Times New Roman"/>
                <w:sz w:val="21"/>
                <w:szCs w:val="21"/>
                <w:u w:val="none" w:color="auto"/>
                <w:lang w:val="en-US" w:eastAsia="zh-CN" w:bidi="ar"/>
              </w:rPr>
              <w:t>不可以接受</w:t>
            </w:r>
            <w:r>
              <w:rPr>
                <w:rStyle w:val="118"/>
                <w:rFonts w:hint="default" w:ascii="Times New Roman" w:hAnsi="Times New Roman" w:eastAsia="宋体" w:cs="Times New Roman"/>
                <w:sz w:val="21"/>
                <w:szCs w:val="21"/>
                <w:u w:val="none" w:color="auto"/>
                <w:lang w:val="en-US" w:eastAsia="zh-CN" w:bidi="ar"/>
              </w:rPr>
              <w:t xml:space="preserve"> </w:t>
            </w:r>
            <w:r>
              <w:rPr>
                <w:rStyle w:val="108"/>
                <w:rFonts w:hint="default" w:ascii="Times New Roman" w:hAnsi="Times New Roman" w:cs="Times New Roman"/>
                <w:sz w:val="21"/>
                <w:szCs w:val="21"/>
                <w:u w:val="none" w:color="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7" w:hRule="exact"/>
        </w:trPr>
        <w:tc>
          <w:tcPr>
            <w:tcW w:w="1094" w:type="dxa"/>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71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大气环境防护距离</w:t>
            </w:r>
          </w:p>
        </w:tc>
        <w:tc>
          <w:tcPr>
            <w:tcW w:w="7044" w:type="dxa"/>
            <w:gridSpan w:val="10"/>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 xml:space="preserve">距（   </w:t>
            </w:r>
            <w:r>
              <w:rPr>
                <w:rStyle w:val="118"/>
                <w:rFonts w:hint="default" w:ascii="Times New Roman" w:hAnsi="Times New Roman" w:eastAsia="宋体" w:cs="Times New Roman"/>
                <w:sz w:val="21"/>
                <w:szCs w:val="21"/>
                <w:u w:val="none" w:color="auto"/>
                <w:lang w:val="en-US" w:eastAsia="zh-CN" w:bidi="ar"/>
              </w:rPr>
              <w:t>)</w:t>
            </w:r>
            <w:r>
              <w:rPr>
                <w:rStyle w:val="108"/>
                <w:rFonts w:hint="default" w:ascii="Times New Roman" w:hAnsi="Times New Roman" w:cs="Times New Roman"/>
                <w:sz w:val="21"/>
                <w:szCs w:val="21"/>
                <w:u w:val="none" w:color="auto"/>
                <w:lang w:val="en-US" w:eastAsia="zh-CN" w:bidi="ar"/>
              </w:rPr>
              <w:t>厂界最远（</w:t>
            </w:r>
            <w:r>
              <w:rPr>
                <w:rStyle w:val="118"/>
                <w:rFonts w:hint="default" w:ascii="Times New Roman" w:hAnsi="Times New Roman" w:eastAsia="宋体" w:cs="Times New Roman"/>
                <w:sz w:val="21"/>
                <w:szCs w:val="21"/>
                <w:u w:val="none" w:color="auto"/>
                <w:lang w:val="en-US" w:eastAsia="zh-CN" w:bidi="ar"/>
              </w:rPr>
              <w:t xml:space="preserve">    </w:t>
            </w:r>
            <w:r>
              <w:rPr>
                <w:rStyle w:val="108"/>
                <w:rFonts w:hint="default" w:ascii="Times New Roman" w:hAnsi="Times New Roman" w:cs="Times New Roman"/>
                <w:sz w:val="21"/>
                <w:szCs w:val="21"/>
                <w:u w:val="none" w:color="auto"/>
                <w:lang w:val="en-US" w:eastAsia="zh-CN" w:bidi="ar"/>
              </w:rPr>
              <w:t>）</w:t>
            </w:r>
            <w:r>
              <w:rPr>
                <w:rStyle w:val="118"/>
                <w:rFonts w:hint="default" w:ascii="Times New Roman" w:hAnsi="Times New Roman" w:eastAsia="宋体" w:cs="Times New Roman"/>
                <w:sz w:val="21"/>
                <w:szCs w:val="21"/>
                <w:u w:val="none" w:color="auto"/>
                <w:lang w:val="en-US" w:eastAsia="zh-CN" w:bidi="ar"/>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2" w:hRule="exact"/>
        </w:trPr>
        <w:tc>
          <w:tcPr>
            <w:tcW w:w="1094" w:type="dxa"/>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71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污染源年排放量</w:t>
            </w:r>
          </w:p>
        </w:tc>
        <w:tc>
          <w:tcPr>
            <w:tcW w:w="1976"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SO</w:t>
            </w:r>
            <w:r>
              <w:rPr>
                <w:rStyle w:val="103"/>
                <w:rFonts w:hint="default" w:ascii="Times New Roman" w:hAnsi="Times New Roman" w:eastAsia="宋体" w:cs="Times New Roman"/>
                <w:sz w:val="21"/>
                <w:szCs w:val="21"/>
                <w:u w:val="none" w:color="auto"/>
                <w:lang w:val="en-US" w:eastAsia="zh-CN" w:bidi="ar"/>
              </w:rPr>
              <w:t>2</w:t>
            </w:r>
            <w:r>
              <w:rPr>
                <w:rStyle w:val="118"/>
                <w:rFonts w:hint="default" w:ascii="Times New Roman" w:hAnsi="Times New Roman" w:eastAsia="宋体" w:cs="Times New Roman"/>
                <w:sz w:val="21"/>
                <w:szCs w:val="21"/>
                <w:u w:val="none" w:color="auto"/>
                <w:lang w:val="en-US" w:eastAsia="zh-CN" w:bidi="ar"/>
              </w:rPr>
              <w:t xml:space="preserve">:( </w:t>
            </w:r>
            <w:r>
              <w:rPr>
                <w:rStyle w:val="118"/>
                <w:rFonts w:hint="eastAsia" w:cs="Times New Roman"/>
                <w:sz w:val="21"/>
                <w:szCs w:val="21"/>
                <w:u w:val="none" w:color="auto"/>
                <w:lang w:val="en-US" w:eastAsia="zh-CN" w:bidi="ar"/>
              </w:rPr>
              <w:t xml:space="preserve"> </w:t>
            </w:r>
            <w:r>
              <w:rPr>
                <w:rStyle w:val="118"/>
                <w:rFonts w:hint="default" w:ascii="Times New Roman" w:hAnsi="Times New Roman" w:eastAsia="宋体" w:cs="Times New Roman"/>
                <w:sz w:val="21"/>
                <w:szCs w:val="21"/>
                <w:u w:val="none" w:color="auto"/>
                <w:lang w:val="en-US" w:eastAsia="zh-CN" w:bidi="ar"/>
              </w:rPr>
              <w:t>)t/a</w:t>
            </w:r>
          </w:p>
        </w:tc>
        <w:tc>
          <w:tcPr>
            <w:tcW w:w="1663"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NOx:(</w:t>
            </w:r>
            <w:r>
              <w:rPr>
                <w:rFonts w:hint="eastAsia" w:cs="Times New Roman"/>
                <w:i w:val="0"/>
                <w:color w:val="000000"/>
                <w:kern w:val="0"/>
                <w:sz w:val="21"/>
                <w:szCs w:val="21"/>
                <w:u w:val="none" w:color="auto"/>
                <w:lang w:val="en-US" w:eastAsia="zh-CN" w:bidi="ar"/>
              </w:rPr>
              <w:t xml:space="preserve"> </w:t>
            </w:r>
            <w:r>
              <w:rPr>
                <w:rFonts w:hint="default" w:ascii="Times New Roman" w:hAnsi="Times New Roman" w:eastAsia="宋体" w:cs="Times New Roman"/>
                <w:i w:val="0"/>
                <w:color w:val="000000"/>
                <w:kern w:val="0"/>
                <w:sz w:val="21"/>
                <w:szCs w:val="21"/>
                <w:u w:val="none" w:color="auto"/>
                <w:lang w:val="en-US" w:eastAsia="zh-CN" w:bidi="ar"/>
              </w:rPr>
              <w:t xml:space="preserve"> )t/a</w:t>
            </w:r>
          </w:p>
        </w:tc>
        <w:tc>
          <w:tcPr>
            <w:tcW w:w="1800"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颗粒物</w:t>
            </w:r>
            <w:r>
              <w:rPr>
                <w:rStyle w:val="118"/>
                <w:rFonts w:hint="default" w:ascii="Times New Roman" w:hAnsi="Times New Roman" w:eastAsia="宋体" w:cs="Times New Roman"/>
                <w:sz w:val="21"/>
                <w:szCs w:val="21"/>
                <w:u w:val="none" w:color="auto"/>
                <w:lang w:val="en-US" w:eastAsia="zh-CN" w:bidi="ar"/>
              </w:rPr>
              <w:t>:(</w:t>
            </w:r>
            <w:r>
              <w:rPr>
                <w:rStyle w:val="118"/>
                <w:rFonts w:hint="eastAsia" w:cs="Times New Roman"/>
                <w:sz w:val="21"/>
                <w:szCs w:val="21"/>
                <w:u w:val="none" w:color="auto"/>
                <w:lang w:val="en-US" w:eastAsia="zh-CN" w:bidi="ar"/>
              </w:rPr>
              <w:t xml:space="preserve">  </w:t>
            </w:r>
            <w:r>
              <w:rPr>
                <w:rStyle w:val="118"/>
                <w:rFonts w:hint="default" w:ascii="Times New Roman" w:hAnsi="Times New Roman" w:eastAsia="宋体" w:cs="Times New Roman"/>
                <w:sz w:val="21"/>
                <w:szCs w:val="21"/>
                <w:u w:val="none" w:color="auto"/>
                <w:lang w:val="en-US" w:eastAsia="zh-CN" w:bidi="ar"/>
              </w:rPr>
              <w:t>)t/a</w:t>
            </w:r>
          </w:p>
        </w:tc>
        <w:tc>
          <w:tcPr>
            <w:tcW w:w="1605"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VOCs:(</w:t>
            </w:r>
            <w:r>
              <w:rPr>
                <w:rStyle w:val="118"/>
                <w:rFonts w:hint="eastAsia" w:cs="Times New Roman"/>
                <w:sz w:val="21"/>
                <w:szCs w:val="21"/>
                <w:u w:val="none" w:color="auto"/>
                <w:lang w:val="en-US" w:eastAsia="zh-CN" w:bidi="ar"/>
              </w:rPr>
              <w:t>0.032</w:t>
            </w:r>
            <w:r>
              <w:rPr>
                <w:rStyle w:val="118"/>
                <w:rFonts w:hint="default" w:ascii="Times New Roman" w:hAnsi="Times New Roman" w:eastAsia="宋体" w:cs="Times New Roman"/>
                <w:sz w:val="21"/>
                <w:szCs w:val="21"/>
                <w:u w:val="none" w:color="auto"/>
                <w:lang w:val="en-US" w:eastAsia="zh-CN" w:bidi="ar"/>
              </w:rPr>
              <w:t>)t/a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2" w:hRule="exact"/>
        </w:trPr>
        <w:tc>
          <w:tcPr>
            <w:tcW w:w="9855" w:type="dxa"/>
            <w:gridSpan w:val="12"/>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注：</w:t>
            </w:r>
            <w:r>
              <w:rPr>
                <w:rStyle w:val="118"/>
                <w:rFonts w:hint="default" w:ascii="Times New Roman" w:hAnsi="Times New Roman" w:eastAsia="宋体" w:cs="Times New Roman"/>
                <w:sz w:val="21"/>
                <w:szCs w:val="21"/>
                <w:u w:val="none" w:color="auto"/>
                <w:lang w:val="en-US" w:eastAsia="zh-CN" w:bidi="ar"/>
              </w:rPr>
              <w:t>“</w:t>
            </w:r>
            <w:r>
              <w:rPr>
                <w:rStyle w:val="108"/>
                <w:rFonts w:hint="default" w:ascii="Times New Roman" w:hAnsi="Times New Roman" w:cs="Times New Roman"/>
                <w:sz w:val="21"/>
                <w:szCs w:val="21"/>
                <w:u w:val="none" w:color="auto"/>
                <w:lang w:val="en-US" w:eastAsia="zh-CN" w:bidi="ar"/>
              </w:rPr>
              <w:t>□</w:t>
            </w:r>
            <w:r>
              <w:rPr>
                <w:rStyle w:val="118"/>
                <w:rFonts w:hint="default" w:ascii="Times New Roman" w:hAnsi="Times New Roman" w:eastAsia="宋体" w:cs="Times New Roman"/>
                <w:sz w:val="21"/>
                <w:szCs w:val="21"/>
                <w:u w:val="none" w:color="auto"/>
                <w:lang w:val="en-US" w:eastAsia="zh-CN" w:bidi="ar"/>
              </w:rPr>
              <w:t>”</w:t>
            </w:r>
            <w:r>
              <w:rPr>
                <w:rStyle w:val="108"/>
                <w:rFonts w:hint="default" w:ascii="Times New Roman" w:hAnsi="Times New Roman" w:cs="Times New Roman"/>
                <w:sz w:val="21"/>
                <w:szCs w:val="21"/>
                <w:u w:val="none" w:color="auto"/>
                <w:lang w:val="en-US" w:eastAsia="zh-CN" w:bidi="ar"/>
              </w:rPr>
              <w:t>，填</w:t>
            </w:r>
            <w:r>
              <w:rPr>
                <w:rStyle w:val="118"/>
                <w:rFonts w:hint="default" w:ascii="Times New Roman" w:hAnsi="Times New Roman" w:eastAsia="宋体" w:cs="Times New Roman"/>
                <w:sz w:val="21"/>
                <w:szCs w:val="21"/>
                <w:u w:val="none" w:color="auto"/>
                <w:lang w:val="en-US" w:eastAsia="zh-CN" w:bidi="ar"/>
              </w:rPr>
              <w:t>“</w:t>
            </w:r>
            <w:r>
              <w:rPr>
                <w:rStyle w:val="108"/>
                <w:rFonts w:hint="default" w:ascii="Times New Roman" w:hAnsi="Times New Roman" w:cs="Times New Roman"/>
                <w:sz w:val="21"/>
                <w:szCs w:val="21"/>
                <w:u w:val="none" w:color="auto"/>
                <w:lang w:val="en-US" w:eastAsia="zh-CN" w:bidi="ar"/>
              </w:rPr>
              <w:t>√</w:t>
            </w:r>
            <w:r>
              <w:rPr>
                <w:rStyle w:val="118"/>
                <w:rFonts w:hint="default" w:ascii="Times New Roman" w:hAnsi="Times New Roman" w:eastAsia="宋体" w:cs="Times New Roman"/>
                <w:sz w:val="21"/>
                <w:szCs w:val="21"/>
                <w:u w:val="none" w:color="auto"/>
                <w:lang w:val="en-US" w:eastAsia="zh-CN" w:bidi="ar"/>
              </w:rPr>
              <w:t>”</w:t>
            </w:r>
            <w:r>
              <w:rPr>
                <w:rStyle w:val="108"/>
                <w:rFonts w:hint="default" w:ascii="Times New Roman" w:hAnsi="Times New Roman" w:cs="Times New Roman"/>
                <w:sz w:val="21"/>
                <w:szCs w:val="21"/>
                <w:u w:val="none" w:color="auto"/>
                <w:lang w:val="en-US" w:eastAsia="zh-CN" w:bidi="ar"/>
              </w:rPr>
              <w:t>；</w:t>
            </w:r>
            <w:r>
              <w:rPr>
                <w:rStyle w:val="118"/>
                <w:rFonts w:hint="default" w:ascii="Times New Roman" w:hAnsi="Times New Roman" w:eastAsia="宋体" w:cs="Times New Roman"/>
                <w:sz w:val="21"/>
                <w:szCs w:val="21"/>
                <w:u w:val="none" w:color="auto"/>
                <w:lang w:val="en-US" w:eastAsia="zh-CN" w:bidi="ar"/>
              </w:rPr>
              <w:t>“</w:t>
            </w:r>
            <w:r>
              <w:rPr>
                <w:rStyle w:val="108"/>
                <w:rFonts w:hint="default" w:ascii="Times New Roman" w:hAnsi="Times New Roman" w:cs="Times New Roman"/>
                <w:sz w:val="21"/>
                <w:szCs w:val="21"/>
                <w:u w:val="none" w:color="auto"/>
                <w:lang w:val="en-US" w:eastAsia="zh-CN" w:bidi="ar"/>
              </w:rPr>
              <w:t>（</w:t>
            </w:r>
            <w:r>
              <w:rPr>
                <w:rStyle w:val="118"/>
                <w:rFonts w:hint="default" w:ascii="Times New Roman" w:hAnsi="Times New Roman" w:eastAsia="宋体" w:cs="Times New Roman"/>
                <w:sz w:val="21"/>
                <w:szCs w:val="21"/>
                <w:u w:val="none" w:color="auto"/>
                <w:lang w:val="en-US" w:eastAsia="zh-CN" w:bidi="ar"/>
              </w:rPr>
              <w:t xml:space="preserve">  </w:t>
            </w:r>
            <w:r>
              <w:rPr>
                <w:rStyle w:val="108"/>
                <w:rFonts w:hint="default" w:ascii="Times New Roman" w:hAnsi="Times New Roman" w:cs="Times New Roman"/>
                <w:sz w:val="21"/>
                <w:szCs w:val="21"/>
                <w:u w:val="none" w:color="auto"/>
                <w:lang w:val="en-US" w:eastAsia="zh-CN" w:bidi="ar"/>
              </w:rPr>
              <w:t>）</w:t>
            </w:r>
            <w:r>
              <w:rPr>
                <w:rStyle w:val="118"/>
                <w:rFonts w:hint="default" w:ascii="Times New Roman" w:hAnsi="Times New Roman" w:eastAsia="宋体" w:cs="Times New Roman"/>
                <w:sz w:val="21"/>
                <w:szCs w:val="21"/>
                <w:u w:val="none" w:color="auto"/>
                <w:lang w:val="en-US" w:eastAsia="zh-CN" w:bidi="ar"/>
              </w:rPr>
              <w:t>”</w:t>
            </w:r>
            <w:r>
              <w:rPr>
                <w:rStyle w:val="108"/>
                <w:rFonts w:hint="default" w:ascii="Times New Roman" w:hAnsi="Times New Roman" w:cs="Times New Roman"/>
                <w:sz w:val="21"/>
                <w:szCs w:val="21"/>
                <w:u w:val="none" w:color="auto"/>
                <w:lang w:val="en-US" w:eastAsia="zh-CN" w:bidi="ar"/>
              </w:rPr>
              <w:t>为内容填写项</w:t>
            </w:r>
          </w:p>
        </w:tc>
      </w:tr>
    </w:tbl>
    <w:p>
      <w:pPr>
        <w:jc w:val="center"/>
        <w:rPr>
          <w:rFonts w:hint="eastAsia" w:cs="Times New Roman"/>
          <w:b/>
          <w:bCs/>
          <w:color w:val="auto"/>
          <w:sz w:val="28"/>
          <w:szCs w:val="36"/>
          <w:u w:val="none" w:color="auto"/>
          <w:lang w:eastAsia="zh-CN"/>
        </w:rPr>
      </w:pPr>
    </w:p>
    <w:p>
      <w:pPr>
        <w:jc w:val="center"/>
        <w:rPr>
          <w:rFonts w:hint="eastAsia" w:cs="Times New Roman"/>
          <w:b/>
          <w:bCs/>
          <w:color w:val="auto"/>
          <w:sz w:val="28"/>
          <w:szCs w:val="36"/>
          <w:u w:val="none" w:color="auto"/>
          <w:lang w:eastAsia="zh-CN"/>
        </w:rPr>
      </w:pPr>
    </w:p>
    <w:p>
      <w:pPr>
        <w:jc w:val="center"/>
        <w:rPr>
          <w:rFonts w:hint="eastAsia" w:cs="Times New Roman"/>
          <w:b/>
          <w:bCs/>
          <w:color w:val="auto"/>
          <w:sz w:val="28"/>
          <w:szCs w:val="36"/>
          <w:u w:val="none" w:color="auto"/>
          <w:lang w:eastAsia="zh-CN"/>
        </w:rPr>
      </w:pPr>
    </w:p>
    <w:p>
      <w:pPr>
        <w:jc w:val="center"/>
        <w:rPr>
          <w:rFonts w:hint="eastAsia" w:cs="Times New Roman"/>
          <w:b/>
          <w:bCs/>
          <w:color w:val="auto"/>
          <w:sz w:val="28"/>
          <w:szCs w:val="36"/>
          <w:u w:val="none" w:color="auto"/>
          <w:lang w:eastAsia="zh-CN"/>
        </w:rPr>
      </w:pPr>
    </w:p>
    <w:p>
      <w:pPr>
        <w:jc w:val="center"/>
        <w:rPr>
          <w:rFonts w:hint="eastAsia" w:cs="Times New Roman"/>
          <w:b/>
          <w:bCs/>
          <w:color w:val="auto"/>
          <w:sz w:val="28"/>
          <w:szCs w:val="36"/>
          <w:u w:val="none" w:color="auto"/>
          <w:lang w:eastAsia="zh-CN"/>
        </w:rPr>
      </w:pPr>
    </w:p>
    <w:p>
      <w:pPr>
        <w:jc w:val="center"/>
        <w:rPr>
          <w:rFonts w:hint="eastAsia" w:cs="Times New Roman"/>
          <w:b/>
          <w:bCs/>
          <w:color w:val="auto"/>
          <w:sz w:val="28"/>
          <w:szCs w:val="36"/>
          <w:u w:val="none" w:color="auto"/>
          <w:lang w:eastAsia="zh-CN"/>
        </w:rPr>
      </w:pPr>
    </w:p>
    <w:p>
      <w:pPr>
        <w:jc w:val="center"/>
        <w:rPr>
          <w:rFonts w:hint="eastAsia" w:cs="Times New Roman"/>
          <w:b/>
          <w:bCs/>
          <w:color w:val="auto"/>
          <w:sz w:val="28"/>
          <w:szCs w:val="36"/>
          <w:u w:val="none" w:color="auto"/>
          <w:lang w:eastAsia="zh-CN"/>
        </w:rPr>
      </w:pPr>
    </w:p>
    <w:p>
      <w:pPr>
        <w:jc w:val="center"/>
        <w:rPr>
          <w:rFonts w:hint="eastAsia" w:cs="Times New Roman"/>
          <w:b/>
          <w:bCs/>
          <w:color w:val="auto"/>
          <w:sz w:val="28"/>
          <w:szCs w:val="36"/>
          <w:u w:val="none" w:color="auto"/>
          <w:lang w:eastAsia="zh-CN"/>
        </w:rPr>
      </w:pPr>
    </w:p>
    <w:p>
      <w:pPr>
        <w:jc w:val="center"/>
        <w:rPr>
          <w:rFonts w:hint="eastAsia" w:cs="Times New Roman"/>
          <w:b/>
          <w:bCs/>
          <w:color w:val="auto"/>
          <w:sz w:val="28"/>
          <w:szCs w:val="36"/>
          <w:u w:val="none" w:color="auto"/>
          <w:lang w:eastAsia="zh-CN"/>
        </w:rPr>
      </w:pPr>
    </w:p>
    <w:p>
      <w:pPr>
        <w:jc w:val="center"/>
        <w:rPr>
          <w:rFonts w:hint="eastAsia" w:cs="Times New Roman"/>
          <w:b/>
          <w:bCs/>
          <w:color w:val="auto"/>
          <w:sz w:val="28"/>
          <w:szCs w:val="36"/>
          <w:u w:val="none" w:color="auto"/>
          <w:lang w:eastAsia="zh-CN"/>
        </w:rPr>
      </w:pPr>
    </w:p>
    <w:p>
      <w:pPr>
        <w:jc w:val="center"/>
        <w:rPr>
          <w:rFonts w:hint="eastAsia" w:cs="Times New Roman"/>
          <w:b/>
          <w:bCs/>
          <w:color w:val="auto"/>
          <w:sz w:val="28"/>
          <w:szCs w:val="36"/>
          <w:u w:val="none" w:color="auto"/>
          <w:lang w:eastAsia="zh-CN"/>
        </w:rPr>
      </w:pPr>
    </w:p>
    <w:p>
      <w:pPr>
        <w:jc w:val="center"/>
        <w:rPr>
          <w:rFonts w:hint="eastAsia" w:cs="Times New Roman"/>
          <w:b/>
          <w:bCs/>
          <w:color w:val="auto"/>
          <w:sz w:val="28"/>
          <w:szCs w:val="36"/>
          <w:u w:val="none" w:color="auto"/>
          <w:lang w:eastAsia="zh-CN"/>
        </w:rPr>
      </w:pPr>
    </w:p>
    <w:p>
      <w:pPr>
        <w:jc w:val="center"/>
        <w:rPr>
          <w:rFonts w:hint="eastAsia" w:cs="Times New Roman"/>
          <w:b/>
          <w:bCs/>
          <w:color w:val="auto"/>
          <w:sz w:val="28"/>
          <w:szCs w:val="36"/>
          <w:u w:val="none" w:color="auto"/>
          <w:lang w:eastAsia="zh-CN"/>
        </w:rPr>
      </w:pPr>
    </w:p>
    <w:p>
      <w:pPr>
        <w:jc w:val="center"/>
        <w:rPr>
          <w:rFonts w:hint="default" w:ascii="Times New Roman" w:hAnsi="Times New Roman" w:cs="Times New Roman"/>
          <w:b/>
          <w:bCs/>
          <w:color w:val="auto"/>
          <w:sz w:val="28"/>
          <w:szCs w:val="36"/>
          <w:u w:val="none" w:color="auto"/>
          <w:lang w:eastAsia="zh-CN"/>
        </w:rPr>
      </w:pPr>
      <w:r>
        <w:rPr>
          <w:rFonts w:hint="eastAsia" w:cs="Times New Roman"/>
          <w:b/>
          <w:bCs/>
          <w:color w:val="auto"/>
          <w:sz w:val="28"/>
          <w:szCs w:val="36"/>
          <w:u w:val="none" w:color="auto"/>
          <w:lang w:eastAsia="zh-CN"/>
        </w:rPr>
        <w:t>表</w:t>
      </w:r>
      <w:r>
        <w:rPr>
          <w:rFonts w:hint="eastAsia" w:cs="Times New Roman"/>
          <w:b/>
          <w:bCs/>
          <w:color w:val="auto"/>
          <w:sz w:val="28"/>
          <w:szCs w:val="36"/>
          <w:u w:val="none" w:color="auto"/>
          <w:lang w:val="en-US" w:eastAsia="zh-CN"/>
        </w:rPr>
        <w:t xml:space="preserve">2 </w:t>
      </w:r>
      <w:r>
        <w:rPr>
          <w:rFonts w:hint="default" w:ascii="Times New Roman" w:hAnsi="Times New Roman" w:cs="Times New Roman"/>
          <w:b/>
          <w:bCs/>
          <w:color w:val="auto"/>
          <w:sz w:val="28"/>
          <w:szCs w:val="36"/>
          <w:u w:val="none" w:color="auto"/>
          <w:lang w:eastAsia="zh-CN"/>
        </w:rPr>
        <w:t>地表水环境影响评价自查表</w:t>
      </w:r>
    </w:p>
    <w:tbl>
      <w:tblPr>
        <w:tblStyle w:val="41"/>
        <w:tblW w:w="10350" w:type="dxa"/>
        <w:tblInd w:w="-3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1351"/>
        <w:gridCol w:w="1091"/>
        <w:gridCol w:w="533"/>
        <w:gridCol w:w="925"/>
        <w:gridCol w:w="602"/>
        <w:gridCol w:w="589"/>
        <w:gridCol w:w="13"/>
        <w:gridCol w:w="217"/>
        <w:gridCol w:w="755"/>
        <w:gridCol w:w="405"/>
        <w:gridCol w:w="163"/>
        <w:gridCol w:w="18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3249" w:type="dxa"/>
            <w:gridSpan w:val="2"/>
            <w:tcBorders>
              <w:tl2br w:val="nil"/>
              <w:tr2bl w:val="nil"/>
            </w:tcBorders>
            <w:noWrap w:val="0"/>
            <w:vAlign w:val="center"/>
          </w:tcPr>
          <w:p>
            <w:pPr>
              <w:spacing w:line="360" w:lineRule="auto"/>
              <w:jc w:val="center"/>
              <w:rPr>
                <w:rFonts w:hint="default" w:ascii="Times New Roman" w:hAnsi="Times New Roman" w:cs="Times New Roman"/>
                <w:b w:val="0"/>
                <w:bCs w:val="0"/>
                <w:color w:val="auto"/>
                <w:sz w:val="22"/>
                <w:szCs w:val="22"/>
                <w:u w:val="none" w:color="auto"/>
                <w:vertAlign w:val="baseline"/>
                <w:lang w:eastAsia="zh-CN"/>
              </w:rPr>
            </w:pPr>
            <w:r>
              <w:rPr>
                <w:rFonts w:hint="default" w:ascii="Times New Roman" w:hAnsi="Times New Roman" w:cs="Times New Roman"/>
                <w:b w:val="0"/>
                <w:bCs w:val="0"/>
                <w:color w:val="auto"/>
                <w:sz w:val="22"/>
                <w:szCs w:val="22"/>
                <w:u w:val="none" w:color="auto"/>
                <w:vertAlign w:val="baseline"/>
                <w:lang w:eastAsia="zh-CN"/>
              </w:rPr>
              <w:t>工作内容</w:t>
            </w:r>
          </w:p>
        </w:tc>
        <w:tc>
          <w:tcPr>
            <w:tcW w:w="7101" w:type="dxa"/>
            <w:gridSpan w:val="11"/>
            <w:tcBorders>
              <w:tl2br w:val="nil"/>
              <w:tr2bl w:val="nil"/>
            </w:tcBorders>
            <w:noWrap w:val="0"/>
            <w:vAlign w:val="center"/>
          </w:tcPr>
          <w:p>
            <w:pPr>
              <w:spacing w:line="360" w:lineRule="auto"/>
              <w:jc w:val="center"/>
              <w:rPr>
                <w:rFonts w:hint="default" w:ascii="Times New Roman" w:hAnsi="Times New Roman" w:cs="Times New Roman"/>
                <w:b w:val="0"/>
                <w:bCs w:val="0"/>
                <w:color w:val="auto"/>
                <w:sz w:val="22"/>
                <w:szCs w:val="22"/>
                <w:u w:val="none" w:color="auto"/>
                <w:vertAlign w:val="baseline"/>
                <w:lang w:eastAsia="zh-CN"/>
              </w:rPr>
            </w:pPr>
            <w:r>
              <w:rPr>
                <w:rFonts w:hint="default" w:ascii="Times New Roman" w:hAnsi="Times New Roman" w:cs="Times New Roman"/>
                <w:b w:val="0"/>
                <w:bCs w:val="0"/>
                <w:color w:val="auto"/>
                <w:sz w:val="22"/>
                <w:szCs w:val="22"/>
                <w:u w:val="none" w:color="auto"/>
                <w:vertAlign w:val="baseline"/>
                <w:lang w:eastAsia="zh-CN"/>
              </w:rPr>
              <w:t>自查项目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898"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影</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响</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识</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别</w:t>
            </w: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影响类型</w:t>
            </w:r>
          </w:p>
        </w:tc>
        <w:tc>
          <w:tcPr>
            <w:tcW w:w="7101" w:type="dxa"/>
            <w:gridSpan w:val="11"/>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水污染影响型</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r>
              <w:rPr>
                <w:rFonts w:hint="default" w:ascii="Times New Roman" w:hAnsi="Times New Roman" w:eastAsia="宋体" w:cs="Times New Roman"/>
                <w:b w:val="0"/>
                <w:bCs w:val="0"/>
                <w:color w:val="auto"/>
                <w:sz w:val="22"/>
                <w:szCs w:val="22"/>
                <w:u w:val="none" w:color="auto"/>
                <w:vertAlign w:val="baseline"/>
                <w:lang w:eastAsia="zh-CN"/>
              </w:rPr>
              <w:t>；水文要素影响型</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898"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水环境保护目标</w:t>
            </w:r>
          </w:p>
        </w:tc>
        <w:tc>
          <w:tcPr>
            <w:tcW w:w="7101" w:type="dxa"/>
            <w:gridSpan w:val="11"/>
            <w:tcBorders>
              <w:tl2br w:val="nil"/>
              <w:tr2bl w:val="nil"/>
            </w:tcBorders>
            <w:noWrap w:val="0"/>
            <w:vAlign w:val="center"/>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饮用水水源保护区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□；饮用水取水口</w:t>
            </w:r>
            <w:r>
              <w:rPr>
                <w:rFonts w:hint="default" w:ascii="Times New Roman" w:hAnsi="Times New Roman" w:eastAsia="宋体" w:cs="Times New Roman"/>
                <w:b w:val="0"/>
                <w:bCs w:val="0"/>
                <w:color w:val="auto"/>
                <w:sz w:val="22"/>
                <w:szCs w:val="22"/>
                <w:u w:val="none" w:color="auto"/>
                <w:vertAlign w:val="baseline"/>
                <w:lang w:val="en-US" w:eastAsia="zh-CN"/>
              </w:rPr>
              <w:t xml:space="preserve"> 涉水的自然保护区 </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  重要湿地 </w:t>
            </w:r>
            <w:r>
              <w:rPr>
                <w:rFonts w:hint="default" w:ascii="Times New Roman" w:hAnsi="Times New Roman" w:eastAsia="宋体" w:cs="Times New Roman"/>
                <w:b w:val="0"/>
                <w:bCs w:val="0"/>
                <w:color w:val="auto"/>
                <w:sz w:val="22"/>
                <w:szCs w:val="22"/>
                <w:u w:val="none" w:color="auto"/>
                <w:vertAlign w:val="baseline"/>
                <w:lang w:eastAsia="zh-CN"/>
              </w:rPr>
              <w:t>□；重点保护与珍稀水生生物的栖息地</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□；重要水生生物的自然产卵场及索饵场 、越冬场、洄游通道、天然渔场等渔业水体</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□；涉水的风景名胜区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val="en-US" w:eastAsia="zh-CN"/>
              </w:rPr>
              <w:t>影响途径</w:t>
            </w: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水污染影响型</w:t>
            </w:r>
          </w:p>
        </w:tc>
        <w:tc>
          <w:tcPr>
            <w:tcW w:w="3950"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水文要素影响型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直接排放</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；间接排放</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c>
          <w:tcPr>
            <w:tcW w:w="3950"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水温</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；径流</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；水域面积</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影响因子</w:t>
            </w: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持久性污染源</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□；有毒有害污染物</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□；非持久性污染物</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pH值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；热污染</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□；富营养化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c>
          <w:tcPr>
            <w:tcW w:w="3950"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水温</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；水位（）□；流速</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□；流量</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249" w:type="dxa"/>
            <w:gridSpan w:val="2"/>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评价等级</w:t>
            </w: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水污染影响型</w:t>
            </w:r>
          </w:p>
        </w:tc>
        <w:tc>
          <w:tcPr>
            <w:tcW w:w="3950"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水文要素影响型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249" w:type="dxa"/>
            <w:gridSpan w:val="2"/>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一级</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□；二级</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□；三级</w:t>
            </w:r>
            <w:r>
              <w:rPr>
                <w:rFonts w:hint="default" w:ascii="Times New Roman" w:hAnsi="Times New Roman" w:eastAsia="宋体" w:cs="Times New Roman"/>
                <w:b w:val="0"/>
                <w:bCs w:val="0"/>
                <w:color w:val="auto"/>
                <w:sz w:val="22"/>
                <w:szCs w:val="22"/>
                <w:u w:val="none" w:color="auto"/>
                <w:vertAlign w:val="baseline"/>
                <w:lang w:val="en-US" w:eastAsia="zh-CN"/>
              </w:rPr>
              <w:t xml:space="preserve">A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三级B </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p>
        </w:tc>
        <w:tc>
          <w:tcPr>
            <w:tcW w:w="3950"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一级</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□；二级</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□；三级</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898"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现状调查</w:t>
            </w:r>
          </w:p>
        </w:tc>
        <w:tc>
          <w:tcPr>
            <w:tcW w:w="1351"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区域污染源</w:t>
            </w: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val="en-US" w:eastAsia="zh-CN"/>
              </w:rPr>
              <w:t>调查项目</w:t>
            </w:r>
          </w:p>
        </w:tc>
        <w:tc>
          <w:tcPr>
            <w:tcW w:w="3950"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数据来源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624" w:type="dxa"/>
            <w:gridSpan w:val="2"/>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已建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；在建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□；拟建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c>
          <w:tcPr>
            <w:tcW w:w="1527" w:type="dxa"/>
            <w:gridSpan w:val="2"/>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拟替代的污染源</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c>
          <w:tcPr>
            <w:tcW w:w="3950"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排污许可证</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□；环评</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；环保验收</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；既有实测</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□；现场监测</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；入河排放口数据</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受影响水体水环境质量</w:t>
            </w: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调查时期</w:t>
            </w:r>
          </w:p>
        </w:tc>
        <w:tc>
          <w:tcPr>
            <w:tcW w:w="3950"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数据来源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丰水期 □；平水期 □；枯水期 □；冰封期 □；春季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 xml:space="preserve">；夏季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 xml:space="preserve">；秋季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；冬季</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c>
          <w:tcPr>
            <w:tcW w:w="3950"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生态环境保护主管部门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；补充监测 □；其他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区域水资源开发利用状况</w:t>
            </w:r>
          </w:p>
        </w:tc>
        <w:tc>
          <w:tcPr>
            <w:tcW w:w="7101" w:type="dxa"/>
            <w:gridSpan w:val="11"/>
            <w:tcBorders>
              <w:tl2br w:val="nil"/>
              <w:tr2bl w:val="nil"/>
            </w:tcBorders>
            <w:noWrap w:val="0"/>
            <w:vAlign w:val="center"/>
          </w:tcPr>
          <w:p>
            <w:pPr>
              <w:spacing w:line="360" w:lineRule="auto"/>
              <w:jc w:val="left"/>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未开发 □；开发量</w:t>
            </w:r>
            <w:r>
              <w:rPr>
                <w:rFonts w:hint="default" w:ascii="Times New Roman" w:hAnsi="Times New Roman" w:eastAsia="宋体" w:cs="Times New Roman"/>
                <w:b w:val="0"/>
                <w:bCs w:val="0"/>
                <w:color w:val="auto"/>
                <w:sz w:val="22"/>
                <w:szCs w:val="22"/>
                <w:u w:val="none" w:color="auto"/>
                <w:vertAlign w:val="baseline"/>
                <w:lang w:val="en-US" w:eastAsia="zh-CN"/>
              </w:rPr>
              <w:t>40%以下 □；</w:t>
            </w:r>
            <w:r>
              <w:rPr>
                <w:rFonts w:hint="default" w:ascii="Times New Roman" w:hAnsi="Times New Roman" w:eastAsia="宋体" w:cs="Times New Roman"/>
                <w:b w:val="0"/>
                <w:bCs w:val="0"/>
                <w:color w:val="auto"/>
                <w:sz w:val="22"/>
                <w:szCs w:val="22"/>
                <w:u w:val="none" w:color="auto"/>
                <w:vertAlign w:val="baseline"/>
                <w:lang w:eastAsia="zh-CN"/>
              </w:rPr>
              <w:t>开发量</w:t>
            </w:r>
            <w:r>
              <w:rPr>
                <w:rFonts w:hint="default" w:ascii="Times New Roman" w:hAnsi="Times New Roman" w:eastAsia="宋体" w:cs="Times New Roman"/>
                <w:b w:val="0"/>
                <w:bCs w:val="0"/>
                <w:color w:val="auto"/>
                <w:sz w:val="22"/>
                <w:szCs w:val="22"/>
                <w:u w:val="none" w:color="auto"/>
                <w:vertAlign w:val="baseline"/>
                <w:lang w:val="en-US" w:eastAsia="zh-CN"/>
              </w:rPr>
              <w:t xml:space="preserve">40%以上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水文情势调查</w:t>
            </w: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调查时期</w:t>
            </w:r>
          </w:p>
        </w:tc>
        <w:tc>
          <w:tcPr>
            <w:tcW w:w="3950"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数据来源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丰水期 □；平水期 □；枯水期 □；冰封期 □；春季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 xml:space="preserve">；夏季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 xml:space="preserve">；秋季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；冬季</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c>
          <w:tcPr>
            <w:tcW w:w="3950"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水行政主管部门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；补充监测 □；</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其他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补充监测</w:t>
            </w: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监测时期</w:t>
            </w:r>
          </w:p>
        </w:tc>
        <w:tc>
          <w:tcPr>
            <w:tcW w:w="1574"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监测因子</w:t>
            </w:r>
          </w:p>
        </w:tc>
        <w:tc>
          <w:tcPr>
            <w:tcW w:w="2376" w:type="dxa"/>
            <w:gridSpan w:val="3"/>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监测断面或点位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丰水期 □；平水期 □；枯水期 □；冰封期 □；春季 □；夏季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 xml:space="preserve">；秋季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；冬季</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c>
          <w:tcPr>
            <w:tcW w:w="1574"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2376" w:type="dxa"/>
            <w:gridSpan w:val="3"/>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监测断面或点位个数（</w:t>
            </w:r>
            <w:r>
              <w:rPr>
                <w:rFonts w:hint="eastAsia"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现状评价</w:t>
            </w: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评价范围</w:t>
            </w:r>
          </w:p>
        </w:tc>
        <w:tc>
          <w:tcPr>
            <w:tcW w:w="7101" w:type="dxa"/>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河流：长度（）</w:t>
            </w:r>
            <w:r>
              <w:rPr>
                <w:rFonts w:hint="default" w:ascii="Times New Roman" w:hAnsi="Times New Roman" w:eastAsia="宋体" w:cs="Times New Roman"/>
                <w:b w:val="0"/>
                <w:bCs w:val="0"/>
                <w:color w:val="auto"/>
                <w:sz w:val="22"/>
                <w:szCs w:val="22"/>
                <w:u w:val="none" w:color="auto"/>
                <w:vertAlign w:val="baseline"/>
                <w:lang w:val="en-US" w:eastAsia="zh-CN"/>
              </w:rPr>
              <w:t>km；湖库、河口及近岸海域：面积（）km</w:t>
            </w:r>
            <w:r>
              <w:rPr>
                <w:rFonts w:hint="default" w:ascii="Times New Roman" w:hAnsi="Times New Roman" w:eastAsia="宋体" w:cs="Times New Roman"/>
                <w:b w:val="0"/>
                <w:bCs w:val="0"/>
                <w:color w:val="auto"/>
                <w:sz w:val="22"/>
                <w:szCs w:val="22"/>
                <w:u w:val="none" w:color="auto"/>
                <w:vertAlign w:val="superscript"/>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评价因子</w:t>
            </w:r>
          </w:p>
        </w:tc>
        <w:tc>
          <w:tcPr>
            <w:tcW w:w="7101" w:type="dxa"/>
            <w:gridSpan w:val="11"/>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评价标准</w:t>
            </w:r>
          </w:p>
        </w:tc>
        <w:tc>
          <w:tcPr>
            <w:tcW w:w="7101" w:type="dxa"/>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河流、湖库、河口：Ⅰ类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□；Ⅱ类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□；Ⅲ类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r>
              <w:rPr>
                <w:rFonts w:hint="default" w:ascii="Times New Roman" w:hAnsi="Times New Roman" w:eastAsia="宋体" w:cs="Times New Roman"/>
                <w:b w:val="0"/>
                <w:bCs w:val="0"/>
                <w:color w:val="auto"/>
                <w:sz w:val="22"/>
                <w:szCs w:val="22"/>
                <w:u w:val="none" w:color="auto"/>
                <w:vertAlign w:val="baseline"/>
                <w:lang w:eastAsia="zh-CN"/>
              </w:rPr>
              <w:t>；Ⅳ类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□；Ⅴ类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近岸海域：第一类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□；第二类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□；第三类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□；第四类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规划年评价标准（）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评价时期</w:t>
            </w:r>
          </w:p>
        </w:tc>
        <w:tc>
          <w:tcPr>
            <w:tcW w:w="7101" w:type="dxa"/>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丰水期 □；平水期 □；枯水期 □；冰封期 □；春季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 xml:space="preserve">；夏季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 xml:space="preserve">；秋季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；冬季</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898"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评价结论</w:t>
            </w:r>
          </w:p>
        </w:tc>
        <w:tc>
          <w:tcPr>
            <w:tcW w:w="5293" w:type="dxa"/>
            <w:gridSpan w:val="10"/>
            <w:vMerge w:val="restart"/>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水功能环境区或水功能区、近岸海域环境功能区水质达标状况 □：</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不达标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水环境控制单元或断面水质达标状况</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不达标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水环境保护目标质量状况</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不达标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对照断面、控制断面等代表性断面的水质状况</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□；不达标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底泥污染评价</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水资源与开发利用程度及其水文情势评价</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水环境质量回顾评价</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流域（区域）水资源（包括水能资源）与开发利用总体状况、生态流量管理要求与现状满意程度、建设项目占用水域空间的水流状况与河湖演变状况</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c>
          <w:tcPr>
            <w:tcW w:w="1808"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达标区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不达标区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898"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评价结论</w:t>
            </w:r>
          </w:p>
        </w:tc>
        <w:tc>
          <w:tcPr>
            <w:tcW w:w="5293" w:type="dxa"/>
            <w:gridSpan w:val="10"/>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808"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达标区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不达标区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影响预测</w:t>
            </w: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预测范围</w:t>
            </w:r>
          </w:p>
        </w:tc>
        <w:tc>
          <w:tcPr>
            <w:tcW w:w="7101" w:type="dxa"/>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河流：长度（）</w:t>
            </w:r>
            <w:r>
              <w:rPr>
                <w:rFonts w:hint="default" w:ascii="Times New Roman" w:hAnsi="Times New Roman" w:eastAsia="宋体" w:cs="Times New Roman"/>
                <w:b w:val="0"/>
                <w:bCs w:val="0"/>
                <w:color w:val="auto"/>
                <w:sz w:val="22"/>
                <w:szCs w:val="22"/>
                <w:u w:val="none" w:color="auto"/>
                <w:vertAlign w:val="baseline"/>
                <w:lang w:val="en-US" w:eastAsia="zh-CN"/>
              </w:rPr>
              <w:t>km；湖库、河口及近岸海域：面积（）km</w:t>
            </w:r>
            <w:r>
              <w:rPr>
                <w:rFonts w:hint="default" w:ascii="Times New Roman" w:hAnsi="Times New Roman" w:eastAsia="宋体" w:cs="Times New Roman"/>
                <w:b w:val="0"/>
                <w:bCs w:val="0"/>
                <w:color w:val="auto"/>
                <w:sz w:val="22"/>
                <w:szCs w:val="22"/>
                <w:u w:val="none" w:color="auto"/>
                <w:vertAlign w:val="superscript"/>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预测因子</w:t>
            </w:r>
          </w:p>
        </w:tc>
        <w:tc>
          <w:tcPr>
            <w:tcW w:w="7101" w:type="dxa"/>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预测时期</w:t>
            </w:r>
          </w:p>
        </w:tc>
        <w:tc>
          <w:tcPr>
            <w:tcW w:w="7101" w:type="dxa"/>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丰水期 □；</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平水期 □；</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枯水期 □；</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冰封期 □；</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春季 □；</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 xml:space="preserve">夏季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 xml:space="preserve">秋季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；冬季 □；</w:t>
            </w:r>
            <w:r>
              <w:rPr>
                <w:rFonts w:hint="default" w:ascii="Times New Roman" w:hAnsi="Times New Roman" w:eastAsia="宋体" w:cs="Times New Roman"/>
                <w:b w:val="0"/>
                <w:bCs w:val="0"/>
                <w:color w:val="auto"/>
                <w:sz w:val="22"/>
                <w:szCs w:val="22"/>
                <w:u w:val="none" w:color="auto"/>
                <w:vertAlign w:val="baseline"/>
                <w:lang w:val="en-US" w:eastAsia="zh-CN"/>
              </w:rPr>
              <w:t xml:space="preserve"> 设计水文条件  </w:t>
            </w:r>
            <w:r>
              <w:rPr>
                <w:rFonts w:hint="default" w:ascii="Times New Roman" w:hAnsi="Times New Roman" w:eastAsia="宋体" w:cs="Times New Roman"/>
                <w:b w:val="0"/>
                <w:bCs w:val="0"/>
                <w:color w:val="auto"/>
                <w:sz w:val="22"/>
                <w:szCs w:val="22"/>
                <w:u w:val="none" w:color="auto"/>
                <w:vertAlign w:val="baseline"/>
                <w:lang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预测情景</w:t>
            </w:r>
          </w:p>
        </w:tc>
        <w:tc>
          <w:tcPr>
            <w:tcW w:w="7101" w:type="dxa"/>
            <w:gridSpan w:val="11"/>
            <w:tcBorders>
              <w:tl2br w:val="nil"/>
              <w:tr2bl w:val="nil"/>
            </w:tcBorders>
            <w:noWrap w:val="0"/>
            <w:vAlign w:val="center"/>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建设期</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□；生产运行期</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□；服务期满后</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正常工况</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；非正常工况</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污染控制和减缓措施方案</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区（流）域环境质量改善目标要求情景</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预测方法</w:t>
            </w:r>
          </w:p>
        </w:tc>
        <w:tc>
          <w:tcPr>
            <w:tcW w:w="7101" w:type="dxa"/>
            <w:gridSpan w:val="11"/>
            <w:tcBorders>
              <w:tl2br w:val="nil"/>
              <w:tr2bl w:val="nil"/>
            </w:tcBorders>
            <w:noWrap w:val="0"/>
            <w:vAlign w:val="center"/>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数值解</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□；解析解</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导则推荐模式</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影响评价</w:t>
            </w: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水污染控制和水环境影响减缓措施有效性评价</w:t>
            </w:r>
          </w:p>
        </w:tc>
        <w:tc>
          <w:tcPr>
            <w:tcW w:w="7101" w:type="dxa"/>
            <w:gridSpan w:val="11"/>
            <w:tcBorders>
              <w:tl2br w:val="nil"/>
              <w:tr2bl w:val="nil"/>
            </w:tcBorders>
            <w:noWrap w:val="0"/>
            <w:vAlign w:val="center"/>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区（流）域环境质量改善目标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；替代削减源</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水环境影响评价</w:t>
            </w:r>
          </w:p>
        </w:tc>
        <w:tc>
          <w:tcPr>
            <w:tcW w:w="7101" w:type="dxa"/>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排放口混合区外满足水环境管理要求</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水环境功能区或水功能区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近岸海域环境功能区水质达标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满足水环境保护目标水域水环境质量要求</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水环境控制单元或断面水质达标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重点满足水污染物排放总量控制指标要求、重点行业建设项目，主要污染物排放满足等量或减量替代要求</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满足区（流）域环境质量改善目标要求</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水文要素影响型建设项目同时应包括水文情势变化评价、主要水文特征值影响评价、生态流量符合性评价</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对于新设或调整入河（湖库、近岸海域）排放口的建设项目、应包括排放口设置的环境合理评价</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满足生态保护红线、水环境质量底线、资源利用上线和环境准入清单管理要求</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污染源排放量核算</w:t>
            </w:r>
          </w:p>
        </w:tc>
        <w:tc>
          <w:tcPr>
            <w:tcW w:w="109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污染物名称</w:t>
            </w:r>
          </w:p>
        </w:tc>
        <w:tc>
          <w:tcPr>
            <w:tcW w:w="2879" w:type="dxa"/>
            <w:gridSpan w:val="6"/>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排放量</w:t>
            </w:r>
            <w:r>
              <w:rPr>
                <w:rFonts w:hint="default" w:ascii="Times New Roman" w:hAnsi="Times New Roman" w:eastAsia="宋体" w:cs="Times New Roman"/>
                <w:b w:val="0"/>
                <w:bCs w:val="0"/>
                <w:color w:val="auto"/>
                <w:sz w:val="22"/>
                <w:szCs w:val="22"/>
                <w:u w:val="none" w:color="auto"/>
                <w:vertAlign w:val="baseline"/>
                <w:lang w:val="en-US" w:eastAsia="zh-CN"/>
              </w:rPr>
              <w:t>/（t/a）</w:t>
            </w:r>
          </w:p>
        </w:tc>
        <w:tc>
          <w:tcPr>
            <w:tcW w:w="3131" w:type="dxa"/>
            <w:gridSpan w:val="4"/>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排放浓度</w:t>
            </w:r>
            <w:r>
              <w:rPr>
                <w:rFonts w:hint="default" w:ascii="Times New Roman" w:hAnsi="Times New Roman" w:eastAsia="宋体" w:cs="Times New Roman"/>
                <w:b w:val="0"/>
                <w:bCs w:val="0"/>
                <w:color w:val="auto"/>
                <w:sz w:val="22"/>
                <w:szCs w:val="22"/>
                <w:u w:val="none" w:color="auto"/>
                <w:vertAlign w:val="baseline"/>
                <w:lang w:val="en-US" w:eastAsia="zh-CN"/>
              </w:rPr>
              <w:t>/（mg/L）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898"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091" w:type="dxa"/>
            <w:tcBorders>
              <w:tl2br w:val="nil"/>
              <w:tr2bl w:val="nil"/>
            </w:tcBorders>
            <w:noWrap w:val="0"/>
            <w:vAlign w:val="top"/>
          </w:tcPr>
          <w:p>
            <w:pPr>
              <w:spacing w:line="360" w:lineRule="auto"/>
              <w:jc w:val="center"/>
              <w:rPr>
                <w:rFonts w:hint="eastAsia" w:cs="Times New Roman"/>
                <w:b w:val="0"/>
                <w:bCs w:val="0"/>
                <w:color w:val="auto"/>
                <w:sz w:val="22"/>
                <w:szCs w:val="22"/>
                <w:u w:val="none" w:color="auto"/>
                <w:vertAlign w:val="baseline"/>
                <w:lang w:eastAsia="zh-CN"/>
              </w:rPr>
            </w:pPr>
            <w:r>
              <w:rPr>
                <w:rFonts w:hint="eastAsia" w:cs="Times New Roman"/>
                <w:b w:val="0"/>
                <w:bCs w:val="0"/>
                <w:color w:val="auto"/>
                <w:sz w:val="22"/>
                <w:szCs w:val="22"/>
                <w:u w:val="none" w:color="auto"/>
                <w:vertAlign w:val="baseline"/>
                <w:lang w:eastAsia="zh-CN"/>
              </w:rPr>
              <w:t>化学需</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eastAsia" w:cs="Times New Roman"/>
                <w:b w:val="0"/>
                <w:bCs w:val="0"/>
                <w:color w:val="auto"/>
                <w:sz w:val="22"/>
                <w:szCs w:val="22"/>
                <w:u w:val="none" w:color="auto"/>
                <w:vertAlign w:val="baseline"/>
                <w:lang w:eastAsia="zh-CN"/>
              </w:rPr>
              <w:t>氧量</w:t>
            </w:r>
          </w:p>
        </w:tc>
        <w:tc>
          <w:tcPr>
            <w:tcW w:w="2879" w:type="dxa"/>
            <w:gridSpan w:val="6"/>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eastAsia" w:cs="Times New Roman"/>
                <w:b w:val="0"/>
                <w:bCs w:val="0"/>
                <w:color w:val="auto"/>
                <w:sz w:val="22"/>
                <w:szCs w:val="22"/>
                <w:u w:val="none" w:color="auto"/>
                <w:vertAlign w:val="baseline"/>
                <w:lang w:val="en-US" w:eastAsia="zh-CN"/>
              </w:rPr>
              <w:t>0.03</w:t>
            </w:r>
          </w:p>
        </w:tc>
        <w:tc>
          <w:tcPr>
            <w:tcW w:w="3131" w:type="dxa"/>
            <w:gridSpan w:val="4"/>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eastAsia" w:cs="Times New Roman"/>
                <w:b w:val="0"/>
                <w:bCs w:val="0"/>
                <w:color w:val="auto"/>
                <w:sz w:val="22"/>
                <w:szCs w:val="22"/>
                <w:u w:val="none" w:color="auto"/>
                <w:vertAlign w:val="baseline"/>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898"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09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eastAsia" w:cs="Times New Roman"/>
                <w:b w:val="0"/>
                <w:bCs w:val="0"/>
                <w:color w:val="auto"/>
                <w:sz w:val="22"/>
                <w:szCs w:val="22"/>
                <w:u w:val="none" w:color="auto"/>
                <w:vertAlign w:val="baseline"/>
                <w:lang w:eastAsia="zh-CN"/>
              </w:rPr>
              <w:t>氨氮</w:t>
            </w:r>
          </w:p>
        </w:tc>
        <w:tc>
          <w:tcPr>
            <w:tcW w:w="2879" w:type="dxa"/>
            <w:gridSpan w:val="6"/>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eastAsia" w:cs="Times New Roman"/>
                <w:b w:val="0"/>
                <w:bCs w:val="0"/>
                <w:color w:val="auto"/>
                <w:sz w:val="22"/>
                <w:szCs w:val="22"/>
                <w:u w:val="none" w:color="auto"/>
                <w:vertAlign w:val="baseline"/>
                <w:lang w:val="en-US" w:eastAsia="zh-CN"/>
              </w:rPr>
              <w:t>0.048</w:t>
            </w:r>
          </w:p>
        </w:tc>
        <w:tc>
          <w:tcPr>
            <w:tcW w:w="3131" w:type="dxa"/>
            <w:gridSpan w:val="4"/>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eastAsia" w:cs="Times New Roman"/>
                <w:b w:val="0"/>
                <w:bCs w:val="0"/>
                <w:color w:val="auto"/>
                <w:sz w:val="22"/>
                <w:szCs w:val="22"/>
                <w:u w:val="none" w:color="auto"/>
                <w:vertAlign w:val="baseline"/>
                <w:lang w:val="en-US" w:eastAsia="zh-CN"/>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替代源排放情况</w:t>
            </w:r>
          </w:p>
        </w:tc>
        <w:tc>
          <w:tcPr>
            <w:tcW w:w="109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污染源名称</w:t>
            </w:r>
          </w:p>
        </w:tc>
        <w:tc>
          <w:tcPr>
            <w:tcW w:w="1458" w:type="dxa"/>
            <w:gridSpan w:val="2"/>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排污许可证编号</w:t>
            </w:r>
          </w:p>
        </w:tc>
        <w:tc>
          <w:tcPr>
            <w:tcW w:w="1191" w:type="dxa"/>
            <w:gridSpan w:val="2"/>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污染物</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名称</w:t>
            </w:r>
          </w:p>
        </w:tc>
        <w:tc>
          <w:tcPr>
            <w:tcW w:w="1390" w:type="dxa"/>
            <w:gridSpan w:val="4"/>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排放量</w:t>
            </w:r>
            <w:r>
              <w:rPr>
                <w:rFonts w:hint="default" w:ascii="Times New Roman" w:hAnsi="Times New Roman" w:eastAsia="宋体" w:cs="Times New Roman"/>
                <w:b w:val="0"/>
                <w:bCs w:val="0"/>
                <w:color w:val="auto"/>
                <w:sz w:val="22"/>
                <w:szCs w:val="22"/>
                <w:u w:val="none" w:color="auto"/>
                <w:vertAlign w:val="baseline"/>
                <w:lang w:val="en-US" w:eastAsia="zh-CN"/>
              </w:rPr>
              <w:t>/（t/a）</w:t>
            </w:r>
          </w:p>
        </w:tc>
        <w:tc>
          <w:tcPr>
            <w:tcW w:w="1971" w:type="dxa"/>
            <w:gridSpan w:val="2"/>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排放浓度</w:t>
            </w:r>
            <w:r>
              <w:rPr>
                <w:rFonts w:hint="default" w:ascii="Times New Roman" w:hAnsi="Times New Roman" w:eastAsia="宋体" w:cs="Times New Roman"/>
                <w:b w:val="0"/>
                <w:bCs w:val="0"/>
                <w:color w:val="auto"/>
                <w:sz w:val="22"/>
                <w:szCs w:val="22"/>
                <w:u w:val="none" w:color="auto"/>
                <w:vertAlign w:val="baseline"/>
                <w:lang w:val="en-US" w:eastAsia="zh-CN"/>
              </w:rPr>
              <w:t>/（mg/L）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898"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09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1458" w:type="dxa"/>
            <w:gridSpan w:val="2"/>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1191" w:type="dxa"/>
            <w:gridSpan w:val="2"/>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1390" w:type="dxa"/>
            <w:gridSpan w:val="4"/>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1971" w:type="dxa"/>
            <w:gridSpan w:val="2"/>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898"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生态流量</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确定</w:t>
            </w:r>
          </w:p>
        </w:tc>
        <w:tc>
          <w:tcPr>
            <w:tcW w:w="7101" w:type="dxa"/>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生态流量：一般水期（）</w:t>
            </w:r>
            <w:r>
              <w:rPr>
                <w:rFonts w:hint="default" w:ascii="Times New Roman" w:hAnsi="Times New Roman" w:eastAsia="宋体" w:cs="Times New Roman"/>
                <w:b w:val="0"/>
                <w:bCs w:val="0"/>
                <w:color w:val="auto"/>
                <w:sz w:val="22"/>
                <w:szCs w:val="22"/>
                <w:u w:val="none" w:color="auto"/>
                <w:vertAlign w:val="baseline"/>
                <w:lang w:val="en-US" w:eastAsia="zh-CN"/>
              </w:rPr>
              <w:t>m</w:t>
            </w:r>
            <w:r>
              <w:rPr>
                <w:rFonts w:hint="default" w:ascii="Times New Roman" w:hAnsi="Times New Roman" w:eastAsia="宋体" w:cs="Times New Roman"/>
                <w:b w:val="0"/>
                <w:bCs w:val="0"/>
                <w:color w:val="auto"/>
                <w:sz w:val="22"/>
                <w:szCs w:val="22"/>
                <w:u w:val="none" w:color="auto"/>
                <w:vertAlign w:val="superscript"/>
                <w:lang w:val="en-US" w:eastAsia="zh-CN"/>
              </w:rPr>
              <w:t>3</w:t>
            </w:r>
            <w:r>
              <w:rPr>
                <w:rFonts w:hint="default" w:ascii="Times New Roman" w:hAnsi="Times New Roman" w:eastAsia="宋体" w:cs="Times New Roman"/>
                <w:b w:val="0"/>
                <w:bCs w:val="0"/>
                <w:color w:val="auto"/>
                <w:sz w:val="22"/>
                <w:szCs w:val="22"/>
                <w:u w:val="none" w:color="auto"/>
                <w:vertAlign w:val="baseline"/>
                <w:lang w:val="en-US" w:eastAsia="zh-CN"/>
              </w:rPr>
              <w:t>/s；鱼类繁殖期</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m</w:t>
            </w:r>
            <w:r>
              <w:rPr>
                <w:rFonts w:hint="default" w:ascii="Times New Roman" w:hAnsi="Times New Roman" w:eastAsia="宋体" w:cs="Times New Roman"/>
                <w:b w:val="0"/>
                <w:bCs w:val="0"/>
                <w:color w:val="auto"/>
                <w:sz w:val="22"/>
                <w:szCs w:val="22"/>
                <w:u w:val="none" w:color="auto"/>
                <w:vertAlign w:val="superscript"/>
                <w:lang w:val="en-US" w:eastAsia="zh-CN"/>
              </w:rPr>
              <w:t>3</w:t>
            </w:r>
            <w:r>
              <w:rPr>
                <w:rFonts w:hint="default" w:ascii="Times New Roman" w:hAnsi="Times New Roman" w:eastAsia="宋体" w:cs="Times New Roman"/>
                <w:b w:val="0"/>
                <w:bCs w:val="0"/>
                <w:color w:val="auto"/>
                <w:sz w:val="22"/>
                <w:szCs w:val="22"/>
                <w:u w:val="none" w:color="auto"/>
                <w:vertAlign w:val="baseline"/>
                <w:lang w:val="en-US" w:eastAsia="zh-CN"/>
              </w:rPr>
              <w:t>/s；其他</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m</w:t>
            </w:r>
            <w:r>
              <w:rPr>
                <w:rFonts w:hint="default" w:ascii="Times New Roman" w:hAnsi="Times New Roman" w:eastAsia="宋体" w:cs="Times New Roman"/>
                <w:b w:val="0"/>
                <w:bCs w:val="0"/>
                <w:color w:val="auto"/>
                <w:sz w:val="22"/>
                <w:szCs w:val="22"/>
                <w:u w:val="none" w:color="auto"/>
                <w:vertAlign w:val="superscript"/>
                <w:lang w:val="en-US" w:eastAsia="zh-CN"/>
              </w:rPr>
              <w:t>3</w:t>
            </w:r>
            <w:r>
              <w:rPr>
                <w:rFonts w:hint="default" w:ascii="Times New Roman" w:hAnsi="Times New Roman" w:eastAsia="宋体" w:cs="Times New Roman"/>
                <w:b w:val="0"/>
                <w:bCs w:val="0"/>
                <w:color w:val="auto"/>
                <w:sz w:val="22"/>
                <w:szCs w:val="22"/>
                <w:u w:val="none" w:color="auto"/>
                <w:vertAlign w:val="baseline"/>
                <w:lang w:val="en-US" w:eastAsia="zh-CN"/>
              </w:rPr>
              <w:t>/s</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生态水位：一般水期（）</w:t>
            </w:r>
            <w:r>
              <w:rPr>
                <w:rFonts w:hint="default" w:ascii="Times New Roman" w:hAnsi="Times New Roman" w:eastAsia="宋体" w:cs="Times New Roman"/>
                <w:b w:val="0"/>
                <w:bCs w:val="0"/>
                <w:color w:val="auto"/>
                <w:sz w:val="22"/>
                <w:szCs w:val="22"/>
                <w:u w:val="none" w:color="auto"/>
                <w:vertAlign w:val="baseline"/>
                <w:lang w:val="en-US" w:eastAsia="zh-CN"/>
              </w:rPr>
              <w:t>m；鱼类繁殖期</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m；其他</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898"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防治措施</w:t>
            </w: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环保措施</w:t>
            </w:r>
          </w:p>
        </w:tc>
        <w:tc>
          <w:tcPr>
            <w:tcW w:w="7101" w:type="dxa"/>
            <w:gridSpan w:val="11"/>
            <w:tcBorders>
              <w:tl2br w:val="nil"/>
              <w:tr2bl w:val="nil"/>
            </w:tcBorders>
            <w:noWrap w:val="0"/>
            <w:vAlign w:val="center"/>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eastAsia" w:cs="Times New Roman"/>
                <w:b w:val="0"/>
                <w:bCs w:val="0"/>
                <w:color w:val="auto"/>
                <w:sz w:val="22"/>
                <w:szCs w:val="22"/>
                <w:u w:val="none" w:color="auto"/>
                <w:vertAlign w:val="baseline"/>
                <w:lang w:eastAsia="zh-CN"/>
              </w:rPr>
              <w:t>地埋式一体化污水处理设施</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；水文减缓措施</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□；生态流量保障设施</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□；区域削减</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□；依托其他工程措施</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8"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监测计划</w:t>
            </w:r>
          </w:p>
        </w:tc>
        <w:tc>
          <w:tcPr>
            <w:tcW w:w="109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2662" w:type="dxa"/>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环境质量</w:t>
            </w:r>
          </w:p>
        </w:tc>
        <w:tc>
          <w:tcPr>
            <w:tcW w:w="3348" w:type="dxa"/>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09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监测方式</w:t>
            </w:r>
          </w:p>
        </w:tc>
        <w:tc>
          <w:tcPr>
            <w:tcW w:w="2662" w:type="dxa"/>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手动</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；自动</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□；无监测</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c>
          <w:tcPr>
            <w:tcW w:w="3348" w:type="dxa"/>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手动</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r>
              <w:rPr>
                <w:rFonts w:hint="default" w:ascii="Times New Roman" w:hAnsi="Times New Roman" w:eastAsia="宋体" w:cs="Times New Roman"/>
                <w:b w:val="0"/>
                <w:bCs w:val="0"/>
                <w:color w:val="auto"/>
                <w:sz w:val="22"/>
                <w:szCs w:val="22"/>
                <w:u w:val="none" w:color="auto"/>
                <w:vertAlign w:val="baseline"/>
                <w:lang w:eastAsia="zh-CN"/>
              </w:rPr>
              <w:t>；自动</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□；无监测</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09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监测点位</w:t>
            </w:r>
          </w:p>
        </w:tc>
        <w:tc>
          <w:tcPr>
            <w:tcW w:w="2662" w:type="dxa"/>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3348" w:type="dxa"/>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09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监测因子</w:t>
            </w:r>
          </w:p>
        </w:tc>
        <w:tc>
          <w:tcPr>
            <w:tcW w:w="2662" w:type="dxa"/>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3348" w:type="dxa"/>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污染物排</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放清单</w:t>
            </w:r>
          </w:p>
        </w:tc>
        <w:tc>
          <w:tcPr>
            <w:tcW w:w="7101" w:type="dxa"/>
            <w:gridSpan w:val="11"/>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98"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评价结论</w:t>
            </w:r>
          </w:p>
        </w:tc>
        <w:tc>
          <w:tcPr>
            <w:tcW w:w="7101" w:type="dxa"/>
            <w:gridSpan w:val="11"/>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可以接受</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；不可以接受</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0350" w:type="dxa"/>
            <w:gridSpan w:val="13"/>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注：“□”为勾选项，可</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r>
              <w:rPr>
                <w:rFonts w:hint="default" w:ascii="Times New Roman" w:hAnsi="Times New Roman" w:eastAsia="宋体" w:cs="Times New Roman"/>
                <w:b w:val="0"/>
                <w:bCs w:val="0"/>
                <w:color w:val="auto"/>
                <w:sz w:val="22"/>
                <w:szCs w:val="22"/>
                <w:u w:val="none" w:color="auto"/>
                <w:vertAlign w:val="baseline"/>
                <w:lang w:eastAsia="zh-CN"/>
              </w:rPr>
              <w:t>：“（）”为内容填写项；“备注”为其他补充内容</w:t>
            </w:r>
          </w:p>
        </w:tc>
      </w:tr>
    </w:tbl>
    <w:p>
      <w:pPr>
        <w:bidi w:val="0"/>
        <w:rPr>
          <w:u w:val="none" w:color="auto"/>
        </w:rPr>
      </w:pPr>
    </w:p>
    <w:p>
      <w:pPr>
        <w:jc w:val="center"/>
        <w:rPr>
          <w:rFonts w:hint="default" w:ascii="Times New Roman" w:hAnsi="Times New Roman" w:eastAsia="宋体" w:cs="Times New Roman"/>
          <w:color w:val="auto"/>
          <w:sz w:val="24"/>
          <w:szCs w:val="22"/>
          <w:u w:val="none" w:color="auto"/>
          <w:lang w:eastAsia="zh-CN"/>
        </w:rPr>
      </w:pPr>
    </w:p>
    <w:p>
      <w:pPr>
        <w:jc w:val="center"/>
        <w:rPr>
          <w:rFonts w:hint="default" w:ascii="Times New Roman" w:hAnsi="Times New Roman" w:eastAsia="宋体" w:cs="Times New Roman"/>
          <w:b/>
          <w:bCs/>
          <w:color w:val="auto"/>
          <w:sz w:val="28"/>
          <w:szCs w:val="24"/>
          <w:u w:val="none" w:color="auto"/>
        </w:rPr>
      </w:pPr>
      <w:r>
        <w:rPr>
          <w:rFonts w:hint="default" w:ascii="Times New Roman" w:hAnsi="Times New Roman" w:eastAsia="宋体" w:cs="Times New Roman"/>
          <w:b/>
          <w:bCs/>
          <w:color w:val="auto"/>
          <w:sz w:val="28"/>
          <w:szCs w:val="24"/>
          <w:u w:val="none" w:color="auto"/>
          <w:lang w:eastAsia="zh-CN"/>
        </w:rPr>
        <w:t>表</w:t>
      </w:r>
      <w:r>
        <w:rPr>
          <w:rFonts w:hint="eastAsia" w:ascii="Times New Roman" w:hAnsi="Times New Roman" w:cs="Times New Roman"/>
          <w:b/>
          <w:bCs/>
          <w:color w:val="auto"/>
          <w:sz w:val="28"/>
          <w:szCs w:val="24"/>
          <w:u w:val="none" w:color="auto"/>
          <w:lang w:val="en-US" w:eastAsia="zh-CN"/>
        </w:rPr>
        <w:t>3</w:t>
      </w:r>
      <w:r>
        <w:rPr>
          <w:rFonts w:hint="default" w:ascii="Times New Roman" w:hAnsi="Times New Roman" w:eastAsia="宋体" w:cs="Times New Roman"/>
          <w:b/>
          <w:bCs/>
          <w:color w:val="auto"/>
          <w:sz w:val="28"/>
          <w:szCs w:val="24"/>
          <w:u w:val="none" w:color="auto"/>
          <w:lang w:val="en-US" w:eastAsia="zh-CN"/>
        </w:rPr>
        <w:t xml:space="preserve"> </w:t>
      </w:r>
      <w:r>
        <w:rPr>
          <w:rFonts w:hint="default" w:ascii="Times New Roman" w:hAnsi="Times New Roman" w:eastAsia="宋体" w:cs="Times New Roman"/>
          <w:b/>
          <w:bCs/>
          <w:color w:val="auto"/>
          <w:sz w:val="28"/>
          <w:szCs w:val="24"/>
          <w:u w:val="none" w:color="auto"/>
        </w:rPr>
        <w:t>环境风险评价自查表</w:t>
      </w:r>
    </w:p>
    <w:tbl>
      <w:tblPr>
        <w:tblStyle w:val="41"/>
        <w:tblW w:w="10260" w:type="dxa"/>
        <w:tblInd w:w="-36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183"/>
        <w:gridCol w:w="922"/>
        <w:gridCol w:w="372"/>
        <w:gridCol w:w="382"/>
        <w:gridCol w:w="445"/>
        <w:gridCol w:w="305"/>
        <w:gridCol w:w="199"/>
        <w:gridCol w:w="554"/>
        <w:gridCol w:w="753"/>
        <w:gridCol w:w="10"/>
        <w:gridCol w:w="786"/>
        <w:gridCol w:w="14"/>
        <w:gridCol w:w="199"/>
        <w:gridCol w:w="720"/>
        <w:gridCol w:w="765"/>
        <w:gridCol w:w="13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54" w:type="dxa"/>
            <w:gridSpan w:val="2"/>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工作内容</w:t>
            </w:r>
          </w:p>
        </w:tc>
        <w:tc>
          <w:tcPr>
            <w:tcW w:w="7806" w:type="dxa"/>
            <w:gridSpan w:val="15"/>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完成情况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271" w:type="dxa"/>
            <w:vMerge w:val="restart"/>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风险调查</w:t>
            </w:r>
          </w:p>
        </w:tc>
        <w:tc>
          <w:tcPr>
            <w:tcW w:w="1183" w:type="dxa"/>
            <w:vMerge w:val="restart"/>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危险物质</w:t>
            </w:r>
          </w:p>
        </w:tc>
        <w:tc>
          <w:tcPr>
            <w:tcW w:w="922" w:type="dxa"/>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名称</w:t>
            </w:r>
          </w:p>
        </w:tc>
        <w:tc>
          <w:tcPr>
            <w:tcW w:w="1504" w:type="dxa"/>
            <w:gridSpan w:val="4"/>
            <w:noWrap w:val="0"/>
            <w:vAlign w:val="center"/>
          </w:tcPr>
          <w:p>
            <w:pPr>
              <w:spacing w:line="360" w:lineRule="auto"/>
              <w:ind w:left="0" w:leftChars="0"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w:t>
            </w:r>
          </w:p>
        </w:tc>
        <w:tc>
          <w:tcPr>
            <w:tcW w:w="1506" w:type="dxa"/>
            <w:gridSpan w:val="3"/>
            <w:noWrap w:val="0"/>
            <w:vAlign w:val="center"/>
          </w:tcPr>
          <w:p>
            <w:pPr>
              <w:spacing w:line="360" w:lineRule="auto"/>
              <w:ind w:left="0" w:leftChars="0" w:firstLine="0" w:firstLineChars="0"/>
              <w:jc w:val="center"/>
              <w:rPr>
                <w:rFonts w:hint="eastAsia" w:ascii="Times New Roman" w:hAnsi="Times New Roman" w:eastAsia="宋体" w:cs="Times New Roman"/>
                <w:color w:val="auto"/>
                <w:sz w:val="21"/>
                <w:szCs w:val="21"/>
                <w:u w:val="none" w:color="auto"/>
                <w:lang w:eastAsia="zh-CN"/>
              </w:rPr>
            </w:pPr>
          </w:p>
        </w:tc>
        <w:tc>
          <w:tcPr>
            <w:tcW w:w="1009" w:type="dxa"/>
            <w:gridSpan w:val="4"/>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720" w:type="dxa"/>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765" w:type="dxa"/>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380" w:type="dxa"/>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271"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183"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922" w:type="dxa"/>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存在总量/t</w:t>
            </w:r>
          </w:p>
        </w:tc>
        <w:tc>
          <w:tcPr>
            <w:tcW w:w="1504" w:type="dxa"/>
            <w:gridSpan w:val="4"/>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w:t>
            </w:r>
          </w:p>
        </w:tc>
        <w:tc>
          <w:tcPr>
            <w:tcW w:w="1506" w:type="dxa"/>
            <w:gridSpan w:val="3"/>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lang w:val="en-US" w:eastAsia="zh-CN"/>
              </w:rPr>
            </w:pPr>
          </w:p>
        </w:tc>
        <w:tc>
          <w:tcPr>
            <w:tcW w:w="1009" w:type="dxa"/>
            <w:gridSpan w:val="4"/>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720" w:type="dxa"/>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765" w:type="dxa"/>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380" w:type="dxa"/>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1271"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183" w:type="dxa"/>
            <w:vMerge w:val="restart"/>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环境敏</w:t>
            </w:r>
          </w:p>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感性</w:t>
            </w:r>
          </w:p>
        </w:tc>
        <w:tc>
          <w:tcPr>
            <w:tcW w:w="922" w:type="dxa"/>
            <w:vMerge w:val="restart"/>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大气</w:t>
            </w:r>
          </w:p>
        </w:tc>
        <w:tc>
          <w:tcPr>
            <w:tcW w:w="3010" w:type="dxa"/>
            <w:gridSpan w:val="7"/>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500m范围内人口数___</w:t>
            </w:r>
            <w:r>
              <w:rPr>
                <w:rFonts w:hint="eastAsia" w:ascii="Times New Roman" w:hAnsi="Times New Roman" w:cs="Times New Roman"/>
                <w:color w:val="auto"/>
                <w:sz w:val="21"/>
                <w:szCs w:val="21"/>
                <w:u w:val="none" w:color="auto"/>
                <w:lang w:eastAsia="zh-CN"/>
              </w:rPr>
              <w:t>小于</w:t>
            </w:r>
            <w:r>
              <w:rPr>
                <w:rFonts w:hint="default" w:ascii="Times New Roman" w:hAnsi="Times New Roman" w:cs="Times New Roman"/>
                <w:color w:val="auto"/>
                <w:sz w:val="21"/>
                <w:szCs w:val="21"/>
                <w:u w:val="none" w:color="auto"/>
                <w:lang w:val="en-US" w:eastAsia="zh-CN"/>
              </w:rPr>
              <w:t>500</w:t>
            </w:r>
            <w:r>
              <w:rPr>
                <w:rFonts w:hint="default" w:ascii="Times New Roman" w:hAnsi="Times New Roman" w:cs="Times New Roman"/>
                <w:color w:val="auto"/>
                <w:sz w:val="21"/>
                <w:szCs w:val="21"/>
                <w:u w:val="none" w:color="auto"/>
              </w:rPr>
              <w:t>____人</w:t>
            </w:r>
          </w:p>
        </w:tc>
        <w:tc>
          <w:tcPr>
            <w:tcW w:w="3874" w:type="dxa"/>
            <w:gridSpan w:val="7"/>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5km范围内人口数_______人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1271"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183"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922" w:type="dxa"/>
            <w:vMerge w:val="continue"/>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4739" w:type="dxa"/>
            <w:gridSpan w:val="12"/>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每公里管段周边200m范围内人口数（最大）</w:t>
            </w:r>
          </w:p>
        </w:tc>
        <w:tc>
          <w:tcPr>
            <w:tcW w:w="2145" w:type="dxa"/>
            <w:gridSpan w:val="2"/>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_______人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1271"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183"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922" w:type="dxa"/>
            <w:vMerge w:val="restart"/>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地表水</w:t>
            </w:r>
          </w:p>
        </w:tc>
        <w:tc>
          <w:tcPr>
            <w:tcW w:w="1703" w:type="dxa"/>
            <w:gridSpan w:val="5"/>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地表水功能</w:t>
            </w:r>
          </w:p>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敏感性</w:t>
            </w:r>
          </w:p>
        </w:tc>
        <w:tc>
          <w:tcPr>
            <w:tcW w:w="1307" w:type="dxa"/>
            <w:gridSpan w:val="2"/>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F1□</w:t>
            </w:r>
          </w:p>
        </w:tc>
        <w:tc>
          <w:tcPr>
            <w:tcW w:w="1729" w:type="dxa"/>
            <w:gridSpan w:val="5"/>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F2□</w:t>
            </w:r>
          </w:p>
        </w:tc>
        <w:tc>
          <w:tcPr>
            <w:tcW w:w="2145" w:type="dxa"/>
            <w:gridSpan w:val="2"/>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F3</w:t>
            </w:r>
            <w:r>
              <w:rPr>
                <w:rFonts w:hint="default" w:ascii="Times New Roman" w:hAnsi="Times New Roman" w:cs="Times New Roman"/>
                <w:color w:val="auto"/>
                <w:sz w:val="21"/>
                <w:szCs w:val="21"/>
                <w:u w:val="none" w:color="auto"/>
              </w:rPr>
              <w:sym w:font="Wingdings 2" w:char="00A3"/>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71"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183"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922" w:type="dxa"/>
            <w:vMerge w:val="continue"/>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703" w:type="dxa"/>
            <w:gridSpan w:val="5"/>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环境敏感目</w:t>
            </w:r>
          </w:p>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标分级</w:t>
            </w:r>
          </w:p>
        </w:tc>
        <w:tc>
          <w:tcPr>
            <w:tcW w:w="1307" w:type="dxa"/>
            <w:gridSpan w:val="2"/>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S1□</w:t>
            </w:r>
          </w:p>
        </w:tc>
        <w:tc>
          <w:tcPr>
            <w:tcW w:w="1729" w:type="dxa"/>
            <w:gridSpan w:val="5"/>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S2□</w:t>
            </w:r>
          </w:p>
        </w:tc>
        <w:tc>
          <w:tcPr>
            <w:tcW w:w="2145" w:type="dxa"/>
            <w:gridSpan w:val="2"/>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S3</w:t>
            </w:r>
            <w:r>
              <w:rPr>
                <w:rFonts w:hint="default" w:ascii="Times New Roman" w:hAnsi="Times New Roman" w:cs="Times New Roman"/>
                <w:color w:val="auto"/>
                <w:sz w:val="21"/>
                <w:szCs w:val="21"/>
                <w:u w:val="none" w:color="auto"/>
              </w:rPr>
              <w:sym w:font="Wingdings 2" w:char="00A3"/>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1271"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183"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922" w:type="dxa"/>
            <w:vMerge w:val="restart"/>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地下水</w:t>
            </w:r>
          </w:p>
        </w:tc>
        <w:tc>
          <w:tcPr>
            <w:tcW w:w="1703" w:type="dxa"/>
            <w:gridSpan w:val="5"/>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地下水功能</w:t>
            </w:r>
          </w:p>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敏感性</w:t>
            </w:r>
          </w:p>
        </w:tc>
        <w:tc>
          <w:tcPr>
            <w:tcW w:w="1307" w:type="dxa"/>
            <w:gridSpan w:val="2"/>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G1□</w:t>
            </w:r>
          </w:p>
        </w:tc>
        <w:tc>
          <w:tcPr>
            <w:tcW w:w="1729" w:type="dxa"/>
            <w:gridSpan w:val="5"/>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G2□</w:t>
            </w:r>
          </w:p>
        </w:tc>
        <w:tc>
          <w:tcPr>
            <w:tcW w:w="2145" w:type="dxa"/>
            <w:gridSpan w:val="2"/>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G3</w:t>
            </w:r>
            <w:r>
              <w:rPr>
                <w:rFonts w:hint="default" w:ascii="Times New Roman" w:hAnsi="Times New Roman" w:cs="Times New Roman"/>
                <w:color w:val="auto"/>
                <w:sz w:val="21"/>
                <w:szCs w:val="21"/>
                <w:u w:val="none" w:color="auto"/>
              </w:rPr>
              <w:sym w:font="Wingdings 2" w:char="00A3"/>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1271"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183"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922" w:type="dxa"/>
            <w:vMerge w:val="continue"/>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703" w:type="dxa"/>
            <w:gridSpan w:val="5"/>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包气带防污性能</w:t>
            </w:r>
          </w:p>
        </w:tc>
        <w:tc>
          <w:tcPr>
            <w:tcW w:w="1307" w:type="dxa"/>
            <w:gridSpan w:val="2"/>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D1</w:t>
            </w:r>
            <w:r>
              <w:rPr>
                <w:rFonts w:hint="default" w:ascii="Times New Roman" w:hAnsi="Times New Roman" w:cs="Times New Roman"/>
                <w:color w:val="auto"/>
                <w:sz w:val="21"/>
                <w:szCs w:val="21"/>
                <w:u w:val="none" w:color="auto"/>
              </w:rPr>
              <w:sym w:font="Wingdings 2" w:char="00A3"/>
            </w:r>
          </w:p>
        </w:tc>
        <w:tc>
          <w:tcPr>
            <w:tcW w:w="1729" w:type="dxa"/>
            <w:gridSpan w:val="5"/>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D2□</w:t>
            </w:r>
          </w:p>
        </w:tc>
        <w:tc>
          <w:tcPr>
            <w:tcW w:w="2145" w:type="dxa"/>
            <w:gridSpan w:val="2"/>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D3□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54" w:type="dxa"/>
            <w:gridSpan w:val="2"/>
            <w:vMerge w:val="restart"/>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物质及工艺系统危险性</w:t>
            </w:r>
          </w:p>
        </w:tc>
        <w:tc>
          <w:tcPr>
            <w:tcW w:w="922" w:type="dxa"/>
            <w:tcBorders>
              <w:top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Q值</w:t>
            </w:r>
          </w:p>
        </w:tc>
        <w:tc>
          <w:tcPr>
            <w:tcW w:w="1703" w:type="dxa"/>
            <w:gridSpan w:val="5"/>
            <w:tcBorders>
              <w:top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rPr>
              <w:t>Q＜1</w:t>
            </w:r>
            <w:r>
              <w:rPr>
                <w:rFonts w:hint="eastAsia" w:cs="Times New Roman"/>
                <w:color w:val="auto"/>
                <w:sz w:val="21"/>
                <w:szCs w:val="21"/>
                <w:u w:val="none" w:color="auto"/>
                <w:lang w:eastAsia="zh-CN"/>
              </w:rPr>
              <w:t>□</w:t>
            </w:r>
          </w:p>
        </w:tc>
        <w:tc>
          <w:tcPr>
            <w:tcW w:w="1307" w:type="dxa"/>
            <w:gridSpan w:val="2"/>
            <w:tcBorders>
              <w:top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1≤Q＜10□</w:t>
            </w:r>
          </w:p>
        </w:tc>
        <w:tc>
          <w:tcPr>
            <w:tcW w:w="1729" w:type="dxa"/>
            <w:gridSpan w:val="5"/>
            <w:tcBorders>
              <w:top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10≤Q＜100□</w:t>
            </w:r>
          </w:p>
        </w:tc>
        <w:tc>
          <w:tcPr>
            <w:tcW w:w="2145" w:type="dxa"/>
            <w:gridSpan w:val="2"/>
            <w:tcBorders>
              <w:top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Q＞100□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54" w:type="dxa"/>
            <w:gridSpan w:val="2"/>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922" w:type="dxa"/>
            <w:tcBorders>
              <w:top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M值</w:t>
            </w:r>
          </w:p>
        </w:tc>
        <w:tc>
          <w:tcPr>
            <w:tcW w:w="1703" w:type="dxa"/>
            <w:gridSpan w:val="5"/>
            <w:tcBorders>
              <w:top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rPr>
              <w:t>M1</w:t>
            </w:r>
            <w:r>
              <w:rPr>
                <w:rFonts w:hint="default" w:ascii="Times New Roman" w:hAnsi="Times New Roman" w:cs="Times New Roman"/>
                <w:color w:val="auto"/>
                <w:sz w:val="21"/>
                <w:szCs w:val="21"/>
                <w:u w:val="none" w:color="auto"/>
                <w:lang w:eastAsia="zh-CN"/>
              </w:rPr>
              <w:t>□</w:t>
            </w:r>
          </w:p>
        </w:tc>
        <w:tc>
          <w:tcPr>
            <w:tcW w:w="1307" w:type="dxa"/>
            <w:gridSpan w:val="2"/>
            <w:tcBorders>
              <w:top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M2□</w:t>
            </w:r>
          </w:p>
        </w:tc>
        <w:tc>
          <w:tcPr>
            <w:tcW w:w="1729" w:type="dxa"/>
            <w:gridSpan w:val="5"/>
            <w:tcBorders>
              <w:top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M3□</w:t>
            </w:r>
          </w:p>
        </w:tc>
        <w:tc>
          <w:tcPr>
            <w:tcW w:w="2145" w:type="dxa"/>
            <w:gridSpan w:val="2"/>
            <w:tcBorders>
              <w:top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rPr>
              <w:t>M4</w:t>
            </w:r>
            <w:r>
              <w:rPr>
                <w:rFonts w:hint="eastAsia" w:cs="Times New Roman"/>
                <w:color w:val="auto"/>
                <w:sz w:val="21"/>
                <w:szCs w:val="21"/>
                <w:u w:val="none" w:color="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54" w:type="dxa"/>
            <w:gridSpan w:val="2"/>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922" w:type="dxa"/>
            <w:tcBorders>
              <w:top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P值</w:t>
            </w:r>
          </w:p>
        </w:tc>
        <w:tc>
          <w:tcPr>
            <w:tcW w:w="1703" w:type="dxa"/>
            <w:gridSpan w:val="5"/>
            <w:tcBorders>
              <w:top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P1□</w:t>
            </w:r>
          </w:p>
        </w:tc>
        <w:tc>
          <w:tcPr>
            <w:tcW w:w="1307" w:type="dxa"/>
            <w:gridSpan w:val="2"/>
            <w:tcBorders>
              <w:top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P2□</w:t>
            </w:r>
          </w:p>
        </w:tc>
        <w:tc>
          <w:tcPr>
            <w:tcW w:w="1729" w:type="dxa"/>
            <w:gridSpan w:val="5"/>
            <w:tcBorders>
              <w:top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P3□</w:t>
            </w:r>
          </w:p>
        </w:tc>
        <w:tc>
          <w:tcPr>
            <w:tcW w:w="2145" w:type="dxa"/>
            <w:gridSpan w:val="2"/>
            <w:tcBorders>
              <w:top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rPr>
              <w:t>P4</w:t>
            </w:r>
            <w:r>
              <w:rPr>
                <w:rFonts w:hint="eastAsia" w:ascii="Times New Roman" w:hAnsi="Times New Roman" w:cs="Times New Roman"/>
                <w:color w:val="auto"/>
                <w:sz w:val="21"/>
                <w:szCs w:val="21"/>
                <w:u w:val="none" w:color="auto"/>
                <w:lang w:eastAsia="zh-CN"/>
              </w:rPr>
              <w:sym w:font="Wingdings 2" w:char="00A3"/>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54" w:type="dxa"/>
            <w:gridSpan w:val="2"/>
            <w:vMerge w:val="restart"/>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环境敏感程度</w:t>
            </w:r>
          </w:p>
        </w:tc>
        <w:tc>
          <w:tcPr>
            <w:tcW w:w="1676" w:type="dxa"/>
            <w:gridSpan w:val="3"/>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大气</w:t>
            </w:r>
          </w:p>
        </w:tc>
        <w:tc>
          <w:tcPr>
            <w:tcW w:w="1503" w:type="dxa"/>
            <w:gridSpan w:val="4"/>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E1□</w:t>
            </w:r>
          </w:p>
        </w:tc>
        <w:tc>
          <w:tcPr>
            <w:tcW w:w="1549" w:type="dxa"/>
            <w:gridSpan w:val="3"/>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rPr>
              <w:t>E2</w:t>
            </w:r>
            <w:r>
              <w:rPr>
                <w:rFonts w:hint="eastAsia" w:ascii="Times New Roman" w:hAnsi="Times New Roman" w:cs="Times New Roman"/>
                <w:color w:val="auto"/>
                <w:sz w:val="21"/>
                <w:szCs w:val="21"/>
                <w:u w:val="none" w:color="auto"/>
                <w:lang w:eastAsia="zh-CN"/>
              </w:rPr>
              <w:t>□</w:t>
            </w:r>
          </w:p>
        </w:tc>
        <w:tc>
          <w:tcPr>
            <w:tcW w:w="3078" w:type="dxa"/>
            <w:gridSpan w:val="5"/>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rPr>
              <w:t>E3</w:t>
            </w:r>
            <w:r>
              <w:rPr>
                <w:rFonts w:hint="default" w:ascii="Times New Roman" w:hAnsi="Times New Roman" w:cs="Times New Roman"/>
                <w:color w:val="auto"/>
                <w:sz w:val="21"/>
                <w:szCs w:val="21"/>
                <w:u w:val="none" w:color="auto"/>
                <w:lang w:eastAsia="zh-CN"/>
              </w:rPr>
              <w:sym w:font="Wingdings 2" w:char="00A3"/>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54" w:type="dxa"/>
            <w:gridSpan w:val="2"/>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676" w:type="dxa"/>
            <w:gridSpan w:val="3"/>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地表水</w:t>
            </w:r>
          </w:p>
        </w:tc>
        <w:tc>
          <w:tcPr>
            <w:tcW w:w="1503" w:type="dxa"/>
            <w:gridSpan w:val="4"/>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E1□</w:t>
            </w:r>
          </w:p>
        </w:tc>
        <w:tc>
          <w:tcPr>
            <w:tcW w:w="1549" w:type="dxa"/>
            <w:gridSpan w:val="3"/>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E2□</w:t>
            </w:r>
          </w:p>
        </w:tc>
        <w:tc>
          <w:tcPr>
            <w:tcW w:w="3078" w:type="dxa"/>
            <w:gridSpan w:val="5"/>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rPr>
              <w:t>E3</w:t>
            </w:r>
            <w:r>
              <w:rPr>
                <w:rFonts w:hint="eastAsia" w:cs="Times New Roman"/>
                <w:color w:val="auto"/>
                <w:sz w:val="21"/>
                <w:szCs w:val="21"/>
                <w:u w:val="none" w:color="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54" w:type="dxa"/>
            <w:gridSpan w:val="2"/>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676" w:type="dxa"/>
            <w:gridSpan w:val="3"/>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地下水</w:t>
            </w:r>
          </w:p>
        </w:tc>
        <w:tc>
          <w:tcPr>
            <w:tcW w:w="1503" w:type="dxa"/>
            <w:gridSpan w:val="4"/>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E1□</w:t>
            </w:r>
          </w:p>
        </w:tc>
        <w:tc>
          <w:tcPr>
            <w:tcW w:w="1549" w:type="dxa"/>
            <w:gridSpan w:val="3"/>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E2</w:t>
            </w:r>
            <w:r>
              <w:rPr>
                <w:rFonts w:hint="default" w:ascii="Times New Roman" w:hAnsi="Times New Roman" w:cs="Times New Roman"/>
                <w:color w:val="auto"/>
                <w:sz w:val="21"/>
                <w:szCs w:val="21"/>
                <w:u w:val="none" w:color="auto"/>
              </w:rPr>
              <w:sym w:font="Wingdings 2" w:char="00A3"/>
            </w:r>
          </w:p>
        </w:tc>
        <w:tc>
          <w:tcPr>
            <w:tcW w:w="3078" w:type="dxa"/>
            <w:gridSpan w:val="5"/>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rPr>
              <w:t>E3</w:t>
            </w:r>
            <w:r>
              <w:rPr>
                <w:rFonts w:hint="eastAsia" w:ascii="Times New Roman" w:hAnsi="Times New Roman" w:cs="Times New Roman"/>
                <w:color w:val="auto"/>
                <w:sz w:val="21"/>
                <w:szCs w:val="21"/>
                <w:u w:val="none" w:color="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54" w:type="dxa"/>
            <w:gridSpan w:val="2"/>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环境风险潜势</w:t>
            </w:r>
          </w:p>
        </w:tc>
        <w:tc>
          <w:tcPr>
            <w:tcW w:w="1294" w:type="dxa"/>
            <w:gridSpan w:val="2"/>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IV+</w:t>
            </w:r>
            <w:r>
              <w:rPr>
                <w:rFonts w:hint="eastAsia" w:ascii="Times New Roman" w:hAnsi="Times New Roman" w:cs="Times New Roman"/>
                <w:color w:val="auto"/>
                <w:sz w:val="21"/>
                <w:szCs w:val="21"/>
                <w:u w:val="none" w:color="auto"/>
                <w:lang w:eastAsia="zh-CN"/>
              </w:rPr>
              <w:t>□</w:t>
            </w:r>
          </w:p>
        </w:tc>
        <w:tc>
          <w:tcPr>
            <w:tcW w:w="1331" w:type="dxa"/>
            <w:gridSpan w:val="4"/>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IV□</w:t>
            </w:r>
          </w:p>
        </w:tc>
        <w:tc>
          <w:tcPr>
            <w:tcW w:w="1317" w:type="dxa"/>
            <w:gridSpan w:val="3"/>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III□</w:t>
            </w:r>
          </w:p>
        </w:tc>
        <w:tc>
          <w:tcPr>
            <w:tcW w:w="1719" w:type="dxa"/>
            <w:gridSpan w:val="4"/>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II□</w:t>
            </w:r>
          </w:p>
        </w:tc>
        <w:tc>
          <w:tcPr>
            <w:tcW w:w="2145" w:type="dxa"/>
            <w:gridSpan w:val="2"/>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I</w:t>
            </w:r>
            <w:r>
              <w:rPr>
                <w:rFonts w:hint="default" w:ascii="Times New Roman" w:hAnsi="Times New Roman" w:cs="Times New Roman"/>
                <w:color w:val="auto"/>
                <w:sz w:val="21"/>
                <w:szCs w:val="21"/>
                <w:u w:val="none" w:color="auto"/>
              </w:rPr>
              <w:sym w:font="Wingdings 2" w:char="0052"/>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54" w:type="dxa"/>
            <w:gridSpan w:val="2"/>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评价等级</w:t>
            </w:r>
          </w:p>
        </w:tc>
        <w:tc>
          <w:tcPr>
            <w:tcW w:w="1676" w:type="dxa"/>
            <w:gridSpan w:val="3"/>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一级□</w:t>
            </w:r>
          </w:p>
        </w:tc>
        <w:tc>
          <w:tcPr>
            <w:tcW w:w="1503" w:type="dxa"/>
            <w:gridSpan w:val="4"/>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二级□</w:t>
            </w:r>
          </w:p>
        </w:tc>
        <w:tc>
          <w:tcPr>
            <w:tcW w:w="1549" w:type="dxa"/>
            <w:gridSpan w:val="3"/>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三级□</w:t>
            </w:r>
          </w:p>
        </w:tc>
        <w:tc>
          <w:tcPr>
            <w:tcW w:w="3078" w:type="dxa"/>
            <w:gridSpan w:val="5"/>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rPr>
              <w:t>简单分析</w:t>
            </w:r>
            <w:r>
              <w:rPr>
                <w:rFonts w:hint="default" w:ascii="Times New Roman" w:hAnsi="Times New Roman" w:cs="Times New Roman"/>
                <w:color w:val="auto"/>
                <w:sz w:val="21"/>
                <w:szCs w:val="21"/>
                <w:u w:val="none" w:color="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71" w:type="dxa"/>
            <w:vMerge w:val="restart"/>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风险识别</w:t>
            </w:r>
          </w:p>
        </w:tc>
        <w:tc>
          <w:tcPr>
            <w:tcW w:w="1183" w:type="dxa"/>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物质危险性</w:t>
            </w:r>
          </w:p>
        </w:tc>
        <w:tc>
          <w:tcPr>
            <w:tcW w:w="3179" w:type="dxa"/>
            <w:gridSpan w:val="7"/>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有毒有害</w:t>
            </w:r>
            <w:r>
              <w:rPr>
                <w:rFonts w:hint="default" w:ascii="Times New Roman" w:hAnsi="Times New Roman" w:cs="Times New Roman"/>
                <w:color w:val="auto"/>
                <w:sz w:val="21"/>
                <w:szCs w:val="21"/>
                <w:u w:val="none" w:color="auto"/>
              </w:rPr>
              <w:sym w:font="Wingdings 2" w:char="0052"/>
            </w:r>
          </w:p>
        </w:tc>
        <w:tc>
          <w:tcPr>
            <w:tcW w:w="4627" w:type="dxa"/>
            <w:gridSpan w:val="8"/>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易燃易爆</w:t>
            </w:r>
            <w:r>
              <w:rPr>
                <w:rFonts w:hint="default" w:ascii="Times New Roman" w:hAnsi="Times New Roman" w:cs="Times New Roman"/>
                <w:color w:val="auto"/>
                <w:sz w:val="21"/>
                <w:szCs w:val="21"/>
                <w:u w:val="none" w:color="auto"/>
              </w:rPr>
              <w:sym w:font="Wingdings 2" w:char="00A3"/>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71"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183" w:type="dxa"/>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环境风险类型</w:t>
            </w:r>
          </w:p>
        </w:tc>
        <w:tc>
          <w:tcPr>
            <w:tcW w:w="3179" w:type="dxa"/>
            <w:gridSpan w:val="7"/>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泄漏</w:t>
            </w:r>
            <w:r>
              <w:rPr>
                <w:rFonts w:hint="default" w:ascii="Times New Roman" w:hAnsi="Times New Roman" w:cs="Times New Roman"/>
                <w:color w:val="auto"/>
                <w:sz w:val="21"/>
                <w:szCs w:val="21"/>
                <w:u w:val="none" w:color="auto"/>
              </w:rPr>
              <w:sym w:font="Wingdings 2" w:char="0052"/>
            </w:r>
          </w:p>
        </w:tc>
        <w:tc>
          <w:tcPr>
            <w:tcW w:w="4627" w:type="dxa"/>
            <w:gridSpan w:val="8"/>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rPr>
              <w:t>火灾、爆炸引发伴生/次生污染物排放</w:t>
            </w:r>
            <w:r>
              <w:rPr>
                <w:rFonts w:hint="eastAsia" w:cs="Times New Roman"/>
                <w:color w:val="auto"/>
                <w:sz w:val="21"/>
                <w:szCs w:val="21"/>
                <w:u w:val="none" w:color="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271"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183" w:type="dxa"/>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影响途径</w:t>
            </w:r>
          </w:p>
        </w:tc>
        <w:tc>
          <w:tcPr>
            <w:tcW w:w="2121" w:type="dxa"/>
            <w:gridSpan w:val="4"/>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rPr>
              <w:t>大气</w:t>
            </w:r>
            <w:r>
              <w:rPr>
                <w:rFonts w:hint="default" w:ascii="Times New Roman" w:hAnsi="Times New Roman" w:cs="Times New Roman"/>
                <w:color w:val="auto"/>
                <w:sz w:val="21"/>
                <w:szCs w:val="21"/>
                <w:u w:val="none" w:color="auto"/>
                <w:lang w:eastAsia="zh-CN"/>
              </w:rPr>
              <w:sym w:font="Wingdings 2" w:char="00A3"/>
            </w:r>
          </w:p>
        </w:tc>
        <w:tc>
          <w:tcPr>
            <w:tcW w:w="2621" w:type="dxa"/>
            <w:gridSpan w:val="7"/>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rPr>
              <w:t>地表水</w:t>
            </w:r>
            <w:r>
              <w:rPr>
                <w:rFonts w:hint="eastAsia" w:cs="Times New Roman"/>
                <w:color w:val="auto"/>
                <w:sz w:val="21"/>
                <w:szCs w:val="21"/>
                <w:u w:val="none" w:color="auto"/>
                <w:lang w:eastAsia="zh-CN"/>
              </w:rPr>
              <w:t>□</w:t>
            </w:r>
          </w:p>
        </w:tc>
        <w:tc>
          <w:tcPr>
            <w:tcW w:w="3064" w:type="dxa"/>
            <w:gridSpan w:val="4"/>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地下水□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54" w:type="dxa"/>
            <w:gridSpan w:val="2"/>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事故情形分析</w:t>
            </w:r>
          </w:p>
        </w:tc>
        <w:tc>
          <w:tcPr>
            <w:tcW w:w="1676" w:type="dxa"/>
            <w:gridSpan w:val="3"/>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源强设定方法</w:t>
            </w:r>
          </w:p>
        </w:tc>
        <w:tc>
          <w:tcPr>
            <w:tcW w:w="1503" w:type="dxa"/>
            <w:gridSpan w:val="4"/>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计算法□</w:t>
            </w:r>
          </w:p>
        </w:tc>
        <w:tc>
          <w:tcPr>
            <w:tcW w:w="1563" w:type="dxa"/>
            <w:gridSpan w:val="4"/>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经验估算法□</w:t>
            </w:r>
          </w:p>
        </w:tc>
        <w:tc>
          <w:tcPr>
            <w:tcW w:w="3064" w:type="dxa"/>
            <w:gridSpan w:val="4"/>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其他估算法</w:t>
            </w:r>
            <w:r>
              <w:rPr>
                <w:rFonts w:hint="default" w:ascii="Times New Roman" w:hAnsi="Times New Roman" w:cs="Times New Roman"/>
                <w:color w:val="auto"/>
                <w:sz w:val="21"/>
                <w:szCs w:val="21"/>
                <w:u w:val="none" w:color="auto"/>
              </w:rPr>
              <w:sym w:font="Wingdings 2" w:char="00A3"/>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1" w:type="dxa"/>
            <w:vMerge w:val="restart"/>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风险预测与评价</w:t>
            </w:r>
          </w:p>
        </w:tc>
        <w:tc>
          <w:tcPr>
            <w:tcW w:w="1183" w:type="dxa"/>
            <w:vMerge w:val="restart"/>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大气</w:t>
            </w:r>
          </w:p>
        </w:tc>
        <w:tc>
          <w:tcPr>
            <w:tcW w:w="1676" w:type="dxa"/>
            <w:gridSpan w:val="3"/>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预测模型</w:t>
            </w:r>
          </w:p>
        </w:tc>
        <w:tc>
          <w:tcPr>
            <w:tcW w:w="1503" w:type="dxa"/>
            <w:gridSpan w:val="4"/>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SLAB□</w:t>
            </w:r>
          </w:p>
        </w:tc>
        <w:tc>
          <w:tcPr>
            <w:tcW w:w="1549" w:type="dxa"/>
            <w:gridSpan w:val="3"/>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AFTOX□</w:t>
            </w:r>
          </w:p>
        </w:tc>
        <w:tc>
          <w:tcPr>
            <w:tcW w:w="3078" w:type="dxa"/>
            <w:gridSpan w:val="5"/>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其他</w:t>
            </w:r>
            <w:r>
              <w:rPr>
                <w:rFonts w:hint="default" w:ascii="Times New Roman" w:hAnsi="Times New Roman" w:cs="Times New Roman"/>
                <w:color w:val="auto"/>
                <w:sz w:val="21"/>
                <w:szCs w:val="21"/>
                <w:u w:val="none" w:color="auto"/>
              </w:rPr>
              <w:sym w:font="Wingdings 2" w:char="00A3"/>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1271"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183"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676" w:type="dxa"/>
            <w:gridSpan w:val="3"/>
            <w:vMerge w:val="restart"/>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预测结果</w:t>
            </w:r>
          </w:p>
        </w:tc>
        <w:tc>
          <w:tcPr>
            <w:tcW w:w="6130" w:type="dxa"/>
            <w:gridSpan w:val="12"/>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大气毒性终点浓度-1  最大影响范围___m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1271"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183"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676" w:type="dxa"/>
            <w:gridSpan w:val="3"/>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6130" w:type="dxa"/>
            <w:gridSpan w:val="12"/>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大气毒性终点浓度-2  最大影响范围___m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1271"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183" w:type="dxa"/>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地表水</w:t>
            </w:r>
          </w:p>
        </w:tc>
        <w:tc>
          <w:tcPr>
            <w:tcW w:w="7806" w:type="dxa"/>
            <w:gridSpan w:val="15"/>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最近环境敏感目标_____，到达时间______h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271"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183" w:type="dxa"/>
            <w:vMerge w:val="restart"/>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地下水</w:t>
            </w:r>
          </w:p>
        </w:tc>
        <w:tc>
          <w:tcPr>
            <w:tcW w:w="7806" w:type="dxa"/>
            <w:gridSpan w:val="15"/>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下游厂区边界到达时间_____d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271"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183"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7806" w:type="dxa"/>
            <w:gridSpan w:val="15"/>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最近环境敏感目标_____，到达时间______d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271" w:type="dxa"/>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重点风险</w:t>
            </w:r>
          </w:p>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防范措施</w:t>
            </w:r>
          </w:p>
        </w:tc>
        <w:tc>
          <w:tcPr>
            <w:tcW w:w="8989" w:type="dxa"/>
            <w:gridSpan w:val="16"/>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地面防渗，设置围堰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271" w:type="dxa"/>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评价结论与建议</w:t>
            </w:r>
          </w:p>
        </w:tc>
        <w:tc>
          <w:tcPr>
            <w:tcW w:w="8989" w:type="dxa"/>
            <w:gridSpan w:val="16"/>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rPr>
              <w:t>综上所述，项目存在一定风险，在采取相应的风险防范措施下，项目的风险处于环境可接受的水平，项目建设从环境风险角度分析可行</w:t>
            </w:r>
            <w:r>
              <w:rPr>
                <w:rFonts w:hint="default" w:ascii="Times New Roman" w:hAnsi="Times New Roman" w:cs="Times New Roman"/>
                <w:color w:val="auto"/>
                <w:sz w:val="21"/>
                <w:szCs w:val="21"/>
                <w:u w:val="none" w:color="auto"/>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260" w:type="dxa"/>
            <w:gridSpan w:val="17"/>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注：“□”为勾选项；“_____”为填写项</w:t>
            </w:r>
          </w:p>
        </w:tc>
      </w:tr>
    </w:tbl>
    <w:p>
      <w:pPr>
        <w:keepNext w:val="0"/>
        <w:keepLines w:val="0"/>
        <w:pageBreakBefore w:val="0"/>
        <w:widowControl w:val="0"/>
        <w:kinsoku/>
        <w:wordWrap/>
        <w:overflowPunct/>
        <w:topLinePunct w:val="0"/>
        <w:autoSpaceDE/>
        <w:autoSpaceDN/>
        <w:bidi w:val="0"/>
        <w:adjustRightInd/>
        <w:snapToGrid/>
        <w:spacing w:line="351" w:lineRule="auto"/>
        <w:jc w:val="center"/>
        <w:textAlignment w:val="auto"/>
        <w:outlineLvl w:val="0"/>
        <w:rPr>
          <w:rFonts w:hint="default" w:ascii="Times New Roman" w:hAnsi="Times New Roman" w:cs="Times New Roman"/>
          <w:b/>
          <w:bCs/>
          <w:color w:val="auto"/>
          <w:sz w:val="36"/>
          <w:szCs w:val="36"/>
          <w:u w:val="none" w:color="auto"/>
        </w:rPr>
      </w:pPr>
    </w:p>
    <w:p>
      <w:pPr>
        <w:keepNext w:val="0"/>
        <w:keepLines w:val="0"/>
        <w:pageBreakBefore w:val="0"/>
        <w:widowControl w:val="0"/>
        <w:kinsoku/>
        <w:wordWrap/>
        <w:overflowPunct/>
        <w:topLinePunct w:val="0"/>
        <w:autoSpaceDE/>
        <w:autoSpaceDN/>
        <w:bidi w:val="0"/>
        <w:adjustRightInd/>
        <w:snapToGrid/>
        <w:spacing w:line="351" w:lineRule="auto"/>
        <w:jc w:val="center"/>
        <w:textAlignment w:val="auto"/>
        <w:outlineLvl w:val="0"/>
        <w:rPr>
          <w:rFonts w:hint="default" w:ascii="Times New Roman" w:hAnsi="Times New Roman" w:cs="Times New Roman"/>
          <w:b/>
          <w:bCs/>
          <w:color w:val="auto"/>
          <w:sz w:val="36"/>
          <w:szCs w:val="36"/>
          <w:u w:val="none" w:color="auto"/>
        </w:rPr>
      </w:pPr>
    </w:p>
    <w:p>
      <w:pPr>
        <w:keepNext w:val="0"/>
        <w:keepLines w:val="0"/>
        <w:pageBreakBefore w:val="0"/>
        <w:widowControl w:val="0"/>
        <w:kinsoku/>
        <w:wordWrap/>
        <w:overflowPunct/>
        <w:topLinePunct w:val="0"/>
        <w:autoSpaceDE/>
        <w:autoSpaceDN/>
        <w:bidi w:val="0"/>
        <w:adjustRightInd/>
        <w:snapToGrid/>
        <w:spacing w:line="351" w:lineRule="auto"/>
        <w:jc w:val="center"/>
        <w:textAlignment w:val="auto"/>
        <w:outlineLvl w:val="0"/>
        <w:rPr>
          <w:rFonts w:hint="default" w:ascii="Times New Roman" w:hAnsi="Times New Roman" w:cs="Times New Roman"/>
          <w:b/>
          <w:bCs/>
          <w:color w:val="auto"/>
          <w:sz w:val="36"/>
          <w:szCs w:val="36"/>
          <w:u w:val="none" w:color="auto"/>
        </w:rPr>
      </w:pPr>
    </w:p>
    <w:p>
      <w:pPr>
        <w:pStyle w:val="34"/>
        <w:rPr>
          <w:rFonts w:hint="default" w:ascii="Times New Roman" w:hAnsi="Times New Roman" w:cs="Times New Roman"/>
          <w:b/>
          <w:bCs/>
          <w:color w:val="auto"/>
          <w:sz w:val="36"/>
          <w:szCs w:val="36"/>
          <w:u w:val="none" w:color="auto"/>
        </w:rPr>
      </w:pPr>
    </w:p>
    <w:p>
      <w:pPr>
        <w:rPr>
          <w:rFonts w:hint="default" w:ascii="Times New Roman" w:hAnsi="Times New Roman" w:cs="Times New Roman"/>
          <w:b/>
          <w:bCs/>
          <w:color w:val="auto"/>
          <w:sz w:val="36"/>
          <w:szCs w:val="36"/>
          <w:u w:val="none" w:color="auto"/>
        </w:rPr>
      </w:pPr>
    </w:p>
    <w:p>
      <w:pPr>
        <w:pStyle w:val="34"/>
        <w:rPr>
          <w:rFonts w:hint="default" w:ascii="Times New Roman" w:hAnsi="Times New Roman" w:cs="Times New Roman"/>
          <w:b/>
          <w:bCs/>
          <w:color w:val="auto"/>
          <w:sz w:val="36"/>
          <w:szCs w:val="36"/>
          <w:u w:val="none" w:color="auto"/>
        </w:rPr>
      </w:pPr>
    </w:p>
    <w:p>
      <w:pPr>
        <w:rPr>
          <w:rFonts w:hint="default" w:ascii="Times New Roman" w:hAnsi="Times New Roman" w:cs="Times New Roman"/>
          <w:b/>
          <w:bCs/>
          <w:color w:val="auto"/>
          <w:sz w:val="36"/>
          <w:szCs w:val="36"/>
          <w:u w:val="none" w:color="auto"/>
        </w:rPr>
      </w:pPr>
    </w:p>
    <w:p>
      <w:pPr>
        <w:pStyle w:val="34"/>
        <w:rPr>
          <w:rFonts w:hint="default"/>
          <w:u w:val="none" w:color="auto"/>
        </w:rPr>
      </w:pPr>
    </w:p>
    <w:p>
      <w:pPr>
        <w:keepNext w:val="0"/>
        <w:keepLines w:val="0"/>
        <w:pageBreakBefore w:val="0"/>
        <w:widowControl w:val="0"/>
        <w:kinsoku/>
        <w:wordWrap/>
        <w:overflowPunct/>
        <w:topLinePunct w:val="0"/>
        <w:autoSpaceDE/>
        <w:autoSpaceDN/>
        <w:bidi w:val="0"/>
        <w:adjustRightInd/>
        <w:snapToGrid/>
        <w:spacing w:line="351" w:lineRule="auto"/>
        <w:jc w:val="center"/>
        <w:textAlignment w:val="auto"/>
        <w:outlineLvl w:val="0"/>
        <w:rPr>
          <w:rFonts w:hint="default" w:ascii="Times New Roman" w:hAnsi="Times New Roman" w:cs="Times New Roman"/>
          <w:b/>
          <w:bCs/>
          <w:color w:val="auto"/>
          <w:sz w:val="36"/>
          <w:szCs w:val="36"/>
          <w:u w:val="none" w:color="auto"/>
        </w:rPr>
      </w:pPr>
    </w:p>
    <w:p>
      <w:pPr>
        <w:keepNext w:val="0"/>
        <w:keepLines w:val="0"/>
        <w:pageBreakBefore w:val="0"/>
        <w:widowControl w:val="0"/>
        <w:kinsoku/>
        <w:wordWrap/>
        <w:overflowPunct/>
        <w:topLinePunct w:val="0"/>
        <w:autoSpaceDE/>
        <w:autoSpaceDN/>
        <w:bidi w:val="0"/>
        <w:adjustRightInd/>
        <w:snapToGrid/>
        <w:spacing w:line="351" w:lineRule="auto"/>
        <w:jc w:val="center"/>
        <w:textAlignment w:val="auto"/>
        <w:outlineLvl w:val="0"/>
        <w:rPr>
          <w:rFonts w:hint="default" w:ascii="Times New Roman" w:hAnsi="Times New Roman" w:cs="Times New Roman"/>
          <w:b/>
          <w:bCs/>
          <w:color w:val="auto"/>
          <w:sz w:val="36"/>
          <w:szCs w:val="36"/>
          <w:u w:val="none" w:color="auto"/>
        </w:rPr>
      </w:pPr>
      <w:bookmarkStart w:id="14" w:name="_Toc107"/>
    </w:p>
    <w:p>
      <w:pPr>
        <w:keepNext w:val="0"/>
        <w:keepLines w:val="0"/>
        <w:pageBreakBefore w:val="0"/>
        <w:widowControl w:val="0"/>
        <w:kinsoku/>
        <w:wordWrap/>
        <w:overflowPunct/>
        <w:topLinePunct w:val="0"/>
        <w:autoSpaceDE/>
        <w:autoSpaceDN/>
        <w:bidi w:val="0"/>
        <w:adjustRightInd/>
        <w:snapToGrid/>
        <w:spacing w:line="351" w:lineRule="auto"/>
        <w:jc w:val="center"/>
        <w:textAlignment w:val="auto"/>
        <w:outlineLvl w:val="0"/>
        <w:rPr>
          <w:rFonts w:hint="default" w:ascii="Times New Roman" w:hAnsi="Times New Roman" w:cs="Times New Roman"/>
          <w:b/>
          <w:bCs/>
          <w:color w:val="auto"/>
          <w:sz w:val="36"/>
          <w:szCs w:val="36"/>
          <w:u w:val="none" w:color="auto"/>
        </w:rPr>
      </w:pPr>
    </w:p>
    <w:p>
      <w:pPr>
        <w:keepNext w:val="0"/>
        <w:keepLines w:val="0"/>
        <w:pageBreakBefore w:val="0"/>
        <w:widowControl w:val="0"/>
        <w:kinsoku/>
        <w:wordWrap/>
        <w:overflowPunct/>
        <w:topLinePunct w:val="0"/>
        <w:autoSpaceDE/>
        <w:autoSpaceDN/>
        <w:bidi w:val="0"/>
        <w:adjustRightInd/>
        <w:snapToGrid/>
        <w:spacing w:line="351" w:lineRule="auto"/>
        <w:jc w:val="center"/>
        <w:textAlignment w:val="auto"/>
        <w:outlineLvl w:val="0"/>
        <w:rPr>
          <w:rFonts w:hint="default" w:ascii="Times New Roman" w:hAnsi="Times New Roman" w:cs="Times New Roman"/>
          <w:b/>
          <w:bCs/>
          <w:color w:val="auto"/>
          <w:sz w:val="36"/>
          <w:szCs w:val="36"/>
          <w:u w:val="none" w:color="auto"/>
        </w:rPr>
      </w:pPr>
      <w:r>
        <w:rPr>
          <w:rFonts w:hint="default" w:ascii="Times New Roman" w:hAnsi="Times New Roman" w:cs="Times New Roman"/>
          <w:b/>
          <w:bCs/>
          <w:color w:val="auto"/>
          <w:sz w:val="36"/>
          <w:szCs w:val="36"/>
          <w:u w:val="none" w:color="auto"/>
        </w:rPr>
        <w:t>注  释</w:t>
      </w:r>
      <w:bookmarkEnd w:id="14"/>
    </w:p>
    <w:p>
      <w:pPr>
        <w:keepNext w:val="0"/>
        <w:keepLines w:val="0"/>
        <w:pageBreakBefore w:val="0"/>
        <w:widowControl w:val="0"/>
        <w:numPr>
          <w:ilvl w:val="0"/>
          <w:numId w:val="10"/>
        </w:numPr>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本报告表附以下附件、附图：</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eastAsia" w:ascii="Times New Roman" w:hAnsi="Times New Roman" w:eastAsia="宋体" w:cs="Times New Roman"/>
          <w:b/>
          <w:bCs/>
          <w:color w:val="auto"/>
          <w:sz w:val="24"/>
          <w:szCs w:val="24"/>
          <w:u w:val="none" w:color="auto"/>
          <w:lang w:val="en-US" w:eastAsia="zh-CN"/>
        </w:rPr>
      </w:pPr>
      <w:r>
        <w:rPr>
          <w:rFonts w:hint="eastAsia" w:cs="Times New Roman"/>
          <w:b/>
          <w:bCs/>
          <w:color w:val="auto"/>
          <w:sz w:val="24"/>
          <w:szCs w:val="24"/>
          <w:u w:val="none" w:color="auto"/>
          <w:lang w:val="en-US" w:eastAsia="zh-CN"/>
        </w:rPr>
        <w:t>附件</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附件1  委托书</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eastAsia="宋体" w:cs="Times New Roman"/>
          <w:color w:val="auto"/>
          <w:sz w:val="24"/>
          <w:szCs w:val="24"/>
          <w:u w:val="none" w:color="auto"/>
          <w:lang w:eastAsia="zh-CN"/>
        </w:rPr>
      </w:pPr>
      <w:r>
        <w:rPr>
          <w:rFonts w:hint="default" w:ascii="Times New Roman" w:hAnsi="Times New Roman" w:cs="Times New Roman"/>
          <w:color w:val="auto"/>
          <w:sz w:val="24"/>
          <w:szCs w:val="24"/>
          <w:u w:val="none" w:color="auto"/>
        </w:rPr>
        <w:t xml:space="preserve">附件2  </w:t>
      </w:r>
      <w:r>
        <w:rPr>
          <w:rFonts w:hint="default" w:ascii="Times New Roman" w:hAnsi="Times New Roman" w:cs="Times New Roman"/>
          <w:color w:val="auto"/>
          <w:sz w:val="24"/>
          <w:szCs w:val="24"/>
          <w:u w:val="none" w:color="auto"/>
          <w:lang w:eastAsia="zh-CN"/>
        </w:rPr>
        <w:t>营业执照</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rPr>
        <w:t xml:space="preserve">附件3  </w:t>
      </w:r>
      <w:r>
        <w:rPr>
          <w:rFonts w:hint="eastAsia" w:cs="Times New Roman"/>
          <w:color w:val="auto"/>
          <w:sz w:val="24"/>
          <w:szCs w:val="24"/>
          <w:u w:val="none" w:color="auto"/>
          <w:lang w:val="en-US" w:eastAsia="zh-CN"/>
        </w:rPr>
        <w:t>房屋产权证</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eastAsia" w:ascii="Times New Roman" w:hAnsi="Times New Roman" w:eastAsia="宋体" w:cs="Times New Roman"/>
          <w:color w:val="auto"/>
          <w:sz w:val="24"/>
          <w:szCs w:val="24"/>
          <w:u w:val="none" w:color="auto"/>
          <w:lang w:eastAsia="zh-CN"/>
        </w:rPr>
      </w:pPr>
      <w:r>
        <w:rPr>
          <w:rFonts w:hint="default" w:ascii="Times New Roman" w:hAnsi="Times New Roman" w:cs="Times New Roman"/>
          <w:color w:val="auto"/>
          <w:sz w:val="24"/>
          <w:szCs w:val="24"/>
          <w:u w:val="none" w:color="auto"/>
        </w:rPr>
        <w:t>附件</w:t>
      </w:r>
      <w:r>
        <w:rPr>
          <w:rFonts w:hint="eastAsia" w:cs="Times New Roman"/>
          <w:color w:val="auto"/>
          <w:sz w:val="24"/>
          <w:szCs w:val="24"/>
          <w:u w:val="none" w:color="auto"/>
          <w:lang w:val="en-US" w:eastAsia="zh-CN"/>
        </w:rPr>
        <w:t>4</w:t>
      </w:r>
      <w:r>
        <w:rPr>
          <w:rFonts w:hint="default" w:ascii="Times New Roman" w:hAnsi="Times New Roman" w:cs="Times New Roman"/>
          <w:color w:val="auto"/>
          <w:sz w:val="24"/>
          <w:szCs w:val="24"/>
          <w:u w:val="none" w:color="auto"/>
        </w:rPr>
        <w:t xml:space="preserve">  </w:t>
      </w:r>
      <w:r>
        <w:rPr>
          <w:rFonts w:hint="eastAsia" w:cs="Times New Roman"/>
          <w:color w:val="auto"/>
          <w:sz w:val="24"/>
          <w:szCs w:val="24"/>
          <w:u w:val="none" w:color="auto"/>
          <w:lang w:eastAsia="zh-CN"/>
        </w:rPr>
        <w:t>联审意见</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eastAsia"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附件</w:t>
      </w:r>
      <w:r>
        <w:rPr>
          <w:rFonts w:hint="eastAsia" w:cs="Times New Roman"/>
          <w:color w:val="auto"/>
          <w:sz w:val="24"/>
          <w:szCs w:val="24"/>
          <w:u w:val="none" w:color="auto"/>
          <w:lang w:val="en-US" w:eastAsia="zh-CN"/>
        </w:rPr>
        <w:t>5</w:t>
      </w:r>
      <w:r>
        <w:rPr>
          <w:rFonts w:hint="default" w:ascii="Times New Roman" w:hAnsi="Times New Roman" w:cs="Times New Roman"/>
          <w:color w:val="auto"/>
          <w:sz w:val="24"/>
          <w:szCs w:val="24"/>
          <w:u w:val="none" w:color="auto"/>
          <w:lang w:val="en-US" w:eastAsia="zh-CN"/>
        </w:rPr>
        <w:t xml:space="preserve"> </w:t>
      </w:r>
      <w:r>
        <w:rPr>
          <w:rFonts w:hint="eastAsia" w:ascii="Times New Roman" w:hAnsi="Times New Roman" w:cs="Times New Roman"/>
          <w:color w:val="auto"/>
          <w:sz w:val="24"/>
          <w:szCs w:val="24"/>
          <w:u w:val="none" w:color="auto"/>
          <w:lang w:val="en-US" w:eastAsia="zh-CN"/>
        </w:rPr>
        <w:t xml:space="preserve"> </w:t>
      </w:r>
      <w:r>
        <w:rPr>
          <w:rFonts w:hint="eastAsia" w:cs="Times New Roman"/>
          <w:color w:val="auto"/>
          <w:sz w:val="24"/>
          <w:szCs w:val="24"/>
          <w:u w:val="none" w:color="auto"/>
          <w:lang w:val="en-US" w:eastAsia="zh-CN"/>
        </w:rPr>
        <w:t>环评检测报告及</w:t>
      </w:r>
      <w:r>
        <w:rPr>
          <w:rFonts w:hint="eastAsia" w:ascii="Times New Roman" w:hAnsi="Times New Roman" w:cs="Times New Roman"/>
          <w:color w:val="auto"/>
          <w:sz w:val="24"/>
          <w:szCs w:val="24"/>
          <w:u w:val="none" w:color="auto"/>
          <w:lang w:val="en-US" w:eastAsia="zh-CN"/>
        </w:rPr>
        <w:t>质保单</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eastAsia="宋体" w:cs="Times New Roman"/>
          <w:color w:val="auto"/>
          <w:sz w:val="24"/>
          <w:szCs w:val="24"/>
          <w:u w:val="none" w:color="auto"/>
          <w:lang w:val="en-US" w:eastAsia="zh-CN"/>
        </w:rPr>
      </w:pPr>
      <w:r>
        <w:rPr>
          <w:rFonts w:hint="eastAsia" w:eastAsia="宋体" w:cs="Times New Roman"/>
          <w:color w:val="auto"/>
          <w:sz w:val="24"/>
          <w:szCs w:val="24"/>
          <w:u w:val="none" w:color="auto"/>
          <w:lang w:val="en-US" w:eastAsia="zh-CN"/>
        </w:rPr>
        <w:t>附件6  本项目入园证明材料</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eastAsia" w:eastAsia="宋体" w:cs="Times New Roman"/>
          <w:color w:val="auto"/>
          <w:sz w:val="24"/>
          <w:szCs w:val="24"/>
          <w:u w:val="none" w:color="auto"/>
          <w:lang w:val="en-US" w:eastAsia="zh-CN"/>
        </w:rPr>
      </w:pPr>
      <w:r>
        <w:rPr>
          <w:rFonts w:hint="eastAsia" w:eastAsia="宋体" w:cs="Times New Roman"/>
          <w:color w:val="auto"/>
          <w:sz w:val="24"/>
          <w:szCs w:val="24"/>
          <w:u w:val="none" w:color="auto"/>
          <w:lang w:val="en-US" w:eastAsia="zh-CN"/>
        </w:rPr>
        <w:t>附件7  关于湘阴二十万平方米集中工业厂房建设项目环评报告书批复</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eastAsia" w:cs="Times New Roman"/>
          <w:color w:val="auto"/>
          <w:sz w:val="24"/>
          <w:szCs w:val="24"/>
          <w:u w:val="none" w:color="auto"/>
          <w:lang w:val="en-US" w:eastAsia="zh-CN"/>
        </w:rPr>
      </w:pPr>
      <w:r>
        <w:rPr>
          <w:rFonts w:hint="eastAsia" w:cs="Times New Roman"/>
          <w:color w:val="auto"/>
          <w:sz w:val="24"/>
          <w:szCs w:val="24"/>
          <w:u w:val="none" w:color="auto"/>
          <w:lang w:val="en-US" w:eastAsia="zh-CN"/>
        </w:rPr>
        <w:t>附件8  湘阴县金龙新区工业区规划环境影响报告书的审查意见</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cs="Times New Roman"/>
          <w:color w:val="auto"/>
          <w:sz w:val="24"/>
          <w:szCs w:val="24"/>
          <w:u w:val="none" w:color="auto"/>
          <w:lang w:val="en-US" w:eastAsia="zh-CN"/>
        </w:rPr>
      </w:pPr>
      <w:r>
        <w:rPr>
          <w:rFonts w:hint="eastAsia" w:cs="Times New Roman"/>
          <w:color w:val="auto"/>
          <w:sz w:val="24"/>
          <w:szCs w:val="24"/>
          <w:u w:val="none" w:color="auto"/>
          <w:lang w:val="en-US" w:eastAsia="zh-CN"/>
        </w:rPr>
        <w:t>附件9  印刷清洗工序废水处理协议</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eastAsia" w:cs="Times New Roman"/>
          <w:color w:val="auto"/>
          <w:sz w:val="24"/>
          <w:szCs w:val="24"/>
          <w:u w:val="none" w:color="auto"/>
          <w:lang w:val="en-US" w:eastAsia="zh-CN"/>
        </w:rPr>
        <w:t>附件10 专家意见及专家签到表</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eastAsia" w:ascii="Times New Roman" w:hAnsi="Times New Roman" w:eastAsia="宋体" w:cs="Times New Roman"/>
          <w:b/>
          <w:bCs/>
          <w:color w:val="auto"/>
          <w:sz w:val="24"/>
          <w:szCs w:val="24"/>
          <w:u w:val="none" w:color="auto"/>
          <w:lang w:val="en-US" w:eastAsia="zh-CN"/>
        </w:rPr>
      </w:pPr>
      <w:r>
        <w:rPr>
          <w:rFonts w:hint="eastAsia" w:cs="Times New Roman"/>
          <w:b/>
          <w:bCs/>
          <w:color w:val="auto"/>
          <w:sz w:val="24"/>
          <w:szCs w:val="24"/>
          <w:u w:val="none" w:color="auto"/>
          <w:lang w:val="en-US" w:eastAsia="zh-CN"/>
        </w:rPr>
        <w:t>附图</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附图1  本项目地理位置图</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eastAsia" w:ascii="Times New Roman" w:hAnsi="Times New Roman" w:eastAsia="宋体" w:cs="Times New Roman"/>
          <w:color w:val="auto"/>
          <w:sz w:val="24"/>
          <w:szCs w:val="24"/>
          <w:u w:val="none" w:color="auto"/>
          <w:lang w:eastAsia="zh-CN"/>
        </w:rPr>
      </w:pPr>
      <w:r>
        <w:rPr>
          <w:rFonts w:hint="default" w:ascii="Times New Roman" w:hAnsi="Times New Roman" w:cs="Times New Roman"/>
          <w:color w:val="auto"/>
          <w:sz w:val="24"/>
          <w:szCs w:val="24"/>
          <w:u w:val="none" w:color="auto"/>
        </w:rPr>
        <w:t>附图2</w:t>
      </w:r>
      <w:r>
        <w:rPr>
          <w:rFonts w:hint="eastAsia" w:cs="Times New Roman"/>
          <w:color w:val="auto"/>
          <w:sz w:val="24"/>
          <w:szCs w:val="24"/>
          <w:u w:val="none" w:color="auto"/>
          <w:lang w:val="en-US" w:eastAsia="zh-CN"/>
        </w:rPr>
        <w:t>-1</w:t>
      </w:r>
      <w:r>
        <w:rPr>
          <w:rFonts w:hint="default" w:ascii="Times New Roman" w:hAnsi="Times New Roman" w:cs="Times New Roman"/>
          <w:color w:val="auto"/>
          <w:sz w:val="24"/>
          <w:szCs w:val="24"/>
          <w:u w:val="none" w:color="auto"/>
        </w:rPr>
        <w:t xml:space="preserve">  项目平面布置图</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一楼</w:t>
      </w:r>
      <w:r>
        <w:rPr>
          <w:rFonts w:hint="eastAsia" w:cs="Times New Roman"/>
          <w:color w:val="auto"/>
          <w:sz w:val="24"/>
          <w:szCs w:val="24"/>
          <w:u w:val="none" w:color="auto"/>
          <w:lang w:eastAsia="zh-CN"/>
        </w:rPr>
        <w:t>）</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eastAsia" w:cs="Times New Roman"/>
          <w:color w:val="auto"/>
          <w:sz w:val="24"/>
          <w:szCs w:val="24"/>
          <w:u w:val="none" w:color="auto"/>
          <w:lang w:eastAsia="zh-CN"/>
        </w:rPr>
      </w:pPr>
      <w:r>
        <w:rPr>
          <w:rFonts w:hint="default" w:ascii="Times New Roman" w:hAnsi="Times New Roman" w:cs="Times New Roman"/>
          <w:color w:val="auto"/>
          <w:sz w:val="24"/>
          <w:szCs w:val="24"/>
          <w:u w:val="none" w:color="auto"/>
        </w:rPr>
        <w:t>附图2</w:t>
      </w:r>
      <w:r>
        <w:rPr>
          <w:rFonts w:hint="eastAsia" w:cs="Times New Roman"/>
          <w:color w:val="auto"/>
          <w:sz w:val="24"/>
          <w:szCs w:val="24"/>
          <w:u w:val="none" w:color="auto"/>
          <w:lang w:val="en-US" w:eastAsia="zh-CN"/>
        </w:rPr>
        <w:t>-2</w:t>
      </w:r>
      <w:r>
        <w:rPr>
          <w:rFonts w:hint="default" w:ascii="Times New Roman" w:hAnsi="Times New Roman" w:cs="Times New Roman"/>
          <w:color w:val="auto"/>
          <w:sz w:val="24"/>
          <w:szCs w:val="24"/>
          <w:u w:val="none" w:color="auto"/>
        </w:rPr>
        <w:t xml:space="preserve">  项目平面布置图</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二楼</w:t>
      </w:r>
      <w:r>
        <w:rPr>
          <w:rFonts w:hint="eastAsia" w:cs="Times New Roman"/>
          <w:color w:val="auto"/>
          <w:sz w:val="24"/>
          <w:szCs w:val="24"/>
          <w:u w:val="none" w:color="auto"/>
          <w:lang w:eastAsia="zh-CN"/>
        </w:rPr>
        <w:t>）</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eastAsia" w:cs="Times New Roman"/>
          <w:color w:val="auto"/>
          <w:sz w:val="24"/>
          <w:szCs w:val="24"/>
          <w:u w:val="none" w:color="auto"/>
          <w:lang w:eastAsia="zh-CN"/>
        </w:rPr>
      </w:pPr>
      <w:r>
        <w:rPr>
          <w:rFonts w:hint="default" w:ascii="Times New Roman" w:hAnsi="Times New Roman" w:cs="Times New Roman"/>
          <w:color w:val="auto"/>
          <w:sz w:val="24"/>
          <w:szCs w:val="24"/>
          <w:u w:val="none" w:color="auto"/>
        </w:rPr>
        <w:t>附图2</w:t>
      </w:r>
      <w:r>
        <w:rPr>
          <w:rFonts w:hint="eastAsia" w:cs="Times New Roman"/>
          <w:color w:val="auto"/>
          <w:sz w:val="24"/>
          <w:szCs w:val="24"/>
          <w:u w:val="none" w:color="auto"/>
          <w:lang w:val="en-US" w:eastAsia="zh-CN"/>
        </w:rPr>
        <w:t>-3</w:t>
      </w:r>
      <w:r>
        <w:rPr>
          <w:rFonts w:hint="default" w:ascii="Times New Roman" w:hAnsi="Times New Roman" w:cs="Times New Roman"/>
          <w:color w:val="auto"/>
          <w:sz w:val="24"/>
          <w:szCs w:val="24"/>
          <w:u w:val="none" w:color="auto"/>
        </w:rPr>
        <w:t xml:space="preserve">  项目平面布置图</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三楼</w:t>
      </w:r>
      <w:r>
        <w:rPr>
          <w:rFonts w:hint="eastAsia" w:cs="Times New Roman"/>
          <w:color w:val="auto"/>
          <w:sz w:val="24"/>
          <w:szCs w:val="24"/>
          <w:u w:val="none" w:color="auto"/>
          <w:lang w:eastAsia="zh-CN"/>
        </w:rPr>
        <w:t>）</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附图2</w:t>
      </w:r>
      <w:r>
        <w:rPr>
          <w:rFonts w:hint="eastAsia" w:cs="Times New Roman"/>
          <w:color w:val="auto"/>
          <w:sz w:val="24"/>
          <w:szCs w:val="24"/>
          <w:u w:val="none" w:color="auto"/>
          <w:lang w:val="en-US" w:eastAsia="zh-CN"/>
        </w:rPr>
        <w:t>-4</w:t>
      </w:r>
      <w:r>
        <w:rPr>
          <w:rFonts w:hint="default" w:ascii="Times New Roman" w:hAnsi="Times New Roman" w:cs="Times New Roman"/>
          <w:color w:val="auto"/>
          <w:sz w:val="24"/>
          <w:szCs w:val="24"/>
          <w:u w:val="none" w:color="auto"/>
        </w:rPr>
        <w:t xml:space="preserve">  项目平面布置图</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四楼</w:t>
      </w:r>
      <w:r>
        <w:rPr>
          <w:rFonts w:hint="eastAsia" w:cs="Times New Roman"/>
          <w:color w:val="auto"/>
          <w:sz w:val="24"/>
          <w:szCs w:val="24"/>
          <w:u w:val="none" w:color="auto"/>
          <w:lang w:eastAsia="zh-CN"/>
        </w:rPr>
        <w:t>）</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附图3  声环境现状监测点位图</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附图</w:t>
      </w:r>
      <w:r>
        <w:rPr>
          <w:rFonts w:hint="eastAsia" w:ascii="Times New Roman" w:hAnsi="Times New Roman" w:cs="Times New Roman"/>
          <w:color w:val="auto"/>
          <w:sz w:val="24"/>
          <w:szCs w:val="24"/>
          <w:u w:val="none" w:color="auto"/>
          <w:lang w:val="en-US" w:eastAsia="zh-CN"/>
        </w:rPr>
        <w:t>4</w:t>
      </w:r>
      <w:r>
        <w:rPr>
          <w:rFonts w:hint="default" w:ascii="Times New Roman" w:hAnsi="Times New Roman" w:cs="Times New Roman"/>
          <w:color w:val="auto"/>
          <w:sz w:val="24"/>
          <w:szCs w:val="24"/>
          <w:u w:val="none" w:color="auto"/>
        </w:rPr>
        <w:t xml:space="preserve">  本项目周边环保目标分布图</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附图</w:t>
      </w:r>
      <w:r>
        <w:rPr>
          <w:rFonts w:hint="eastAsia" w:ascii="Times New Roman" w:hAnsi="Times New Roman" w:cs="Times New Roman"/>
          <w:color w:val="auto"/>
          <w:sz w:val="24"/>
          <w:szCs w:val="24"/>
          <w:u w:val="none" w:color="auto"/>
          <w:lang w:val="en-US" w:eastAsia="zh-CN"/>
        </w:rPr>
        <w:t>5</w:t>
      </w:r>
      <w:r>
        <w:rPr>
          <w:rFonts w:hint="default" w:ascii="Times New Roman" w:hAnsi="Times New Roman" w:cs="Times New Roman"/>
          <w:color w:val="auto"/>
          <w:sz w:val="24"/>
          <w:szCs w:val="24"/>
          <w:u w:val="none" w:color="auto"/>
          <w:lang w:val="en-US" w:eastAsia="zh-CN"/>
        </w:rPr>
        <w:t xml:space="preserve">  项目现场照片</w:t>
      </w:r>
    </w:p>
    <w:p>
      <w:pPr>
        <w:keepNext w:val="0"/>
        <w:keepLines w:val="0"/>
        <w:pageBreakBefore w:val="0"/>
        <w:widowControl w:val="0"/>
        <w:numPr>
          <w:ilvl w:val="0"/>
          <w:numId w:val="10"/>
        </w:numPr>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如果本报告表不能说明工程产生的污染及对环境造成的影响，应进行专项评价。根据建设工程的特点和当地环境特征，应选下列1~2项进行专项评价。</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1. 大气环境影响专项评价</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2. 水环境影响专项评价(包括地表水和地下水)</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3. 生态影响专项评价</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4. 声影响专项评价</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5. 土壤影响专项评价</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6. 固体废物影响专项评价</w:t>
      </w:r>
    </w:p>
    <w:p>
      <w:pPr>
        <w:rPr>
          <w:rFonts w:hint="default" w:ascii="Times New Roman" w:hAnsi="Times New Roman" w:cs="Times New Roman"/>
          <w:color w:val="auto"/>
          <w:sz w:val="24"/>
          <w:szCs w:val="24"/>
          <w:u w:val="none" w:color="auto"/>
        </w:rPr>
      </w:pPr>
    </w:p>
    <w:p>
      <w:pPr>
        <w:rPr>
          <w:rFonts w:hint="default" w:eastAsia="宋体"/>
          <w:u w:val="none" w:color="auto"/>
          <w:lang w:val="en-US" w:eastAsia="zh-CN"/>
        </w:rPr>
      </w:pPr>
      <w:r>
        <w:rPr>
          <w:rFonts w:hint="default" w:ascii="Times New Roman" w:hAnsi="Times New Roman" w:cs="Times New Roman"/>
          <w:color w:val="auto"/>
          <w:sz w:val="24"/>
          <w:szCs w:val="24"/>
          <w:u w:val="none" w:color="auto"/>
        </w:rPr>
        <w:t>以上专项评价中未包括的另列专</w:t>
      </w:r>
      <w:bookmarkStart w:id="15" w:name="_GoBack"/>
      <w:bookmarkEnd w:id="15"/>
      <w:r>
        <w:rPr>
          <w:rFonts w:hint="default" w:ascii="Times New Roman" w:hAnsi="Times New Roman" w:cs="Times New Roman"/>
          <w:color w:val="auto"/>
          <w:sz w:val="24"/>
          <w:szCs w:val="24"/>
          <w:u w:val="none" w:color="auto"/>
        </w:rPr>
        <w:t>项，专项评价按照《环境影响评价技术导则》中的要求进行</w:t>
      </w:r>
    </w:p>
    <w:sectPr>
      <w:footerReference r:id="rId8" w:type="default"/>
      <w:pgSz w:w="11906" w:h="16838"/>
      <w:pgMar w:top="1417" w:right="1134" w:bottom="1417" w:left="1474" w:header="851" w:footer="992" w:gutter="0"/>
      <w:pgBorders>
        <w:top w:val="none" w:sz="0" w:space="0"/>
        <w:left w:val="none" w:sz="0" w:space="0"/>
        <w:bottom w:val="none" w:sz="0" w:space="0"/>
        <w:right w:val="none" w:sz="0" w:space="0"/>
      </w:pgBorders>
      <w:cols w:space="0" w:num="1"/>
      <w:rtlGutter w:val="0"/>
      <w:docGrid w:type="linesAndChars" w:linePitch="332" w:charSpace="-16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font-weight : 400">
    <w:altName w:val="Courier New"/>
    <w:panose1 w:val="00000000000000000000"/>
    <w:charset w:val="00"/>
    <w:family w:val="auto"/>
    <w:pitch w:val="default"/>
    <w:sig w:usb0="00000000" w:usb1="00000000" w:usb2="00000000" w:usb3="00000000" w:csb0="00040001" w:csb1="00000000"/>
  </w:font>
  <w:font w:name="CG Times (W1)">
    <w:altName w:val="Times New Roman"/>
    <w:panose1 w:val="00000000000000000000"/>
    <w:charset w:val="00"/>
    <w:family w:val="modern"/>
    <w:pitch w:val="default"/>
    <w:sig w:usb0="00000000" w:usb1="00000000" w:usb2="00000000" w:usb3="00000000" w:csb0="00000001" w:csb1="00000000"/>
  </w:font>
  <w:font w:name="仿宋体">
    <w:altName w:val="宋体"/>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汉鼎简书宋">
    <w:altName w:val="宋体"/>
    <w:panose1 w:val="00000000000000000000"/>
    <w:charset w:val="86"/>
    <w:family w:val="modern"/>
    <w:pitch w:val="default"/>
    <w:sig w:usb0="00000000" w:usb1="00000000" w:usb2="0000001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enter" w:pos="4450"/>
        <w:tab w:val="clear" w:pos="4153"/>
      </w:tabs>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OqXm5zwAAAAUBAAAPAAAAAAAAAAEAIAAAACIAAABkcnMvZG93bnJl&#10;di54bWxQSwECFAAUAAAACACHTuJAyzpWPQYCAAAFBAAADgAAAAAAAAABACAAAAAeAQAAZHJzL2Uy&#10;b0RvYy54bWxQSwUGAAAAAAYABgBZAQAAlgU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57785" cy="131445"/>
              <wp:effectExtent l="1905" t="0" r="0" b="0"/>
              <wp:wrapNone/>
              <wp:docPr id="2" name="文本框 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9" o:spid="_x0000_s1026" o:spt="202" type="#_x0000_t202" style="position:absolute;left:0pt;margin-top:0pt;height:10.35pt;width:4.55pt;mso-position-horizontal:center;mso-position-horizontal-relative:margin;mso-wrap-style:none;z-index:25165721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CdfLJxCgIAAAEEAAAOAAAAAAAAAAEAIAAAAB8BAABk&#10;cnMvZTJvRG9jLnhtbFBLBQYAAAAABgAGAFkBAACbBQ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1905" t="0" r="0" b="3810"/>
              <wp:wrapNone/>
              <wp:docPr id="1"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0"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XdKY7AsCAAACBAAADgAAAAAAAAABACAAAAAfAQAA&#10;ZHJzL2Uyb0RvYy54bWxQSwUGAAAAAAYABgBZAQAAnAU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v:shape>
          </w:pict>
        </mc:Fallback>
      </mc:AlternateContent>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7667"/>
        <w:tab w:val="clear" w:pos="4153"/>
      </w:tabs>
    </w:pPr>
    <w:r>
      <w:rPr>
        <w:rFonts w:hint="eastAsia"/>
        <w:szCs w:val="18"/>
        <w:lang w:eastAsia="zh-CN"/>
      </w:rPr>
      <w:t>年产4500吨纸业用品建设项目</w:t>
    </w:r>
    <w:r>
      <w:rPr>
        <w:szCs w:val="18"/>
      </w:rPr>
      <w:t>环境影响报告表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D7E6F8"/>
    <w:multiLevelType w:val="singleLevel"/>
    <w:tmpl w:val="8AD7E6F8"/>
    <w:lvl w:ilvl="0" w:tentative="0">
      <w:start w:val="1"/>
      <w:numFmt w:val="decimal"/>
      <w:suff w:val="nothing"/>
      <w:lvlText w:val="（%1）"/>
      <w:lvlJc w:val="left"/>
    </w:lvl>
  </w:abstractNum>
  <w:abstractNum w:abstractNumId="1">
    <w:nsid w:val="8D3CC6FD"/>
    <w:multiLevelType w:val="singleLevel"/>
    <w:tmpl w:val="8D3CC6FD"/>
    <w:lvl w:ilvl="0" w:tentative="0">
      <w:start w:val="4"/>
      <w:numFmt w:val="decimal"/>
      <w:suff w:val="nothing"/>
      <w:lvlText w:val="（%1）"/>
      <w:lvlJc w:val="left"/>
    </w:lvl>
  </w:abstractNum>
  <w:abstractNum w:abstractNumId="2">
    <w:nsid w:val="EE573DEC"/>
    <w:multiLevelType w:val="singleLevel"/>
    <w:tmpl w:val="EE573DEC"/>
    <w:lvl w:ilvl="0" w:tentative="0">
      <w:start w:val="1"/>
      <w:numFmt w:val="decimal"/>
      <w:pStyle w:val="30"/>
      <w:lvlText w:val="%1."/>
      <w:lvlJc w:val="left"/>
      <w:pPr>
        <w:tabs>
          <w:tab w:val="left" w:pos="6902"/>
        </w:tabs>
        <w:ind w:left="6902" w:hanging="360"/>
      </w:pPr>
    </w:lvl>
  </w:abstractNum>
  <w:abstractNum w:abstractNumId="3">
    <w:nsid w:val="00000006"/>
    <w:multiLevelType w:val="multilevel"/>
    <w:tmpl w:val="00000006"/>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lvlText w:val="%2."/>
      <w:lvlJc w:val="left"/>
      <w:pPr>
        <w:ind w:left="0" w:firstLine="0"/>
      </w:pPr>
      <w:rPr>
        <w:rFonts w:hint="eastAsia"/>
        <w:b w:val="0"/>
        <w:i w:val="0"/>
        <w:sz w:val="32"/>
        <w:szCs w:val="32"/>
      </w:rPr>
    </w:lvl>
    <w:lvl w:ilvl="2" w:tentative="0">
      <w:start w:val="1"/>
      <w:numFmt w:val="decimal"/>
      <w:pStyle w:val="58"/>
      <w:suff w:val="nothing"/>
      <w:lvlText w:val="%1%2.%3　"/>
      <w:lvlJc w:val="left"/>
      <w:pPr>
        <w:ind w:left="426" w:firstLine="0"/>
      </w:pPr>
      <w:rPr>
        <w:rFonts w:hint="eastAsia" w:ascii="黑体" w:hAnsi="Times New Roman" w:eastAsia="黑体"/>
        <w:b w:val="0"/>
        <w:i w:val="0"/>
        <w:sz w:val="28"/>
        <w:szCs w:val="28"/>
      </w:rPr>
    </w:lvl>
    <w:lvl w:ilvl="3" w:tentative="0">
      <w:start w:val="1"/>
      <w:numFmt w:val="decimal"/>
      <w:pStyle w:val="57"/>
      <w:suff w:val="nothing"/>
      <w:lvlText w:val="%1%2.%3.%4　"/>
      <w:lvlJc w:val="left"/>
      <w:pPr>
        <w:ind w:left="0" w:firstLine="0"/>
      </w:pPr>
      <w:rPr>
        <w:rFonts w:hint="eastAsia" w:ascii="黑体" w:hAnsi="Times New Roman" w:eastAsia="黑体"/>
        <w:b w:val="0"/>
        <w:i w:val="0"/>
        <w:sz w:val="24"/>
        <w:szCs w:val="24"/>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000000E"/>
    <w:multiLevelType w:val="singleLevel"/>
    <w:tmpl w:val="0000000E"/>
    <w:lvl w:ilvl="0" w:tentative="0">
      <w:start w:val="1"/>
      <w:numFmt w:val="chineseCounting"/>
      <w:suff w:val="nothing"/>
      <w:lvlText w:val="%1、"/>
      <w:lvlJc w:val="left"/>
    </w:lvl>
  </w:abstractNum>
  <w:abstractNum w:abstractNumId="5">
    <w:nsid w:val="0F722FDC"/>
    <w:multiLevelType w:val="multilevel"/>
    <w:tmpl w:val="0F722FDC"/>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8F2FF14"/>
    <w:multiLevelType w:val="singleLevel"/>
    <w:tmpl w:val="58F2FF14"/>
    <w:lvl w:ilvl="0" w:tentative="0">
      <w:start w:val="2"/>
      <w:numFmt w:val="decimal"/>
      <w:suff w:val="nothing"/>
      <w:lvlText w:val="%1、"/>
      <w:lvlJc w:val="left"/>
    </w:lvl>
  </w:abstractNum>
  <w:abstractNum w:abstractNumId="7">
    <w:nsid w:val="621F0DDE"/>
    <w:multiLevelType w:val="multilevel"/>
    <w:tmpl w:val="621F0DDE"/>
    <w:lvl w:ilvl="0" w:tentative="0">
      <w:start w:val="1"/>
      <w:numFmt w:val="japaneseCounting"/>
      <w:pStyle w:val="14"/>
      <w:lvlText w:val="%1、"/>
      <w:lvlJc w:val="left"/>
      <w:pPr>
        <w:tabs>
          <w:tab w:val="left" w:pos="962"/>
        </w:tabs>
        <w:ind w:left="962" w:hanging="480"/>
      </w:pPr>
      <w:rPr>
        <w:rFonts w:hint="default"/>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8">
    <w:nsid w:val="6B628263"/>
    <w:multiLevelType w:val="singleLevel"/>
    <w:tmpl w:val="6B628263"/>
    <w:lvl w:ilvl="0" w:tentative="0">
      <w:start w:val="1"/>
      <w:numFmt w:val="decimal"/>
      <w:suff w:val="nothing"/>
      <w:lvlText w:val="（%1）"/>
      <w:lvlJc w:val="left"/>
    </w:lvl>
  </w:abstractNum>
  <w:abstractNum w:abstractNumId="9">
    <w:nsid w:val="72404066"/>
    <w:multiLevelType w:val="multilevel"/>
    <w:tmpl w:val="72404066"/>
    <w:lvl w:ilvl="0" w:tentative="0">
      <w:start w:val="1"/>
      <w:numFmt w:val="japaneseCounting"/>
      <w:lvlText w:val="%1、"/>
      <w:lvlJc w:val="left"/>
      <w:pPr>
        <w:ind w:left="982" w:hanging="510"/>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7"/>
  </w:num>
  <w:num w:numId="2">
    <w:abstractNumId w:val="2"/>
  </w:num>
  <w:num w:numId="3">
    <w:abstractNumId w:val="3"/>
  </w:num>
  <w:num w:numId="4">
    <w:abstractNumId w:val="8"/>
  </w:num>
  <w:num w:numId="5">
    <w:abstractNumId w:val="5"/>
  </w:num>
  <w:num w:numId="6">
    <w:abstractNumId w:val="9"/>
  </w:num>
  <w:num w:numId="7">
    <w:abstractNumId w:val="1"/>
  </w:num>
  <w:num w:numId="8">
    <w:abstractNumId w:val="6"/>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1"/>
  <w:drawingGridVerticalSpacing w:val="16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D0"/>
    <w:rsid w:val="0000160B"/>
    <w:rsid w:val="000026D9"/>
    <w:rsid w:val="00002AE4"/>
    <w:rsid w:val="00006E26"/>
    <w:rsid w:val="000122A5"/>
    <w:rsid w:val="00013A83"/>
    <w:rsid w:val="00017209"/>
    <w:rsid w:val="000210A2"/>
    <w:rsid w:val="00031DA1"/>
    <w:rsid w:val="00033313"/>
    <w:rsid w:val="00034232"/>
    <w:rsid w:val="00034B96"/>
    <w:rsid w:val="0003541E"/>
    <w:rsid w:val="00036963"/>
    <w:rsid w:val="00037E3C"/>
    <w:rsid w:val="00040F1C"/>
    <w:rsid w:val="000423BC"/>
    <w:rsid w:val="00043577"/>
    <w:rsid w:val="000435F3"/>
    <w:rsid w:val="00043CA2"/>
    <w:rsid w:val="00044092"/>
    <w:rsid w:val="00044145"/>
    <w:rsid w:val="00045F96"/>
    <w:rsid w:val="000461C5"/>
    <w:rsid w:val="00046D1B"/>
    <w:rsid w:val="00054858"/>
    <w:rsid w:val="00055614"/>
    <w:rsid w:val="00055FE1"/>
    <w:rsid w:val="000564D4"/>
    <w:rsid w:val="00057513"/>
    <w:rsid w:val="00060986"/>
    <w:rsid w:val="0006505F"/>
    <w:rsid w:val="00066EE4"/>
    <w:rsid w:val="0006777B"/>
    <w:rsid w:val="00080666"/>
    <w:rsid w:val="00081D7C"/>
    <w:rsid w:val="00083B87"/>
    <w:rsid w:val="00084610"/>
    <w:rsid w:val="000852BD"/>
    <w:rsid w:val="0009217D"/>
    <w:rsid w:val="00093BD6"/>
    <w:rsid w:val="00096071"/>
    <w:rsid w:val="000962CF"/>
    <w:rsid w:val="00096C15"/>
    <w:rsid w:val="000A08B6"/>
    <w:rsid w:val="000A139F"/>
    <w:rsid w:val="000A2CCB"/>
    <w:rsid w:val="000A4674"/>
    <w:rsid w:val="000A6B56"/>
    <w:rsid w:val="000A6BE3"/>
    <w:rsid w:val="000A7206"/>
    <w:rsid w:val="000A79D4"/>
    <w:rsid w:val="000B217A"/>
    <w:rsid w:val="000B2F17"/>
    <w:rsid w:val="000B7022"/>
    <w:rsid w:val="000C0211"/>
    <w:rsid w:val="000C2A6F"/>
    <w:rsid w:val="000C35A3"/>
    <w:rsid w:val="000C514F"/>
    <w:rsid w:val="000C70EB"/>
    <w:rsid w:val="000C7DEF"/>
    <w:rsid w:val="000D0277"/>
    <w:rsid w:val="000D09A4"/>
    <w:rsid w:val="000D3C5B"/>
    <w:rsid w:val="000D3E66"/>
    <w:rsid w:val="000D7FE9"/>
    <w:rsid w:val="000E7226"/>
    <w:rsid w:val="000E7D99"/>
    <w:rsid w:val="000F1C1E"/>
    <w:rsid w:val="000F1FEF"/>
    <w:rsid w:val="000F2DB2"/>
    <w:rsid w:val="000F458B"/>
    <w:rsid w:val="000F49F3"/>
    <w:rsid w:val="000F58D5"/>
    <w:rsid w:val="000F6C7B"/>
    <w:rsid w:val="00101077"/>
    <w:rsid w:val="00102286"/>
    <w:rsid w:val="0010284E"/>
    <w:rsid w:val="00111C91"/>
    <w:rsid w:val="001123C0"/>
    <w:rsid w:val="0011388B"/>
    <w:rsid w:val="001138C9"/>
    <w:rsid w:val="00113D94"/>
    <w:rsid w:val="00115B96"/>
    <w:rsid w:val="0012211C"/>
    <w:rsid w:val="00124092"/>
    <w:rsid w:val="00124D30"/>
    <w:rsid w:val="00125707"/>
    <w:rsid w:val="00126619"/>
    <w:rsid w:val="00126D58"/>
    <w:rsid w:val="001313B6"/>
    <w:rsid w:val="00131552"/>
    <w:rsid w:val="001340C6"/>
    <w:rsid w:val="00134706"/>
    <w:rsid w:val="00135AF9"/>
    <w:rsid w:val="00136143"/>
    <w:rsid w:val="00143B16"/>
    <w:rsid w:val="00146989"/>
    <w:rsid w:val="001469CC"/>
    <w:rsid w:val="00150C66"/>
    <w:rsid w:val="00150F74"/>
    <w:rsid w:val="00153DD6"/>
    <w:rsid w:val="00153ED3"/>
    <w:rsid w:val="00154252"/>
    <w:rsid w:val="00161F27"/>
    <w:rsid w:val="00163675"/>
    <w:rsid w:val="00167386"/>
    <w:rsid w:val="00172A27"/>
    <w:rsid w:val="0017512B"/>
    <w:rsid w:val="00175F80"/>
    <w:rsid w:val="001826DE"/>
    <w:rsid w:val="00182B96"/>
    <w:rsid w:val="00184357"/>
    <w:rsid w:val="001854E9"/>
    <w:rsid w:val="00185A07"/>
    <w:rsid w:val="0018609B"/>
    <w:rsid w:val="00187806"/>
    <w:rsid w:val="00187DAB"/>
    <w:rsid w:val="00187E34"/>
    <w:rsid w:val="001918A7"/>
    <w:rsid w:val="00194C80"/>
    <w:rsid w:val="0019510A"/>
    <w:rsid w:val="00195EDD"/>
    <w:rsid w:val="001A168D"/>
    <w:rsid w:val="001A4313"/>
    <w:rsid w:val="001A454D"/>
    <w:rsid w:val="001B0AFD"/>
    <w:rsid w:val="001B1766"/>
    <w:rsid w:val="001B1A48"/>
    <w:rsid w:val="001C1C09"/>
    <w:rsid w:val="001C273F"/>
    <w:rsid w:val="001D23F8"/>
    <w:rsid w:val="001D4EAE"/>
    <w:rsid w:val="001E1D10"/>
    <w:rsid w:val="001E2E76"/>
    <w:rsid w:val="001F072F"/>
    <w:rsid w:val="001F0A18"/>
    <w:rsid w:val="001F1929"/>
    <w:rsid w:val="001F26C3"/>
    <w:rsid w:val="001F29D8"/>
    <w:rsid w:val="001F30E9"/>
    <w:rsid w:val="001F338C"/>
    <w:rsid w:val="001F3458"/>
    <w:rsid w:val="002009F8"/>
    <w:rsid w:val="00201D54"/>
    <w:rsid w:val="00203D9B"/>
    <w:rsid w:val="0020440C"/>
    <w:rsid w:val="00210ACF"/>
    <w:rsid w:val="00212419"/>
    <w:rsid w:val="00213FC0"/>
    <w:rsid w:val="00222C8D"/>
    <w:rsid w:val="0022316C"/>
    <w:rsid w:val="00223502"/>
    <w:rsid w:val="00223791"/>
    <w:rsid w:val="00226A1F"/>
    <w:rsid w:val="00230B07"/>
    <w:rsid w:val="00232E12"/>
    <w:rsid w:val="002352A4"/>
    <w:rsid w:val="002364F0"/>
    <w:rsid w:val="0024212E"/>
    <w:rsid w:val="002438D3"/>
    <w:rsid w:val="002439B6"/>
    <w:rsid w:val="00245793"/>
    <w:rsid w:val="002458B2"/>
    <w:rsid w:val="0024711D"/>
    <w:rsid w:val="00251B48"/>
    <w:rsid w:val="00252976"/>
    <w:rsid w:val="002535D9"/>
    <w:rsid w:val="002558D2"/>
    <w:rsid w:val="002561EB"/>
    <w:rsid w:val="00256EBD"/>
    <w:rsid w:val="002608BC"/>
    <w:rsid w:val="00266081"/>
    <w:rsid w:val="00267920"/>
    <w:rsid w:val="002710A7"/>
    <w:rsid w:val="00272E74"/>
    <w:rsid w:val="002743E7"/>
    <w:rsid w:val="002746C7"/>
    <w:rsid w:val="00274D8E"/>
    <w:rsid w:val="00275EC7"/>
    <w:rsid w:val="00277558"/>
    <w:rsid w:val="00282994"/>
    <w:rsid w:val="00286B05"/>
    <w:rsid w:val="00286CEC"/>
    <w:rsid w:val="0028788E"/>
    <w:rsid w:val="002904FC"/>
    <w:rsid w:val="00290A50"/>
    <w:rsid w:val="00291059"/>
    <w:rsid w:val="00294554"/>
    <w:rsid w:val="00296D93"/>
    <w:rsid w:val="0029777A"/>
    <w:rsid w:val="002A1195"/>
    <w:rsid w:val="002A52D0"/>
    <w:rsid w:val="002A6CF1"/>
    <w:rsid w:val="002A6F41"/>
    <w:rsid w:val="002A725B"/>
    <w:rsid w:val="002A7D95"/>
    <w:rsid w:val="002B1D2A"/>
    <w:rsid w:val="002B372E"/>
    <w:rsid w:val="002B658C"/>
    <w:rsid w:val="002B6F77"/>
    <w:rsid w:val="002B7638"/>
    <w:rsid w:val="002C06B4"/>
    <w:rsid w:val="002C13E6"/>
    <w:rsid w:val="002C3520"/>
    <w:rsid w:val="002C35D8"/>
    <w:rsid w:val="002C46E9"/>
    <w:rsid w:val="002C48CD"/>
    <w:rsid w:val="002C620C"/>
    <w:rsid w:val="002C622A"/>
    <w:rsid w:val="002C6E6C"/>
    <w:rsid w:val="002C78B3"/>
    <w:rsid w:val="002D0E6F"/>
    <w:rsid w:val="002D1000"/>
    <w:rsid w:val="002D69B4"/>
    <w:rsid w:val="002E127B"/>
    <w:rsid w:val="002E2069"/>
    <w:rsid w:val="002E2992"/>
    <w:rsid w:val="002E4B01"/>
    <w:rsid w:val="002E7846"/>
    <w:rsid w:val="002E7CAB"/>
    <w:rsid w:val="002F4230"/>
    <w:rsid w:val="002F4398"/>
    <w:rsid w:val="002F5A32"/>
    <w:rsid w:val="00301A0E"/>
    <w:rsid w:val="00301FCA"/>
    <w:rsid w:val="00303782"/>
    <w:rsid w:val="00303BA3"/>
    <w:rsid w:val="00303CFF"/>
    <w:rsid w:val="003058A6"/>
    <w:rsid w:val="0031034B"/>
    <w:rsid w:val="00310CC2"/>
    <w:rsid w:val="00312BAA"/>
    <w:rsid w:val="00312E9A"/>
    <w:rsid w:val="00314549"/>
    <w:rsid w:val="00315C84"/>
    <w:rsid w:val="003172E1"/>
    <w:rsid w:val="00317EEC"/>
    <w:rsid w:val="003240F9"/>
    <w:rsid w:val="00330A50"/>
    <w:rsid w:val="003318DE"/>
    <w:rsid w:val="00332FEF"/>
    <w:rsid w:val="003423C6"/>
    <w:rsid w:val="003427C4"/>
    <w:rsid w:val="00342C34"/>
    <w:rsid w:val="00343418"/>
    <w:rsid w:val="0034408A"/>
    <w:rsid w:val="0034675D"/>
    <w:rsid w:val="00352E8A"/>
    <w:rsid w:val="003545C9"/>
    <w:rsid w:val="00355845"/>
    <w:rsid w:val="00355E60"/>
    <w:rsid w:val="00362679"/>
    <w:rsid w:val="00362FA3"/>
    <w:rsid w:val="00364CA1"/>
    <w:rsid w:val="003663AA"/>
    <w:rsid w:val="00366E3E"/>
    <w:rsid w:val="0036790D"/>
    <w:rsid w:val="00375076"/>
    <w:rsid w:val="00383711"/>
    <w:rsid w:val="003849DA"/>
    <w:rsid w:val="00385FC7"/>
    <w:rsid w:val="00387316"/>
    <w:rsid w:val="003933F8"/>
    <w:rsid w:val="003A09A0"/>
    <w:rsid w:val="003A0A93"/>
    <w:rsid w:val="003A6254"/>
    <w:rsid w:val="003A645D"/>
    <w:rsid w:val="003A671A"/>
    <w:rsid w:val="003B04A1"/>
    <w:rsid w:val="003B5555"/>
    <w:rsid w:val="003B5FC1"/>
    <w:rsid w:val="003B6B31"/>
    <w:rsid w:val="003C36CB"/>
    <w:rsid w:val="003C3873"/>
    <w:rsid w:val="003C4293"/>
    <w:rsid w:val="003C6BA1"/>
    <w:rsid w:val="003D09C5"/>
    <w:rsid w:val="003D1BA5"/>
    <w:rsid w:val="003D4B31"/>
    <w:rsid w:val="003D6DD6"/>
    <w:rsid w:val="003E2520"/>
    <w:rsid w:val="003E2D7A"/>
    <w:rsid w:val="003E701F"/>
    <w:rsid w:val="003F3D22"/>
    <w:rsid w:val="003F5853"/>
    <w:rsid w:val="003F7A40"/>
    <w:rsid w:val="00402994"/>
    <w:rsid w:val="00403443"/>
    <w:rsid w:val="00404534"/>
    <w:rsid w:val="004054D6"/>
    <w:rsid w:val="00406392"/>
    <w:rsid w:val="00407D82"/>
    <w:rsid w:val="00414039"/>
    <w:rsid w:val="00417F91"/>
    <w:rsid w:val="0042045D"/>
    <w:rsid w:val="00420C30"/>
    <w:rsid w:val="00421BE1"/>
    <w:rsid w:val="00422319"/>
    <w:rsid w:val="00426917"/>
    <w:rsid w:val="00426B7E"/>
    <w:rsid w:val="00426F73"/>
    <w:rsid w:val="0043166A"/>
    <w:rsid w:val="004318C3"/>
    <w:rsid w:val="00432C0C"/>
    <w:rsid w:val="00434857"/>
    <w:rsid w:val="00436D01"/>
    <w:rsid w:val="004405F1"/>
    <w:rsid w:val="00444C35"/>
    <w:rsid w:val="00446333"/>
    <w:rsid w:val="00460467"/>
    <w:rsid w:val="004606AC"/>
    <w:rsid w:val="00460C8F"/>
    <w:rsid w:val="00461283"/>
    <w:rsid w:val="00465D29"/>
    <w:rsid w:val="00471F5F"/>
    <w:rsid w:val="00472E0A"/>
    <w:rsid w:val="00476604"/>
    <w:rsid w:val="00476D6A"/>
    <w:rsid w:val="00480A45"/>
    <w:rsid w:val="00481550"/>
    <w:rsid w:val="00483514"/>
    <w:rsid w:val="00483709"/>
    <w:rsid w:val="00483901"/>
    <w:rsid w:val="00490D19"/>
    <w:rsid w:val="00494476"/>
    <w:rsid w:val="004964A0"/>
    <w:rsid w:val="0049672A"/>
    <w:rsid w:val="00497423"/>
    <w:rsid w:val="004A0056"/>
    <w:rsid w:val="004A0881"/>
    <w:rsid w:val="004A0F2F"/>
    <w:rsid w:val="004A175B"/>
    <w:rsid w:val="004A1D68"/>
    <w:rsid w:val="004A1E2E"/>
    <w:rsid w:val="004A261E"/>
    <w:rsid w:val="004B1970"/>
    <w:rsid w:val="004B1D9A"/>
    <w:rsid w:val="004B2251"/>
    <w:rsid w:val="004B77DF"/>
    <w:rsid w:val="004C0D5E"/>
    <w:rsid w:val="004C3DB2"/>
    <w:rsid w:val="004C461D"/>
    <w:rsid w:val="004C7670"/>
    <w:rsid w:val="004D3FC9"/>
    <w:rsid w:val="004D7919"/>
    <w:rsid w:val="004E0539"/>
    <w:rsid w:val="004E0A02"/>
    <w:rsid w:val="004E1CE7"/>
    <w:rsid w:val="004E26E1"/>
    <w:rsid w:val="004E46DD"/>
    <w:rsid w:val="004E513A"/>
    <w:rsid w:val="004E7A8C"/>
    <w:rsid w:val="004F180C"/>
    <w:rsid w:val="004F1B4C"/>
    <w:rsid w:val="004F444A"/>
    <w:rsid w:val="004F4BF2"/>
    <w:rsid w:val="004F6488"/>
    <w:rsid w:val="004F6625"/>
    <w:rsid w:val="00500C89"/>
    <w:rsid w:val="00501B8E"/>
    <w:rsid w:val="00506253"/>
    <w:rsid w:val="00506931"/>
    <w:rsid w:val="005103B7"/>
    <w:rsid w:val="00510AF7"/>
    <w:rsid w:val="005235DC"/>
    <w:rsid w:val="00524F88"/>
    <w:rsid w:val="00525304"/>
    <w:rsid w:val="0052666B"/>
    <w:rsid w:val="005328F4"/>
    <w:rsid w:val="005355D7"/>
    <w:rsid w:val="005359EE"/>
    <w:rsid w:val="00536288"/>
    <w:rsid w:val="0053699E"/>
    <w:rsid w:val="005369EE"/>
    <w:rsid w:val="00541678"/>
    <w:rsid w:val="00546738"/>
    <w:rsid w:val="005507F5"/>
    <w:rsid w:val="0055674B"/>
    <w:rsid w:val="00560DCC"/>
    <w:rsid w:val="00562036"/>
    <w:rsid w:val="00562FF7"/>
    <w:rsid w:val="00564816"/>
    <w:rsid w:val="00565156"/>
    <w:rsid w:val="0056625F"/>
    <w:rsid w:val="00566DE8"/>
    <w:rsid w:val="00567C72"/>
    <w:rsid w:val="00572867"/>
    <w:rsid w:val="00574B81"/>
    <w:rsid w:val="00575277"/>
    <w:rsid w:val="00575DEF"/>
    <w:rsid w:val="00583D11"/>
    <w:rsid w:val="00585CC4"/>
    <w:rsid w:val="00586A9D"/>
    <w:rsid w:val="00591907"/>
    <w:rsid w:val="00592FD7"/>
    <w:rsid w:val="005A075E"/>
    <w:rsid w:val="005A48AD"/>
    <w:rsid w:val="005A4F71"/>
    <w:rsid w:val="005A63AA"/>
    <w:rsid w:val="005A7110"/>
    <w:rsid w:val="005A7D41"/>
    <w:rsid w:val="005B18C2"/>
    <w:rsid w:val="005B2905"/>
    <w:rsid w:val="005B46EB"/>
    <w:rsid w:val="005B6EA7"/>
    <w:rsid w:val="005C5E9C"/>
    <w:rsid w:val="005D0B2E"/>
    <w:rsid w:val="005D74DF"/>
    <w:rsid w:val="005E20E6"/>
    <w:rsid w:val="005F25E6"/>
    <w:rsid w:val="00601E55"/>
    <w:rsid w:val="006025CA"/>
    <w:rsid w:val="00604993"/>
    <w:rsid w:val="00606964"/>
    <w:rsid w:val="00606ED9"/>
    <w:rsid w:val="00607085"/>
    <w:rsid w:val="00607558"/>
    <w:rsid w:val="00607575"/>
    <w:rsid w:val="0061488B"/>
    <w:rsid w:val="006229B1"/>
    <w:rsid w:val="006245C8"/>
    <w:rsid w:val="006317FF"/>
    <w:rsid w:val="00631C70"/>
    <w:rsid w:val="00631D9D"/>
    <w:rsid w:val="0063211F"/>
    <w:rsid w:val="006349C1"/>
    <w:rsid w:val="00634A6B"/>
    <w:rsid w:val="0063643D"/>
    <w:rsid w:val="00636E4B"/>
    <w:rsid w:val="0064522A"/>
    <w:rsid w:val="00646426"/>
    <w:rsid w:val="00646CCD"/>
    <w:rsid w:val="0065356E"/>
    <w:rsid w:val="0065359A"/>
    <w:rsid w:val="00654F9F"/>
    <w:rsid w:val="00655664"/>
    <w:rsid w:val="006558D8"/>
    <w:rsid w:val="00655917"/>
    <w:rsid w:val="00657D22"/>
    <w:rsid w:val="006634F2"/>
    <w:rsid w:val="006637CC"/>
    <w:rsid w:val="00666FDD"/>
    <w:rsid w:val="00667641"/>
    <w:rsid w:val="0066791D"/>
    <w:rsid w:val="00667DF0"/>
    <w:rsid w:val="00670299"/>
    <w:rsid w:val="00673AE1"/>
    <w:rsid w:val="00674EC4"/>
    <w:rsid w:val="00676771"/>
    <w:rsid w:val="0068045A"/>
    <w:rsid w:val="00690558"/>
    <w:rsid w:val="006A3F3F"/>
    <w:rsid w:val="006A772B"/>
    <w:rsid w:val="006B0FC9"/>
    <w:rsid w:val="006B2930"/>
    <w:rsid w:val="006B2AE1"/>
    <w:rsid w:val="006B4D4F"/>
    <w:rsid w:val="006B6474"/>
    <w:rsid w:val="006C0178"/>
    <w:rsid w:val="006C10F1"/>
    <w:rsid w:val="006C166B"/>
    <w:rsid w:val="006C18B8"/>
    <w:rsid w:val="006C2682"/>
    <w:rsid w:val="006C48F1"/>
    <w:rsid w:val="006D290F"/>
    <w:rsid w:val="006D56A2"/>
    <w:rsid w:val="006D621D"/>
    <w:rsid w:val="006D6297"/>
    <w:rsid w:val="006D651A"/>
    <w:rsid w:val="006E27D6"/>
    <w:rsid w:val="006E2F84"/>
    <w:rsid w:val="006E65D0"/>
    <w:rsid w:val="006E7AB2"/>
    <w:rsid w:val="006F051E"/>
    <w:rsid w:val="006F0945"/>
    <w:rsid w:val="006F6E60"/>
    <w:rsid w:val="007003AA"/>
    <w:rsid w:val="0070174E"/>
    <w:rsid w:val="00703610"/>
    <w:rsid w:val="00706022"/>
    <w:rsid w:val="007060E6"/>
    <w:rsid w:val="0070690A"/>
    <w:rsid w:val="0071148D"/>
    <w:rsid w:val="007118C3"/>
    <w:rsid w:val="0071301D"/>
    <w:rsid w:val="00713477"/>
    <w:rsid w:val="00716622"/>
    <w:rsid w:val="00720153"/>
    <w:rsid w:val="0072272D"/>
    <w:rsid w:val="00723814"/>
    <w:rsid w:val="00723E2A"/>
    <w:rsid w:val="00724D12"/>
    <w:rsid w:val="00727EE1"/>
    <w:rsid w:val="00731A9A"/>
    <w:rsid w:val="0073278C"/>
    <w:rsid w:val="00735C34"/>
    <w:rsid w:val="00736C41"/>
    <w:rsid w:val="00740295"/>
    <w:rsid w:val="00741D64"/>
    <w:rsid w:val="00747569"/>
    <w:rsid w:val="007505EB"/>
    <w:rsid w:val="00754B8A"/>
    <w:rsid w:val="007565A2"/>
    <w:rsid w:val="00756F22"/>
    <w:rsid w:val="00757C6B"/>
    <w:rsid w:val="00762537"/>
    <w:rsid w:val="007632A5"/>
    <w:rsid w:val="0076375C"/>
    <w:rsid w:val="00763BAB"/>
    <w:rsid w:val="007647E7"/>
    <w:rsid w:val="00770246"/>
    <w:rsid w:val="00770AE4"/>
    <w:rsid w:val="00770B7C"/>
    <w:rsid w:val="0077170E"/>
    <w:rsid w:val="007765B5"/>
    <w:rsid w:val="00776A7A"/>
    <w:rsid w:val="00781615"/>
    <w:rsid w:val="007843FA"/>
    <w:rsid w:val="007856F4"/>
    <w:rsid w:val="007879DB"/>
    <w:rsid w:val="00790857"/>
    <w:rsid w:val="00790DE7"/>
    <w:rsid w:val="00792252"/>
    <w:rsid w:val="0079267D"/>
    <w:rsid w:val="00792D3B"/>
    <w:rsid w:val="007944EF"/>
    <w:rsid w:val="0079485B"/>
    <w:rsid w:val="00796365"/>
    <w:rsid w:val="007968A0"/>
    <w:rsid w:val="007A164C"/>
    <w:rsid w:val="007A23CC"/>
    <w:rsid w:val="007A3C24"/>
    <w:rsid w:val="007A66FC"/>
    <w:rsid w:val="007A7E78"/>
    <w:rsid w:val="007B1AA9"/>
    <w:rsid w:val="007B2BC3"/>
    <w:rsid w:val="007B37CD"/>
    <w:rsid w:val="007B6311"/>
    <w:rsid w:val="007B653C"/>
    <w:rsid w:val="007B6F9A"/>
    <w:rsid w:val="007B73DA"/>
    <w:rsid w:val="007C0861"/>
    <w:rsid w:val="007C08F9"/>
    <w:rsid w:val="007C0D0C"/>
    <w:rsid w:val="007C1D01"/>
    <w:rsid w:val="007C4A2F"/>
    <w:rsid w:val="007C5174"/>
    <w:rsid w:val="007C694A"/>
    <w:rsid w:val="007C7658"/>
    <w:rsid w:val="007C79C9"/>
    <w:rsid w:val="007D11AB"/>
    <w:rsid w:val="007D29E6"/>
    <w:rsid w:val="007D442B"/>
    <w:rsid w:val="007D4538"/>
    <w:rsid w:val="007D4906"/>
    <w:rsid w:val="007D5F9E"/>
    <w:rsid w:val="007D6F38"/>
    <w:rsid w:val="007D7C44"/>
    <w:rsid w:val="007D7EA5"/>
    <w:rsid w:val="007E43A1"/>
    <w:rsid w:val="007E4CA7"/>
    <w:rsid w:val="007E5B6F"/>
    <w:rsid w:val="007E5C6B"/>
    <w:rsid w:val="007E7AA7"/>
    <w:rsid w:val="007F2DAF"/>
    <w:rsid w:val="007F671D"/>
    <w:rsid w:val="0080159F"/>
    <w:rsid w:val="008018B1"/>
    <w:rsid w:val="00802DC7"/>
    <w:rsid w:val="00803F15"/>
    <w:rsid w:val="00804B45"/>
    <w:rsid w:val="00806ADF"/>
    <w:rsid w:val="008110AF"/>
    <w:rsid w:val="00811ED5"/>
    <w:rsid w:val="00814441"/>
    <w:rsid w:val="00820891"/>
    <w:rsid w:val="00820F8B"/>
    <w:rsid w:val="00822E7D"/>
    <w:rsid w:val="00830AAB"/>
    <w:rsid w:val="00833A3C"/>
    <w:rsid w:val="00836731"/>
    <w:rsid w:val="00837904"/>
    <w:rsid w:val="00837E8E"/>
    <w:rsid w:val="00842800"/>
    <w:rsid w:val="00842825"/>
    <w:rsid w:val="008448D4"/>
    <w:rsid w:val="00847D8D"/>
    <w:rsid w:val="00851CC0"/>
    <w:rsid w:val="00852158"/>
    <w:rsid w:val="0085292F"/>
    <w:rsid w:val="00854555"/>
    <w:rsid w:val="00855224"/>
    <w:rsid w:val="00856088"/>
    <w:rsid w:val="00856F8A"/>
    <w:rsid w:val="00857C58"/>
    <w:rsid w:val="00861EC5"/>
    <w:rsid w:val="00863907"/>
    <w:rsid w:val="00865952"/>
    <w:rsid w:val="00866F92"/>
    <w:rsid w:val="00870AA2"/>
    <w:rsid w:val="008714F0"/>
    <w:rsid w:val="00872E25"/>
    <w:rsid w:val="008745AE"/>
    <w:rsid w:val="00874B27"/>
    <w:rsid w:val="00876507"/>
    <w:rsid w:val="008800C3"/>
    <w:rsid w:val="0088182D"/>
    <w:rsid w:val="00881D02"/>
    <w:rsid w:val="00882844"/>
    <w:rsid w:val="008866CD"/>
    <w:rsid w:val="00890F40"/>
    <w:rsid w:val="00891037"/>
    <w:rsid w:val="00893261"/>
    <w:rsid w:val="0089480B"/>
    <w:rsid w:val="00894F57"/>
    <w:rsid w:val="008961C9"/>
    <w:rsid w:val="00897AAA"/>
    <w:rsid w:val="008A104F"/>
    <w:rsid w:val="008A3B09"/>
    <w:rsid w:val="008A4599"/>
    <w:rsid w:val="008A59AE"/>
    <w:rsid w:val="008A6A4A"/>
    <w:rsid w:val="008A75BD"/>
    <w:rsid w:val="008A7D91"/>
    <w:rsid w:val="008B1C12"/>
    <w:rsid w:val="008B3C7C"/>
    <w:rsid w:val="008B3E72"/>
    <w:rsid w:val="008B4974"/>
    <w:rsid w:val="008B6B40"/>
    <w:rsid w:val="008B7296"/>
    <w:rsid w:val="008C0CC1"/>
    <w:rsid w:val="008C1298"/>
    <w:rsid w:val="008C29BA"/>
    <w:rsid w:val="008C4FC5"/>
    <w:rsid w:val="008C647C"/>
    <w:rsid w:val="008C6D6C"/>
    <w:rsid w:val="008D0E67"/>
    <w:rsid w:val="008D199A"/>
    <w:rsid w:val="008D1ABE"/>
    <w:rsid w:val="008D2C35"/>
    <w:rsid w:val="008E345B"/>
    <w:rsid w:val="008E544E"/>
    <w:rsid w:val="008F1145"/>
    <w:rsid w:val="008F2F2D"/>
    <w:rsid w:val="008F770D"/>
    <w:rsid w:val="00902434"/>
    <w:rsid w:val="00903254"/>
    <w:rsid w:val="009052E8"/>
    <w:rsid w:val="00907D99"/>
    <w:rsid w:val="00907EAA"/>
    <w:rsid w:val="00913354"/>
    <w:rsid w:val="00913717"/>
    <w:rsid w:val="00913968"/>
    <w:rsid w:val="00913C43"/>
    <w:rsid w:val="0091625E"/>
    <w:rsid w:val="00916C10"/>
    <w:rsid w:val="00917343"/>
    <w:rsid w:val="00917651"/>
    <w:rsid w:val="00917C13"/>
    <w:rsid w:val="00922BBD"/>
    <w:rsid w:val="0092405F"/>
    <w:rsid w:val="00925F07"/>
    <w:rsid w:val="009261D6"/>
    <w:rsid w:val="009271B7"/>
    <w:rsid w:val="00933AA1"/>
    <w:rsid w:val="009376B1"/>
    <w:rsid w:val="00941259"/>
    <w:rsid w:val="00946AE0"/>
    <w:rsid w:val="00950A9D"/>
    <w:rsid w:val="00952279"/>
    <w:rsid w:val="009523B3"/>
    <w:rsid w:val="00953576"/>
    <w:rsid w:val="009567FD"/>
    <w:rsid w:val="0095748D"/>
    <w:rsid w:val="00961964"/>
    <w:rsid w:val="00961F90"/>
    <w:rsid w:val="009634BE"/>
    <w:rsid w:val="00963D65"/>
    <w:rsid w:val="00965DE5"/>
    <w:rsid w:val="00967964"/>
    <w:rsid w:val="00970147"/>
    <w:rsid w:val="00972B04"/>
    <w:rsid w:val="0097401C"/>
    <w:rsid w:val="009754DA"/>
    <w:rsid w:val="00980E58"/>
    <w:rsid w:val="00981221"/>
    <w:rsid w:val="00981390"/>
    <w:rsid w:val="00981B22"/>
    <w:rsid w:val="00982EAC"/>
    <w:rsid w:val="00985123"/>
    <w:rsid w:val="00985941"/>
    <w:rsid w:val="0098630F"/>
    <w:rsid w:val="009873BC"/>
    <w:rsid w:val="00987448"/>
    <w:rsid w:val="0098751E"/>
    <w:rsid w:val="00990E86"/>
    <w:rsid w:val="00991EE8"/>
    <w:rsid w:val="00992BB2"/>
    <w:rsid w:val="00993F70"/>
    <w:rsid w:val="00995F3D"/>
    <w:rsid w:val="009A15A8"/>
    <w:rsid w:val="009A4F31"/>
    <w:rsid w:val="009A6D66"/>
    <w:rsid w:val="009B1D05"/>
    <w:rsid w:val="009B1D26"/>
    <w:rsid w:val="009B231A"/>
    <w:rsid w:val="009B4570"/>
    <w:rsid w:val="009B4A6F"/>
    <w:rsid w:val="009C1035"/>
    <w:rsid w:val="009C2859"/>
    <w:rsid w:val="009C4511"/>
    <w:rsid w:val="009D0BA4"/>
    <w:rsid w:val="009D1159"/>
    <w:rsid w:val="009D2905"/>
    <w:rsid w:val="009D2E11"/>
    <w:rsid w:val="009D66F5"/>
    <w:rsid w:val="009E2F94"/>
    <w:rsid w:val="009E5E3E"/>
    <w:rsid w:val="009E66A0"/>
    <w:rsid w:val="009E74F7"/>
    <w:rsid w:val="009E75D5"/>
    <w:rsid w:val="009E7A56"/>
    <w:rsid w:val="009F060E"/>
    <w:rsid w:val="009F0A44"/>
    <w:rsid w:val="009F0C3B"/>
    <w:rsid w:val="009F12D6"/>
    <w:rsid w:val="009F1D78"/>
    <w:rsid w:val="009F2B68"/>
    <w:rsid w:val="009F5542"/>
    <w:rsid w:val="009F72FD"/>
    <w:rsid w:val="00A00084"/>
    <w:rsid w:val="00A0071D"/>
    <w:rsid w:val="00A020C8"/>
    <w:rsid w:val="00A02187"/>
    <w:rsid w:val="00A05327"/>
    <w:rsid w:val="00A12746"/>
    <w:rsid w:val="00A14249"/>
    <w:rsid w:val="00A143E8"/>
    <w:rsid w:val="00A157FA"/>
    <w:rsid w:val="00A16152"/>
    <w:rsid w:val="00A177AE"/>
    <w:rsid w:val="00A17DD7"/>
    <w:rsid w:val="00A204F5"/>
    <w:rsid w:val="00A20B9E"/>
    <w:rsid w:val="00A21444"/>
    <w:rsid w:val="00A22F69"/>
    <w:rsid w:val="00A23166"/>
    <w:rsid w:val="00A233F1"/>
    <w:rsid w:val="00A236B7"/>
    <w:rsid w:val="00A2543F"/>
    <w:rsid w:val="00A3319D"/>
    <w:rsid w:val="00A338DC"/>
    <w:rsid w:val="00A34209"/>
    <w:rsid w:val="00A34A4B"/>
    <w:rsid w:val="00A406E5"/>
    <w:rsid w:val="00A429D4"/>
    <w:rsid w:val="00A4333F"/>
    <w:rsid w:val="00A43F2F"/>
    <w:rsid w:val="00A50531"/>
    <w:rsid w:val="00A52534"/>
    <w:rsid w:val="00A533F5"/>
    <w:rsid w:val="00A5666E"/>
    <w:rsid w:val="00A60FE1"/>
    <w:rsid w:val="00A6267C"/>
    <w:rsid w:val="00A62A51"/>
    <w:rsid w:val="00A62A79"/>
    <w:rsid w:val="00A63E8F"/>
    <w:rsid w:val="00A64E66"/>
    <w:rsid w:val="00A650CE"/>
    <w:rsid w:val="00A651EF"/>
    <w:rsid w:val="00A7047D"/>
    <w:rsid w:val="00A705AF"/>
    <w:rsid w:val="00A71CE2"/>
    <w:rsid w:val="00A72E2F"/>
    <w:rsid w:val="00A735BB"/>
    <w:rsid w:val="00A7380B"/>
    <w:rsid w:val="00A74607"/>
    <w:rsid w:val="00A810E4"/>
    <w:rsid w:val="00A822FB"/>
    <w:rsid w:val="00A83867"/>
    <w:rsid w:val="00A87902"/>
    <w:rsid w:val="00A87E1F"/>
    <w:rsid w:val="00A922DD"/>
    <w:rsid w:val="00A92F96"/>
    <w:rsid w:val="00A93746"/>
    <w:rsid w:val="00A93AE9"/>
    <w:rsid w:val="00A94D71"/>
    <w:rsid w:val="00A95CF8"/>
    <w:rsid w:val="00A96CBD"/>
    <w:rsid w:val="00A978A1"/>
    <w:rsid w:val="00AA06F5"/>
    <w:rsid w:val="00AA1B27"/>
    <w:rsid w:val="00AA2BFA"/>
    <w:rsid w:val="00AA3AA8"/>
    <w:rsid w:val="00AA42AE"/>
    <w:rsid w:val="00AB1089"/>
    <w:rsid w:val="00AB22DE"/>
    <w:rsid w:val="00AB2478"/>
    <w:rsid w:val="00AB41E2"/>
    <w:rsid w:val="00AB5D41"/>
    <w:rsid w:val="00AC0CA7"/>
    <w:rsid w:val="00AC3183"/>
    <w:rsid w:val="00AC3590"/>
    <w:rsid w:val="00AC70C9"/>
    <w:rsid w:val="00AD5707"/>
    <w:rsid w:val="00AD5A12"/>
    <w:rsid w:val="00AD73A0"/>
    <w:rsid w:val="00AE1E9D"/>
    <w:rsid w:val="00AE2279"/>
    <w:rsid w:val="00AE276F"/>
    <w:rsid w:val="00AE386F"/>
    <w:rsid w:val="00AE3A97"/>
    <w:rsid w:val="00AE5E22"/>
    <w:rsid w:val="00AE6BF3"/>
    <w:rsid w:val="00AE78B9"/>
    <w:rsid w:val="00AF0168"/>
    <w:rsid w:val="00AF6892"/>
    <w:rsid w:val="00AF719F"/>
    <w:rsid w:val="00B0276F"/>
    <w:rsid w:val="00B054CC"/>
    <w:rsid w:val="00B05515"/>
    <w:rsid w:val="00B055A0"/>
    <w:rsid w:val="00B07543"/>
    <w:rsid w:val="00B10322"/>
    <w:rsid w:val="00B115B3"/>
    <w:rsid w:val="00B1431B"/>
    <w:rsid w:val="00B220B4"/>
    <w:rsid w:val="00B23828"/>
    <w:rsid w:val="00B247EC"/>
    <w:rsid w:val="00B272BD"/>
    <w:rsid w:val="00B34143"/>
    <w:rsid w:val="00B34550"/>
    <w:rsid w:val="00B35A17"/>
    <w:rsid w:val="00B3601C"/>
    <w:rsid w:val="00B367B2"/>
    <w:rsid w:val="00B42DA8"/>
    <w:rsid w:val="00B45045"/>
    <w:rsid w:val="00B4789F"/>
    <w:rsid w:val="00B50A51"/>
    <w:rsid w:val="00B5161B"/>
    <w:rsid w:val="00B527A2"/>
    <w:rsid w:val="00B55FDD"/>
    <w:rsid w:val="00B56DB9"/>
    <w:rsid w:val="00B623D3"/>
    <w:rsid w:val="00B641E2"/>
    <w:rsid w:val="00B665C8"/>
    <w:rsid w:val="00B67252"/>
    <w:rsid w:val="00B70A5A"/>
    <w:rsid w:val="00B713A2"/>
    <w:rsid w:val="00B74DFF"/>
    <w:rsid w:val="00B76BA3"/>
    <w:rsid w:val="00B775D3"/>
    <w:rsid w:val="00B80CDC"/>
    <w:rsid w:val="00B81770"/>
    <w:rsid w:val="00B82D85"/>
    <w:rsid w:val="00B84E65"/>
    <w:rsid w:val="00B85A7D"/>
    <w:rsid w:val="00B87BF5"/>
    <w:rsid w:val="00B9137D"/>
    <w:rsid w:val="00B94024"/>
    <w:rsid w:val="00B96CEB"/>
    <w:rsid w:val="00BA1469"/>
    <w:rsid w:val="00BB1294"/>
    <w:rsid w:val="00BB1BB0"/>
    <w:rsid w:val="00BB257B"/>
    <w:rsid w:val="00BB2852"/>
    <w:rsid w:val="00BB5842"/>
    <w:rsid w:val="00BB6E7C"/>
    <w:rsid w:val="00BB7625"/>
    <w:rsid w:val="00BC0E58"/>
    <w:rsid w:val="00BC37B4"/>
    <w:rsid w:val="00BC4EEB"/>
    <w:rsid w:val="00BC6220"/>
    <w:rsid w:val="00BC7213"/>
    <w:rsid w:val="00BD0365"/>
    <w:rsid w:val="00BD1359"/>
    <w:rsid w:val="00BD2324"/>
    <w:rsid w:val="00BE37FE"/>
    <w:rsid w:val="00BE6CD2"/>
    <w:rsid w:val="00C003F4"/>
    <w:rsid w:val="00C01938"/>
    <w:rsid w:val="00C02090"/>
    <w:rsid w:val="00C06B1B"/>
    <w:rsid w:val="00C06CAE"/>
    <w:rsid w:val="00C10B3E"/>
    <w:rsid w:val="00C14D8C"/>
    <w:rsid w:val="00C17A36"/>
    <w:rsid w:val="00C219DE"/>
    <w:rsid w:val="00C22187"/>
    <w:rsid w:val="00C22FC1"/>
    <w:rsid w:val="00C24CAD"/>
    <w:rsid w:val="00C24D61"/>
    <w:rsid w:val="00C34E9B"/>
    <w:rsid w:val="00C3551B"/>
    <w:rsid w:val="00C35B1C"/>
    <w:rsid w:val="00C36C14"/>
    <w:rsid w:val="00C3788C"/>
    <w:rsid w:val="00C46839"/>
    <w:rsid w:val="00C502C0"/>
    <w:rsid w:val="00C50BEB"/>
    <w:rsid w:val="00C53104"/>
    <w:rsid w:val="00C53147"/>
    <w:rsid w:val="00C54322"/>
    <w:rsid w:val="00C55552"/>
    <w:rsid w:val="00C55B0C"/>
    <w:rsid w:val="00C56DCA"/>
    <w:rsid w:val="00C61F52"/>
    <w:rsid w:val="00C62577"/>
    <w:rsid w:val="00C65A5E"/>
    <w:rsid w:val="00C7034F"/>
    <w:rsid w:val="00C70DDB"/>
    <w:rsid w:val="00C73920"/>
    <w:rsid w:val="00C74897"/>
    <w:rsid w:val="00C766EB"/>
    <w:rsid w:val="00C80982"/>
    <w:rsid w:val="00C82355"/>
    <w:rsid w:val="00C82700"/>
    <w:rsid w:val="00C8280A"/>
    <w:rsid w:val="00C87096"/>
    <w:rsid w:val="00C906EA"/>
    <w:rsid w:val="00C90AC7"/>
    <w:rsid w:val="00C93F29"/>
    <w:rsid w:val="00C95485"/>
    <w:rsid w:val="00C97F3B"/>
    <w:rsid w:val="00CA21C9"/>
    <w:rsid w:val="00CB0CFD"/>
    <w:rsid w:val="00CB1C85"/>
    <w:rsid w:val="00CB37EF"/>
    <w:rsid w:val="00CB3EBD"/>
    <w:rsid w:val="00CB4E3C"/>
    <w:rsid w:val="00CB5782"/>
    <w:rsid w:val="00CB7F47"/>
    <w:rsid w:val="00CC2472"/>
    <w:rsid w:val="00CC2D40"/>
    <w:rsid w:val="00CC4165"/>
    <w:rsid w:val="00CD0A43"/>
    <w:rsid w:val="00CD249A"/>
    <w:rsid w:val="00CD30BD"/>
    <w:rsid w:val="00CD3158"/>
    <w:rsid w:val="00CD6473"/>
    <w:rsid w:val="00CE02DA"/>
    <w:rsid w:val="00CE0CEF"/>
    <w:rsid w:val="00CE1F1E"/>
    <w:rsid w:val="00CE219F"/>
    <w:rsid w:val="00CE4DE1"/>
    <w:rsid w:val="00CE5E6C"/>
    <w:rsid w:val="00CE68EC"/>
    <w:rsid w:val="00CE7A29"/>
    <w:rsid w:val="00CF0C02"/>
    <w:rsid w:val="00CF12CB"/>
    <w:rsid w:val="00CF63F2"/>
    <w:rsid w:val="00CF6592"/>
    <w:rsid w:val="00D00856"/>
    <w:rsid w:val="00D00D01"/>
    <w:rsid w:val="00D06588"/>
    <w:rsid w:val="00D10C1B"/>
    <w:rsid w:val="00D1360F"/>
    <w:rsid w:val="00D13AC8"/>
    <w:rsid w:val="00D1574A"/>
    <w:rsid w:val="00D159CC"/>
    <w:rsid w:val="00D2279A"/>
    <w:rsid w:val="00D242F5"/>
    <w:rsid w:val="00D246BD"/>
    <w:rsid w:val="00D2472F"/>
    <w:rsid w:val="00D24B2F"/>
    <w:rsid w:val="00D2510E"/>
    <w:rsid w:val="00D25376"/>
    <w:rsid w:val="00D31313"/>
    <w:rsid w:val="00D3228F"/>
    <w:rsid w:val="00D33028"/>
    <w:rsid w:val="00D3322B"/>
    <w:rsid w:val="00D36A3C"/>
    <w:rsid w:val="00D36F03"/>
    <w:rsid w:val="00D376FE"/>
    <w:rsid w:val="00D42554"/>
    <w:rsid w:val="00D436DC"/>
    <w:rsid w:val="00D43E10"/>
    <w:rsid w:val="00D45318"/>
    <w:rsid w:val="00D47303"/>
    <w:rsid w:val="00D51651"/>
    <w:rsid w:val="00D52C59"/>
    <w:rsid w:val="00D5385E"/>
    <w:rsid w:val="00D548E1"/>
    <w:rsid w:val="00D55FC0"/>
    <w:rsid w:val="00D56445"/>
    <w:rsid w:val="00D56CD6"/>
    <w:rsid w:val="00D6097B"/>
    <w:rsid w:val="00D6117D"/>
    <w:rsid w:val="00D61DF3"/>
    <w:rsid w:val="00D63F26"/>
    <w:rsid w:val="00D73120"/>
    <w:rsid w:val="00D731DB"/>
    <w:rsid w:val="00D7335C"/>
    <w:rsid w:val="00D73DE9"/>
    <w:rsid w:val="00D749D5"/>
    <w:rsid w:val="00D75EC3"/>
    <w:rsid w:val="00D84101"/>
    <w:rsid w:val="00D84EED"/>
    <w:rsid w:val="00D854E7"/>
    <w:rsid w:val="00D87F9A"/>
    <w:rsid w:val="00D91AA1"/>
    <w:rsid w:val="00D93A91"/>
    <w:rsid w:val="00D94E21"/>
    <w:rsid w:val="00D9612C"/>
    <w:rsid w:val="00D96508"/>
    <w:rsid w:val="00DA27E6"/>
    <w:rsid w:val="00DA29B9"/>
    <w:rsid w:val="00DA4679"/>
    <w:rsid w:val="00DA5B5F"/>
    <w:rsid w:val="00DA7146"/>
    <w:rsid w:val="00DA7741"/>
    <w:rsid w:val="00DA7966"/>
    <w:rsid w:val="00DB1DFF"/>
    <w:rsid w:val="00DB377A"/>
    <w:rsid w:val="00DB3B7F"/>
    <w:rsid w:val="00DB446B"/>
    <w:rsid w:val="00DB6F37"/>
    <w:rsid w:val="00DC0AAF"/>
    <w:rsid w:val="00DC1FCB"/>
    <w:rsid w:val="00DC1FD4"/>
    <w:rsid w:val="00DC25FC"/>
    <w:rsid w:val="00DC49EC"/>
    <w:rsid w:val="00DD091D"/>
    <w:rsid w:val="00DD1E8E"/>
    <w:rsid w:val="00DD320A"/>
    <w:rsid w:val="00DD371E"/>
    <w:rsid w:val="00DD3730"/>
    <w:rsid w:val="00DD4311"/>
    <w:rsid w:val="00DE4421"/>
    <w:rsid w:val="00DE5105"/>
    <w:rsid w:val="00DE5CB0"/>
    <w:rsid w:val="00DE607E"/>
    <w:rsid w:val="00DE6153"/>
    <w:rsid w:val="00DE62AA"/>
    <w:rsid w:val="00DF2659"/>
    <w:rsid w:val="00DF3258"/>
    <w:rsid w:val="00DF5650"/>
    <w:rsid w:val="00DF57EE"/>
    <w:rsid w:val="00DF5A08"/>
    <w:rsid w:val="00DF7646"/>
    <w:rsid w:val="00E00D63"/>
    <w:rsid w:val="00E05049"/>
    <w:rsid w:val="00E05742"/>
    <w:rsid w:val="00E05E5F"/>
    <w:rsid w:val="00E07C6E"/>
    <w:rsid w:val="00E12B71"/>
    <w:rsid w:val="00E155CC"/>
    <w:rsid w:val="00E216BC"/>
    <w:rsid w:val="00E23670"/>
    <w:rsid w:val="00E24544"/>
    <w:rsid w:val="00E24A6F"/>
    <w:rsid w:val="00E300E6"/>
    <w:rsid w:val="00E3204A"/>
    <w:rsid w:val="00E3325B"/>
    <w:rsid w:val="00E346FD"/>
    <w:rsid w:val="00E35652"/>
    <w:rsid w:val="00E36952"/>
    <w:rsid w:val="00E372A7"/>
    <w:rsid w:val="00E402A2"/>
    <w:rsid w:val="00E42846"/>
    <w:rsid w:val="00E42CD5"/>
    <w:rsid w:val="00E43B30"/>
    <w:rsid w:val="00E5450C"/>
    <w:rsid w:val="00E55360"/>
    <w:rsid w:val="00E55595"/>
    <w:rsid w:val="00E57D47"/>
    <w:rsid w:val="00E607E1"/>
    <w:rsid w:val="00E6291A"/>
    <w:rsid w:val="00E62DC0"/>
    <w:rsid w:val="00E66754"/>
    <w:rsid w:val="00E721C0"/>
    <w:rsid w:val="00E752C0"/>
    <w:rsid w:val="00E75FC8"/>
    <w:rsid w:val="00E76267"/>
    <w:rsid w:val="00E77E9C"/>
    <w:rsid w:val="00E82263"/>
    <w:rsid w:val="00E83008"/>
    <w:rsid w:val="00E847AE"/>
    <w:rsid w:val="00E8488E"/>
    <w:rsid w:val="00E85004"/>
    <w:rsid w:val="00E86F08"/>
    <w:rsid w:val="00E86F32"/>
    <w:rsid w:val="00E92496"/>
    <w:rsid w:val="00E9265A"/>
    <w:rsid w:val="00EA27EB"/>
    <w:rsid w:val="00EA369A"/>
    <w:rsid w:val="00EB07F2"/>
    <w:rsid w:val="00EB0A40"/>
    <w:rsid w:val="00EB3CF5"/>
    <w:rsid w:val="00EB66FB"/>
    <w:rsid w:val="00EB6DFB"/>
    <w:rsid w:val="00EB7CEA"/>
    <w:rsid w:val="00EC0DB1"/>
    <w:rsid w:val="00EC1210"/>
    <w:rsid w:val="00EC295A"/>
    <w:rsid w:val="00EC431F"/>
    <w:rsid w:val="00EC6C5B"/>
    <w:rsid w:val="00ED2A61"/>
    <w:rsid w:val="00ED7223"/>
    <w:rsid w:val="00ED78B9"/>
    <w:rsid w:val="00EE0BFB"/>
    <w:rsid w:val="00EE23EF"/>
    <w:rsid w:val="00EE2485"/>
    <w:rsid w:val="00EE3387"/>
    <w:rsid w:val="00EE5D22"/>
    <w:rsid w:val="00EE6AA8"/>
    <w:rsid w:val="00EF0375"/>
    <w:rsid w:val="00EF0B29"/>
    <w:rsid w:val="00EF0C15"/>
    <w:rsid w:val="00EF1585"/>
    <w:rsid w:val="00EF3395"/>
    <w:rsid w:val="00EF45F1"/>
    <w:rsid w:val="00EF567B"/>
    <w:rsid w:val="00F00C29"/>
    <w:rsid w:val="00F0131A"/>
    <w:rsid w:val="00F0638B"/>
    <w:rsid w:val="00F06B37"/>
    <w:rsid w:val="00F07E46"/>
    <w:rsid w:val="00F108D2"/>
    <w:rsid w:val="00F10ED9"/>
    <w:rsid w:val="00F206DA"/>
    <w:rsid w:val="00F206E4"/>
    <w:rsid w:val="00F2304A"/>
    <w:rsid w:val="00F23286"/>
    <w:rsid w:val="00F237BD"/>
    <w:rsid w:val="00F24B40"/>
    <w:rsid w:val="00F2688D"/>
    <w:rsid w:val="00F27E64"/>
    <w:rsid w:val="00F30F43"/>
    <w:rsid w:val="00F32E30"/>
    <w:rsid w:val="00F34C71"/>
    <w:rsid w:val="00F369A2"/>
    <w:rsid w:val="00F418AE"/>
    <w:rsid w:val="00F47F68"/>
    <w:rsid w:val="00F51311"/>
    <w:rsid w:val="00F54959"/>
    <w:rsid w:val="00F549FA"/>
    <w:rsid w:val="00F56D5B"/>
    <w:rsid w:val="00F56F95"/>
    <w:rsid w:val="00F57C8F"/>
    <w:rsid w:val="00F60675"/>
    <w:rsid w:val="00F6475B"/>
    <w:rsid w:val="00F701A4"/>
    <w:rsid w:val="00F723BC"/>
    <w:rsid w:val="00F73D90"/>
    <w:rsid w:val="00F76973"/>
    <w:rsid w:val="00F76DD1"/>
    <w:rsid w:val="00F77008"/>
    <w:rsid w:val="00F77F6F"/>
    <w:rsid w:val="00F80766"/>
    <w:rsid w:val="00F82325"/>
    <w:rsid w:val="00F84686"/>
    <w:rsid w:val="00F857F8"/>
    <w:rsid w:val="00F868EE"/>
    <w:rsid w:val="00F87FA9"/>
    <w:rsid w:val="00F9119D"/>
    <w:rsid w:val="00F94174"/>
    <w:rsid w:val="00FA0575"/>
    <w:rsid w:val="00FA24FA"/>
    <w:rsid w:val="00FA654B"/>
    <w:rsid w:val="00FB03B0"/>
    <w:rsid w:val="00FB0FA5"/>
    <w:rsid w:val="00FB1BC6"/>
    <w:rsid w:val="00FB21D2"/>
    <w:rsid w:val="00FB24BC"/>
    <w:rsid w:val="00FB5065"/>
    <w:rsid w:val="00FB6D2A"/>
    <w:rsid w:val="00FC2AC0"/>
    <w:rsid w:val="00FC7278"/>
    <w:rsid w:val="00FD4505"/>
    <w:rsid w:val="00FD50C8"/>
    <w:rsid w:val="00FE023C"/>
    <w:rsid w:val="00FE25BD"/>
    <w:rsid w:val="00FE37C1"/>
    <w:rsid w:val="00FE6762"/>
    <w:rsid w:val="00FE6B58"/>
    <w:rsid w:val="00FE7049"/>
    <w:rsid w:val="00FE75AB"/>
    <w:rsid w:val="00FF11FA"/>
    <w:rsid w:val="00FF4BBD"/>
    <w:rsid w:val="010205EA"/>
    <w:rsid w:val="010403C4"/>
    <w:rsid w:val="0109513D"/>
    <w:rsid w:val="010E7E38"/>
    <w:rsid w:val="011061B6"/>
    <w:rsid w:val="01283CE6"/>
    <w:rsid w:val="012E1C6C"/>
    <w:rsid w:val="012F1157"/>
    <w:rsid w:val="013E7931"/>
    <w:rsid w:val="015A171E"/>
    <w:rsid w:val="0196185A"/>
    <w:rsid w:val="01AE7847"/>
    <w:rsid w:val="01BE6750"/>
    <w:rsid w:val="01C54C7D"/>
    <w:rsid w:val="01CA06BA"/>
    <w:rsid w:val="01DA4266"/>
    <w:rsid w:val="02076A0A"/>
    <w:rsid w:val="020A6570"/>
    <w:rsid w:val="02192DD2"/>
    <w:rsid w:val="02296E4E"/>
    <w:rsid w:val="022D7CA1"/>
    <w:rsid w:val="02317260"/>
    <w:rsid w:val="023536E6"/>
    <w:rsid w:val="025A5A4A"/>
    <w:rsid w:val="02670DAF"/>
    <w:rsid w:val="02870D83"/>
    <w:rsid w:val="029856C2"/>
    <w:rsid w:val="02AA7B2E"/>
    <w:rsid w:val="02C17CF5"/>
    <w:rsid w:val="02E348F7"/>
    <w:rsid w:val="03006734"/>
    <w:rsid w:val="031518CE"/>
    <w:rsid w:val="031B114C"/>
    <w:rsid w:val="0320457B"/>
    <w:rsid w:val="034574AF"/>
    <w:rsid w:val="036433DC"/>
    <w:rsid w:val="036B1263"/>
    <w:rsid w:val="036B13A9"/>
    <w:rsid w:val="03890649"/>
    <w:rsid w:val="03893112"/>
    <w:rsid w:val="03AB7ED9"/>
    <w:rsid w:val="03AC1EA9"/>
    <w:rsid w:val="03BA198A"/>
    <w:rsid w:val="03BD3746"/>
    <w:rsid w:val="03CA3E93"/>
    <w:rsid w:val="03CF4431"/>
    <w:rsid w:val="04307971"/>
    <w:rsid w:val="043104A2"/>
    <w:rsid w:val="04312652"/>
    <w:rsid w:val="04660AF1"/>
    <w:rsid w:val="047115A9"/>
    <w:rsid w:val="047542BB"/>
    <w:rsid w:val="047C4F99"/>
    <w:rsid w:val="047E01B1"/>
    <w:rsid w:val="04813C3B"/>
    <w:rsid w:val="048B4253"/>
    <w:rsid w:val="04B47E84"/>
    <w:rsid w:val="04CA19FD"/>
    <w:rsid w:val="04E8398A"/>
    <w:rsid w:val="050119F0"/>
    <w:rsid w:val="05251A71"/>
    <w:rsid w:val="05887CDC"/>
    <w:rsid w:val="05A01558"/>
    <w:rsid w:val="05A06829"/>
    <w:rsid w:val="05D7148A"/>
    <w:rsid w:val="05DB54A9"/>
    <w:rsid w:val="05E30855"/>
    <w:rsid w:val="05EB1897"/>
    <w:rsid w:val="05F201FB"/>
    <w:rsid w:val="0617610F"/>
    <w:rsid w:val="061D16C4"/>
    <w:rsid w:val="062D1053"/>
    <w:rsid w:val="064F3BEE"/>
    <w:rsid w:val="06576D6B"/>
    <w:rsid w:val="065D5597"/>
    <w:rsid w:val="066255ED"/>
    <w:rsid w:val="0670726C"/>
    <w:rsid w:val="06846790"/>
    <w:rsid w:val="06850360"/>
    <w:rsid w:val="06890FAE"/>
    <w:rsid w:val="068A2908"/>
    <w:rsid w:val="068A5FEE"/>
    <w:rsid w:val="06927A93"/>
    <w:rsid w:val="06A63FE3"/>
    <w:rsid w:val="06AE456A"/>
    <w:rsid w:val="06C14902"/>
    <w:rsid w:val="06D51FFA"/>
    <w:rsid w:val="06E011D1"/>
    <w:rsid w:val="06F641EF"/>
    <w:rsid w:val="070936FC"/>
    <w:rsid w:val="0716411F"/>
    <w:rsid w:val="071A004C"/>
    <w:rsid w:val="071A22D0"/>
    <w:rsid w:val="071A6A70"/>
    <w:rsid w:val="071A7DB2"/>
    <w:rsid w:val="072A5D43"/>
    <w:rsid w:val="072E78A6"/>
    <w:rsid w:val="074A1CED"/>
    <w:rsid w:val="075601AB"/>
    <w:rsid w:val="07792E18"/>
    <w:rsid w:val="077E5CA4"/>
    <w:rsid w:val="078056AF"/>
    <w:rsid w:val="078B5C22"/>
    <w:rsid w:val="079016BC"/>
    <w:rsid w:val="07980765"/>
    <w:rsid w:val="07A73072"/>
    <w:rsid w:val="07B5736F"/>
    <w:rsid w:val="07CA242D"/>
    <w:rsid w:val="07CB1685"/>
    <w:rsid w:val="07D155A7"/>
    <w:rsid w:val="07D20809"/>
    <w:rsid w:val="07F930A6"/>
    <w:rsid w:val="08037810"/>
    <w:rsid w:val="080C1E90"/>
    <w:rsid w:val="084A4701"/>
    <w:rsid w:val="08721AE8"/>
    <w:rsid w:val="0872661A"/>
    <w:rsid w:val="0874575C"/>
    <w:rsid w:val="089A076E"/>
    <w:rsid w:val="08AD64F5"/>
    <w:rsid w:val="08CB44C5"/>
    <w:rsid w:val="08E225A7"/>
    <w:rsid w:val="08EB68EB"/>
    <w:rsid w:val="08FC02FE"/>
    <w:rsid w:val="091E063C"/>
    <w:rsid w:val="09241AED"/>
    <w:rsid w:val="09245209"/>
    <w:rsid w:val="09252B68"/>
    <w:rsid w:val="093552A6"/>
    <w:rsid w:val="0935787A"/>
    <w:rsid w:val="09413BDA"/>
    <w:rsid w:val="095331DF"/>
    <w:rsid w:val="095A4558"/>
    <w:rsid w:val="095F08F3"/>
    <w:rsid w:val="097F0342"/>
    <w:rsid w:val="0994741B"/>
    <w:rsid w:val="09A16CA7"/>
    <w:rsid w:val="09AC707A"/>
    <w:rsid w:val="09B11813"/>
    <w:rsid w:val="09B1552D"/>
    <w:rsid w:val="09B84C6F"/>
    <w:rsid w:val="09B912B3"/>
    <w:rsid w:val="09C82537"/>
    <w:rsid w:val="09CA1FCC"/>
    <w:rsid w:val="09CA61DA"/>
    <w:rsid w:val="09D15FCF"/>
    <w:rsid w:val="09DD0238"/>
    <w:rsid w:val="09E50961"/>
    <w:rsid w:val="09E60E28"/>
    <w:rsid w:val="0A0006E0"/>
    <w:rsid w:val="0A10795F"/>
    <w:rsid w:val="0A214CB2"/>
    <w:rsid w:val="0A243755"/>
    <w:rsid w:val="0A264226"/>
    <w:rsid w:val="0A31642E"/>
    <w:rsid w:val="0A316656"/>
    <w:rsid w:val="0A3F1C89"/>
    <w:rsid w:val="0A434147"/>
    <w:rsid w:val="0A4A31F9"/>
    <w:rsid w:val="0A6C67DD"/>
    <w:rsid w:val="0A815BA2"/>
    <w:rsid w:val="0A844293"/>
    <w:rsid w:val="0A856526"/>
    <w:rsid w:val="0A8D7DC4"/>
    <w:rsid w:val="0A9A42B2"/>
    <w:rsid w:val="0A9B5783"/>
    <w:rsid w:val="0AB42B78"/>
    <w:rsid w:val="0AC669AC"/>
    <w:rsid w:val="0ACD5C3E"/>
    <w:rsid w:val="0AF55188"/>
    <w:rsid w:val="0B154CD7"/>
    <w:rsid w:val="0B24107A"/>
    <w:rsid w:val="0B297F0B"/>
    <w:rsid w:val="0B2B42DA"/>
    <w:rsid w:val="0B4351F1"/>
    <w:rsid w:val="0B482030"/>
    <w:rsid w:val="0B5F1271"/>
    <w:rsid w:val="0B6F4DB9"/>
    <w:rsid w:val="0B8601FA"/>
    <w:rsid w:val="0B8C058E"/>
    <w:rsid w:val="0BBE651E"/>
    <w:rsid w:val="0BC319C7"/>
    <w:rsid w:val="0BC7296A"/>
    <w:rsid w:val="0BCD0E92"/>
    <w:rsid w:val="0BD02AEC"/>
    <w:rsid w:val="0C192520"/>
    <w:rsid w:val="0C384E7F"/>
    <w:rsid w:val="0C4E40EB"/>
    <w:rsid w:val="0C5718FA"/>
    <w:rsid w:val="0C646D55"/>
    <w:rsid w:val="0C6E7EB2"/>
    <w:rsid w:val="0C943E94"/>
    <w:rsid w:val="0C9633B3"/>
    <w:rsid w:val="0CCB4B87"/>
    <w:rsid w:val="0CE10F30"/>
    <w:rsid w:val="0D0700F8"/>
    <w:rsid w:val="0D1C538C"/>
    <w:rsid w:val="0D27402E"/>
    <w:rsid w:val="0D2F62D9"/>
    <w:rsid w:val="0D6D0250"/>
    <w:rsid w:val="0D753F62"/>
    <w:rsid w:val="0D7A092F"/>
    <w:rsid w:val="0D7D2EF1"/>
    <w:rsid w:val="0D81087C"/>
    <w:rsid w:val="0D84755A"/>
    <w:rsid w:val="0D907F76"/>
    <w:rsid w:val="0DAC7893"/>
    <w:rsid w:val="0DBA4C83"/>
    <w:rsid w:val="0DDC17C2"/>
    <w:rsid w:val="0DDC5C9C"/>
    <w:rsid w:val="0DDE08D8"/>
    <w:rsid w:val="0DEC0AAC"/>
    <w:rsid w:val="0DFD4EFC"/>
    <w:rsid w:val="0E1321A7"/>
    <w:rsid w:val="0E200415"/>
    <w:rsid w:val="0E423271"/>
    <w:rsid w:val="0E511E28"/>
    <w:rsid w:val="0E523C99"/>
    <w:rsid w:val="0E585E37"/>
    <w:rsid w:val="0E5A6630"/>
    <w:rsid w:val="0E7744F2"/>
    <w:rsid w:val="0EA2664C"/>
    <w:rsid w:val="0EBA3D9C"/>
    <w:rsid w:val="0EBA3E44"/>
    <w:rsid w:val="0ECF4C69"/>
    <w:rsid w:val="0ED00D66"/>
    <w:rsid w:val="0F09489A"/>
    <w:rsid w:val="0F210CC3"/>
    <w:rsid w:val="0F2405DE"/>
    <w:rsid w:val="0F2E30B5"/>
    <w:rsid w:val="0F480F11"/>
    <w:rsid w:val="0F5A6ACA"/>
    <w:rsid w:val="0F754CC5"/>
    <w:rsid w:val="0F8C348A"/>
    <w:rsid w:val="0F907DE4"/>
    <w:rsid w:val="0FA657F0"/>
    <w:rsid w:val="0FCA4890"/>
    <w:rsid w:val="0FD74F51"/>
    <w:rsid w:val="0FD900DB"/>
    <w:rsid w:val="0FD901D9"/>
    <w:rsid w:val="0FDB46D3"/>
    <w:rsid w:val="0FDD3167"/>
    <w:rsid w:val="0FF40461"/>
    <w:rsid w:val="10016066"/>
    <w:rsid w:val="10101C50"/>
    <w:rsid w:val="10296A65"/>
    <w:rsid w:val="10297CAE"/>
    <w:rsid w:val="10380127"/>
    <w:rsid w:val="103E2CFA"/>
    <w:rsid w:val="105F3F44"/>
    <w:rsid w:val="10627DE9"/>
    <w:rsid w:val="10706ADD"/>
    <w:rsid w:val="10BC66AD"/>
    <w:rsid w:val="10BF18B3"/>
    <w:rsid w:val="10C43C9C"/>
    <w:rsid w:val="10D379B8"/>
    <w:rsid w:val="10E83F15"/>
    <w:rsid w:val="10F06336"/>
    <w:rsid w:val="10F92CF9"/>
    <w:rsid w:val="11191B26"/>
    <w:rsid w:val="11443F9E"/>
    <w:rsid w:val="114F6F1D"/>
    <w:rsid w:val="115426AE"/>
    <w:rsid w:val="1158549D"/>
    <w:rsid w:val="117013E6"/>
    <w:rsid w:val="11701783"/>
    <w:rsid w:val="117A60EE"/>
    <w:rsid w:val="11AF63CD"/>
    <w:rsid w:val="11B35D01"/>
    <w:rsid w:val="11C87C09"/>
    <w:rsid w:val="11CF7CD5"/>
    <w:rsid w:val="11D431A3"/>
    <w:rsid w:val="1202527B"/>
    <w:rsid w:val="12137C6C"/>
    <w:rsid w:val="12170602"/>
    <w:rsid w:val="12206F5E"/>
    <w:rsid w:val="1228342F"/>
    <w:rsid w:val="12480979"/>
    <w:rsid w:val="124F006D"/>
    <w:rsid w:val="1254220B"/>
    <w:rsid w:val="12766B2B"/>
    <w:rsid w:val="127856F4"/>
    <w:rsid w:val="12807915"/>
    <w:rsid w:val="12960FD5"/>
    <w:rsid w:val="12A1604D"/>
    <w:rsid w:val="12A860C7"/>
    <w:rsid w:val="12D31EAB"/>
    <w:rsid w:val="12E34449"/>
    <w:rsid w:val="12E602BC"/>
    <w:rsid w:val="12FA4E80"/>
    <w:rsid w:val="130131AC"/>
    <w:rsid w:val="130202AB"/>
    <w:rsid w:val="1308433D"/>
    <w:rsid w:val="13324DBE"/>
    <w:rsid w:val="13422593"/>
    <w:rsid w:val="1343012F"/>
    <w:rsid w:val="134B4C5F"/>
    <w:rsid w:val="134E369A"/>
    <w:rsid w:val="13527D62"/>
    <w:rsid w:val="136F1044"/>
    <w:rsid w:val="139B4A3B"/>
    <w:rsid w:val="13B303FB"/>
    <w:rsid w:val="13EB1A80"/>
    <w:rsid w:val="13F403E9"/>
    <w:rsid w:val="13FC4402"/>
    <w:rsid w:val="140B656A"/>
    <w:rsid w:val="141628D6"/>
    <w:rsid w:val="1429361E"/>
    <w:rsid w:val="142D2FA5"/>
    <w:rsid w:val="144613A2"/>
    <w:rsid w:val="145458F0"/>
    <w:rsid w:val="1459506A"/>
    <w:rsid w:val="146F38F0"/>
    <w:rsid w:val="14761FA0"/>
    <w:rsid w:val="147D42CA"/>
    <w:rsid w:val="14C02C1D"/>
    <w:rsid w:val="14C339FE"/>
    <w:rsid w:val="14DC221D"/>
    <w:rsid w:val="14E345F4"/>
    <w:rsid w:val="14F0224E"/>
    <w:rsid w:val="14F0337C"/>
    <w:rsid w:val="14FB1969"/>
    <w:rsid w:val="1504456E"/>
    <w:rsid w:val="150660D3"/>
    <w:rsid w:val="15167FD8"/>
    <w:rsid w:val="15317166"/>
    <w:rsid w:val="153E782D"/>
    <w:rsid w:val="15463AB0"/>
    <w:rsid w:val="155067F0"/>
    <w:rsid w:val="157964E0"/>
    <w:rsid w:val="158D333F"/>
    <w:rsid w:val="15903195"/>
    <w:rsid w:val="15B55042"/>
    <w:rsid w:val="15C02C21"/>
    <w:rsid w:val="15DA579F"/>
    <w:rsid w:val="16053F02"/>
    <w:rsid w:val="1609452F"/>
    <w:rsid w:val="16104439"/>
    <w:rsid w:val="162B021C"/>
    <w:rsid w:val="16324237"/>
    <w:rsid w:val="16506CC7"/>
    <w:rsid w:val="166B4C78"/>
    <w:rsid w:val="16726795"/>
    <w:rsid w:val="168B59A8"/>
    <w:rsid w:val="16AC2F0C"/>
    <w:rsid w:val="16B53231"/>
    <w:rsid w:val="16BF0E7C"/>
    <w:rsid w:val="16C11879"/>
    <w:rsid w:val="16C622EA"/>
    <w:rsid w:val="16D27E56"/>
    <w:rsid w:val="170427AB"/>
    <w:rsid w:val="170B0598"/>
    <w:rsid w:val="17106E30"/>
    <w:rsid w:val="17161B54"/>
    <w:rsid w:val="17294251"/>
    <w:rsid w:val="172F560A"/>
    <w:rsid w:val="1744618B"/>
    <w:rsid w:val="1754014B"/>
    <w:rsid w:val="1759566D"/>
    <w:rsid w:val="17637184"/>
    <w:rsid w:val="1773450E"/>
    <w:rsid w:val="1788476D"/>
    <w:rsid w:val="178F0769"/>
    <w:rsid w:val="17D01953"/>
    <w:rsid w:val="17DA0305"/>
    <w:rsid w:val="17E7791C"/>
    <w:rsid w:val="17FD49A3"/>
    <w:rsid w:val="18041BDA"/>
    <w:rsid w:val="1815203A"/>
    <w:rsid w:val="18187285"/>
    <w:rsid w:val="1826142C"/>
    <w:rsid w:val="18564F37"/>
    <w:rsid w:val="187C2E93"/>
    <w:rsid w:val="187C518F"/>
    <w:rsid w:val="188B4123"/>
    <w:rsid w:val="18A04609"/>
    <w:rsid w:val="18B52DD8"/>
    <w:rsid w:val="18CD3727"/>
    <w:rsid w:val="18CE2BCB"/>
    <w:rsid w:val="18E46238"/>
    <w:rsid w:val="18ED4F93"/>
    <w:rsid w:val="19037C7A"/>
    <w:rsid w:val="190578A0"/>
    <w:rsid w:val="1910750B"/>
    <w:rsid w:val="19133CDA"/>
    <w:rsid w:val="19204547"/>
    <w:rsid w:val="192B6867"/>
    <w:rsid w:val="193E5965"/>
    <w:rsid w:val="196E03F9"/>
    <w:rsid w:val="196E6B7A"/>
    <w:rsid w:val="1978512C"/>
    <w:rsid w:val="19795DAD"/>
    <w:rsid w:val="198104C9"/>
    <w:rsid w:val="198460C7"/>
    <w:rsid w:val="19863298"/>
    <w:rsid w:val="19A62E1F"/>
    <w:rsid w:val="19B530A3"/>
    <w:rsid w:val="19C64534"/>
    <w:rsid w:val="19E260F2"/>
    <w:rsid w:val="19E951DC"/>
    <w:rsid w:val="19EE7653"/>
    <w:rsid w:val="19EF5C39"/>
    <w:rsid w:val="1A1A5329"/>
    <w:rsid w:val="1A2D6357"/>
    <w:rsid w:val="1A336DCF"/>
    <w:rsid w:val="1A4554C6"/>
    <w:rsid w:val="1A525A6B"/>
    <w:rsid w:val="1A575E27"/>
    <w:rsid w:val="1A640328"/>
    <w:rsid w:val="1A724D74"/>
    <w:rsid w:val="1A7C19DE"/>
    <w:rsid w:val="1A83044F"/>
    <w:rsid w:val="1A8E3834"/>
    <w:rsid w:val="1A91246C"/>
    <w:rsid w:val="1A9B169F"/>
    <w:rsid w:val="1A9C2FBB"/>
    <w:rsid w:val="1AA4238C"/>
    <w:rsid w:val="1AA566A9"/>
    <w:rsid w:val="1AAE4730"/>
    <w:rsid w:val="1ABF3D1B"/>
    <w:rsid w:val="1AC05B21"/>
    <w:rsid w:val="1AC66A6F"/>
    <w:rsid w:val="1AD7606D"/>
    <w:rsid w:val="1AE81EA5"/>
    <w:rsid w:val="1AEA37AB"/>
    <w:rsid w:val="1AEB4F8F"/>
    <w:rsid w:val="1AF22970"/>
    <w:rsid w:val="1B03346A"/>
    <w:rsid w:val="1B07415E"/>
    <w:rsid w:val="1B1939C8"/>
    <w:rsid w:val="1B2F38F1"/>
    <w:rsid w:val="1B377850"/>
    <w:rsid w:val="1B402CF8"/>
    <w:rsid w:val="1B413E80"/>
    <w:rsid w:val="1B591EC3"/>
    <w:rsid w:val="1B5C175D"/>
    <w:rsid w:val="1B7D1C68"/>
    <w:rsid w:val="1B885CCC"/>
    <w:rsid w:val="1B8E6C53"/>
    <w:rsid w:val="1B915203"/>
    <w:rsid w:val="1BEC6094"/>
    <w:rsid w:val="1BFF6576"/>
    <w:rsid w:val="1C1C767F"/>
    <w:rsid w:val="1C3B28F6"/>
    <w:rsid w:val="1C3F2113"/>
    <w:rsid w:val="1C555928"/>
    <w:rsid w:val="1C577A16"/>
    <w:rsid w:val="1C5A0370"/>
    <w:rsid w:val="1C5A6E4A"/>
    <w:rsid w:val="1C6B5172"/>
    <w:rsid w:val="1C6E2F1E"/>
    <w:rsid w:val="1C7D13C0"/>
    <w:rsid w:val="1C8A6D69"/>
    <w:rsid w:val="1C993E2E"/>
    <w:rsid w:val="1CBE77FA"/>
    <w:rsid w:val="1CC7092E"/>
    <w:rsid w:val="1CCE3A82"/>
    <w:rsid w:val="1CD00845"/>
    <w:rsid w:val="1CD35D30"/>
    <w:rsid w:val="1CD52C7B"/>
    <w:rsid w:val="1CE82AC6"/>
    <w:rsid w:val="1D033BCA"/>
    <w:rsid w:val="1D105AAA"/>
    <w:rsid w:val="1D19203E"/>
    <w:rsid w:val="1D1E3BB1"/>
    <w:rsid w:val="1D242231"/>
    <w:rsid w:val="1D250771"/>
    <w:rsid w:val="1D3237F4"/>
    <w:rsid w:val="1D395367"/>
    <w:rsid w:val="1D40786E"/>
    <w:rsid w:val="1D5630A6"/>
    <w:rsid w:val="1D5A7736"/>
    <w:rsid w:val="1D62334F"/>
    <w:rsid w:val="1D6402CD"/>
    <w:rsid w:val="1D6F1F94"/>
    <w:rsid w:val="1D763F7E"/>
    <w:rsid w:val="1D8470AA"/>
    <w:rsid w:val="1DA96897"/>
    <w:rsid w:val="1DAC69B1"/>
    <w:rsid w:val="1DD55280"/>
    <w:rsid w:val="1DED40B4"/>
    <w:rsid w:val="1E0A41CC"/>
    <w:rsid w:val="1E290434"/>
    <w:rsid w:val="1E2F315F"/>
    <w:rsid w:val="1E47755C"/>
    <w:rsid w:val="1E663662"/>
    <w:rsid w:val="1E95289E"/>
    <w:rsid w:val="1EA0002C"/>
    <w:rsid w:val="1EA31B33"/>
    <w:rsid w:val="1EB72EF4"/>
    <w:rsid w:val="1EBD15D5"/>
    <w:rsid w:val="1EBE3EA6"/>
    <w:rsid w:val="1ED2584D"/>
    <w:rsid w:val="1EF923AB"/>
    <w:rsid w:val="1F067EE1"/>
    <w:rsid w:val="1F102E3F"/>
    <w:rsid w:val="1F15725E"/>
    <w:rsid w:val="1F1D1B25"/>
    <w:rsid w:val="1F235977"/>
    <w:rsid w:val="1F440FD5"/>
    <w:rsid w:val="1F4412FD"/>
    <w:rsid w:val="1F5E5702"/>
    <w:rsid w:val="1F736A29"/>
    <w:rsid w:val="1F7A183B"/>
    <w:rsid w:val="1F876125"/>
    <w:rsid w:val="1F8A04A3"/>
    <w:rsid w:val="1FE57EE8"/>
    <w:rsid w:val="1FEF09C8"/>
    <w:rsid w:val="1FF010E5"/>
    <w:rsid w:val="20382AE0"/>
    <w:rsid w:val="203A4585"/>
    <w:rsid w:val="203C7CC0"/>
    <w:rsid w:val="203F16B0"/>
    <w:rsid w:val="204C6639"/>
    <w:rsid w:val="20542580"/>
    <w:rsid w:val="208D7F89"/>
    <w:rsid w:val="20906BDA"/>
    <w:rsid w:val="209240DC"/>
    <w:rsid w:val="20980932"/>
    <w:rsid w:val="20987474"/>
    <w:rsid w:val="20B64BD8"/>
    <w:rsid w:val="20C20B86"/>
    <w:rsid w:val="20C72E12"/>
    <w:rsid w:val="20D23093"/>
    <w:rsid w:val="20D31B94"/>
    <w:rsid w:val="20E41E79"/>
    <w:rsid w:val="20EB0A1A"/>
    <w:rsid w:val="211D5DB6"/>
    <w:rsid w:val="2120599C"/>
    <w:rsid w:val="212F2B2E"/>
    <w:rsid w:val="21363761"/>
    <w:rsid w:val="213735C6"/>
    <w:rsid w:val="215F05B6"/>
    <w:rsid w:val="21795A9A"/>
    <w:rsid w:val="219B7CCB"/>
    <w:rsid w:val="21A473B5"/>
    <w:rsid w:val="21B34723"/>
    <w:rsid w:val="21C26656"/>
    <w:rsid w:val="21C86C87"/>
    <w:rsid w:val="21E777F6"/>
    <w:rsid w:val="21EA5CE6"/>
    <w:rsid w:val="21EC70E4"/>
    <w:rsid w:val="21F150CD"/>
    <w:rsid w:val="21FA0D89"/>
    <w:rsid w:val="22026EC5"/>
    <w:rsid w:val="22027B32"/>
    <w:rsid w:val="222D6FDA"/>
    <w:rsid w:val="22513ADB"/>
    <w:rsid w:val="22757ED6"/>
    <w:rsid w:val="22992621"/>
    <w:rsid w:val="22A03488"/>
    <w:rsid w:val="22B810B7"/>
    <w:rsid w:val="22CA2534"/>
    <w:rsid w:val="22D516E4"/>
    <w:rsid w:val="22E56A1A"/>
    <w:rsid w:val="22E960A7"/>
    <w:rsid w:val="22F13239"/>
    <w:rsid w:val="23090AA4"/>
    <w:rsid w:val="230C06A9"/>
    <w:rsid w:val="232814F0"/>
    <w:rsid w:val="232C6B28"/>
    <w:rsid w:val="23541C5C"/>
    <w:rsid w:val="236261CD"/>
    <w:rsid w:val="23666474"/>
    <w:rsid w:val="238E7618"/>
    <w:rsid w:val="238F35B4"/>
    <w:rsid w:val="23921971"/>
    <w:rsid w:val="239600A0"/>
    <w:rsid w:val="239D322E"/>
    <w:rsid w:val="23C04277"/>
    <w:rsid w:val="23C23E2C"/>
    <w:rsid w:val="23EC4965"/>
    <w:rsid w:val="23ED6B98"/>
    <w:rsid w:val="23F00B2A"/>
    <w:rsid w:val="241A1298"/>
    <w:rsid w:val="241A7921"/>
    <w:rsid w:val="24272335"/>
    <w:rsid w:val="242E388F"/>
    <w:rsid w:val="243D2DF7"/>
    <w:rsid w:val="24482965"/>
    <w:rsid w:val="244A6F83"/>
    <w:rsid w:val="244E43EB"/>
    <w:rsid w:val="24581BB6"/>
    <w:rsid w:val="24625747"/>
    <w:rsid w:val="246B4886"/>
    <w:rsid w:val="246C4114"/>
    <w:rsid w:val="249F55BB"/>
    <w:rsid w:val="24A156D9"/>
    <w:rsid w:val="24B6090C"/>
    <w:rsid w:val="24B7117A"/>
    <w:rsid w:val="24B86D6F"/>
    <w:rsid w:val="24D075C4"/>
    <w:rsid w:val="24D357BC"/>
    <w:rsid w:val="24E41EBD"/>
    <w:rsid w:val="251D6150"/>
    <w:rsid w:val="252D0EDC"/>
    <w:rsid w:val="255F46C0"/>
    <w:rsid w:val="25843DDA"/>
    <w:rsid w:val="25894F1C"/>
    <w:rsid w:val="25910F73"/>
    <w:rsid w:val="25975182"/>
    <w:rsid w:val="259B4EAA"/>
    <w:rsid w:val="25B50668"/>
    <w:rsid w:val="25B556A5"/>
    <w:rsid w:val="25E91170"/>
    <w:rsid w:val="25EE63DB"/>
    <w:rsid w:val="25F62975"/>
    <w:rsid w:val="2601730F"/>
    <w:rsid w:val="260B3AA2"/>
    <w:rsid w:val="261A0447"/>
    <w:rsid w:val="2629655D"/>
    <w:rsid w:val="26304A03"/>
    <w:rsid w:val="26364D21"/>
    <w:rsid w:val="26731A45"/>
    <w:rsid w:val="267D4C23"/>
    <w:rsid w:val="268A2E9F"/>
    <w:rsid w:val="268D68E3"/>
    <w:rsid w:val="269B3FDD"/>
    <w:rsid w:val="269C61AD"/>
    <w:rsid w:val="26B87793"/>
    <w:rsid w:val="26B900D5"/>
    <w:rsid w:val="26BC7BF6"/>
    <w:rsid w:val="26C14ABC"/>
    <w:rsid w:val="26D311FF"/>
    <w:rsid w:val="26D47BBD"/>
    <w:rsid w:val="26D80CCE"/>
    <w:rsid w:val="26E11C81"/>
    <w:rsid w:val="270952D9"/>
    <w:rsid w:val="27272A96"/>
    <w:rsid w:val="27283244"/>
    <w:rsid w:val="27376DC6"/>
    <w:rsid w:val="274055D0"/>
    <w:rsid w:val="274B46B3"/>
    <w:rsid w:val="27517033"/>
    <w:rsid w:val="27535D84"/>
    <w:rsid w:val="276052A0"/>
    <w:rsid w:val="276F1469"/>
    <w:rsid w:val="27735BBE"/>
    <w:rsid w:val="277512F4"/>
    <w:rsid w:val="278256E2"/>
    <w:rsid w:val="278F1145"/>
    <w:rsid w:val="279436AC"/>
    <w:rsid w:val="27981532"/>
    <w:rsid w:val="27A65AB1"/>
    <w:rsid w:val="27A94BB1"/>
    <w:rsid w:val="27AA21B2"/>
    <w:rsid w:val="27B73A1A"/>
    <w:rsid w:val="27CF4540"/>
    <w:rsid w:val="27DE2D94"/>
    <w:rsid w:val="27EE4A9C"/>
    <w:rsid w:val="27F4459E"/>
    <w:rsid w:val="280458A8"/>
    <w:rsid w:val="28253649"/>
    <w:rsid w:val="28264760"/>
    <w:rsid w:val="28274F18"/>
    <w:rsid w:val="28282657"/>
    <w:rsid w:val="282B7B90"/>
    <w:rsid w:val="28333119"/>
    <w:rsid w:val="283C52E2"/>
    <w:rsid w:val="28452D6C"/>
    <w:rsid w:val="284B36E2"/>
    <w:rsid w:val="28654F05"/>
    <w:rsid w:val="28664F00"/>
    <w:rsid w:val="288E0911"/>
    <w:rsid w:val="289D73A3"/>
    <w:rsid w:val="28A34D78"/>
    <w:rsid w:val="28A7275C"/>
    <w:rsid w:val="28AF543D"/>
    <w:rsid w:val="28C26D95"/>
    <w:rsid w:val="28D50FDF"/>
    <w:rsid w:val="28DF5AF6"/>
    <w:rsid w:val="28EE2872"/>
    <w:rsid w:val="28FA4362"/>
    <w:rsid w:val="28FA66C3"/>
    <w:rsid w:val="29065597"/>
    <w:rsid w:val="291D02BC"/>
    <w:rsid w:val="292F4988"/>
    <w:rsid w:val="293002B5"/>
    <w:rsid w:val="29492524"/>
    <w:rsid w:val="294F7299"/>
    <w:rsid w:val="295D5770"/>
    <w:rsid w:val="29680A5D"/>
    <w:rsid w:val="29791F3B"/>
    <w:rsid w:val="297D1992"/>
    <w:rsid w:val="29825BBC"/>
    <w:rsid w:val="29997AF6"/>
    <w:rsid w:val="299F65DC"/>
    <w:rsid w:val="29A25FFE"/>
    <w:rsid w:val="29A45906"/>
    <w:rsid w:val="29A506FC"/>
    <w:rsid w:val="29B675BF"/>
    <w:rsid w:val="29BD5C6D"/>
    <w:rsid w:val="29CB2F2E"/>
    <w:rsid w:val="29CD3C84"/>
    <w:rsid w:val="29EC1B96"/>
    <w:rsid w:val="2A017C21"/>
    <w:rsid w:val="2A0D61D2"/>
    <w:rsid w:val="2A127B69"/>
    <w:rsid w:val="2A1F107E"/>
    <w:rsid w:val="2A286490"/>
    <w:rsid w:val="2A2F6C73"/>
    <w:rsid w:val="2A313078"/>
    <w:rsid w:val="2A3C46AD"/>
    <w:rsid w:val="2A5F294A"/>
    <w:rsid w:val="2A6960E0"/>
    <w:rsid w:val="2A7321CD"/>
    <w:rsid w:val="2A8069DE"/>
    <w:rsid w:val="2AD27564"/>
    <w:rsid w:val="2AFA11B3"/>
    <w:rsid w:val="2AFE17DC"/>
    <w:rsid w:val="2B0058DE"/>
    <w:rsid w:val="2B03543E"/>
    <w:rsid w:val="2B0E6870"/>
    <w:rsid w:val="2B222450"/>
    <w:rsid w:val="2B2A73BF"/>
    <w:rsid w:val="2B4572CE"/>
    <w:rsid w:val="2B484A17"/>
    <w:rsid w:val="2B711F28"/>
    <w:rsid w:val="2B761F33"/>
    <w:rsid w:val="2B76369D"/>
    <w:rsid w:val="2B7C1190"/>
    <w:rsid w:val="2B863FB0"/>
    <w:rsid w:val="2B95102F"/>
    <w:rsid w:val="2B985264"/>
    <w:rsid w:val="2B9C2A23"/>
    <w:rsid w:val="2B9C7794"/>
    <w:rsid w:val="2BA13147"/>
    <w:rsid w:val="2BC24AB6"/>
    <w:rsid w:val="2BC37EC0"/>
    <w:rsid w:val="2BCF5B2C"/>
    <w:rsid w:val="2BDD73DE"/>
    <w:rsid w:val="2BE04876"/>
    <w:rsid w:val="2BE805A8"/>
    <w:rsid w:val="2BEC2235"/>
    <w:rsid w:val="2C057542"/>
    <w:rsid w:val="2C08491D"/>
    <w:rsid w:val="2C0E3186"/>
    <w:rsid w:val="2C1326AB"/>
    <w:rsid w:val="2C145A60"/>
    <w:rsid w:val="2C310072"/>
    <w:rsid w:val="2C321771"/>
    <w:rsid w:val="2C3A7715"/>
    <w:rsid w:val="2C5E46AE"/>
    <w:rsid w:val="2C7A45DE"/>
    <w:rsid w:val="2C821439"/>
    <w:rsid w:val="2C8E261E"/>
    <w:rsid w:val="2C934AC2"/>
    <w:rsid w:val="2C957B0A"/>
    <w:rsid w:val="2CAD7DE8"/>
    <w:rsid w:val="2CBA7C54"/>
    <w:rsid w:val="2CBB4533"/>
    <w:rsid w:val="2CCA7766"/>
    <w:rsid w:val="2CE212A5"/>
    <w:rsid w:val="2CE92FF5"/>
    <w:rsid w:val="2CEA2531"/>
    <w:rsid w:val="2CFE413E"/>
    <w:rsid w:val="2D06075E"/>
    <w:rsid w:val="2D081A1B"/>
    <w:rsid w:val="2D204C5E"/>
    <w:rsid w:val="2D2A0D7D"/>
    <w:rsid w:val="2D322B06"/>
    <w:rsid w:val="2D357BC4"/>
    <w:rsid w:val="2D3E16A0"/>
    <w:rsid w:val="2D3E28E1"/>
    <w:rsid w:val="2D416722"/>
    <w:rsid w:val="2D47220B"/>
    <w:rsid w:val="2D4E7F5B"/>
    <w:rsid w:val="2D543EC1"/>
    <w:rsid w:val="2D5D3C0C"/>
    <w:rsid w:val="2D701954"/>
    <w:rsid w:val="2D7333BF"/>
    <w:rsid w:val="2D7F2732"/>
    <w:rsid w:val="2D8C541D"/>
    <w:rsid w:val="2D8F7CFB"/>
    <w:rsid w:val="2D9211D0"/>
    <w:rsid w:val="2D990B9C"/>
    <w:rsid w:val="2D9E2037"/>
    <w:rsid w:val="2DA6121D"/>
    <w:rsid w:val="2DAA47C7"/>
    <w:rsid w:val="2DB055CF"/>
    <w:rsid w:val="2DB13E52"/>
    <w:rsid w:val="2DC31B03"/>
    <w:rsid w:val="2DD35FD5"/>
    <w:rsid w:val="2DD972D9"/>
    <w:rsid w:val="2DDF3E3D"/>
    <w:rsid w:val="2DE6023D"/>
    <w:rsid w:val="2DEE781B"/>
    <w:rsid w:val="2DF416B6"/>
    <w:rsid w:val="2E040334"/>
    <w:rsid w:val="2E0532FE"/>
    <w:rsid w:val="2E3A1FC5"/>
    <w:rsid w:val="2E583AAE"/>
    <w:rsid w:val="2E5E5416"/>
    <w:rsid w:val="2E6E2922"/>
    <w:rsid w:val="2E7A120C"/>
    <w:rsid w:val="2E7A66FC"/>
    <w:rsid w:val="2E7E53C3"/>
    <w:rsid w:val="2E85671A"/>
    <w:rsid w:val="2E8D4D26"/>
    <w:rsid w:val="2E9927A3"/>
    <w:rsid w:val="2EA122AD"/>
    <w:rsid w:val="2EB9759D"/>
    <w:rsid w:val="2ECB17EB"/>
    <w:rsid w:val="2ECB5E92"/>
    <w:rsid w:val="2EE82886"/>
    <w:rsid w:val="2EEE27ED"/>
    <w:rsid w:val="2EF201EA"/>
    <w:rsid w:val="2F0B2DD5"/>
    <w:rsid w:val="2F1330F0"/>
    <w:rsid w:val="2F2039C0"/>
    <w:rsid w:val="2F21032A"/>
    <w:rsid w:val="2F210D27"/>
    <w:rsid w:val="2F4973FC"/>
    <w:rsid w:val="2F767439"/>
    <w:rsid w:val="2F7871D6"/>
    <w:rsid w:val="2F8C3113"/>
    <w:rsid w:val="2F940AB6"/>
    <w:rsid w:val="2FA71E09"/>
    <w:rsid w:val="2FB90B9B"/>
    <w:rsid w:val="2FC00136"/>
    <w:rsid w:val="2FCC1336"/>
    <w:rsid w:val="2FD1530B"/>
    <w:rsid w:val="2FE90991"/>
    <w:rsid w:val="2FED36DB"/>
    <w:rsid w:val="2FED7A26"/>
    <w:rsid w:val="2FEE3350"/>
    <w:rsid w:val="2FF351B1"/>
    <w:rsid w:val="300346D5"/>
    <w:rsid w:val="300C14D7"/>
    <w:rsid w:val="30297FBC"/>
    <w:rsid w:val="30355611"/>
    <w:rsid w:val="30504C5C"/>
    <w:rsid w:val="306D0246"/>
    <w:rsid w:val="307739D9"/>
    <w:rsid w:val="307B7F53"/>
    <w:rsid w:val="30836227"/>
    <w:rsid w:val="30CF291A"/>
    <w:rsid w:val="30DA0679"/>
    <w:rsid w:val="30E43489"/>
    <w:rsid w:val="30EA06B3"/>
    <w:rsid w:val="30FB2A80"/>
    <w:rsid w:val="31131878"/>
    <w:rsid w:val="311A339B"/>
    <w:rsid w:val="312D7213"/>
    <w:rsid w:val="313223FD"/>
    <w:rsid w:val="313655FC"/>
    <w:rsid w:val="314F230B"/>
    <w:rsid w:val="317C7035"/>
    <w:rsid w:val="31907DCC"/>
    <w:rsid w:val="319B0473"/>
    <w:rsid w:val="31A61C6F"/>
    <w:rsid w:val="31D42819"/>
    <w:rsid w:val="31F95A80"/>
    <w:rsid w:val="31FE1914"/>
    <w:rsid w:val="320A77FD"/>
    <w:rsid w:val="320D28E7"/>
    <w:rsid w:val="32131AD0"/>
    <w:rsid w:val="32490371"/>
    <w:rsid w:val="324F33D7"/>
    <w:rsid w:val="32545C17"/>
    <w:rsid w:val="32563297"/>
    <w:rsid w:val="325970BE"/>
    <w:rsid w:val="327060AB"/>
    <w:rsid w:val="32914577"/>
    <w:rsid w:val="32AC4779"/>
    <w:rsid w:val="32B4451E"/>
    <w:rsid w:val="32C369AC"/>
    <w:rsid w:val="32E71A71"/>
    <w:rsid w:val="32EC3387"/>
    <w:rsid w:val="32F05CA0"/>
    <w:rsid w:val="330B029A"/>
    <w:rsid w:val="330C2A6F"/>
    <w:rsid w:val="33121752"/>
    <w:rsid w:val="33200718"/>
    <w:rsid w:val="332D40C2"/>
    <w:rsid w:val="334B2675"/>
    <w:rsid w:val="33530D5D"/>
    <w:rsid w:val="33536431"/>
    <w:rsid w:val="33561838"/>
    <w:rsid w:val="33577D64"/>
    <w:rsid w:val="33600DD6"/>
    <w:rsid w:val="33613839"/>
    <w:rsid w:val="33623D82"/>
    <w:rsid w:val="33752A8B"/>
    <w:rsid w:val="3381788D"/>
    <w:rsid w:val="33987FE8"/>
    <w:rsid w:val="33A3469B"/>
    <w:rsid w:val="33B311B3"/>
    <w:rsid w:val="33B37AA9"/>
    <w:rsid w:val="33B71E7A"/>
    <w:rsid w:val="33D644A8"/>
    <w:rsid w:val="33ED5577"/>
    <w:rsid w:val="33F71C96"/>
    <w:rsid w:val="340B208B"/>
    <w:rsid w:val="343609E7"/>
    <w:rsid w:val="34377B0A"/>
    <w:rsid w:val="34706D9E"/>
    <w:rsid w:val="34BD5D44"/>
    <w:rsid w:val="34C101C1"/>
    <w:rsid w:val="34CB1CCB"/>
    <w:rsid w:val="34DC2644"/>
    <w:rsid w:val="34E77ECD"/>
    <w:rsid w:val="34ED5B4A"/>
    <w:rsid w:val="34FE5200"/>
    <w:rsid w:val="35027FFE"/>
    <w:rsid w:val="35045C4E"/>
    <w:rsid w:val="35332DA5"/>
    <w:rsid w:val="3541520B"/>
    <w:rsid w:val="35566F4D"/>
    <w:rsid w:val="357A34F0"/>
    <w:rsid w:val="359468D4"/>
    <w:rsid w:val="35B15849"/>
    <w:rsid w:val="35C258CD"/>
    <w:rsid w:val="35DE085F"/>
    <w:rsid w:val="35E21547"/>
    <w:rsid w:val="36040E2C"/>
    <w:rsid w:val="360D4C4A"/>
    <w:rsid w:val="36343A72"/>
    <w:rsid w:val="36491401"/>
    <w:rsid w:val="365D508B"/>
    <w:rsid w:val="368D68AA"/>
    <w:rsid w:val="369D5767"/>
    <w:rsid w:val="36DD5C81"/>
    <w:rsid w:val="36DE3DD7"/>
    <w:rsid w:val="36E233F0"/>
    <w:rsid w:val="36FF1C5E"/>
    <w:rsid w:val="37021F31"/>
    <w:rsid w:val="370A675D"/>
    <w:rsid w:val="370B4F3C"/>
    <w:rsid w:val="37114F93"/>
    <w:rsid w:val="3741548E"/>
    <w:rsid w:val="375371CE"/>
    <w:rsid w:val="37556F27"/>
    <w:rsid w:val="37781ACC"/>
    <w:rsid w:val="379D203C"/>
    <w:rsid w:val="379E68E4"/>
    <w:rsid w:val="37B413CC"/>
    <w:rsid w:val="37DA75D0"/>
    <w:rsid w:val="37EF1A1D"/>
    <w:rsid w:val="37F13E18"/>
    <w:rsid w:val="37F71530"/>
    <w:rsid w:val="38004B13"/>
    <w:rsid w:val="380A71F4"/>
    <w:rsid w:val="381E11CA"/>
    <w:rsid w:val="384B14B7"/>
    <w:rsid w:val="385F455C"/>
    <w:rsid w:val="38682503"/>
    <w:rsid w:val="38712419"/>
    <w:rsid w:val="3876344A"/>
    <w:rsid w:val="388146EC"/>
    <w:rsid w:val="388E4824"/>
    <w:rsid w:val="38A27406"/>
    <w:rsid w:val="38A63B98"/>
    <w:rsid w:val="38A7296B"/>
    <w:rsid w:val="38B42DF8"/>
    <w:rsid w:val="38CC0AD8"/>
    <w:rsid w:val="38D72DC0"/>
    <w:rsid w:val="38F35E91"/>
    <w:rsid w:val="38F62947"/>
    <w:rsid w:val="38F745EA"/>
    <w:rsid w:val="38FA4FE2"/>
    <w:rsid w:val="391A2D9D"/>
    <w:rsid w:val="392171F8"/>
    <w:rsid w:val="392E478D"/>
    <w:rsid w:val="393461AE"/>
    <w:rsid w:val="39622CF6"/>
    <w:rsid w:val="39735C53"/>
    <w:rsid w:val="397D4B49"/>
    <w:rsid w:val="398A6349"/>
    <w:rsid w:val="398D7168"/>
    <w:rsid w:val="39942EFE"/>
    <w:rsid w:val="39A21CE3"/>
    <w:rsid w:val="39CB3DA2"/>
    <w:rsid w:val="39F32293"/>
    <w:rsid w:val="39FF77B6"/>
    <w:rsid w:val="3A03056E"/>
    <w:rsid w:val="3A061029"/>
    <w:rsid w:val="3A0812AA"/>
    <w:rsid w:val="3A097111"/>
    <w:rsid w:val="3A306F82"/>
    <w:rsid w:val="3A362B17"/>
    <w:rsid w:val="3A445FB0"/>
    <w:rsid w:val="3A542C79"/>
    <w:rsid w:val="3A5835CA"/>
    <w:rsid w:val="3A6158E7"/>
    <w:rsid w:val="3A652295"/>
    <w:rsid w:val="3A6D6F01"/>
    <w:rsid w:val="3A7B3DA6"/>
    <w:rsid w:val="3A9835D4"/>
    <w:rsid w:val="3A995AB2"/>
    <w:rsid w:val="3AA53C7E"/>
    <w:rsid w:val="3AE76180"/>
    <w:rsid w:val="3AF25226"/>
    <w:rsid w:val="3AF32B72"/>
    <w:rsid w:val="3AF43933"/>
    <w:rsid w:val="3AF81B60"/>
    <w:rsid w:val="3AFA06D3"/>
    <w:rsid w:val="3AFC455B"/>
    <w:rsid w:val="3AFF5F80"/>
    <w:rsid w:val="3B13630C"/>
    <w:rsid w:val="3B322457"/>
    <w:rsid w:val="3B355D3B"/>
    <w:rsid w:val="3B3A2548"/>
    <w:rsid w:val="3B4A3888"/>
    <w:rsid w:val="3B5A7171"/>
    <w:rsid w:val="3B662A4E"/>
    <w:rsid w:val="3B8861D5"/>
    <w:rsid w:val="3B9143CA"/>
    <w:rsid w:val="3BA04801"/>
    <w:rsid w:val="3BAC7B48"/>
    <w:rsid w:val="3BB96578"/>
    <w:rsid w:val="3BC42B0B"/>
    <w:rsid w:val="3BCE589D"/>
    <w:rsid w:val="3BD16847"/>
    <w:rsid w:val="3BFC1A20"/>
    <w:rsid w:val="3C03716C"/>
    <w:rsid w:val="3C0555DB"/>
    <w:rsid w:val="3C0E6D98"/>
    <w:rsid w:val="3C1579FF"/>
    <w:rsid w:val="3C1D529E"/>
    <w:rsid w:val="3C2405E5"/>
    <w:rsid w:val="3C8601EE"/>
    <w:rsid w:val="3C985662"/>
    <w:rsid w:val="3CA54C77"/>
    <w:rsid w:val="3CA6487F"/>
    <w:rsid w:val="3CC82D1A"/>
    <w:rsid w:val="3CE70CB0"/>
    <w:rsid w:val="3D295D6B"/>
    <w:rsid w:val="3D2A5D53"/>
    <w:rsid w:val="3D2F7075"/>
    <w:rsid w:val="3D3340A8"/>
    <w:rsid w:val="3D416A9B"/>
    <w:rsid w:val="3D54258F"/>
    <w:rsid w:val="3D6906F5"/>
    <w:rsid w:val="3D7658FA"/>
    <w:rsid w:val="3D8D3E0B"/>
    <w:rsid w:val="3DAA3B69"/>
    <w:rsid w:val="3DE67D91"/>
    <w:rsid w:val="3DF20740"/>
    <w:rsid w:val="3DFA4BCE"/>
    <w:rsid w:val="3DFC3FD5"/>
    <w:rsid w:val="3DFD2D1E"/>
    <w:rsid w:val="3E046C9F"/>
    <w:rsid w:val="3E301C45"/>
    <w:rsid w:val="3E4F6A81"/>
    <w:rsid w:val="3E502662"/>
    <w:rsid w:val="3E5543AC"/>
    <w:rsid w:val="3E5E11C6"/>
    <w:rsid w:val="3E5F7B77"/>
    <w:rsid w:val="3E860BDA"/>
    <w:rsid w:val="3E8B3D70"/>
    <w:rsid w:val="3E8E3C86"/>
    <w:rsid w:val="3E911700"/>
    <w:rsid w:val="3E9230A9"/>
    <w:rsid w:val="3E936F3B"/>
    <w:rsid w:val="3EA678A5"/>
    <w:rsid w:val="3EBF4075"/>
    <w:rsid w:val="3EC5701C"/>
    <w:rsid w:val="3EE63D3B"/>
    <w:rsid w:val="3EF709FE"/>
    <w:rsid w:val="3EF827D2"/>
    <w:rsid w:val="3EFD4AB5"/>
    <w:rsid w:val="3F1F50B1"/>
    <w:rsid w:val="3F3E1D92"/>
    <w:rsid w:val="3F403AC3"/>
    <w:rsid w:val="3F425D4A"/>
    <w:rsid w:val="3F434A9C"/>
    <w:rsid w:val="3F583EB5"/>
    <w:rsid w:val="3F5C2CA6"/>
    <w:rsid w:val="3F6C7322"/>
    <w:rsid w:val="3F787457"/>
    <w:rsid w:val="3F7D555B"/>
    <w:rsid w:val="3F7F10AE"/>
    <w:rsid w:val="3F8A27F6"/>
    <w:rsid w:val="3F962416"/>
    <w:rsid w:val="3FC25ADE"/>
    <w:rsid w:val="3FD2570A"/>
    <w:rsid w:val="3FE4547E"/>
    <w:rsid w:val="3FF10D6F"/>
    <w:rsid w:val="40051B04"/>
    <w:rsid w:val="401D75AE"/>
    <w:rsid w:val="4026430F"/>
    <w:rsid w:val="402C64BF"/>
    <w:rsid w:val="40300523"/>
    <w:rsid w:val="40301FC1"/>
    <w:rsid w:val="4035217D"/>
    <w:rsid w:val="40371E75"/>
    <w:rsid w:val="404358CC"/>
    <w:rsid w:val="405705F5"/>
    <w:rsid w:val="40590133"/>
    <w:rsid w:val="406178BF"/>
    <w:rsid w:val="406A310F"/>
    <w:rsid w:val="407B754E"/>
    <w:rsid w:val="40804C32"/>
    <w:rsid w:val="408F07C9"/>
    <w:rsid w:val="40D21B1D"/>
    <w:rsid w:val="40F476B6"/>
    <w:rsid w:val="40FC7772"/>
    <w:rsid w:val="41010506"/>
    <w:rsid w:val="4127575F"/>
    <w:rsid w:val="413A6FE4"/>
    <w:rsid w:val="414F1A0A"/>
    <w:rsid w:val="41557FAD"/>
    <w:rsid w:val="415B1C93"/>
    <w:rsid w:val="417E059E"/>
    <w:rsid w:val="41A94951"/>
    <w:rsid w:val="41AC0759"/>
    <w:rsid w:val="41AF7D55"/>
    <w:rsid w:val="41B15FF2"/>
    <w:rsid w:val="41C15CA7"/>
    <w:rsid w:val="41DB5651"/>
    <w:rsid w:val="41DE1625"/>
    <w:rsid w:val="41E86618"/>
    <w:rsid w:val="42295FD4"/>
    <w:rsid w:val="422E0FDC"/>
    <w:rsid w:val="423369F7"/>
    <w:rsid w:val="42353388"/>
    <w:rsid w:val="424D6E4A"/>
    <w:rsid w:val="427962C3"/>
    <w:rsid w:val="427A7E2A"/>
    <w:rsid w:val="428576F0"/>
    <w:rsid w:val="428A41C7"/>
    <w:rsid w:val="42983AC6"/>
    <w:rsid w:val="42BB6221"/>
    <w:rsid w:val="42C352A0"/>
    <w:rsid w:val="42C96FEC"/>
    <w:rsid w:val="42D40237"/>
    <w:rsid w:val="42D47B9E"/>
    <w:rsid w:val="43097248"/>
    <w:rsid w:val="43227D24"/>
    <w:rsid w:val="43331C39"/>
    <w:rsid w:val="433F54B9"/>
    <w:rsid w:val="435117B0"/>
    <w:rsid w:val="43640C0A"/>
    <w:rsid w:val="43656782"/>
    <w:rsid w:val="437752F4"/>
    <w:rsid w:val="438E6DF9"/>
    <w:rsid w:val="439E64C0"/>
    <w:rsid w:val="43A932A4"/>
    <w:rsid w:val="43B525A4"/>
    <w:rsid w:val="43B56276"/>
    <w:rsid w:val="43DC25B2"/>
    <w:rsid w:val="43FD4221"/>
    <w:rsid w:val="44136510"/>
    <w:rsid w:val="4423101C"/>
    <w:rsid w:val="442C1839"/>
    <w:rsid w:val="44334166"/>
    <w:rsid w:val="44474F6B"/>
    <w:rsid w:val="446169BE"/>
    <w:rsid w:val="44744ACD"/>
    <w:rsid w:val="448A467F"/>
    <w:rsid w:val="449F7CCD"/>
    <w:rsid w:val="44A131D9"/>
    <w:rsid w:val="44B60464"/>
    <w:rsid w:val="44DD2B53"/>
    <w:rsid w:val="44E6098D"/>
    <w:rsid w:val="44FA7E6E"/>
    <w:rsid w:val="450C0205"/>
    <w:rsid w:val="45131D9C"/>
    <w:rsid w:val="451372B3"/>
    <w:rsid w:val="451D45D9"/>
    <w:rsid w:val="45201856"/>
    <w:rsid w:val="45232BED"/>
    <w:rsid w:val="454F73EC"/>
    <w:rsid w:val="45501EE0"/>
    <w:rsid w:val="456E7667"/>
    <w:rsid w:val="45866A8B"/>
    <w:rsid w:val="45873BF9"/>
    <w:rsid w:val="458804AD"/>
    <w:rsid w:val="45AD60F2"/>
    <w:rsid w:val="45D954EC"/>
    <w:rsid w:val="45F474B6"/>
    <w:rsid w:val="460D4E70"/>
    <w:rsid w:val="460D55B1"/>
    <w:rsid w:val="461244EE"/>
    <w:rsid w:val="4615699D"/>
    <w:rsid w:val="461F29E8"/>
    <w:rsid w:val="462873C0"/>
    <w:rsid w:val="46403615"/>
    <w:rsid w:val="4649016D"/>
    <w:rsid w:val="4650089E"/>
    <w:rsid w:val="466A50BF"/>
    <w:rsid w:val="468C5F42"/>
    <w:rsid w:val="46933026"/>
    <w:rsid w:val="469947A1"/>
    <w:rsid w:val="469B257B"/>
    <w:rsid w:val="469C0B90"/>
    <w:rsid w:val="46AD35DA"/>
    <w:rsid w:val="46B85AD7"/>
    <w:rsid w:val="46B92CCF"/>
    <w:rsid w:val="46BE6AA7"/>
    <w:rsid w:val="46F06E42"/>
    <w:rsid w:val="46F54D33"/>
    <w:rsid w:val="46F86283"/>
    <w:rsid w:val="470A1DF9"/>
    <w:rsid w:val="470B47B9"/>
    <w:rsid w:val="4715007E"/>
    <w:rsid w:val="47275F83"/>
    <w:rsid w:val="473D6B29"/>
    <w:rsid w:val="47475E43"/>
    <w:rsid w:val="47751955"/>
    <w:rsid w:val="47775C50"/>
    <w:rsid w:val="477D0AA3"/>
    <w:rsid w:val="47927FD4"/>
    <w:rsid w:val="47BA2A0C"/>
    <w:rsid w:val="47C2788A"/>
    <w:rsid w:val="47D760AC"/>
    <w:rsid w:val="48020EF5"/>
    <w:rsid w:val="480457F5"/>
    <w:rsid w:val="480F6F18"/>
    <w:rsid w:val="48110F06"/>
    <w:rsid w:val="4826495F"/>
    <w:rsid w:val="48313FAB"/>
    <w:rsid w:val="48392219"/>
    <w:rsid w:val="483E0A8D"/>
    <w:rsid w:val="484540A0"/>
    <w:rsid w:val="485300F2"/>
    <w:rsid w:val="485E6C3A"/>
    <w:rsid w:val="488A436F"/>
    <w:rsid w:val="488B4BAD"/>
    <w:rsid w:val="48A9363A"/>
    <w:rsid w:val="48BC04FA"/>
    <w:rsid w:val="48E12D60"/>
    <w:rsid w:val="48E729D9"/>
    <w:rsid w:val="4919795E"/>
    <w:rsid w:val="49251DC1"/>
    <w:rsid w:val="49332778"/>
    <w:rsid w:val="494F634D"/>
    <w:rsid w:val="495B788B"/>
    <w:rsid w:val="49656065"/>
    <w:rsid w:val="49694317"/>
    <w:rsid w:val="496A46B7"/>
    <w:rsid w:val="49714137"/>
    <w:rsid w:val="498243F0"/>
    <w:rsid w:val="498841A1"/>
    <w:rsid w:val="49992AEC"/>
    <w:rsid w:val="499E7AA5"/>
    <w:rsid w:val="49A47C69"/>
    <w:rsid w:val="49AC6B23"/>
    <w:rsid w:val="49B33D02"/>
    <w:rsid w:val="49C83B58"/>
    <w:rsid w:val="49C953F6"/>
    <w:rsid w:val="49CE313C"/>
    <w:rsid w:val="49E5100B"/>
    <w:rsid w:val="49E660C0"/>
    <w:rsid w:val="49FA60CD"/>
    <w:rsid w:val="4A00266F"/>
    <w:rsid w:val="4A0632A0"/>
    <w:rsid w:val="4A0B67DE"/>
    <w:rsid w:val="4A151F1C"/>
    <w:rsid w:val="4A29366D"/>
    <w:rsid w:val="4A5C7FA9"/>
    <w:rsid w:val="4A5E21AB"/>
    <w:rsid w:val="4A901EF0"/>
    <w:rsid w:val="4A993EF7"/>
    <w:rsid w:val="4AA954F3"/>
    <w:rsid w:val="4AB3149A"/>
    <w:rsid w:val="4AB51DE1"/>
    <w:rsid w:val="4AB74A8E"/>
    <w:rsid w:val="4AC14768"/>
    <w:rsid w:val="4AC61DAE"/>
    <w:rsid w:val="4AC62608"/>
    <w:rsid w:val="4AF25861"/>
    <w:rsid w:val="4AF45B69"/>
    <w:rsid w:val="4B0F6D9E"/>
    <w:rsid w:val="4B115E09"/>
    <w:rsid w:val="4B172C96"/>
    <w:rsid w:val="4B1A3A3B"/>
    <w:rsid w:val="4B22570A"/>
    <w:rsid w:val="4B4D65C7"/>
    <w:rsid w:val="4B523312"/>
    <w:rsid w:val="4B5472DF"/>
    <w:rsid w:val="4B576832"/>
    <w:rsid w:val="4B7A01D0"/>
    <w:rsid w:val="4B813B79"/>
    <w:rsid w:val="4B976E58"/>
    <w:rsid w:val="4BA74403"/>
    <w:rsid w:val="4BB03E26"/>
    <w:rsid w:val="4BBB4AE8"/>
    <w:rsid w:val="4BBB5677"/>
    <w:rsid w:val="4BBC3DA3"/>
    <w:rsid w:val="4BC83610"/>
    <w:rsid w:val="4BDD7204"/>
    <w:rsid w:val="4C2E5BCD"/>
    <w:rsid w:val="4C3014A4"/>
    <w:rsid w:val="4C446A4E"/>
    <w:rsid w:val="4C5F7190"/>
    <w:rsid w:val="4C6E27E3"/>
    <w:rsid w:val="4C6F0CE9"/>
    <w:rsid w:val="4C6F52E3"/>
    <w:rsid w:val="4C763035"/>
    <w:rsid w:val="4C8118B9"/>
    <w:rsid w:val="4D020AA6"/>
    <w:rsid w:val="4D1563BC"/>
    <w:rsid w:val="4D2D78D3"/>
    <w:rsid w:val="4D2F5270"/>
    <w:rsid w:val="4D4A1A8D"/>
    <w:rsid w:val="4D4C473B"/>
    <w:rsid w:val="4D5F59BB"/>
    <w:rsid w:val="4D665AA8"/>
    <w:rsid w:val="4D740EC9"/>
    <w:rsid w:val="4DBF45C2"/>
    <w:rsid w:val="4DC05D92"/>
    <w:rsid w:val="4DC323A8"/>
    <w:rsid w:val="4DC67CEE"/>
    <w:rsid w:val="4DD601B5"/>
    <w:rsid w:val="4DDA084B"/>
    <w:rsid w:val="4DE55F5F"/>
    <w:rsid w:val="4DEF163C"/>
    <w:rsid w:val="4DF5008A"/>
    <w:rsid w:val="4E08016C"/>
    <w:rsid w:val="4E08582B"/>
    <w:rsid w:val="4E194D5A"/>
    <w:rsid w:val="4E28529C"/>
    <w:rsid w:val="4E3F4E8D"/>
    <w:rsid w:val="4E440E94"/>
    <w:rsid w:val="4E492772"/>
    <w:rsid w:val="4E4E5768"/>
    <w:rsid w:val="4E574300"/>
    <w:rsid w:val="4E762085"/>
    <w:rsid w:val="4E771D0F"/>
    <w:rsid w:val="4E880754"/>
    <w:rsid w:val="4E95417F"/>
    <w:rsid w:val="4E972DBC"/>
    <w:rsid w:val="4E9E2997"/>
    <w:rsid w:val="4EB32A97"/>
    <w:rsid w:val="4EB41C51"/>
    <w:rsid w:val="4EC82A17"/>
    <w:rsid w:val="4ECA4C3D"/>
    <w:rsid w:val="4ECE0121"/>
    <w:rsid w:val="4ECF09C4"/>
    <w:rsid w:val="4ED36269"/>
    <w:rsid w:val="4EE0329E"/>
    <w:rsid w:val="4F0C7BD1"/>
    <w:rsid w:val="4F1D2A33"/>
    <w:rsid w:val="4F377A7E"/>
    <w:rsid w:val="4F3C3FED"/>
    <w:rsid w:val="4F4814CB"/>
    <w:rsid w:val="4F4A5A41"/>
    <w:rsid w:val="4F6146AB"/>
    <w:rsid w:val="4F6D70F8"/>
    <w:rsid w:val="4F732766"/>
    <w:rsid w:val="4F782F84"/>
    <w:rsid w:val="4F785EFC"/>
    <w:rsid w:val="4F820714"/>
    <w:rsid w:val="4F8951EC"/>
    <w:rsid w:val="4F996A2F"/>
    <w:rsid w:val="4FA46857"/>
    <w:rsid w:val="4FCC12F3"/>
    <w:rsid w:val="4FDA0213"/>
    <w:rsid w:val="4FDF469E"/>
    <w:rsid w:val="4FDF6722"/>
    <w:rsid w:val="4FEC2130"/>
    <w:rsid w:val="501472E1"/>
    <w:rsid w:val="501777DD"/>
    <w:rsid w:val="50377C5D"/>
    <w:rsid w:val="506C02F6"/>
    <w:rsid w:val="50795217"/>
    <w:rsid w:val="507D2A84"/>
    <w:rsid w:val="507F23DB"/>
    <w:rsid w:val="50843DF8"/>
    <w:rsid w:val="5085704B"/>
    <w:rsid w:val="50881D4D"/>
    <w:rsid w:val="509151C7"/>
    <w:rsid w:val="50953BA3"/>
    <w:rsid w:val="50A055ED"/>
    <w:rsid w:val="50B22415"/>
    <w:rsid w:val="50CA5990"/>
    <w:rsid w:val="50DC235F"/>
    <w:rsid w:val="50E9789A"/>
    <w:rsid w:val="50F4013B"/>
    <w:rsid w:val="51173D18"/>
    <w:rsid w:val="51295380"/>
    <w:rsid w:val="51306C83"/>
    <w:rsid w:val="51464D28"/>
    <w:rsid w:val="51681BD4"/>
    <w:rsid w:val="5177787E"/>
    <w:rsid w:val="51891565"/>
    <w:rsid w:val="519233CE"/>
    <w:rsid w:val="519A74A7"/>
    <w:rsid w:val="51A84143"/>
    <w:rsid w:val="51CC1AD1"/>
    <w:rsid w:val="51E733D2"/>
    <w:rsid w:val="51E93924"/>
    <w:rsid w:val="51ED581F"/>
    <w:rsid w:val="51ED7B1B"/>
    <w:rsid w:val="51EE0686"/>
    <w:rsid w:val="51FD066B"/>
    <w:rsid w:val="51FE5B7A"/>
    <w:rsid w:val="52312980"/>
    <w:rsid w:val="52322A63"/>
    <w:rsid w:val="525A3D70"/>
    <w:rsid w:val="525B5F5B"/>
    <w:rsid w:val="525C1C3C"/>
    <w:rsid w:val="529735CA"/>
    <w:rsid w:val="52B44A96"/>
    <w:rsid w:val="52C6081B"/>
    <w:rsid w:val="52D61297"/>
    <w:rsid w:val="52D7389B"/>
    <w:rsid w:val="52E4451C"/>
    <w:rsid w:val="532343B4"/>
    <w:rsid w:val="533C04E3"/>
    <w:rsid w:val="533E6909"/>
    <w:rsid w:val="534B3EF0"/>
    <w:rsid w:val="536C3E36"/>
    <w:rsid w:val="536D51C0"/>
    <w:rsid w:val="537006D5"/>
    <w:rsid w:val="537275A1"/>
    <w:rsid w:val="537A2483"/>
    <w:rsid w:val="538600D8"/>
    <w:rsid w:val="539217C8"/>
    <w:rsid w:val="539C0E9E"/>
    <w:rsid w:val="53A567D2"/>
    <w:rsid w:val="53C509AC"/>
    <w:rsid w:val="53CC1099"/>
    <w:rsid w:val="53CF2378"/>
    <w:rsid w:val="53D30CBF"/>
    <w:rsid w:val="53E56014"/>
    <w:rsid w:val="540D18EF"/>
    <w:rsid w:val="541F1508"/>
    <w:rsid w:val="542715FB"/>
    <w:rsid w:val="54453B78"/>
    <w:rsid w:val="5461469D"/>
    <w:rsid w:val="546F4B57"/>
    <w:rsid w:val="54AC5402"/>
    <w:rsid w:val="54AF4AEE"/>
    <w:rsid w:val="54B33101"/>
    <w:rsid w:val="54B90A9C"/>
    <w:rsid w:val="54C776DA"/>
    <w:rsid w:val="54CC4290"/>
    <w:rsid w:val="54EA712A"/>
    <w:rsid w:val="54EB0B12"/>
    <w:rsid w:val="54EB2BB6"/>
    <w:rsid w:val="54F97692"/>
    <w:rsid w:val="54FD5035"/>
    <w:rsid w:val="54FF1B35"/>
    <w:rsid w:val="551D0AEE"/>
    <w:rsid w:val="551D27D8"/>
    <w:rsid w:val="55240897"/>
    <w:rsid w:val="553A1002"/>
    <w:rsid w:val="553D66B5"/>
    <w:rsid w:val="555122CB"/>
    <w:rsid w:val="555552B8"/>
    <w:rsid w:val="55616A44"/>
    <w:rsid w:val="55624E03"/>
    <w:rsid w:val="556C080C"/>
    <w:rsid w:val="5572716E"/>
    <w:rsid w:val="557C1BB2"/>
    <w:rsid w:val="55970008"/>
    <w:rsid w:val="559B7F94"/>
    <w:rsid w:val="55DB5C74"/>
    <w:rsid w:val="55DD37AF"/>
    <w:rsid w:val="56117E69"/>
    <w:rsid w:val="561262B0"/>
    <w:rsid w:val="56144434"/>
    <w:rsid w:val="56172336"/>
    <w:rsid w:val="561D38D4"/>
    <w:rsid w:val="56383F81"/>
    <w:rsid w:val="564B4E07"/>
    <w:rsid w:val="564D26C7"/>
    <w:rsid w:val="56697849"/>
    <w:rsid w:val="566B555A"/>
    <w:rsid w:val="566C3E4C"/>
    <w:rsid w:val="56A16B09"/>
    <w:rsid w:val="56A274BB"/>
    <w:rsid w:val="56B1652D"/>
    <w:rsid w:val="56BB0E9E"/>
    <w:rsid w:val="56BC61BB"/>
    <w:rsid w:val="56C37188"/>
    <w:rsid w:val="56C734DB"/>
    <w:rsid w:val="570279A4"/>
    <w:rsid w:val="5718551D"/>
    <w:rsid w:val="571F69D0"/>
    <w:rsid w:val="57410CC1"/>
    <w:rsid w:val="57450D09"/>
    <w:rsid w:val="574C6DDB"/>
    <w:rsid w:val="57576521"/>
    <w:rsid w:val="575E1817"/>
    <w:rsid w:val="5765253A"/>
    <w:rsid w:val="576A443C"/>
    <w:rsid w:val="577309FA"/>
    <w:rsid w:val="57883F28"/>
    <w:rsid w:val="57944B12"/>
    <w:rsid w:val="57A406B6"/>
    <w:rsid w:val="57AB5288"/>
    <w:rsid w:val="57BB02DB"/>
    <w:rsid w:val="57BD4EF1"/>
    <w:rsid w:val="57DB48D4"/>
    <w:rsid w:val="57DC2EDB"/>
    <w:rsid w:val="57EA46D8"/>
    <w:rsid w:val="57EC289F"/>
    <w:rsid w:val="58510A4A"/>
    <w:rsid w:val="58575611"/>
    <w:rsid w:val="585B31F9"/>
    <w:rsid w:val="588E299A"/>
    <w:rsid w:val="5891081D"/>
    <w:rsid w:val="589D09AC"/>
    <w:rsid w:val="58AB5CBB"/>
    <w:rsid w:val="58CB2844"/>
    <w:rsid w:val="58D009AE"/>
    <w:rsid w:val="58DC3CFE"/>
    <w:rsid w:val="58F659A2"/>
    <w:rsid w:val="591079CB"/>
    <w:rsid w:val="59183B30"/>
    <w:rsid w:val="5935517D"/>
    <w:rsid w:val="59364684"/>
    <w:rsid w:val="59493F41"/>
    <w:rsid w:val="594951BD"/>
    <w:rsid w:val="594F79E3"/>
    <w:rsid w:val="595373B8"/>
    <w:rsid w:val="596574D7"/>
    <w:rsid w:val="598600A2"/>
    <w:rsid w:val="598F3AC0"/>
    <w:rsid w:val="59B31A79"/>
    <w:rsid w:val="59B549B6"/>
    <w:rsid w:val="59C14BC6"/>
    <w:rsid w:val="59C70EBB"/>
    <w:rsid w:val="59C8125B"/>
    <w:rsid w:val="59CE448F"/>
    <w:rsid w:val="59D17213"/>
    <w:rsid w:val="59D94BC8"/>
    <w:rsid w:val="59E12331"/>
    <w:rsid w:val="59E51821"/>
    <w:rsid w:val="59FF337E"/>
    <w:rsid w:val="5A0538EB"/>
    <w:rsid w:val="5A067C2D"/>
    <w:rsid w:val="5A092732"/>
    <w:rsid w:val="5A096AFC"/>
    <w:rsid w:val="5A1D5140"/>
    <w:rsid w:val="5A28252C"/>
    <w:rsid w:val="5A5604A9"/>
    <w:rsid w:val="5A7121F1"/>
    <w:rsid w:val="5A7F21B4"/>
    <w:rsid w:val="5A7F6762"/>
    <w:rsid w:val="5A8E0759"/>
    <w:rsid w:val="5AB62FAA"/>
    <w:rsid w:val="5ABA709E"/>
    <w:rsid w:val="5AD72471"/>
    <w:rsid w:val="5AE90AB1"/>
    <w:rsid w:val="5AF951C8"/>
    <w:rsid w:val="5B066D3C"/>
    <w:rsid w:val="5B081FB9"/>
    <w:rsid w:val="5B093559"/>
    <w:rsid w:val="5B0A723B"/>
    <w:rsid w:val="5B100DAA"/>
    <w:rsid w:val="5B1012DD"/>
    <w:rsid w:val="5B355BC9"/>
    <w:rsid w:val="5B3E6B50"/>
    <w:rsid w:val="5B4038B3"/>
    <w:rsid w:val="5B435861"/>
    <w:rsid w:val="5B4936C8"/>
    <w:rsid w:val="5B5973FA"/>
    <w:rsid w:val="5B5A198F"/>
    <w:rsid w:val="5B65332F"/>
    <w:rsid w:val="5B7F74A9"/>
    <w:rsid w:val="5B8615AE"/>
    <w:rsid w:val="5BA14FFA"/>
    <w:rsid w:val="5BA4750A"/>
    <w:rsid w:val="5BE87363"/>
    <w:rsid w:val="5BEF4723"/>
    <w:rsid w:val="5BF7485F"/>
    <w:rsid w:val="5C015121"/>
    <w:rsid w:val="5C0A3453"/>
    <w:rsid w:val="5C0B1194"/>
    <w:rsid w:val="5C2A31CE"/>
    <w:rsid w:val="5C51066C"/>
    <w:rsid w:val="5C622308"/>
    <w:rsid w:val="5C662BA1"/>
    <w:rsid w:val="5C6E3947"/>
    <w:rsid w:val="5C827B46"/>
    <w:rsid w:val="5CA23B6C"/>
    <w:rsid w:val="5CA30347"/>
    <w:rsid w:val="5CA56C7A"/>
    <w:rsid w:val="5CB4587F"/>
    <w:rsid w:val="5CB5392D"/>
    <w:rsid w:val="5CEF1CD5"/>
    <w:rsid w:val="5CFC130C"/>
    <w:rsid w:val="5D2F1EA3"/>
    <w:rsid w:val="5D346980"/>
    <w:rsid w:val="5D513EF4"/>
    <w:rsid w:val="5D674CF8"/>
    <w:rsid w:val="5D6C43AB"/>
    <w:rsid w:val="5D7E68F3"/>
    <w:rsid w:val="5D82708B"/>
    <w:rsid w:val="5D9A4C4F"/>
    <w:rsid w:val="5DD024BC"/>
    <w:rsid w:val="5DEA078E"/>
    <w:rsid w:val="5DF53344"/>
    <w:rsid w:val="5E0F47B7"/>
    <w:rsid w:val="5E10546C"/>
    <w:rsid w:val="5E2F6BAB"/>
    <w:rsid w:val="5E4B2DFE"/>
    <w:rsid w:val="5E4D7601"/>
    <w:rsid w:val="5E695614"/>
    <w:rsid w:val="5E8E6D53"/>
    <w:rsid w:val="5EB11B17"/>
    <w:rsid w:val="5EB23633"/>
    <w:rsid w:val="5EBA7D8F"/>
    <w:rsid w:val="5EF01269"/>
    <w:rsid w:val="5EF047A6"/>
    <w:rsid w:val="5EFE6C3C"/>
    <w:rsid w:val="5F2062FC"/>
    <w:rsid w:val="5F212CC1"/>
    <w:rsid w:val="5F2401AB"/>
    <w:rsid w:val="5F2B2393"/>
    <w:rsid w:val="5F313F9A"/>
    <w:rsid w:val="5F381851"/>
    <w:rsid w:val="5F434547"/>
    <w:rsid w:val="5F4C3F05"/>
    <w:rsid w:val="5F5F0EC9"/>
    <w:rsid w:val="5F6F5575"/>
    <w:rsid w:val="5F7757B6"/>
    <w:rsid w:val="5F835427"/>
    <w:rsid w:val="5F91206F"/>
    <w:rsid w:val="5FC823D6"/>
    <w:rsid w:val="5FD71C0F"/>
    <w:rsid w:val="5FDB4E15"/>
    <w:rsid w:val="5FED406A"/>
    <w:rsid w:val="5FF42ABE"/>
    <w:rsid w:val="600852DD"/>
    <w:rsid w:val="601136FB"/>
    <w:rsid w:val="602F6574"/>
    <w:rsid w:val="606C120D"/>
    <w:rsid w:val="607D6490"/>
    <w:rsid w:val="60BB6B1A"/>
    <w:rsid w:val="60CD5ED6"/>
    <w:rsid w:val="60D554F1"/>
    <w:rsid w:val="60DE0F30"/>
    <w:rsid w:val="60FA7EC1"/>
    <w:rsid w:val="60FB737A"/>
    <w:rsid w:val="60FE66C7"/>
    <w:rsid w:val="61084FEB"/>
    <w:rsid w:val="610B4F05"/>
    <w:rsid w:val="612F7254"/>
    <w:rsid w:val="61432ADA"/>
    <w:rsid w:val="614F4F4C"/>
    <w:rsid w:val="615F402E"/>
    <w:rsid w:val="616502BC"/>
    <w:rsid w:val="61684EF9"/>
    <w:rsid w:val="616869BE"/>
    <w:rsid w:val="617756DB"/>
    <w:rsid w:val="61942516"/>
    <w:rsid w:val="619B464A"/>
    <w:rsid w:val="61CB7B18"/>
    <w:rsid w:val="61D3345D"/>
    <w:rsid w:val="61D51448"/>
    <w:rsid w:val="61EE1426"/>
    <w:rsid w:val="62153B7B"/>
    <w:rsid w:val="621A6620"/>
    <w:rsid w:val="622B65EA"/>
    <w:rsid w:val="623F3ADB"/>
    <w:rsid w:val="62631C83"/>
    <w:rsid w:val="6265664B"/>
    <w:rsid w:val="6275464A"/>
    <w:rsid w:val="628120D0"/>
    <w:rsid w:val="62892100"/>
    <w:rsid w:val="62963F8A"/>
    <w:rsid w:val="62AA1DCF"/>
    <w:rsid w:val="62B43B0D"/>
    <w:rsid w:val="62BD60CF"/>
    <w:rsid w:val="62C4748D"/>
    <w:rsid w:val="62CF0B1F"/>
    <w:rsid w:val="62DB723C"/>
    <w:rsid w:val="62E35B79"/>
    <w:rsid w:val="631A5E32"/>
    <w:rsid w:val="632D1657"/>
    <w:rsid w:val="63411BAF"/>
    <w:rsid w:val="634C6EEE"/>
    <w:rsid w:val="635A2616"/>
    <w:rsid w:val="63711368"/>
    <w:rsid w:val="637F46F6"/>
    <w:rsid w:val="63A47126"/>
    <w:rsid w:val="63D10B7F"/>
    <w:rsid w:val="63E77572"/>
    <w:rsid w:val="63F348D9"/>
    <w:rsid w:val="64040604"/>
    <w:rsid w:val="641329FC"/>
    <w:rsid w:val="641E4151"/>
    <w:rsid w:val="642A11B5"/>
    <w:rsid w:val="644040D9"/>
    <w:rsid w:val="64452F29"/>
    <w:rsid w:val="64462D28"/>
    <w:rsid w:val="6456236E"/>
    <w:rsid w:val="64665458"/>
    <w:rsid w:val="64712E90"/>
    <w:rsid w:val="64893C0E"/>
    <w:rsid w:val="648E1BC0"/>
    <w:rsid w:val="64973C80"/>
    <w:rsid w:val="64AC0CFF"/>
    <w:rsid w:val="64B41591"/>
    <w:rsid w:val="64D812FF"/>
    <w:rsid w:val="64D92FA0"/>
    <w:rsid w:val="64EB0FBE"/>
    <w:rsid w:val="64EB7B01"/>
    <w:rsid w:val="650751FF"/>
    <w:rsid w:val="650834AC"/>
    <w:rsid w:val="65136AF1"/>
    <w:rsid w:val="652A6D49"/>
    <w:rsid w:val="652A7142"/>
    <w:rsid w:val="652D0A19"/>
    <w:rsid w:val="6539273E"/>
    <w:rsid w:val="654B1B04"/>
    <w:rsid w:val="65506C25"/>
    <w:rsid w:val="65603BEF"/>
    <w:rsid w:val="657C2366"/>
    <w:rsid w:val="65815295"/>
    <w:rsid w:val="65903BC0"/>
    <w:rsid w:val="659979F9"/>
    <w:rsid w:val="65A5003C"/>
    <w:rsid w:val="65B01F28"/>
    <w:rsid w:val="65D22B1F"/>
    <w:rsid w:val="65D82E96"/>
    <w:rsid w:val="65E2056D"/>
    <w:rsid w:val="65E61FDC"/>
    <w:rsid w:val="65E93500"/>
    <w:rsid w:val="65F23E19"/>
    <w:rsid w:val="65FA04F9"/>
    <w:rsid w:val="660671D2"/>
    <w:rsid w:val="662A2115"/>
    <w:rsid w:val="66354CF3"/>
    <w:rsid w:val="66394CCA"/>
    <w:rsid w:val="66476A3E"/>
    <w:rsid w:val="66522722"/>
    <w:rsid w:val="666B302E"/>
    <w:rsid w:val="6672490B"/>
    <w:rsid w:val="668D309D"/>
    <w:rsid w:val="669259D6"/>
    <w:rsid w:val="66AF52E3"/>
    <w:rsid w:val="66BF4894"/>
    <w:rsid w:val="66C97BDC"/>
    <w:rsid w:val="66FB231E"/>
    <w:rsid w:val="67344EEE"/>
    <w:rsid w:val="67462A5B"/>
    <w:rsid w:val="676644C1"/>
    <w:rsid w:val="67807AF6"/>
    <w:rsid w:val="679623CC"/>
    <w:rsid w:val="67A50C86"/>
    <w:rsid w:val="67AA1BD4"/>
    <w:rsid w:val="67B03E1C"/>
    <w:rsid w:val="67B63ADD"/>
    <w:rsid w:val="67B900DE"/>
    <w:rsid w:val="67BA24F7"/>
    <w:rsid w:val="67BD327A"/>
    <w:rsid w:val="67BD35DC"/>
    <w:rsid w:val="67BE743F"/>
    <w:rsid w:val="67DD5CD3"/>
    <w:rsid w:val="67ED2769"/>
    <w:rsid w:val="67F4187F"/>
    <w:rsid w:val="67FD6F7B"/>
    <w:rsid w:val="680349A7"/>
    <w:rsid w:val="68046717"/>
    <w:rsid w:val="68282FC4"/>
    <w:rsid w:val="683B6C01"/>
    <w:rsid w:val="68522D85"/>
    <w:rsid w:val="687E4082"/>
    <w:rsid w:val="68881692"/>
    <w:rsid w:val="68A1661F"/>
    <w:rsid w:val="68B63E2E"/>
    <w:rsid w:val="68BA7849"/>
    <w:rsid w:val="68C43724"/>
    <w:rsid w:val="68E0788A"/>
    <w:rsid w:val="69082581"/>
    <w:rsid w:val="6910135B"/>
    <w:rsid w:val="69162D19"/>
    <w:rsid w:val="69306998"/>
    <w:rsid w:val="693717F2"/>
    <w:rsid w:val="69442FE9"/>
    <w:rsid w:val="695A3AF9"/>
    <w:rsid w:val="696463EB"/>
    <w:rsid w:val="69734D74"/>
    <w:rsid w:val="697B6A64"/>
    <w:rsid w:val="69862CE3"/>
    <w:rsid w:val="6986629D"/>
    <w:rsid w:val="699332E8"/>
    <w:rsid w:val="69D76785"/>
    <w:rsid w:val="6A152EFB"/>
    <w:rsid w:val="6A2B61A1"/>
    <w:rsid w:val="6A2C167F"/>
    <w:rsid w:val="6A5F0006"/>
    <w:rsid w:val="6A6774C4"/>
    <w:rsid w:val="6A7925A8"/>
    <w:rsid w:val="6A8A41CB"/>
    <w:rsid w:val="6A9D6E15"/>
    <w:rsid w:val="6AA54363"/>
    <w:rsid w:val="6AB24160"/>
    <w:rsid w:val="6ABA4896"/>
    <w:rsid w:val="6AC76B2A"/>
    <w:rsid w:val="6AD206F4"/>
    <w:rsid w:val="6ADF1F96"/>
    <w:rsid w:val="6AE564D2"/>
    <w:rsid w:val="6AF77BC8"/>
    <w:rsid w:val="6B000B6C"/>
    <w:rsid w:val="6B050FD0"/>
    <w:rsid w:val="6B0E317F"/>
    <w:rsid w:val="6B216572"/>
    <w:rsid w:val="6B277DA2"/>
    <w:rsid w:val="6B4D280C"/>
    <w:rsid w:val="6B4E219B"/>
    <w:rsid w:val="6B501A20"/>
    <w:rsid w:val="6B592A06"/>
    <w:rsid w:val="6B601C74"/>
    <w:rsid w:val="6B752969"/>
    <w:rsid w:val="6B810FF6"/>
    <w:rsid w:val="6B814F29"/>
    <w:rsid w:val="6B9B009D"/>
    <w:rsid w:val="6B9F4803"/>
    <w:rsid w:val="6BB561B9"/>
    <w:rsid w:val="6BF43D27"/>
    <w:rsid w:val="6BFD6D3B"/>
    <w:rsid w:val="6BFF64B2"/>
    <w:rsid w:val="6C112746"/>
    <w:rsid w:val="6C1F7BCC"/>
    <w:rsid w:val="6C296528"/>
    <w:rsid w:val="6C33771E"/>
    <w:rsid w:val="6C4145B4"/>
    <w:rsid w:val="6C5972A7"/>
    <w:rsid w:val="6C707780"/>
    <w:rsid w:val="6C733352"/>
    <w:rsid w:val="6C7C747A"/>
    <w:rsid w:val="6CD400B2"/>
    <w:rsid w:val="6CDF5577"/>
    <w:rsid w:val="6CE23959"/>
    <w:rsid w:val="6CF83F7E"/>
    <w:rsid w:val="6D0C5B72"/>
    <w:rsid w:val="6D310CFF"/>
    <w:rsid w:val="6D404CA9"/>
    <w:rsid w:val="6D472903"/>
    <w:rsid w:val="6D6A6F41"/>
    <w:rsid w:val="6D723243"/>
    <w:rsid w:val="6D78793E"/>
    <w:rsid w:val="6D9E2848"/>
    <w:rsid w:val="6DA11D1D"/>
    <w:rsid w:val="6DA34920"/>
    <w:rsid w:val="6DA9096F"/>
    <w:rsid w:val="6DB1336D"/>
    <w:rsid w:val="6DB34A22"/>
    <w:rsid w:val="6DE97DFA"/>
    <w:rsid w:val="6DF92ABB"/>
    <w:rsid w:val="6DFC1659"/>
    <w:rsid w:val="6E044FCF"/>
    <w:rsid w:val="6E0B6526"/>
    <w:rsid w:val="6E0D5DF1"/>
    <w:rsid w:val="6E0E1276"/>
    <w:rsid w:val="6E1A137E"/>
    <w:rsid w:val="6E1B7A44"/>
    <w:rsid w:val="6E3E507C"/>
    <w:rsid w:val="6E4228F4"/>
    <w:rsid w:val="6E5E44CA"/>
    <w:rsid w:val="6E5E6AE5"/>
    <w:rsid w:val="6E856F16"/>
    <w:rsid w:val="6E915B2B"/>
    <w:rsid w:val="6EA0426C"/>
    <w:rsid w:val="6EB46162"/>
    <w:rsid w:val="6EB73738"/>
    <w:rsid w:val="6ECF3481"/>
    <w:rsid w:val="6EE258B6"/>
    <w:rsid w:val="6EE33B44"/>
    <w:rsid w:val="6EEF486F"/>
    <w:rsid w:val="6F19681A"/>
    <w:rsid w:val="6F1E572C"/>
    <w:rsid w:val="6F1E67F9"/>
    <w:rsid w:val="6F2873E1"/>
    <w:rsid w:val="6F410FC9"/>
    <w:rsid w:val="6F4A4BA6"/>
    <w:rsid w:val="6F4E55B4"/>
    <w:rsid w:val="6F4F7EE5"/>
    <w:rsid w:val="6F6608FD"/>
    <w:rsid w:val="6F7C56EC"/>
    <w:rsid w:val="6F99794B"/>
    <w:rsid w:val="6FA76D6F"/>
    <w:rsid w:val="6FAA40F5"/>
    <w:rsid w:val="6FAD5482"/>
    <w:rsid w:val="6FB67F0B"/>
    <w:rsid w:val="6FC2332A"/>
    <w:rsid w:val="6FCE71E1"/>
    <w:rsid w:val="6FD50C02"/>
    <w:rsid w:val="6FE04626"/>
    <w:rsid w:val="6FE5472F"/>
    <w:rsid w:val="70254322"/>
    <w:rsid w:val="703D1950"/>
    <w:rsid w:val="705010AC"/>
    <w:rsid w:val="705F560F"/>
    <w:rsid w:val="706041A9"/>
    <w:rsid w:val="706711CC"/>
    <w:rsid w:val="707A5A81"/>
    <w:rsid w:val="70942AFB"/>
    <w:rsid w:val="70A5017C"/>
    <w:rsid w:val="70A72F04"/>
    <w:rsid w:val="70A95B73"/>
    <w:rsid w:val="70AF750F"/>
    <w:rsid w:val="70BB07E2"/>
    <w:rsid w:val="70F62ADA"/>
    <w:rsid w:val="71071084"/>
    <w:rsid w:val="71075340"/>
    <w:rsid w:val="711D2975"/>
    <w:rsid w:val="71246B2F"/>
    <w:rsid w:val="7126257A"/>
    <w:rsid w:val="713C7E5B"/>
    <w:rsid w:val="71430CF0"/>
    <w:rsid w:val="71694FD9"/>
    <w:rsid w:val="717E46EB"/>
    <w:rsid w:val="717F14E3"/>
    <w:rsid w:val="71A3041C"/>
    <w:rsid w:val="71B63424"/>
    <w:rsid w:val="71B922CB"/>
    <w:rsid w:val="71CA0D5E"/>
    <w:rsid w:val="71DB5A01"/>
    <w:rsid w:val="71F77485"/>
    <w:rsid w:val="720C6CA3"/>
    <w:rsid w:val="7213356A"/>
    <w:rsid w:val="721915C9"/>
    <w:rsid w:val="721B753E"/>
    <w:rsid w:val="72285892"/>
    <w:rsid w:val="723138DA"/>
    <w:rsid w:val="724D3390"/>
    <w:rsid w:val="72507A54"/>
    <w:rsid w:val="72577CDB"/>
    <w:rsid w:val="72632477"/>
    <w:rsid w:val="726D363D"/>
    <w:rsid w:val="726F39E2"/>
    <w:rsid w:val="72736F53"/>
    <w:rsid w:val="727F2BF1"/>
    <w:rsid w:val="729736F6"/>
    <w:rsid w:val="72A72EF0"/>
    <w:rsid w:val="72BE185C"/>
    <w:rsid w:val="72C1068E"/>
    <w:rsid w:val="72C84E57"/>
    <w:rsid w:val="72D6524B"/>
    <w:rsid w:val="72D82C31"/>
    <w:rsid w:val="72EC4945"/>
    <w:rsid w:val="730640FD"/>
    <w:rsid w:val="730F547D"/>
    <w:rsid w:val="730F56F4"/>
    <w:rsid w:val="731745A4"/>
    <w:rsid w:val="733539C1"/>
    <w:rsid w:val="733D5BF9"/>
    <w:rsid w:val="73444DB4"/>
    <w:rsid w:val="734C2CD5"/>
    <w:rsid w:val="735348AA"/>
    <w:rsid w:val="7361714C"/>
    <w:rsid w:val="736D650D"/>
    <w:rsid w:val="736F4CA0"/>
    <w:rsid w:val="73777237"/>
    <w:rsid w:val="73916DD4"/>
    <w:rsid w:val="739C40DD"/>
    <w:rsid w:val="739F4721"/>
    <w:rsid w:val="73AD290B"/>
    <w:rsid w:val="73B8570F"/>
    <w:rsid w:val="73B93D66"/>
    <w:rsid w:val="73D33243"/>
    <w:rsid w:val="73DD3E20"/>
    <w:rsid w:val="73E2566E"/>
    <w:rsid w:val="73EF0326"/>
    <w:rsid w:val="73F62091"/>
    <w:rsid w:val="740E46DC"/>
    <w:rsid w:val="741930C3"/>
    <w:rsid w:val="743D2D86"/>
    <w:rsid w:val="744805BD"/>
    <w:rsid w:val="744A3664"/>
    <w:rsid w:val="744D6CBF"/>
    <w:rsid w:val="74603463"/>
    <w:rsid w:val="74643211"/>
    <w:rsid w:val="74655062"/>
    <w:rsid w:val="746F4E37"/>
    <w:rsid w:val="747F51EF"/>
    <w:rsid w:val="748C7EE9"/>
    <w:rsid w:val="748F4977"/>
    <w:rsid w:val="749A2D3C"/>
    <w:rsid w:val="74A52965"/>
    <w:rsid w:val="74AD131B"/>
    <w:rsid w:val="74D17B88"/>
    <w:rsid w:val="74D62315"/>
    <w:rsid w:val="74DC115D"/>
    <w:rsid w:val="74DF6994"/>
    <w:rsid w:val="75063B1B"/>
    <w:rsid w:val="750A66F9"/>
    <w:rsid w:val="750B2FD1"/>
    <w:rsid w:val="750E5A9E"/>
    <w:rsid w:val="75193FE4"/>
    <w:rsid w:val="75273D41"/>
    <w:rsid w:val="7533457D"/>
    <w:rsid w:val="7548192B"/>
    <w:rsid w:val="758A653E"/>
    <w:rsid w:val="75961649"/>
    <w:rsid w:val="75A00FB4"/>
    <w:rsid w:val="75B400F6"/>
    <w:rsid w:val="75B55F6C"/>
    <w:rsid w:val="75B602EA"/>
    <w:rsid w:val="75BF3525"/>
    <w:rsid w:val="75CF5209"/>
    <w:rsid w:val="75E03849"/>
    <w:rsid w:val="75FB60E0"/>
    <w:rsid w:val="760C57AA"/>
    <w:rsid w:val="76163BCE"/>
    <w:rsid w:val="761B0B1B"/>
    <w:rsid w:val="7628188A"/>
    <w:rsid w:val="763A3968"/>
    <w:rsid w:val="763B6E23"/>
    <w:rsid w:val="76452F65"/>
    <w:rsid w:val="764F2D41"/>
    <w:rsid w:val="765062A0"/>
    <w:rsid w:val="7663289D"/>
    <w:rsid w:val="766E76E8"/>
    <w:rsid w:val="76790ADF"/>
    <w:rsid w:val="768E7646"/>
    <w:rsid w:val="76A26E06"/>
    <w:rsid w:val="76B718D9"/>
    <w:rsid w:val="76BB585B"/>
    <w:rsid w:val="76D96FB9"/>
    <w:rsid w:val="76E94E87"/>
    <w:rsid w:val="76F20DF1"/>
    <w:rsid w:val="76FC4A66"/>
    <w:rsid w:val="77053D7A"/>
    <w:rsid w:val="77106EBA"/>
    <w:rsid w:val="77163160"/>
    <w:rsid w:val="77214A06"/>
    <w:rsid w:val="772B5EA8"/>
    <w:rsid w:val="77454297"/>
    <w:rsid w:val="77535D86"/>
    <w:rsid w:val="777C5805"/>
    <w:rsid w:val="777D19FE"/>
    <w:rsid w:val="77856EF1"/>
    <w:rsid w:val="778871A2"/>
    <w:rsid w:val="77921AE7"/>
    <w:rsid w:val="77A13C81"/>
    <w:rsid w:val="77A22B2C"/>
    <w:rsid w:val="77A410DD"/>
    <w:rsid w:val="77A8757B"/>
    <w:rsid w:val="77B235C5"/>
    <w:rsid w:val="77C37958"/>
    <w:rsid w:val="77CC720F"/>
    <w:rsid w:val="77D508C0"/>
    <w:rsid w:val="77F3010A"/>
    <w:rsid w:val="783D2B6F"/>
    <w:rsid w:val="78631056"/>
    <w:rsid w:val="786D0427"/>
    <w:rsid w:val="78737360"/>
    <w:rsid w:val="78974FFF"/>
    <w:rsid w:val="78B3330A"/>
    <w:rsid w:val="78E368F2"/>
    <w:rsid w:val="78F73E45"/>
    <w:rsid w:val="79020B98"/>
    <w:rsid w:val="79057C12"/>
    <w:rsid w:val="790D520A"/>
    <w:rsid w:val="7922663F"/>
    <w:rsid w:val="79492CDF"/>
    <w:rsid w:val="79802F5F"/>
    <w:rsid w:val="79830519"/>
    <w:rsid w:val="798749BE"/>
    <w:rsid w:val="798E7305"/>
    <w:rsid w:val="79BA618A"/>
    <w:rsid w:val="79BE3EB4"/>
    <w:rsid w:val="79C4400F"/>
    <w:rsid w:val="79FD6F41"/>
    <w:rsid w:val="7A001C0B"/>
    <w:rsid w:val="7A637BF4"/>
    <w:rsid w:val="7A6A0313"/>
    <w:rsid w:val="7A7730AA"/>
    <w:rsid w:val="7A8E6064"/>
    <w:rsid w:val="7AD043A4"/>
    <w:rsid w:val="7AED691F"/>
    <w:rsid w:val="7AF0153E"/>
    <w:rsid w:val="7AF23F3B"/>
    <w:rsid w:val="7AF75B8C"/>
    <w:rsid w:val="7B036ED8"/>
    <w:rsid w:val="7B0A1520"/>
    <w:rsid w:val="7B2A6400"/>
    <w:rsid w:val="7B314879"/>
    <w:rsid w:val="7B3E431F"/>
    <w:rsid w:val="7B5778B1"/>
    <w:rsid w:val="7B5A1E05"/>
    <w:rsid w:val="7B5C2331"/>
    <w:rsid w:val="7B6B503D"/>
    <w:rsid w:val="7B783589"/>
    <w:rsid w:val="7B875DA5"/>
    <w:rsid w:val="7B8B3E2D"/>
    <w:rsid w:val="7B8C49C4"/>
    <w:rsid w:val="7B8C6F4A"/>
    <w:rsid w:val="7B8D3EC5"/>
    <w:rsid w:val="7BDD5881"/>
    <w:rsid w:val="7BE12942"/>
    <w:rsid w:val="7BE71E9D"/>
    <w:rsid w:val="7C130F84"/>
    <w:rsid w:val="7C161AE6"/>
    <w:rsid w:val="7C3743DA"/>
    <w:rsid w:val="7C3B4317"/>
    <w:rsid w:val="7C457AB6"/>
    <w:rsid w:val="7C505E7A"/>
    <w:rsid w:val="7C6721B4"/>
    <w:rsid w:val="7C851534"/>
    <w:rsid w:val="7C882158"/>
    <w:rsid w:val="7C8E0964"/>
    <w:rsid w:val="7C973094"/>
    <w:rsid w:val="7C9C69D5"/>
    <w:rsid w:val="7CA43F68"/>
    <w:rsid w:val="7CA91C4F"/>
    <w:rsid w:val="7CAD2604"/>
    <w:rsid w:val="7CD56075"/>
    <w:rsid w:val="7CE771D7"/>
    <w:rsid w:val="7D0B388E"/>
    <w:rsid w:val="7D0C4762"/>
    <w:rsid w:val="7D274BF3"/>
    <w:rsid w:val="7D2B6B73"/>
    <w:rsid w:val="7D2C4A96"/>
    <w:rsid w:val="7D2E3A96"/>
    <w:rsid w:val="7D3578D6"/>
    <w:rsid w:val="7D49333C"/>
    <w:rsid w:val="7D5E63FF"/>
    <w:rsid w:val="7D6E66D5"/>
    <w:rsid w:val="7D7D108B"/>
    <w:rsid w:val="7D8C0CB6"/>
    <w:rsid w:val="7DB12467"/>
    <w:rsid w:val="7DBB12A7"/>
    <w:rsid w:val="7DC24678"/>
    <w:rsid w:val="7DC33BE2"/>
    <w:rsid w:val="7DC81E52"/>
    <w:rsid w:val="7DCF183C"/>
    <w:rsid w:val="7DD86355"/>
    <w:rsid w:val="7DDB2C21"/>
    <w:rsid w:val="7DDB50F1"/>
    <w:rsid w:val="7DE4585D"/>
    <w:rsid w:val="7DE70D9D"/>
    <w:rsid w:val="7DED64A1"/>
    <w:rsid w:val="7DEF258E"/>
    <w:rsid w:val="7DF41C0E"/>
    <w:rsid w:val="7DF52A8D"/>
    <w:rsid w:val="7E015A30"/>
    <w:rsid w:val="7E0D53CB"/>
    <w:rsid w:val="7E0E140A"/>
    <w:rsid w:val="7E1278BA"/>
    <w:rsid w:val="7E2E19B0"/>
    <w:rsid w:val="7E63691E"/>
    <w:rsid w:val="7E900B7E"/>
    <w:rsid w:val="7EC15ADF"/>
    <w:rsid w:val="7EC7328B"/>
    <w:rsid w:val="7EC81C49"/>
    <w:rsid w:val="7ED7341E"/>
    <w:rsid w:val="7EEB51F6"/>
    <w:rsid w:val="7EED1710"/>
    <w:rsid w:val="7F1309E5"/>
    <w:rsid w:val="7F3B13D4"/>
    <w:rsid w:val="7F582019"/>
    <w:rsid w:val="7F596ADA"/>
    <w:rsid w:val="7F6678BE"/>
    <w:rsid w:val="7FAB06F6"/>
    <w:rsid w:val="7FBC41CD"/>
    <w:rsid w:val="7FC0112C"/>
    <w:rsid w:val="7FC8149F"/>
    <w:rsid w:val="7FCF3BB2"/>
    <w:rsid w:val="7FD6192E"/>
    <w:rsid w:val="7FD94153"/>
    <w:rsid w:val="7FF70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4"/>
    <w:link w:val="97"/>
    <w:qFormat/>
    <w:uiPriority w:val="0"/>
    <w:pPr>
      <w:keepNext/>
      <w:keepLines/>
      <w:adjustRightInd w:val="0"/>
      <w:snapToGrid w:val="0"/>
      <w:spacing w:before="156" w:beforeLines="50" w:line="360" w:lineRule="auto"/>
      <w:jc w:val="left"/>
      <w:outlineLvl w:val="0"/>
    </w:pPr>
    <w:rPr>
      <w:rFonts w:eastAsia="黑体"/>
      <w:b/>
      <w:kern w:val="44"/>
      <w:sz w:val="32"/>
    </w:rPr>
  </w:style>
  <w:style w:type="paragraph" w:styleId="7">
    <w:name w:val="heading 2"/>
    <w:basedOn w:val="1"/>
    <w:next w:val="1"/>
    <w:link w:val="69"/>
    <w:qFormat/>
    <w:uiPriority w:val="0"/>
    <w:pPr>
      <w:keepNext/>
      <w:keepLines/>
      <w:tabs>
        <w:tab w:val="left" w:pos="630"/>
      </w:tabs>
      <w:spacing w:before="260" w:after="120" w:line="360" w:lineRule="auto"/>
      <w:ind w:left="936" w:hanging="576"/>
      <w:outlineLvl w:val="1"/>
    </w:pPr>
    <w:rPr>
      <w:b/>
      <w:sz w:val="32"/>
    </w:rPr>
  </w:style>
  <w:style w:type="paragraph" w:styleId="8">
    <w:name w:val="heading 3"/>
    <w:basedOn w:val="1"/>
    <w:next w:val="9"/>
    <w:link w:val="117"/>
    <w:qFormat/>
    <w:uiPriority w:val="0"/>
    <w:pPr>
      <w:keepNext/>
      <w:keepLines/>
      <w:spacing w:before="260" w:after="260" w:line="416" w:lineRule="auto"/>
      <w:outlineLvl w:val="2"/>
    </w:pPr>
    <w:rPr>
      <w:b/>
      <w:bCs/>
      <w:sz w:val="32"/>
      <w:szCs w:val="32"/>
    </w:rPr>
  </w:style>
  <w:style w:type="paragraph" w:styleId="10">
    <w:name w:val="heading 4"/>
    <w:basedOn w:val="1"/>
    <w:next w:val="1"/>
    <w:link w:val="116"/>
    <w:qFormat/>
    <w:uiPriority w:val="0"/>
    <w:pPr>
      <w:keepNext/>
      <w:keepLines/>
      <w:widowControl/>
      <w:adjustRightInd w:val="0"/>
      <w:snapToGrid w:val="0"/>
      <w:spacing w:before="280" w:after="290" w:line="376" w:lineRule="auto"/>
      <w:jc w:val="left"/>
      <w:outlineLvl w:val="3"/>
    </w:pPr>
    <w:rPr>
      <w:rFonts w:ascii="Cambria" w:hAnsi="Cambria"/>
      <w:b/>
      <w:bCs/>
      <w:kern w:val="0"/>
      <w:sz w:val="28"/>
      <w:szCs w:val="28"/>
    </w:rPr>
  </w:style>
  <w:style w:type="character" w:default="1" w:styleId="43">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customStyle="1" w:styleId="2">
    <w:name w:val="Default"/>
    <w:link w:val="93"/>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4">
    <w:name w:val="Body Text First Indent"/>
    <w:basedOn w:val="5"/>
    <w:link w:val="104"/>
    <w:qFormat/>
    <w:uiPriority w:val="0"/>
    <w:pPr>
      <w:adjustRightInd w:val="0"/>
      <w:snapToGrid w:val="0"/>
      <w:spacing w:before="156" w:beforeLines="50" w:after="0" w:line="360" w:lineRule="auto"/>
      <w:ind w:firstLine="200" w:firstLineChars="200"/>
    </w:pPr>
    <w:rPr>
      <w:sz w:val="24"/>
    </w:rPr>
  </w:style>
  <w:style w:type="paragraph" w:styleId="5">
    <w:name w:val="Body Text"/>
    <w:basedOn w:val="1"/>
    <w:next w:val="6"/>
    <w:link w:val="65"/>
    <w:qFormat/>
    <w:uiPriority w:val="0"/>
    <w:pPr>
      <w:spacing w:after="120"/>
    </w:pPr>
  </w:style>
  <w:style w:type="paragraph" w:customStyle="1" w:styleId="6">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styleId="9">
    <w:name w:val="Normal Indent"/>
    <w:basedOn w:val="1"/>
    <w:link w:val="76"/>
    <w:qFormat/>
    <w:uiPriority w:val="0"/>
    <w:pPr>
      <w:jc w:val="center"/>
    </w:pPr>
    <w:rPr>
      <w:rFonts w:eastAsia="黑体"/>
      <w:sz w:val="24"/>
      <w:szCs w:val="21"/>
    </w:rPr>
  </w:style>
  <w:style w:type="paragraph" w:styleId="11">
    <w:name w:val="toc 7"/>
    <w:basedOn w:val="1"/>
    <w:next w:val="1"/>
    <w:qFormat/>
    <w:uiPriority w:val="0"/>
    <w:pPr>
      <w:ind w:left="2520" w:leftChars="1200"/>
    </w:pPr>
    <w:rPr>
      <w:szCs w:val="24"/>
    </w:rPr>
  </w:style>
  <w:style w:type="paragraph" w:styleId="12">
    <w:name w:val="Note Heading"/>
    <w:basedOn w:val="1"/>
    <w:next w:val="1"/>
    <w:qFormat/>
    <w:uiPriority w:val="0"/>
    <w:pPr>
      <w:jc w:val="center"/>
    </w:pPr>
  </w:style>
  <w:style w:type="paragraph" w:styleId="13">
    <w:name w:val="caption"/>
    <w:basedOn w:val="1"/>
    <w:next w:val="1"/>
    <w:qFormat/>
    <w:uiPriority w:val="0"/>
    <w:pPr>
      <w:adjustRightInd w:val="0"/>
      <w:snapToGrid w:val="0"/>
      <w:spacing w:line="360" w:lineRule="auto"/>
      <w:jc w:val="left"/>
    </w:pPr>
    <w:rPr>
      <w:rFonts w:eastAsia="黑体"/>
      <w:sz w:val="24"/>
    </w:rPr>
  </w:style>
  <w:style w:type="paragraph" w:styleId="14">
    <w:name w:val="List Bullet"/>
    <w:basedOn w:val="1"/>
    <w:qFormat/>
    <w:uiPriority w:val="0"/>
    <w:pPr>
      <w:numPr>
        <w:ilvl w:val="0"/>
        <w:numId w:val="1"/>
      </w:numPr>
      <w:tabs>
        <w:tab w:val="left" w:pos="360"/>
      </w:tabs>
    </w:pPr>
  </w:style>
  <w:style w:type="paragraph" w:styleId="15">
    <w:name w:val="Document Map"/>
    <w:basedOn w:val="1"/>
    <w:semiHidden/>
    <w:qFormat/>
    <w:uiPriority w:val="0"/>
    <w:pPr>
      <w:shd w:val="clear" w:color="auto" w:fill="000080"/>
    </w:pPr>
  </w:style>
  <w:style w:type="paragraph" w:styleId="16">
    <w:name w:val="annotation text"/>
    <w:basedOn w:val="1"/>
    <w:link w:val="75"/>
    <w:qFormat/>
    <w:uiPriority w:val="0"/>
    <w:pPr>
      <w:jc w:val="left"/>
    </w:pPr>
  </w:style>
  <w:style w:type="paragraph" w:styleId="17">
    <w:name w:val="Body Text Indent"/>
    <w:basedOn w:val="1"/>
    <w:link w:val="67"/>
    <w:qFormat/>
    <w:uiPriority w:val="0"/>
    <w:pPr>
      <w:spacing w:after="120"/>
      <w:ind w:left="420" w:leftChars="200"/>
    </w:pPr>
  </w:style>
  <w:style w:type="paragraph" w:styleId="18">
    <w:name w:val="Block Text"/>
    <w:basedOn w:val="1"/>
    <w:qFormat/>
    <w:uiPriority w:val="0"/>
    <w:pPr>
      <w:spacing w:line="500" w:lineRule="exact"/>
      <w:ind w:left="-105" w:leftChars="-50" w:right="-105" w:rightChars="-50"/>
      <w:jc w:val="center"/>
    </w:pPr>
    <w:rPr>
      <w:rFonts w:eastAsia="仿宋_GB2312"/>
      <w:sz w:val="28"/>
      <w:szCs w:val="24"/>
    </w:rPr>
  </w:style>
  <w:style w:type="paragraph" w:styleId="19">
    <w:name w:val="toc 5"/>
    <w:basedOn w:val="1"/>
    <w:next w:val="1"/>
    <w:qFormat/>
    <w:uiPriority w:val="0"/>
    <w:pPr>
      <w:ind w:left="1680" w:leftChars="800"/>
    </w:pPr>
    <w:rPr>
      <w:szCs w:val="24"/>
    </w:rPr>
  </w:style>
  <w:style w:type="paragraph" w:styleId="20">
    <w:name w:val="toc 3"/>
    <w:basedOn w:val="1"/>
    <w:next w:val="1"/>
    <w:qFormat/>
    <w:uiPriority w:val="0"/>
    <w:pPr>
      <w:ind w:left="840" w:leftChars="400"/>
    </w:pPr>
    <w:rPr>
      <w:szCs w:val="24"/>
    </w:rPr>
  </w:style>
  <w:style w:type="paragraph" w:styleId="21">
    <w:name w:val="Plain Text"/>
    <w:basedOn w:val="1"/>
    <w:link w:val="71"/>
    <w:qFormat/>
    <w:uiPriority w:val="0"/>
    <w:rPr>
      <w:rFonts w:ascii="宋体" w:hAnsi="Courier New"/>
    </w:rPr>
  </w:style>
  <w:style w:type="paragraph" w:styleId="22">
    <w:name w:val="toc 8"/>
    <w:basedOn w:val="1"/>
    <w:next w:val="1"/>
    <w:qFormat/>
    <w:uiPriority w:val="0"/>
    <w:pPr>
      <w:ind w:left="2940" w:leftChars="1400"/>
    </w:pPr>
    <w:rPr>
      <w:szCs w:val="24"/>
    </w:rPr>
  </w:style>
  <w:style w:type="paragraph" w:styleId="23">
    <w:name w:val="Date"/>
    <w:basedOn w:val="1"/>
    <w:next w:val="1"/>
    <w:qFormat/>
    <w:uiPriority w:val="0"/>
    <w:pPr>
      <w:ind w:left="100" w:leftChars="2500"/>
    </w:pPr>
  </w:style>
  <w:style w:type="paragraph" w:styleId="24">
    <w:name w:val="Body Text Indent 2"/>
    <w:basedOn w:val="1"/>
    <w:qFormat/>
    <w:uiPriority w:val="0"/>
    <w:pPr>
      <w:spacing w:after="120" w:line="480" w:lineRule="auto"/>
      <w:ind w:left="420" w:leftChars="200"/>
    </w:pPr>
  </w:style>
  <w:style w:type="paragraph" w:styleId="25">
    <w:name w:val="Balloon Text"/>
    <w:basedOn w:val="1"/>
    <w:link w:val="90"/>
    <w:qFormat/>
    <w:uiPriority w:val="0"/>
    <w:rPr>
      <w:sz w:val="18"/>
      <w:szCs w:val="18"/>
    </w:rPr>
  </w:style>
  <w:style w:type="paragraph" w:styleId="26">
    <w:name w:val="footer"/>
    <w:basedOn w:val="1"/>
    <w:link w:val="106"/>
    <w:qFormat/>
    <w:uiPriority w:val="99"/>
    <w:pPr>
      <w:tabs>
        <w:tab w:val="center" w:pos="4153"/>
        <w:tab w:val="right" w:pos="8306"/>
      </w:tabs>
      <w:snapToGrid w:val="0"/>
      <w:jc w:val="left"/>
    </w:pPr>
    <w:rPr>
      <w:sz w:val="18"/>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39"/>
    <w:pPr>
      <w:tabs>
        <w:tab w:val="right" w:leader="dot" w:pos="8891"/>
      </w:tabs>
      <w:spacing w:line="360" w:lineRule="auto"/>
    </w:pPr>
    <w:rPr>
      <w:sz w:val="28"/>
    </w:rPr>
  </w:style>
  <w:style w:type="paragraph" w:styleId="29">
    <w:name w:val="toc 4"/>
    <w:basedOn w:val="1"/>
    <w:next w:val="1"/>
    <w:qFormat/>
    <w:uiPriority w:val="0"/>
    <w:pPr>
      <w:ind w:left="1260" w:leftChars="600"/>
    </w:pPr>
    <w:rPr>
      <w:szCs w:val="24"/>
    </w:rPr>
  </w:style>
  <w:style w:type="paragraph" w:styleId="30">
    <w:name w:val="List Number 5"/>
    <w:basedOn w:val="1"/>
    <w:qFormat/>
    <w:uiPriority w:val="0"/>
    <w:pPr>
      <w:numPr>
        <w:ilvl w:val="0"/>
        <w:numId w:val="2"/>
      </w:numPr>
      <w:tabs>
        <w:tab w:val="left" w:pos="2040"/>
      </w:tabs>
    </w:pPr>
  </w:style>
  <w:style w:type="paragraph" w:styleId="31">
    <w:name w:val="List"/>
    <w:basedOn w:val="1"/>
    <w:qFormat/>
    <w:uiPriority w:val="0"/>
    <w:pPr>
      <w:widowControl/>
      <w:ind w:left="200" w:hanging="200" w:hangingChars="200"/>
      <w:jc w:val="left"/>
    </w:pPr>
    <w:rPr>
      <w:rFonts w:ascii="宋体" w:hAnsi="宋体" w:cs="宋体"/>
      <w:kern w:val="0"/>
      <w:sz w:val="24"/>
      <w:szCs w:val="24"/>
    </w:rPr>
  </w:style>
  <w:style w:type="paragraph" w:styleId="32">
    <w:name w:val="toc 6"/>
    <w:basedOn w:val="1"/>
    <w:next w:val="1"/>
    <w:qFormat/>
    <w:uiPriority w:val="0"/>
    <w:pPr>
      <w:ind w:left="2100" w:leftChars="1000"/>
    </w:pPr>
    <w:rPr>
      <w:szCs w:val="24"/>
    </w:rPr>
  </w:style>
  <w:style w:type="paragraph" w:styleId="33">
    <w:name w:val="Body Text Indent 3"/>
    <w:basedOn w:val="1"/>
    <w:qFormat/>
    <w:uiPriority w:val="0"/>
    <w:pPr>
      <w:spacing w:after="120"/>
      <w:ind w:left="420" w:leftChars="200"/>
    </w:pPr>
    <w:rPr>
      <w:sz w:val="16"/>
      <w:szCs w:val="16"/>
    </w:rPr>
  </w:style>
  <w:style w:type="paragraph" w:styleId="34">
    <w:name w:val="toc 2"/>
    <w:basedOn w:val="1"/>
    <w:next w:val="1"/>
    <w:qFormat/>
    <w:uiPriority w:val="0"/>
    <w:pPr>
      <w:ind w:left="420" w:leftChars="200"/>
    </w:pPr>
    <w:rPr>
      <w:szCs w:val="24"/>
    </w:rPr>
  </w:style>
  <w:style w:type="paragraph" w:styleId="35">
    <w:name w:val="toc 9"/>
    <w:basedOn w:val="1"/>
    <w:next w:val="1"/>
    <w:qFormat/>
    <w:uiPriority w:val="0"/>
    <w:pPr>
      <w:ind w:left="3360" w:leftChars="1600"/>
    </w:pPr>
    <w:rPr>
      <w:szCs w:val="24"/>
    </w:rPr>
  </w:style>
  <w:style w:type="paragraph" w:styleId="36">
    <w:name w:val="Body Text 2"/>
    <w:basedOn w:val="1"/>
    <w:qFormat/>
    <w:uiPriority w:val="0"/>
    <w:pPr>
      <w:spacing w:after="120" w:line="480" w:lineRule="auto"/>
    </w:pPr>
  </w:style>
  <w:style w:type="paragraph" w:styleId="37">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38">
    <w:name w:val="annotation subject"/>
    <w:basedOn w:val="16"/>
    <w:next w:val="16"/>
    <w:link w:val="87"/>
    <w:qFormat/>
    <w:uiPriority w:val="0"/>
    <w:rPr>
      <w:b/>
      <w:bCs/>
    </w:rPr>
  </w:style>
  <w:style w:type="paragraph" w:styleId="39">
    <w:name w:val="Body Text First Indent 2"/>
    <w:basedOn w:val="17"/>
    <w:qFormat/>
    <w:uiPriority w:val="0"/>
    <w:pPr>
      <w:ind w:firstLine="420" w:firstLineChars="200"/>
    </w:p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2">
    <w:name w:val="Table Grid 5"/>
    <w:basedOn w:val="40"/>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0"/>
    <w:rPr>
      <w:color w:val="800080"/>
      <w:u w:val="none"/>
    </w:rPr>
  </w:style>
  <w:style w:type="character" w:styleId="47">
    <w:name w:val="Emphasis"/>
    <w:basedOn w:val="43"/>
    <w:qFormat/>
    <w:uiPriority w:val="0"/>
  </w:style>
  <w:style w:type="character" w:styleId="48">
    <w:name w:val="HTML Definition"/>
    <w:basedOn w:val="43"/>
    <w:qFormat/>
    <w:uiPriority w:val="0"/>
  </w:style>
  <w:style w:type="character" w:styleId="49">
    <w:name w:val="HTML Acronym"/>
    <w:basedOn w:val="43"/>
    <w:qFormat/>
    <w:uiPriority w:val="0"/>
  </w:style>
  <w:style w:type="character" w:styleId="50">
    <w:name w:val="HTML Variable"/>
    <w:basedOn w:val="43"/>
    <w:qFormat/>
    <w:uiPriority w:val="0"/>
  </w:style>
  <w:style w:type="character" w:styleId="51">
    <w:name w:val="Hyperlink"/>
    <w:qFormat/>
    <w:uiPriority w:val="99"/>
    <w:rPr>
      <w:color w:val="0000FF"/>
      <w:u w:val="none"/>
    </w:rPr>
  </w:style>
  <w:style w:type="character" w:styleId="52">
    <w:name w:val="HTML Code"/>
    <w:basedOn w:val="43"/>
    <w:qFormat/>
    <w:uiPriority w:val="0"/>
    <w:rPr>
      <w:rFonts w:hint="eastAsia" w:ascii="微软雅黑" w:hAnsi="微软雅黑" w:eastAsia="微软雅黑" w:cs="微软雅黑"/>
      <w:sz w:val="18"/>
      <w:szCs w:val="18"/>
    </w:rPr>
  </w:style>
  <w:style w:type="character" w:styleId="53">
    <w:name w:val="annotation reference"/>
    <w:qFormat/>
    <w:uiPriority w:val="0"/>
    <w:rPr>
      <w:sz w:val="21"/>
      <w:szCs w:val="21"/>
    </w:rPr>
  </w:style>
  <w:style w:type="character" w:styleId="54">
    <w:name w:val="HTML Cite"/>
    <w:basedOn w:val="43"/>
    <w:qFormat/>
    <w:uiPriority w:val="0"/>
  </w:style>
  <w:style w:type="paragraph" w:customStyle="1" w:styleId="55">
    <w:name w:val="四级条标题"/>
    <w:basedOn w:val="56"/>
    <w:next w:val="60"/>
    <w:qFormat/>
    <w:uiPriority w:val="0"/>
    <w:pPr>
      <w:widowControl/>
      <w:numPr>
        <w:ilvl w:val="3"/>
        <w:numId w:val="0"/>
      </w:numPr>
      <w:outlineLvl w:val="5"/>
    </w:pPr>
    <w:rPr>
      <w:rFonts w:ascii="黑体" w:eastAsia="黑体"/>
      <w:kern w:val="0"/>
      <w:szCs w:val="20"/>
    </w:rPr>
  </w:style>
  <w:style w:type="paragraph" w:customStyle="1" w:styleId="56">
    <w:name w:val="三级条标题"/>
    <w:basedOn w:val="57"/>
    <w:next w:val="60"/>
    <w:qFormat/>
    <w:uiPriority w:val="0"/>
    <w:pPr>
      <w:numPr>
        <w:ilvl w:val="3"/>
        <w:numId w:val="0"/>
      </w:numPr>
      <w:outlineLvl w:val="4"/>
    </w:pPr>
  </w:style>
  <w:style w:type="paragraph" w:customStyle="1" w:styleId="57">
    <w:name w:val="二级条标题"/>
    <w:basedOn w:val="58"/>
    <w:next w:val="60"/>
    <w:qFormat/>
    <w:uiPriority w:val="0"/>
    <w:pPr>
      <w:numPr>
        <w:ilvl w:val="3"/>
        <w:numId w:val="3"/>
      </w:numPr>
      <w:outlineLvl w:val="3"/>
    </w:pPr>
  </w:style>
  <w:style w:type="paragraph" w:customStyle="1" w:styleId="58">
    <w:name w:val="一级条标题"/>
    <w:basedOn w:val="59"/>
    <w:next w:val="60"/>
    <w:qFormat/>
    <w:uiPriority w:val="0"/>
    <w:pPr>
      <w:numPr>
        <w:ilvl w:val="2"/>
        <w:numId w:val="3"/>
      </w:numPr>
      <w:spacing w:before="0" w:beforeLines="0" w:after="0" w:afterLines="0"/>
      <w:outlineLvl w:val="2"/>
    </w:pPr>
  </w:style>
  <w:style w:type="paragraph" w:customStyle="1" w:styleId="59">
    <w:name w:val="章标题"/>
    <w:next w:val="60"/>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6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1">
    <w:name w:val="font51"/>
    <w:qFormat/>
    <w:uiPriority w:val="0"/>
    <w:rPr>
      <w:rFonts w:hint="eastAsia" w:ascii="宋体" w:hAnsi="宋体" w:eastAsia="宋体" w:cs="宋体"/>
      <w:color w:val="000000"/>
      <w:sz w:val="20"/>
      <w:szCs w:val="20"/>
      <w:u w:val="none"/>
    </w:rPr>
  </w:style>
  <w:style w:type="character" w:customStyle="1" w:styleId="62">
    <w:name w:val="Char Char6"/>
    <w:semiHidden/>
    <w:qFormat/>
    <w:locked/>
    <w:uiPriority w:val="0"/>
    <w:rPr>
      <w:rFonts w:ascii="宋体" w:hAnsi="宋体" w:eastAsia="宋体"/>
      <w:kern w:val="2"/>
      <w:sz w:val="18"/>
      <w:szCs w:val="18"/>
      <w:lang w:val="en-US" w:eastAsia="zh-CN" w:bidi="ar-SA"/>
    </w:rPr>
  </w:style>
  <w:style w:type="character" w:customStyle="1" w:styleId="63">
    <w:name w:val="表 Char"/>
    <w:link w:val="64"/>
    <w:qFormat/>
    <w:uiPriority w:val="0"/>
    <w:rPr>
      <w:sz w:val="24"/>
      <w:lang w:val="en-US" w:eastAsia="zh-CN" w:bidi="ar-SA"/>
    </w:rPr>
  </w:style>
  <w:style w:type="paragraph" w:customStyle="1" w:styleId="64">
    <w:name w:val="表"/>
    <w:link w:val="63"/>
    <w:qFormat/>
    <w:uiPriority w:val="0"/>
    <w:pPr>
      <w:spacing w:line="440" w:lineRule="exact"/>
      <w:ind w:firstLine="200" w:firstLineChars="200"/>
      <w:jc w:val="both"/>
    </w:pPr>
    <w:rPr>
      <w:rFonts w:ascii="Times New Roman" w:hAnsi="Times New Roman" w:eastAsia="宋体" w:cs="Times New Roman"/>
      <w:sz w:val="24"/>
      <w:lang w:val="en-US" w:eastAsia="zh-CN" w:bidi="ar-SA"/>
    </w:rPr>
  </w:style>
  <w:style w:type="character" w:customStyle="1" w:styleId="65">
    <w:name w:val="正文文本 字符"/>
    <w:link w:val="5"/>
    <w:qFormat/>
    <w:uiPriority w:val="0"/>
    <w:rPr>
      <w:kern w:val="2"/>
      <w:sz w:val="21"/>
    </w:rPr>
  </w:style>
  <w:style w:type="character" w:customStyle="1" w:styleId="66">
    <w:name w:val="postbody1"/>
    <w:qFormat/>
    <w:uiPriority w:val="0"/>
    <w:rPr>
      <w:sz w:val="21"/>
      <w:szCs w:val="21"/>
    </w:rPr>
  </w:style>
  <w:style w:type="character" w:customStyle="1" w:styleId="67">
    <w:name w:val="正文文本缩进 字符"/>
    <w:link w:val="17"/>
    <w:qFormat/>
    <w:uiPriority w:val="0"/>
    <w:rPr>
      <w:kern w:val="2"/>
      <w:sz w:val="21"/>
    </w:rPr>
  </w:style>
  <w:style w:type="character" w:customStyle="1" w:styleId="68">
    <w:name w:val="font31"/>
    <w:basedOn w:val="43"/>
    <w:qFormat/>
    <w:uiPriority w:val="0"/>
    <w:rPr>
      <w:rFonts w:hint="default" w:ascii="Times New Roman" w:hAnsi="Times New Roman" w:cs="Times New Roman"/>
      <w:color w:val="000000"/>
      <w:sz w:val="21"/>
      <w:szCs w:val="21"/>
      <w:u w:val="none"/>
    </w:rPr>
  </w:style>
  <w:style w:type="character" w:customStyle="1" w:styleId="69">
    <w:name w:val="标题 2 字符"/>
    <w:link w:val="7"/>
    <w:qFormat/>
    <w:uiPriority w:val="0"/>
    <w:rPr>
      <w:b/>
      <w:kern w:val="2"/>
      <w:sz w:val="32"/>
    </w:rPr>
  </w:style>
  <w:style w:type="character" w:customStyle="1" w:styleId="70">
    <w:name w:val="普通文字 Char Char1"/>
    <w:qFormat/>
    <w:uiPriority w:val="0"/>
    <w:rPr>
      <w:rFonts w:ascii="宋体" w:hAnsi="Courier New" w:eastAsia="宋体"/>
      <w:kern w:val="2"/>
      <w:sz w:val="21"/>
      <w:lang w:val="en-US" w:eastAsia="zh-CN" w:bidi="ar-SA"/>
    </w:rPr>
  </w:style>
  <w:style w:type="character" w:customStyle="1" w:styleId="71">
    <w:name w:val="纯文本 字符"/>
    <w:link w:val="21"/>
    <w:qFormat/>
    <w:uiPriority w:val="0"/>
    <w:rPr>
      <w:rFonts w:ascii="宋体" w:hAnsi="Courier New" w:eastAsia="宋体"/>
      <w:kern w:val="2"/>
      <w:sz w:val="21"/>
      <w:lang w:val="en-US" w:eastAsia="zh-CN" w:bidi="ar-SA"/>
    </w:rPr>
  </w:style>
  <w:style w:type="character" w:customStyle="1" w:styleId="72">
    <w:name w:val="表格第一行 Char Char"/>
    <w:link w:val="73"/>
    <w:qFormat/>
    <w:uiPriority w:val="0"/>
    <w:rPr>
      <w:b/>
      <w:szCs w:val="21"/>
    </w:rPr>
  </w:style>
  <w:style w:type="paragraph" w:customStyle="1" w:styleId="73">
    <w:name w:val="表格第一行"/>
    <w:basedOn w:val="1"/>
    <w:link w:val="72"/>
    <w:qFormat/>
    <w:uiPriority w:val="0"/>
    <w:pPr>
      <w:widowControl/>
      <w:adjustRightInd w:val="0"/>
      <w:snapToGrid w:val="0"/>
      <w:spacing w:before="156" w:after="156"/>
      <w:jc w:val="center"/>
      <w:textAlignment w:val="baseline"/>
    </w:pPr>
    <w:rPr>
      <w:b/>
      <w:kern w:val="0"/>
      <w:sz w:val="20"/>
      <w:szCs w:val="21"/>
    </w:rPr>
  </w:style>
  <w:style w:type="character" w:customStyle="1" w:styleId="74">
    <w:name w:val="font61"/>
    <w:qFormat/>
    <w:uiPriority w:val="0"/>
    <w:rPr>
      <w:rFonts w:hint="default" w:ascii="Times New Roman" w:hAnsi="Times New Roman" w:cs="Times New Roman"/>
      <w:color w:val="000000"/>
      <w:sz w:val="20"/>
      <w:szCs w:val="20"/>
      <w:u w:val="none"/>
    </w:rPr>
  </w:style>
  <w:style w:type="character" w:customStyle="1" w:styleId="75">
    <w:name w:val="批注文字 字符"/>
    <w:link w:val="16"/>
    <w:qFormat/>
    <w:uiPriority w:val="0"/>
    <w:rPr>
      <w:kern w:val="2"/>
      <w:sz w:val="21"/>
    </w:rPr>
  </w:style>
  <w:style w:type="character" w:customStyle="1" w:styleId="76">
    <w:name w:val="正文缩进 字符"/>
    <w:link w:val="9"/>
    <w:qFormat/>
    <w:uiPriority w:val="0"/>
    <w:rPr>
      <w:rFonts w:eastAsia="黑体"/>
      <w:kern w:val="2"/>
      <w:sz w:val="24"/>
      <w:szCs w:val="21"/>
      <w:lang w:bidi="ar-SA"/>
    </w:rPr>
  </w:style>
  <w:style w:type="character" w:customStyle="1" w:styleId="77">
    <w:name w:val="三级 Char Char"/>
    <w:link w:val="78"/>
    <w:qFormat/>
    <w:locked/>
    <w:uiPriority w:val="0"/>
    <w:rPr>
      <w:b/>
      <w:kern w:val="2"/>
      <w:sz w:val="24"/>
    </w:rPr>
  </w:style>
  <w:style w:type="paragraph" w:customStyle="1" w:styleId="78">
    <w:name w:val="三级"/>
    <w:basedOn w:val="1"/>
    <w:link w:val="77"/>
    <w:qFormat/>
    <w:uiPriority w:val="0"/>
    <w:pPr>
      <w:tabs>
        <w:tab w:val="left" w:pos="567"/>
      </w:tabs>
      <w:spacing w:beforeLines="50" w:afterLines="50" w:line="360" w:lineRule="auto"/>
      <w:ind w:left="720" w:hanging="720"/>
      <w:outlineLvl w:val="2"/>
    </w:pPr>
    <w:rPr>
      <w:b/>
      <w:sz w:val="24"/>
    </w:rPr>
  </w:style>
  <w:style w:type="character" w:customStyle="1" w:styleId="79">
    <w:name w:val="表格文字 Char"/>
    <w:link w:val="80"/>
    <w:qFormat/>
    <w:uiPriority w:val="0"/>
    <w:rPr>
      <w:rFonts w:eastAsia="宋体"/>
      <w:kern w:val="2"/>
      <w:sz w:val="21"/>
      <w:lang w:val="en-US" w:eastAsia="zh-CN" w:bidi="ar-SA"/>
    </w:rPr>
  </w:style>
  <w:style w:type="paragraph" w:customStyle="1" w:styleId="80">
    <w:name w:val="表格文字"/>
    <w:basedOn w:val="1"/>
    <w:link w:val="79"/>
    <w:qFormat/>
    <w:uiPriority w:val="0"/>
    <w:pPr>
      <w:adjustRightInd w:val="0"/>
      <w:snapToGrid w:val="0"/>
      <w:jc w:val="center"/>
      <w:textAlignment w:val="center"/>
    </w:pPr>
  </w:style>
  <w:style w:type="character" w:customStyle="1" w:styleId="81">
    <w:name w:val="中气表头 Char"/>
    <w:link w:val="82"/>
    <w:qFormat/>
    <w:uiPriority w:val="0"/>
    <w:rPr>
      <w:rFonts w:eastAsia="黑体"/>
      <w:b/>
      <w:kern w:val="2"/>
      <w:sz w:val="21"/>
      <w:szCs w:val="21"/>
    </w:rPr>
  </w:style>
  <w:style w:type="paragraph" w:customStyle="1" w:styleId="82">
    <w:name w:val="中气表头"/>
    <w:basedOn w:val="1"/>
    <w:link w:val="81"/>
    <w:qFormat/>
    <w:uiPriority w:val="0"/>
    <w:pPr>
      <w:jc w:val="center"/>
    </w:pPr>
    <w:rPr>
      <w:rFonts w:eastAsia="黑体"/>
      <w:b/>
      <w:szCs w:val="21"/>
    </w:rPr>
  </w:style>
  <w:style w:type="character" w:customStyle="1" w:styleId="83">
    <w:name w:val="hover69"/>
    <w:basedOn w:val="43"/>
    <w:qFormat/>
    <w:uiPriority w:val="0"/>
  </w:style>
  <w:style w:type="character" w:customStyle="1" w:styleId="84">
    <w:name w:val="content1"/>
    <w:qFormat/>
    <w:uiPriority w:val="0"/>
    <w:rPr>
      <w:color w:val="000000"/>
      <w:sz w:val="20"/>
      <w:szCs w:val="20"/>
    </w:rPr>
  </w:style>
  <w:style w:type="character" w:customStyle="1" w:styleId="85">
    <w:name w:val="表格标题 Char"/>
    <w:link w:val="86"/>
    <w:qFormat/>
    <w:uiPriority w:val="0"/>
    <w:rPr>
      <w:rFonts w:eastAsia="黑体"/>
      <w:kern w:val="2"/>
      <w:sz w:val="24"/>
    </w:rPr>
  </w:style>
  <w:style w:type="paragraph" w:customStyle="1" w:styleId="86">
    <w:name w:val="表格标题"/>
    <w:basedOn w:val="5"/>
    <w:link w:val="85"/>
    <w:qFormat/>
    <w:uiPriority w:val="0"/>
    <w:pPr>
      <w:spacing w:before="0" w:beforeLines="0"/>
      <w:ind w:firstLine="0" w:firstLineChars="0"/>
      <w:jc w:val="center"/>
    </w:pPr>
    <w:rPr>
      <w:rFonts w:eastAsia="黑体"/>
    </w:rPr>
  </w:style>
  <w:style w:type="character" w:customStyle="1" w:styleId="87">
    <w:name w:val="批注主题 字符"/>
    <w:link w:val="38"/>
    <w:qFormat/>
    <w:uiPriority w:val="0"/>
    <w:rPr>
      <w:b/>
      <w:bCs/>
      <w:kern w:val="2"/>
      <w:sz w:val="21"/>
    </w:rPr>
  </w:style>
  <w:style w:type="character" w:customStyle="1" w:styleId="88">
    <w:name w:val="apple-converted-space"/>
    <w:basedOn w:val="43"/>
    <w:qFormat/>
    <w:uiPriority w:val="0"/>
  </w:style>
  <w:style w:type="character" w:customStyle="1" w:styleId="89">
    <w:name w:val="ca-21"/>
    <w:basedOn w:val="43"/>
    <w:qFormat/>
    <w:uiPriority w:val="0"/>
  </w:style>
  <w:style w:type="character" w:customStyle="1" w:styleId="90">
    <w:name w:val="批注框文本 字符"/>
    <w:link w:val="25"/>
    <w:qFormat/>
    <w:uiPriority w:val="0"/>
    <w:rPr>
      <w:kern w:val="2"/>
      <w:sz w:val="18"/>
      <w:szCs w:val="18"/>
    </w:rPr>
  </w:style>
  <w:style w:type="character" w:customStyle="1" w:styleId="91">
    <w:name w:val="标题3 Char"/>
    <w:qFormat/>
    <w:locked/>
    <w:uiPriority w:val="0"/>
    <w:rPr>
      <w:rFonts w:ascii="Times New Roman" w:hAnsi="Times New Roman" w:eastAsia="宋体" w:cs="Times New Roman"/>
      <w:kern w:val="2"/>
      <w:sz w:val="32"/>
      <w:szCs w:val="32"/>
    </w:rPr>
  </w:style>
  <w:style w:type="character" w:customStyle="1" w:styleId="92">
    <w:name w:val="表文字 Char"/>
    <w:qFormat/>
    <w:uiPriority w:val="0"/>
    <w:rPr>
      <w:rFonts w:eastAsia="宋体"/>
      <w:sz w:val="24"/>
      <w:lang w:val="en-US" w:eastAsia="zh-CN"/>
    </w:rPr>
  </w:style>
  <w:style w:type="character" w:customStyle="1" w:styleId="93">
    <w:name w:val="Default Char"/>
    <w:link w:val="2"/>
    <w:qFormat/>
    <w:uiPriority w:val="0"/>
    <w:rPr>
      <w:rFonts w:ascii="宋体"/>
      <w:color w:val="000000"/>
      <w:sz w:val="24"/>
      <w:szCs w:val="24"/>
      <w:lang w:val="en-US" w:eastAsia="zh-CN" w:bidi="ar-SA"/>
    </w:rPr>
  </w:style>
  <w:style w:type="character" w:customStyle="1" w:styleId="94">
    <w:name w:val="hover70"/>
    <w:qFormat/>
    <w:uiPriority w:val="0"/>
    <w:rPr>
      <w:color w:val="000000"/>
      <w:shd w:val="clear" w:color="auto" w:fill="FFFFFF"/>
    </w:rPr>
  </w:style>
  <w:style w:type="character" w:customStyle="1" w:styleId="95">
    <w:name w:val="金光华文本正文 Char Char"/>
    <w:link w:val="96"/>
    <w:qFormat/>
    <w:uiPriority w:val="0"/>
    <w:rPr>
      <w:rFonts w:ascii="宋体" w:hAnsi="宋体"/>
      <w:sz w:val="24"/>
      <w:szCs w:val="24"/>
    </w:rPr>
  </w:style>
  <w:style w:type="paragraph" w:customStyle="1" w:styleId="96">
    <w:name w:val="金光华文本正文"/>
    <w:basedOn w:val="1"/>
    <w:link w:val="95"/>
    <w:qFormat/>
    <w:uiPriority w:val="0"/>
    <w:pPr>
      <w:widowControl/>
      <w:tabs>
        <w:tab w:val="left" w:pos="6840"/>
      </w:tabs>
      <w:spacing w:line="360" w:lineRule="auto"/>
      <w:ind w:firstLine="510"/>
      <w:jc w:val="left"/>
    </w:pPr>
    <w:rPr>
      <w:rFonts w:ascii="宋体" w:hAnsi="宋体"/>
      <w:kern w:val="0"/>
      <w:sz w:val="24"/>
      <w:szCs w:val="24"/>
    </w:rPr>
  </w:style>
  <w:style w:type="character" w:customStyle="1" w:styleId="97">
    <w:name w:val="标题 1 字符"/>
    <w:link w:val="3"/>
    <w:qFormat/>
    <w:uiPriority w:val="0"/>
    <w:rPr>
      <w:rFonts w:eastAsia="黑体"/>
      <w:b/>
      <w:kern w:val="44"/>
      <w:sz w:val="32"/>
    </w:rPr>
  </w:style>
  <w:style w:type="character" w:customStyle="1" w:styleId="98">
    <w:name w:val="标准正文 Char"/>
    <w:link w:val="99"/>
    <w:qFormat/>
    <w:uiPriority w:val="0"/>
    <w:rPr>
      <w:rFonts w:eastAsia="宋体"/>
      <w:bCs/>
      <w:kern w:val="2"/>
      <w:sz w:val="24"/>
      <w:lang w:val="en-US" w:eastAsia="zh-CN" w:bidi="ar-SA"/>
    </w:rPr>
  </w:style>
  <w:style w:type="paragraph" w:customStyle="1" w:styleId="99">
    <w:name w:val="标准正文"/>
    <w:basedOn w:val="1"/>
    <w:link w:val="98"/>
    <w:qFormat/>
    <w:uiPriority w:val="0"/>
    <w:pPr>
      <w:spacing w:line="540" w:lineRule="exact"/>
      <w:ind w:firstLine="480" w:firstLineChars="200"/>
    </w:pPr>
    <w:rPr>
      <w:bCs/>
      <w:sz w:val="24"/>
    </w:rPr>
  </w:style>
  <w:style w:type="character" w:customStyle="1" w:styleId="100">
    <w:name w:val="表格文字 Char Char"/>
    <w:qFormat/>
    <w:uiPriority w:val="0"/>
    <w:rPr>
      <w:position w:val="-10"/>
    </w:rPr>
  </w:style>
  <w:style w:type="character" w:customStyle="1" w:styleId="101">
    <w:name w:val="样式 文本正文 + 首行缩进:  2 字符 Char Char"/>
    <w:link w:val="102"/>
    <w:qFormat/>
    <w:uiPriority w:val="0"/>
    <w:rPr>
      <w:rFonts w:ascii="宋体"/>
      <w:spacing w:val="4"/>
      <w:kern w:val="2"/>
      <w:sz w:val="24"/>
      <w:szCs w:val="24"/>
      <w:lang w:val="zh-CN"/>
    </w:rPr>
  </w:style>
  <w:style w:type="paragraph" w:customStyle="1" w:styleId="102">
    <w:name w:val="样式 文本正文 + 首行缩进:  2 字符"/>
    <w:basedOn w:val="1"/>
    <w:link w:val="101"/>
    <w:qFormat/>
    <w:uiPriority w:val="0"/>
    <w:pPr>
      <w:widowControl/>
      <w:adjustRightInd w:val="0"/>
      <w:snapToGrid w:val="0"/>
      <w:spacing w:line="360" w:lineRule="auto"/>
      <w:ind w:firstLine="480" w:firstLineChars="200"/>
      <w:jc w:val="left"/>
    </w:pPr>
    <w:rPr>
      <w:rFonts w:ascii="宋体"/>
      <w:spacing w:val="4"/>
      <w:sz w:val="24"/>
      <w:szCs w:val="24"/>
      <w:lang w:val="zh-CN"/>
    </w:rPr>
  </w:style>
  <w:style w:type="character" w:customStyle="1" w:styleId="103">
    <w:name w:val="font11"/>
    <w:basedOn w:val="43"/>
    <w:qFormat/>
    <w:uiPriority w:val="0"/>
    <w:rPr>
      <w:rFonts w:ascii="font-weight : 400" w:hAnsi="font-weight : 400" w:eastAsia="font-weight : 400" w:cs="font-weight : 400"/>
      <w:color w:val="000000"/>
      <w:sz w:val="22"/>
      <w:szCs w:val="22"/>
      <w:u w:val="none"/>
      <w:vertAlign w:val="superscript"/>
    </w:rPr>
  </w:style>
  <w:style w:type="character" w:customStyle="1" w:styleId="104">
    <w:name w:val="正文首行缩进 字符"/>
    <w:link w:val="4"/>
    <w:qFormat/>
    <w:uiPriority w:val="0"/>
    <w:rPr>
      <w:kern w:val="2"/>
      <w:sz w:val="24"/>
    </w:rPr>
  </w:style>
  <w:style w:type="character" w:customStyle="1" w:styleId="105">
    <w:name w:val="hover68"/>
    <w:basedOn w:val="43"/>
    <w:qFormat/>
    <w:uiPriority w:val="0"/>
  </w:style>
  <w:style w:type="character" w:customStyle="1" w:styleId="106">
    <w:name w:val="页脚 字符"/>
    <w:link w:val="26"/>
    <w:qFormat/>
    <w:uiPriority w:val="99"/>
    <w:rPr>
      <w:kern w:val="2"/>
      <w:sz w:val="18"/>
    </w:rPr>
  </w:style>
  <w:style w:type="character" w:customStyle="1" w:styleId="107">
    <w:name w:val="font01"/>
    <w:basedOn w:val="43"/>
    <w:qFormat/>
    <w:uiPriority w:val="0"/>
    <w:rPr>
      <w:rFonts w:hint="default" w:ascii="Times New Roman" w:hAnsi="Times New Roman" w:cs="Times New Roman"/>
      <w:b/>
      <w:color w:val="000000"/>
      <w:sz w:val="21"/>
      <w:szCs w:val="21"/>
      <w:u w:val="none"/>
    </w:rPr>
  </w:style>
  <w:style w:type="character" w:customStyle="1" w:styleId="108">
    <w:name w:val="font21"/>
    <w:basedOn w:val="43"/>
    <w:qFormat/>
    <w:uiPriority w:val="0"/>
    <w:rPr>
      <w:rFonts w:hint="default" w:ascii="font-weight : 400" w:hAnsi="font-weight : 400" w:eastAsia="font-weight : 400" w:cs="font-weight : 400"/>
      <w:color w:val="000000"/>
      <w:sz w:val="22"/>
      <w:szCs w:val="22"/>
      <w:u w:val="none"/>
    </w:rPr>
  </w:style>
  <w:style w:type="character" w:customStyle="1" w:styleId="109">
    <w:name w:val="报告文本 Char"/>
    <w:link w:val="110"/>
    <w:qFormat/>
    <w:uiPriority w:val="0"/>
    <w:rPr>
      <w:sz w:val="24"/>
      <w:szCs w:val="24"/>
    </w:rPr>
  </w:style>
  <w:style w:type="paragraph" w:customStyle="1" w:styleId="110">
    <w:name w:val="报告文本"/>
    <w:basedOn w:val="1"/>
    <w:link w:val="109"/>
    <w:qFormat/>
    <w:uiPriority w:val="0"/>
    <w:pPr>
      <w:widowControl/>
      <w:spacing w:line="360" w:lineRule="auto"/>
      <w:ind w:firstLine="200" w:firstLineChars="200"/>
      <w:jc w:val="left"/>
    </w:pPr>
    <w:rPr>
      <w:kern w:val="0"/>
      <w:sz w:val="24"/>
      <w:szCs w:val="24"/>
    </w:rPr>
  </w:style>
  <w:style w:type="character" w:customStyle="1" w:styleId="111">
    <w:name w:val="Char Char4"/>
    <w:qFormat/>
    <w:uiPriority w:val="0"/>
    <w:rPr>
      <w:rFonts w:ascii="Times New Roman" w:hAnsi="Times New Roman" w:eastAsia="宋体" w:cs="Times New Roman"/>
      <w:kern w:val="2"/>
      <w:sz w:val="28"/>
      <w:szCs w:val="20"/>
      <w:lang w:val="en-US" w:eastAsia="zh-CN" w:bidi="ar-SA"/>
    </w:rPr>
  </w:style>
  <w:style w:type="character" w:customStyle="1" w:styleId="112">
    <w:name w:val="文章正文样式 Char"/>
    <w:link w:val="113"/>
    <w:qFormat/>
    <w:uiPriority w:val="0"/>
    <w:rPr>
      <w:rFonts w:ascii="宋体" w:hAnsi="宋体" w:eastAsia="宋体" w:cs="宋体"/>
      <w:kern w:val="2"/>
      <w:sz w:val="24"/>
      <w:lang w:val="en-US" w:eastAsia="zh-CN" w:bidi="ar-SA"/>
    </w:rPr>
  </w:style>
  <w:style w:type="paragraph" w:customStyle="1" w:styleId="113">
    <w:name w:val="文章正文样式"/>
    <w:basedOn w:val="1"/>
    <w:link w:val="112"/>
    <w:qFormat/>
    <w:uiPriority w:val="0"/>
    <w:pPr>
      <w:spacing w:line="520" w:lineRule="exact"/>
      <w:ind w:firstLine="480" w:firstLineChars="200"/>
      <w:jc w:val="left"/>
    </w:pPr>
    <w:rPr>
      <w:rFonts w:ascii="宋体" w:hAnsi="宋体" w:cs="宋体"/>
      <w:sz w:val="24"/>
    </w:rPr>
  </w:style>
  <w:style w:type="character" w:customStyle="1" w:styleId="114">
    <w:name w:val="宗兴正文 Char Char"/>
    <w:link w:val="115"/>
    <w:qFormat/>
    <w:uiPriority w:val="0"/>
    <w:rPr>
      <w:kern w:val="2"/>
      <w:sz w:val="24"/>
      <w:szCs w:val="24"/>
    </w:rPr>
  </w:style>
  <w:style w:type="paragraph" w:customStyle="1" w:styleId="115">
    <w:name w:val="宗兴正文"/>
    <w:basedOn w:val="1"/>
    <w:link w:val="114"/>
    <w:qFormat/>
    <w:uiPriority w:val="0"/>
    <w:pPr>
      <w:widowControl/>
      <w:spacing w:before="93" w:after="93" w:line="360" w:lineRule="auto"/>
      <w:ind w:firstLine="480" w:firstLineChars="200"/>
      <w:jc w:val="left"/>
    </w:pPr>
    <w:rPr>
      <w:sz w:val="24"/>
      <w:szCs w:val="24"/>
    </w:rPr>
  </w:style>
  <w:style w:type="character" w:customStyle="1" w:styleId="116">
    <w:name w:val="标题 4 字符"/>
    <w:link w:val="10"/>
    <w:qFormat/>
    <w:uiPriority w:val="0"/>
    <w:rPr>
      <w:rFonts w:ascii="Cambria" w:hAnsi="Cambria"/>
      <w:b/>
      <w:bCs/>
      <w:sz w:val="28"/>
      <w:szCs w:val="28"/>
    </w:rPr>
  </w:style>
  <w:style w:type="character" w:customStyle="1" w:styleId="117">
    <w:name w:val="标题 3 字符"/>
    <w:link w:val="8"/>
    <w:qFormat/>
    <w:uiPriority w:val="0"/>
    <w:rPr>
      <w:b/>
      <w:bCs/>
      <w:kern w:val="2"/>
      <w:sz w:val="32"/>
      <w:szCs w:val="32"/>
    </w:rPr>
  </w:style>
  <w:style w:type="character" w:customStyle="1" w:styleId="118">
    <w:name w:val="font41"/>
    <w:basedOn w:val="43"/>
    <w:qFormat/>
    <w:uiPriority w:val="0"/>
    <w:rPr>
      <w:rFonts w:hint="eastAsia" w:ascii="宋体" w:hAnsi="宋体" w:eastAsia="宋体" w:cs="宋体"/>
      <w:color w:val="000000"/>
      <w:sz w:val="21"/>
      <w:szCs w:val="21"/>
      <w:u w:val="none"/>
    </w:rPr>
  </w:style>
  <w:style w:type="paragraph" w:customStyle="1" w:styleId="119">
    <w:name w:val="样式1"/>
    <w:basedOn w:val="1"/>
    <w:qFormat/>
    <w:uiPriority w:val="0"/>
    <w:pPr>
      <w:tabs>
        <w:tab w:val="left" w:pos="8820"/>
      </w:tabs>
    </w:pPr>
    <w:rPr>
      <w:sz w:val="30"/>
    </w:rPr>
  </w:style>
  <w:style w:type="paragraph" w:customStyle="1" w:styleId="120">
    <w:name w:val="CM78"/>
    <w:basedOn w:val="2"/>
    <w:next w:val="2"/>
    <w:qFormat/>
    <w:uiPriority w:val="0"/>
    <w:pPr>
      <w:spacing w:after="173"/>
    </w:pPr>
    <w:rPr>
      <w:rFonts w:hAnsi="Calibri"/>
      <w:color w:val="auto"/>
    </w:rPr>
  </w:style>
  <w:style w:type="paragraph" w:customStyle="1" w:styleId="121">
    <w:name w:val="CM27"/>
    <w:basedOn w:val="2"/>
    <w:next w:val="2"/>
    <w:qFormat/>
    <w:uiPriority w:val="0"/>
    <w:pPr>
      <w:spacing w:line="436" w:lineRule="atLeast"/>
    </w:pPr>
    <w:rPr>
      <w:rFonts w:hAnsi="Calibri"/>
      <w:color w:val="auto"/>
    </w:rPr>
  </w:style>
  <w:style w:type="paragraph" w:customStyle="1" w:styleId="122">
    <w:name w:val="表格1"/>
    <w:basedOn w:val="1"/>
    <w:qFormat/>
    <w:uiPriority w:val="0"/>
    <w:pPr>
      <w:spacing w:line="20" w:lineRule="atLeast"/>
      <w:jc w:val="center"/>
      <w:textAlignment w:val="baseline"/>
    </w:pPr>
    <w:rPr>
      <w:rFonts w:ascii="CG Times (W1)" w:hAnsi="CG Times (W1)"/>
      <w:spacing w:val="-20"/>
      <w:kern w:val="0"/>
    </w:rPr>
  </w:style>
  <w:style w:type="paragraph" w:customStyle="1" w:styleId="123">
    <w:name w:val="CM13"/>
    <w:basedOn w:val="2"/>
    <w:next w:val="2"/>
    <w:qFormat/>
    <w:uiPriority w:val="0"/>
    <w:pPr>
      <w:spacing w:line="466" w:lineRule="atLeast"/>
    </w:pPr>
    <w:rPr>
      <w:rFonts w:hAnsi="Calibri"/>
      <w:color w:val="auto"/>
    </w:rPr>
  </w:style>
  <w:style w:type="paragraph" w:customStyle="1" w:styleId="124">
    <w:name w:val="表文字"/>
    <w:basedOn w:val="1"/>
    <w:qFormat/>
    <w:uiPriority w:val="0"/>
    <w:pPr>
      <w:overflowPunct w:val="0"/>
      <w:autoSpaceDE w:val="0"/>
      <w:autoSpaceDN w:val="0"/>
      <w:adjustRightInd w:val="0"/>
      <w:spacing w:line="240" w:lineRule="atLeast"/>
      <w:textAlignment w:val="baseline"/>
    </w:pPr>
    <w:rPr>
      <w:sz w:val="24"/>
    </w:rPr>
  </w:style>
  <w:style w:type="paragraph" w:customStyle="1" w:styleId="125">
    <w:name w:val="正文01"/>
    <w:basedOn w:val="1"/>
    <w:qFormat/>
    <w:uiPriority w:val="0"/>
    <w:pPr>
      <w:adjustRightInd w:val="0"/>
      <w:spacing w:line="360" w:lineRule="auto"/>
      <w:ind w:firstLine="360" w:firstLineChars="150"/>
      <w:textAlignment w:val="baseline"/>
    </w:pPr>
    <w:rPr>
      <w:bCs/>
      <w:sz w:val="24"/>
      <w:szCs w:val="24"/>
    </w:rPr>
  </w:style>
  <w:style w:type="paragraph" w:customStyle="1" w:styleId="126">
    <w:name w:val="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127">
    <w:name w:val="CM14"/>
    <w:basedOn w:val="2"/>
    <w:next w:val="2"/>
    <w:qFormat/>
    <w:uiPriority w:val="0"/>
    <w:pPr>
      <w:spacing w:line="468" w:lineRule="atLeast"/>
    </w:pPr>
    <w:rPr>
      <w:rFonts w:hAnsi="Calibri"/>
      <w:color w:val="auto"/>
    </w:rPr>
  </w:style>
  <w:style w:type="paragraph" w:customStyle="1" w:styleId="128">
    <w:name w:val="简单回函地址"/>
    <w:basedOn w:val="1"/>
    <w:qFormat/>
    <w:uiPriority w:val="0"/>
    <w:rPr>
      <w:rFonts w:ascii="宋体" w:hAnsi="宋体"/>
      <w:sz w:val="24"/>
      <w:szCs w:val="32"/>
    </w:rPr>
  </w:style>
  <w:style w:type="paragraph" w:customStyle="1" w:styleId="129">
    <w:name w:val="表体"/>
    <w:basedOn w:val="1"/>
    <w:qFormat/>
    <w:uiPriority w:val="0"/>
    <w:pPr>
      <w:spacing w:before="40" w:after="40"/>
      <w:jc w:val="center"/>
    </w:pPr>
    <w:rPr>
      <w:color w:val="000080"/>
    </w:rPr>
  </w:style>
  <w:style w:type="paragraph" w:customStyle="1" w:styleId="130">
    <w:name w:val="CM50"/>
    <w:basedOn w:val="2"/>
    <w:next w:val="2"/>
    <w:qFormat/>
    <w:uiPriority w:val="0"/>
    <w:pPr>
      <w:spacing w:line="443" w:lineRule="atLeast"/>
    </w:pPr>
    <w:rPr>
      <w:rFonts w:hAnsi="Calibri"/>
      <w:color w:val="auto"/>
    </w:rPr>
  </w:style>
  <w:style w:type="paragraph" w:customStyle="1" w:styleId="131">
    <w:name w:val="正文样式1"/>
    <w:basedOn w:val="1"/>
    <w:qFormat/>
    <w:uiPriority w:val="0"/>
    <w:pPr>
      <w:adjustRightInd w:val="0"/>
      <w:spacing w:line="360" w:lineRule="auto"/>
      <w:ind w:firstLine="510"/>
      <w:textAlignment w:val="baseline"/>
    </w:pPr>
    <w:rPr>
      <w:spacing w:val="8"/>
      <w:kern w:val="0"/>
      <w:sz w:val="24"/>
    </w:rPr>
  </w:style>
  <w:style w:type="paragraph" w:customStyle="1" w:styleId="132">
    <w:name w:val="样式 小四 首行缩进:  0.85 厘米 行距: 1.5 倍行距"/>
    <w:basedOn w:val="1"/>
    <w:qFormat/>
    <w:uiPriority w:val="0"/>
    <w:pPr>
      <w:spacing w:line="360" w:lineRule="auto"/>
      <w:ind w:firstLine="482"/>
    </w:pPr>
    <w:rPr>
      <w:sz w:val="24"/>
      <w:szCs w:val="24"/>
    </w:rPr>
  </w:style>
  <w:style w:type="paragraph" w:customStyle="1" w:styleId="133">
    <w:name w:val="表字居中O"/>
    <w:next w:val="1"/>
    <w:qFormat/>
    <w:uiPriority w:val="0"/>
    <w:pPr>
      <w:widowControl w:val="0"/>
      <w:adjustRightInd w:val="0"/>
      <w:jc w:val="both"/>
      <w:textAlignment w:val="baseline"/>
    </w:pPr>
    <w:rPr>
      <w:rFonts w:ascii="Times New Roman" w:hAnsi="Times New Roman" w:eastAsia="宋体" w:cs="Times New Roman"/>
      <w:spacing w:val="-4"/>
      <w:sz w:val="21"/>
      <w:szCs w:val="21"/>
      <w:lang w:val="en-US" w:eastAsia="zh-CN" w:bidi="ar-SA"/>
    </w:rPr>
  </w:style>
  <w:style w:type="paragraph" w:customStyle="1" w:styleId="134">
    <w:name w:val="金光华表头"/>
    <w:basedOn w:val="1"/>
    <w:qFormat/>
    <w:uiPriority w:val="0"/>
    <w:pPr>
      <w:widowControl/>
      <w:spacing w:line="360" w:lineRule="auto"/>
      <w:ind w:firstLine="794"/>
      <w:jc w:val="left"/>
    </w:pPr>
    <w:rPr>
      <w:rFonts w:ascii="宋体" w:hAnsi="宋体" w:cs="宋体"/>
      <w:kern w:val="0"/>
      <w:sz w:val="24"/>
      <w:szCs w:val="24"/>
    </w:rPr>
  </w:style>
  <w:style w:type="paragraph" w:customStyle="1" w:styleId="135">
    <w:name w:val="xl22"/>
    <w:basedOn w:val="1"/>
    <w:qFormat/>
    <w:uiPriority w:val="0"/>
    <w:pPr>
      <w:widowControl/>
      <w:spacing w:before="100" w:after="100"/>
      <w:jc w:val="center"/>
    </w:pPr>
    <w:rPr>
      <w:kern w:val="0"/>
      <w:sz w:val="24"/>
      <w:szCs w:val="24"/>
    </w:rPr>
  </w:style>
  <w:style w:type="paragraph" w:customStyle="1" w:styleId="136">
    <w:name w:val="表头文字"/>
    <w:basedOn w:val="1"/>
    <w:next w:val="4"/>
    <w:qFormat/>
    <w:uiPriority w:val="0"/>
    <w:pPr>
      <w:adjustRightInd w:val="0"/>
      <w:snapToGrid w:val="0"/>
      <w:spacing w:before="156" w:beforeLines="50" w:line="360" w:lineRule="auto"/>
      <w:jc w:val="left"/>
    </w:pPr>
    <w:rPr>
      <w:rFonts w:eastAsia="黑体"/>
      <w:sz w:val="24"/>
    </w:rPr>
  </w:style>
  <w:style w:type="paragraph" w:customStyle="1" w:styleId="137">
    <w:name w:val="CM48"/>
    <w:basedOn w:val="2"/>
    <w:next w:val="2"/>
    <w:qFormat/>
    <w:uiPriority w:val="0"/>
    <w:pPr>
      <w:spacing w:line="440" w:lineRule="atLeast"/>
    </w:pPr>
    <w:rPr>
      <w:rFonts w:hAnsi="Calibri"/>
      <w:color w:val="auto"/>
    </w:rPr>
  </w:style>
  <w:style w:type="paragraph" w:customStyle="1" w:styleId="138">
    <w:name w:val="Char"/>
    <w:basedOn w:val="1"/>
    <w:qFormat/>
    <w:uiPriority w:val="0"/>
    <w:rPr>
      <w:szCs w:val="21"/>
    </w:rPr>
  </w:style>
  <w:style w:type="paragraph" w:customStyle="1" w:styleId="139">
    <w:name w:val="中文报告书样式"/>
    <w:basedOn w:val="1"/>
    <w:qFormat/>
    <w:uiPriority w:val="0"/>
    <w:pPr>
      <w:adjustRightInd w:val="0"/>
      <w:spacing w:line="480" w:lineRule="atLeast"/>
      <w:ind w:firstLine="482"/>
      <w:textAlignment w:val="baseline"/>
    </w:pPr>
    <w:rPr>
      <w:kern w:val="24"/>
      <w:sz w:val="24"/>
      <w:szCs w:val="24"/>
    </w:rPr>
  </w:style>
  <w:style w:type="paragraph" w:customStyle="1" w:styleId="140">
    <w:name w:val="表格内容"/>
    <w:basedOn w:val="1"/>
    <w:qFormat/>
    <w:uiPriority w:val="99"/>
    <w:pPr>
      <w:spacing w:line="240" w:lineRule="atLeast"/>
      <w:jc w:val="center"/>
    </w:pPr>
    <w:rPr>
      <w:szCs w:val="24"/>
    </w:rPr>
  </w:style>
  <w:style w:type="paragraph" w:customStyle="1" w:styleId="141">
    <w:name w:val="3"/>
    <w:basedOn w:val="1"/>
    <w:qFormat/>
    <w:uiPriority w:val="0"/>
  </w:style>
  <w:style w:type="paragraph" w:customStyle="1" w:styleId="142">
    <w:name w:val="样式 首行缩进:  1 厘米 行距: 固定值 25 磅"/>
    <w:basedOn w:val="1"/>
    <w:qFormat/>
    <w:uiPriority w:val="0"/>
    <w:pPr>
      <w:adjustRightInd w:val="0"/>
      <w:spacing w:line="360" w:lineRule="auto"/>
      <w:ind w:firstLine="200" w:firstLineChars="200"/>
      <w:jc w:val="left"/>
      <w:textAlignment w:val="baseline"/>
    </w:pPr>
    <w:rPr>
      <w:rFonts w:ascii="宋体" w:cs="宋体"/>
      <w:snapToGrid w:val="0"/>
      <w:kern w:val="24"/>
      <w:sz w:val="24"/>
      <w:szCs w:val="24"/>
    </w:rPr>
  </w:style>
  <w:style w:type="paragraph" w:customStyle="1" w:styleId="143">
    <w:name w:val="表文"/>
    <w:basedOn w:val="1"/>
    <w:qFormat/>
    <w:uiPriority w:val="0"/>
    <w:pPr>
      <w:tabs>
        <w:tab w:val="left" w:pos="1021"/>
      </w:tabs>
      <w:jc w:val="center"/>
    </w:pPr>
    <w:rPr>
      <w:kern w:val="0"/>
      <w:position w:val="-24"/>
      <w:szCs w:val="21"/>
    </w:rPr>
  </w:style>
  <w:style w:type="paragraph" w:customStyle="1" w:styleId="144">
    <w:name w:val="CM26"/>
    <w:basedOn w:val="2"/>
    <w:next w:val="2"/>
    <w:qFormat/>
    <w:uiPriority w:val="0"/>
    <w:pPr>
      <w:spacing w:line="468" w:lineRule="atLeast"/>
    </w:pPr>
    <w:rPr>
      <w:rFonts w:hAnsi="Calibri"/>
      <w:color w:val="auto"/>
    </w:rPr>
  </w:style>
  <w:style w:type="paragraph" w:customStyle="1" w:styleId="145">
    <w:name w:val="表格"/>
    <w:basedOn w:val="1"/>
    <w:qFormat/>
    <w:uiPriority w:val="0"/>
    <w:pPr>
      <w:jc w:val="center"/>
    </w:pPr>
    <w:rPr>
      <w:sz w:val="24"/>
    </w:rPr>
  </w:style>
  <w:style w:type="paragraph" w:customStyle="1" w:styleId="146">
    <w:name w:val="reader-word-layer reader-word-s1-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7">
    <w:name w:val="表格文字2"/>
    <w:basedOn w:val="1"/>
    <w:qFormat/>
    <w:uiPriority w:val="0"/>
    <w:pPr>
      <w:tabs>
        <w:tab w:val="left" w:pos="277"/>
        <w:tab w:val="left" w:pos="600"/>
        <w:tab w:val="left" w:pos="780"/>
        <w:tab w:val="left" w:pos="2517"/>
      </w:tabs>
      <w:adjustRightInd w:val="0"/>
      <w:jc w:val="center"/>
      <w:textAlignment w:val="baseline"/>
    </w:pPr>
    <w:rPr>
      <w:kern w:val="0"/>
      <w:szCs w:val="21"/>
    </w:rPr>
  </w:style>
  <w:style w:type="paragraph" w:customStyle="1" w:styleId="148">
    <w:name w:val="样式8"/>
    <w:basedOn w:val="1"/>
    <w:qFormat/>
    <w:uiPriority w:val="0"/>
    <w:pPr>
      <w:widowControl/>
      <w:adjustRightInd w:val="0"/>
      <w:snapToGrid w:val="0"/>
      <w:spacing w:before="156" w:beforeLines="50" w:line="288" w:lineRule="auto"/>
      <w:jc w:val="center"/>
    </w:pPr>
    <w:rPr>
      <w:rFonts w:ascii="宋体" w:hAnsi="宋体" w:cs="宋体"/>
      <w:b/>
      <w:kern w:val="0"/>
    </w:rPr>
  </w:style>
  <w:style w:type="paragraph" w:customStyle="1" w:styleId="149">
    <w:name w:val="表格正文"/>
    <w:basedOn w:val="122"/>
    <w:qFormat/>
    <w:uiPriority w:val="0"/>
    <w:pPr>
      <w:spacing w:line="240" w:lineRule="auto"/>
    </w:pPr>
  </w:style>
  <w:style w:type="paragraph" w:customStyle="1" w:styleId="150">
    <w:name w:val="样式 样式 (符号) 宋体 小四 行距: 1.5 倍行距 + 首行缩进:  2 字符"/>
    <w:basedOn w:val="1"/>
    <w:qFormat/>
    <w:uiPriority w:val="0"/>
    <w:pPr>
      <w:spacing w:line="360" w:lineRule="auto"/>
      <w:ind w:firstLine="456" w:firstLineChars="200"/>
    </w:pPr>
    <w:rPr>
      <w:rFonts w:hAnsi="宋体" w:cs="宋体"/>
      <w:sz w:val="24"/>
    </w:rPr>
  </w:style>
  <w:style w:type="paragraph" w:customStyle="1" w:styleId="151">
    <w:name w:val="表头"/>
    <w:basedOn w:val="9"/>
    <w:next w:val="1"/>
    <w:qFormat/>
    <w:uiPriority w:val="0"/>
    <w:pPr>
      <w:tabs>
        <w:tab w:val="left" w:pos="720"/>
        <w:tab w:val="left" w:pos="2040"/>
        <w:tab w:val="left" w:pos="6902"/>
      </w:tabs>
    </w:pPr>
  </w:style>
  <w:style w:type="paragraph" w:customStyle="1" w:styleId="152">
    <w:name w:val="Char Char2"/>
    <w:basedOn w:val="1"/>
    <w:qFormat/>
    <w:uiPriority w:val="0"/>
    <w:pPr>
      <w:spacing w:line="360" w:lineRule="auto"/>
      <w:ind w:firstLine="200" w:firstLineChars="200"/>
    </w:pPr>
    <w:rPr>
      <w:rFonts w:ascii="宋体" w:hAnsi="宋体" w:cs="宋体"/>
      <w:sz w:val="24"/>
      <w:szCs w:val="21"/>
    </w:rPr>
  </w:style>
  <w:style w:type="paragraph" w:customStyle="1" w:styleId="153">
    <w:name w:val="CM74"/>
    <w:basedOn w:val="2"/>
    <w:next w:val="2"/>
    <w:qFormat/>
    <w:uiPriority w:val="0"/>
    <w:pPr>
      <w:spacing w:after="98"/>
    </w:pPr>
    <w:rPr>
      <w:rFonts w:hAnsi="Calibri"/>
      <w:color w:val="auto"/>
    </w:rPr>
  </w:style>
  <w:style w:type="paragraph" w:customStyle="1" w:styleId="154">
    <w:name w:val="样式 四号 加粗 段前: 6 磅 段后: 5 磅 行距: 固定值 23 磅"/>
    <w:basedOn w:val="10"/>
    <w:next w:val="1"/>
    <w:qFormat/>
    <w:uiPriority w:val="0"/>
    <w:pPr>
      <w:keepNext w:val="0"/>
      <w:keepLines w:val="0"/>
      <w:adjustRightInd/>
      <w:snapToGrid/>
      <w:spacing w:before="0" w:after="0" w:line="360" w:lineRule="auto"/>
      <w:ind w:firstLine="482" w:firstLineChars="200"/>
      <w:outlineLvl w:val="9"/>
    </w:pPr>
    <w:rPr>
      <w:rFonts w:ascii="Times New Roman" w:hAnsi="Times New Roman"/>
      <w:bCs w:val="0"/>
      <w:sz w:val="24"/>
      <w:szCs w:val="24"/>
    </w:rPr>
  </w:style>
  <w:style w:type="paragraph" w:customStyle="1" w:styleId="155">
    <w:name w:val="表格 23"/>
    <w:basedOn w:val="1"/>
    <w:qFormat/>
    <w:uiPriority w:val="0"/>
    <w:pPr>
      <w:autoSpaceDE w:val="0"/>
      <w:autoSpaceDN w:val="0"/>
      <w:adjustRightInd w:val="0"/>
      <w:jc w:val="center"/>
    </w:pPr>
    <w:rPr>
      <w:rFonts w:eastAsia="仿宋体"/>
      <w:kern w:val="0"/>
    </w:rPr>
  </w:style>
  <w:style w:type="paragraph" w:customStyle="1" w:styleId="156">
    <w:name w:val="表头 Char"/>
    <w:basedOn w:val="1"/>
    <w:qFormat/>
    <w:uiPriority w:val="0"/>
    <w:pPr>
      <w:tabs>
        <w:tab w:val="left" w:pos="1021"/>
      </w:tabs>
      <w:spacing w:line="360" w:lineRule="auto"/>
      <w:jc w:val="center"/>
    </w:pPr>
    <w:rPr>
      <w:rFonts w:ascii="宋体" w:hAnsi="宋体"/>
      <w:b/>
      <w:bCs/>
      <w:kern w:val="24"/>
      <w:sz w:val="24"/>
      <w:szCs w:val="24"/>
    </w:rPr>
  </w:style>
  <w:style w:type="paragraph" w:customStyle="1" w:styleId="157">
    <w:name w:val="三级标题"/>
    <w:basedOn w:val="1"/>
    <w:next w:val="39"/>
    <w:qFormat/>
    <w:uiPriority w:val="0"/>
    <w:pPr>
      <w:adjustRightInd w:val="0"/>
      <w:snapToGrid w:val="0"/>
      <w:spacing w:line="360" w:lineRule="exact"/>
      <w:jc w:val="center"/>
    </w:pPr>
    <w:rPr>
      <w:bCs/>
      <w:sz w:val="24"/>
    </w:rPr>
  </w:style>
  <w:style w:type="paragraph" w:customStyle="1" w:styleId="158">
    <w:name w:val="默认段落字体 Para Char Char Char Char"/>
    <w:basedOn w:val="1"/>
    <w:qFormat/>
    <w:uiPriority w:val="0"/>
    <w:rPr>
      <w:sz w:val="24"/>
      <w:szCs w:val="24"/>
    </w:rPr>
  </w:style>
  <w:style w:type="paragraph" w:customStyle="1" w:styleId="159">
    <w:name w:val="zhang正文"/>
    <w:basedOn w:val="17"/>
    <w:qFormat/>
    <w:uiPriority w:val="0"/>
    <w:pPr>
      <w:autoSpaceDE w:val="0"/>
      <w:autoSpaceDN w:val="0"/>
      <w:adjustRightInd w:val="0"/>
      <w:snapToGrid w:val="0"/>
      <w:spacing w:after="0" w:line="360" w:lineRule="auto"/>
      <w:ind w:left="0" w:leftChars="0" w:firstLine="539"/>
      <w:textAlignment w:val="baseline"/>
    </w:pPr>
    <w:rPr>
      <w:rFonts w:eastAsia="楷体_GB2312"/>
      <w:kern w:val="0"/>
      <w:sz w:val="28"/>
    </w:rPr>
  </w:style>
  <w:style w:type="paragraph" w:customStyle="1" w:styleId="160">
    <w:name w:val="Char Char Char Char Char"/>
    <w:basedOn w:val="1"/>
    <w:next w:val="1"/>
    <w:semiHidden/>
    <w:qFormat/>
    <w:uiPriority w:val="0"/>
    <w:pPr>
      <w:spacing w:line="336" w:lineRule="auto"/>
      <w:ind w:firstLine="200" w:firstLineChars="200"/>
    </w:pPr>
    <w:rPr>
      <w:rFonts w:ascii="宋体" w:hAnsi="宋体" w:eastAsia="汉鼎简书宋" w:cs="宋体"/>
      <w:sz w:val="24"/>
      <w:szCs w:val="24"/>
    </w:rPr>
  </w:style>
  <w:style w:type="paragraph" w:customStyle="1" w:styleId="161">
    <w:name w:val="样式3"/>
    <w:basedOn w:val="1"/>
    <w:qFormat/>
    <w:uiPriority w:val="0"/>
    <w:pPr>
      <w:autoSpaceDE w:val="0"/>
      <w:autoSpaceDN w:val="0"/>
      <w:snapToGrid w:val="0"/>
      <w:spacing w:before="120" w:line="460" w:lineRule="atLeast"/>
      <w:jc w:val="center"/>
    </w:pPr>
    <w:rPr>
      <w:rFonts w:eastAsia="黑体"/>
      <w:sz w:val="28"/>
      <w:szCs w:val="24"/>
    </w:rPr>
  </w:style>
  <w:style w:type="paragraph" w:customStyle="1" w:styleId="162">
    <w:name w:val="CM6"/>
    <w:basedOn w:val="2"/>
    <w:next w:val="2"/>
    <w:qFormat/>
    <w:uiPriority w:val="0"/>
    <w:pPr>
      <w:spacing w:line="466" w:lineRule="atLeast"/>
    </w:pPr>
    <w:rPr>
      <w:rFonts w:hAnsi="Calibri"/>
      <w:color w:val="auto"/>
    </w:rPr>
  </w:style>
  <w:style w:type="paragraph" w:customStyle="1" w:styleId="163">
    <w:name w:val="CM61"/>
    <w:basedOn w:val="2"/>
    <w:next w:val="2"/>
    <w:qFormat/>
    <w:uiPriority w:val="0"/>
    <w:pPr>
      <w:spacing w:line="468" w:lineRule="atLeast"/>
    </w:pPr>
    <w:rPr>
      <w:rFonts w:hAnsi="Calibri"/>
      <w:color w:val="auto"/>
    </w:rPr>
  </w:style>
  <w:style w:type="paragraph" w:customStyle="1" w:styleId="164">
    <w:name w:val="段落 Char Char Char"/>
    <w:basedOn w:val="1"/>
    <w:qFormat/>
    <w:uiPriority w:val="0"/>
    <w:pPr>
      <w:tabs>
        <w:tab w:val="left" w:pos="1021"/>
      </w:tabs>
      <w:spacing w:line="360" w:lineRule="auto"/>
      <w:ind w:firstLine="480" w:firstLineChars="200"/>
    </w:pPr>
    <w:rPr>
      <w:bCs/>
      <w:sz w:val="24"/>
    </w:rPr>
  </w:style>
  <w:style w:type="paragraph" w:customStyle="1" w:styleId="165">
    <w:name w:val="报告书正文"/>
    <w:basedOn w:val="1"/>
    <w:link w:val="177"/>
    <w:qFormat/>
    <w:uiPriority w:val="0"/>
    <w:pPr>
      <w:adjustRightInd w:val="0"/>
      <w:spacing w:line="360" w:lineRule="auto"/>
      <w:ind w:firstLine="200" w:firstLineChars="200"/>
      <w:textAlignment w:val="baseline"/>
    </w:pPr>
    <w:rPr>
      <w:kern w:val="0"/>
      <w:sz w:val="24"/>
    </w:rPr>
  </w:style>
  <w:style w:type="paragraph" w:customStyle="1" w:styleId="166">
    <w:name w:val="Char1"/>
    <w:basedOn w:val="1"/>
    <w:qFormat/>
    <w:uiPriority w:val="0"/>
    <w:pPr>
      <w:snapToGrid w:val="0"/>
      <w:spacing w:line="360" w:lineRule="auto"/>
      <w:ind w:firstLine="529" w:firstLineChars="200"/>
    </w:pPr>
    <w:rPr>
      <w:szCs w:val="24"/>
    </w:rPr>
  </w:style>
  <w:style w:type="paragraph" w:styleId="167">
    <w:name w:val="List Paragraph"/>
    <w:basedOn w:val="1"/>
    <w:qFormat/>
    <w:uiPriority w:val="99"/>
    <w:pPr>
      <w:ind w:firstLine="420" w:firstLineChars="200"/>
    </w:pPr>
    <w:rPr>
      <w:szCs w:val="24"/>
    </w:rPr>
  </w:style>
  <w:style w:type="paragraph" w:customStyle="1" w:styleId="168">
    <w:name w:val="_Style 24"/>
    <w:basedOn w:val="1"/>
    <w:next w:val="1"/>
    <w:qFormat/>
    <w:uiPriority w:val="0"/>
    <w:pPr>
      <w:spacing w:line="360" w:lineRule="auto"/>
      <w:ind w:firstLine="200" w:firstLineChars="200"/>
    </w:pPr>
    <w:rPr>
      <w:sz w:val="24"/>
    </w:rPr>
  </w:style>
  <w:style w:type="paragraph" w:customStyle="1" w:styleId="169">
    <w:name w:val="p0"/>
    <w:basedOn w:val="1"/>
    <w:qFormat/>
    <w:uiPriority w:val="0"/>
    <w:pPr>
      <w:widowControl/>
    </w:pPr>
    <w:rPr>
      <w:kern w:val="0"/>
      <w:szCs w:val="21"/>
    </w:rPr>
  </w:style>
  <w:style w:type="paragraph" w:customStyle="1" w:styleId="170">
    <w:name w:val="样式 小四 行距: 1.5 倍行距 首行缩进:  2 字符1"/>
    <w:basedOn w:val="1"/>
    <w:qFormat/>
    <w:uiPriority w:val="0"/>
    <w:pPr>
      <w:spacing w:line="360" w:lineRule="auto"/>
      <w:ind w:firstLine="480" w:firstLineChars="200"/>
    </w:pPr>
    <w:rPr>
      <w:rFonts w:cs="宋体"/>
      <w:sz w:val="24"/>
      <w:szCs w:val="21"/>
    </w:rPr>
  </w:style>
  <w:style w:type="paragraph" w:customStyle="1" w:styleId="171">
    <w:name w:val="永环表内格式"/>
    <w:basedOn w:val="1"/>
    <w:qFormat/>
    <w:uiPriority w:val="0"/>
    <w:pPr>
      <w:spacing w:line="360" w:lineRule="exact"/>
      <w:jc w:val="center"/>
    </w:pPr>
    <w:rPr>
      <w:szCs w:val="21"/>
    </w:rPr>
  </w:style>
  <w:style w:type="paragraph" w:customStyle="1" w:styleId="172">
    <w:name w:val="永环图标标题格式"/>
    <w:basedOn w:val="1"/>
    <w:qFormat/>
    <w:uiPriority w:val="0"/>
    <w:pPr>
      <w:spacing w:before="20" w:beforeLines="20" w:after="20" w:afterLines="20" w:line="560" w:lineRule="exact"/>
      <w:jc w:val="center"/>
    </w:pPr>
    <w:rPr>
      <w:rFonts w:eastAsia="黑体"/>
      <w:bCs/>
      <w:sz w:val="24"/>
      <w:szCs w:val="24"/>
    </w:rPr>
  </w:style>
  <w:style w:type="paragraph" w:customStyle="1" w:styleId="173">
    <w:name w:val="永环正文格式"/>
    <w:basedOn w:val="1"/>
    <w:qFormat/>
    <w:uiPriority w:val="0"/>
    <w:pPr>
      <w:spacing w:line="540" w:lineRule="exact"/>
      <w:ind w:firstLine="200" w:firstLineChars="200"/>
    </w:pPr>
    <w:rPr>
      <w:sz w:val="24"/>
      <w:szCs w:val="21"/>
    </w:rPr>
  </w:style>
  <w:style w:type="paragraph" w:customStyle="1" w:styleId="17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75">
    <w:name w:val="样式 行距: 1.5 倍行距"/>
    <w:basedOn w:val="1"/>
    <w:qFormat/>
    <w:uiPriority w:val="0"/>
    <w:pPr>
      <w:spacing w:line="360" w:lineRule="auto"/>
      <w:ind w:firstLine="480" w:firstLineChars="200"/>
    </w:pPr>
    <w:rPr>
      <w:rFonts w:eastAsia="仿宋_GB2312" w:cs="宋体"/>
      <w:kern w:val="0"/>
      <w:sz w:val="24"/>
    </w:rPr>
  </w:style>
  <w:style w:type="paragraph" w:customStyle="1" w:styleId="176">
    <w:name w:val="Char1 Char Char1 Char"/>
    <w:basedOn w:val="1"/>
    <w:qFormat/>
    <w:uiPriority w:val="0"/>
    <w:rPr>
      <w:sz w:val="24"/>
      <w:szCs w:val="24"/>
    </w:rPr>
  </w:style>
  <w:style w:type="character" w:customStyle="1" w:styleId="177">
    <w:name w:val="报告书正文 Char"/>
    <w:link w:val="165"/>
    <w:qFormat/>
    <w:uiPriority w:val="0"/>
    <w:rPr>
      <w:sz w:val="24"/>
    </w:rPr>
  </w:style>
  <w:style w:type="paragraph" w:customStyle="1" w:styleId="178">
    <w:name w:val="Default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9">
    <w:name w:val="样式 行距: 固定值 24 磅 首行缩进:  2 字符"/>
    <w:basedOn w:val="1"/>
    <w:qFormat/>
    <w:uiPriority w:val="0"/>
    <w:pPr>
      <w:spacing w:line="480" w:lineRule="exact"/>
      <w:ind w:firstLine="480" w:firstLineChars="200"/>
    </w:pPr>
    <w:rPr>
      <w:rFonts w:cs="宋体"/>
      <w:sz w:val="24"/>
    </w:rPr>
  </w:style>
  <w:style w:type="paragraph" w:customStyle="1" w:styleId="180">
    <w:name w:val="列出段落8"/>
    <w:basedOn w:val="1"/>
    <w:qFormat/>
    <w:uiPriority w:val="0"/>
    <w:pPr>
      <w:ind w:firstLine="420" w:firstLineChars="200"/>
    </w:pPr>
    <w:rPr>
      <w:rFonts w:ascii="Calibri" w:hAnsi="Calibri"/>
      <w:szCs w:val="22"/>
    </w:rPr>
  </w:style>
  <w:style w:type="paragraph" w:customStyle="1" w:styleId="18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182">
    <w:name w:val="报告正文-连续目录"/>
    <w:basedOn w:val="1"/>
    <w:qFormat/>
    <w:uiPriority w:val="0"/>
    <w:pPr>
      <w:spacing w:line="440" w:lineRule="exact"/>
      <w:ind w:firstLine="200" w:firstLineChars="200"/>
    </w:pPr>
    <w:rPr>
      <w:rFonts w:ascii="Arial" w:hAnsi="Arial"/>
      <w:snapToGrid w:val="0"/>
      <w:kern w:val="0"/>
      <w:sz w:val="24"/>
      <w:szCs w:val="24"/>
    </w:rPr>
  </w:style>
  <w:style w:type="character" w:customStyle="1" w:styleId="183">
    <w:name w:val="纯文本 Char1"/>
    <w:qFormat/>
    <w:uiPriority w:val="0"/>
    <w:rPr>
      <w:rFonts w:ascii="宋体" w:hAnsi="Courier New" w:eastAsia="宋体" w:cs="Courier New"/>
      <w:szCs w:val="21"/>
    </w:rPr>
  </w:style>
  <w:style w:type="paragraph" w:customStyle="1" w:styleId="184">
    <w:name w:val="标题 41"/>
    <w:basedOn w:val="1"/>
    <w:qFormat/>
    <w:uiPriority w:val="1"/>
    <w:pPr>
      <w:autoSpaceDE w:val="0"/>
      <w:autoSpaceDN w:val="0"/>
      <w:ind w:left="1017"/>
      <w:jc w:val="left"/>
      <w:outlineLvl w:val="4"/>
    </w:pPr>
    <w:rPr>
      <w:rFonts w:ascii="宋体" w:hAnsi="宋体" w:cs="宋体"/>
      <w:b/>
      <w:bCs/>
      <w:kern w:val="0"/>
      <w:sz w:val="24"/>
      <w:szCs w:val="24"/>
      <w:lang w:eastAsia="en-US"/>
    </w:rPr>
  </w:style>
  <w:style w:type="paragraph" w:customStyle="1" w:styleId="185">
    <w:name w:val="报告表正文"/>
    <w:basedOn w:val="1"/>
    <w:qFormat/>
    <w:uiPriority w:val="0"/>
    <w:pPr>
      <w:adjustRightInd w:val="0"/>
      <w:spacing w:line="312" w:lineRule="auto"/>
      <w:ind w:left="113" w:right="113" w:firstLine="482"/>
      <w:jc w:val="left"/>
      <w:textAlignment w:val="baseline"/>
    </w:pPr>
    <w:rPr>
      <w:kern w:val="0"/>
      <w:sz w:val="24"/>
    </w:rPr>
  </w:style>
  <w:style w:type="paragraph" w:customStyle="1" w:styleId="186">
    <w:name w:val="表字体"/>
    <w:basedOn w:val="1"/>
    <w:next w:val="1"/>
    <w:qFormat/>
    <w:uiPriority w:val="0"/>
    <w:pPr>
      <w:jc w:val="center"/>
    </w:pPr>
    <w:rPr>
      <w:rFonts w:ascii="Times New Roman" w:hAnsi="Times New Roman" w:eastAsia="宋体"/>
    </w:rPr>
  </w:style>
  <w:style w:type="paragraph" w:customStyle="1" w:styleId="187">
    <w:name w:val="1标题"/>
    <w:basedOn w:val="1"/>
    <w:qFormat/>
    <w:uiPriority w:val="0"/>
    <w:pPr>
      <w:spacing w:line="360" w:lineRule="auto"/>
      <w:ind w:firstLine="723" w:firstLineChars="200"/>
    </w:pPr>
    <w:rPr>
      <w:rFonts w:ascii="Times New Roman" w:hAnsi="Times New Roman" w:eastAsia="宋体"/>
      <w:b/>
      <w:sz w:val="24"/>
    </w:rPr>
  </w:style>
  <w:style w:type="paragraph" w:customStyle="1" w:styleId="188">
    <w:name w:val="表标题"/>
    <w:basedOn w:val="1"/>
    <w:qFormat/>
    <w:uiPriority w:val="0"/>
    <w:pPr>
      <w:jc w:val="center"/>
    </w:pPr>
    <w:rPr>
      <w:rFonts w:ascii="Times New Roman" w:hAnsi="Times New Roman" w:eastAsia="宋体"/>
      <w:b/>
    </w:rPr>
  </w:style>
  <w:style w:type="paragraph" w:customStyle="1" w:styleId="189">
    <w:name w:val="段落1"/>
    <w:basedOn w:val="1"/>
    <w:qFormat/>
    <w:uiPriority w:val="0"/>
    <w:pPr>
      <w:adjustRightInd w:val="0"/>
      <w:spacing w:line="440" w:lineRule="exact"/>
      <w:ind w:firstLine="200" w:firstLineChars="200"/>
    </w:pPr>
    <w:rPr>
      <w:rFonts w:ascii="Calibri" w:hAnsi="Calibri" w:eastAsia="宋体" w:cs="Times New Roman"/>
      <w:spacing w:val="8"/>
      <w:sz w:val="28"/>
    </w:rPr>
  </w:style>
  <w:style w:type="paragraph" w:customStyle="1" w:styleId="190">
    <w:name w:val="表1-1"/>
    <w:basedOn w:val="1"/>
    <w:qFormat/>
    <w:uiPriority w:val="0"/>
    <w:pPr>
      <w:spacing w:line="240" w:lineRule="auto"/>
      <w:jc w:val="center"/>
    </w:pPr>
    <w:rPr>
      <w:rFonts w:ascii="Times New Roman" w:hAnsi="Times New Roman" w:eastAsia="宋体"/>
      <w:b/>
      <w:kern w:val="0"/>
      <w:sz w:val="21"/>
      <w:szCs w:val="20"/>
    </w:rPr>
  </w:style>
  <w:style w:type="paragraph" w:customStyle="1" w:styleId="191">
    <w:name w:val="样式 正文文本缩进 2 + Times New Roman 首行缩进:  2 字符"/>
    <w:basedOn w:val="24"/>
    <w:qFormat/>
    <w:uiPriority w:val="0"/>
    <w:pPr>
      <w:widowControl/>
      <w:spacing w:after="0" w:line="360" w:lineRule="auto"/>
      <w:ind w:left="0" w:leftChars="0" w:firstLine="480" w:firstLineChars="200"/>
    </w:pPr>
    <w:rPr>
      <w:rFonts w:cs="宋体"/>
      <w:kern w:val="0"/>
      <w:sz w:val="24"/>
      <w:szCs w:val="20"/>
    </w:rPr>
  </w:style>
  <w:style w:type="paragraph" w:customStyle="1" w:styleId="192">
    <w:name w:val="正文001"/>
    <w:basedOn w:val="1"/>
    <w:qFormat/>
    <w:uiPriority w:val="0"/>
    <w:pPr>
      <w:spacing w:before="60" w:line="420" w:lineRule="exact"/>
      <w:ind w:firstLine="482"/>
    </w:pPr>
    <w:rPr>
      <w:sz w:val="24"/>
      <w:szCs w:val="20"/>
    </w:rPr>
  </w:style>
  <w:style w:type="paragraph" w:customStyle="1" w:styleId="193">
    <w:name w:val="备注"/>
    <w:basedOn w:val="1"/>
    <w:qFormat/>
    <w:uiPriority w:val="0"/>
    <w:pPr>
      <w:spacing w:line="240" w:lineRule="auto"/>
      <w:ind w:firstLine="723" w:firstLineChars="200"/>
    </w:pPr>
    <w:rPr>
      <w:rFonts w:ascii="Times New Roman" w:hAnsi="Times New Roman" w:eastAsia="宋体"/>
      <w:b/>
      <w:sz w:val="21"/>
      <w:szCs w:val="21"/>
    </w:rPr>
  </w:style>
  <w:style w:type="paragraph" w:customStyle="1" w:styleId="194">
    <w:name w:val="正文内容"/>
    <w:basedOn w:val="1"/>
    <w:qFormat/>
    <w:uiPriority w:val="0"/>
    <w:pPr>
      <w:spacing w:line="360" w:lineRule="auto"/>
      <w:ind w:firstLine="200" w:firstLineChars="200"/>
    </w:pPr>
    <w:rPr>
      <w:kern w:val="0"/>
      <w:sz w:val="24"/>
    </w:rPr>
  </w:style>
  <w:style w:type="paragraph" w:customStyle="1" w:styleId="195">
    <w:name w:val="环评正文"/>
    <w:basedOn w:val="1"/>
    <w:qFormat/>
    <w:uiPriority w:val="0"/>
    <w:pPr>
      <w:spacing w:line="360" w:lineRule="auto"/>
      <w:ind w:firstLine="480" w:firstLineChars="200"/>
    </w:pPr>
    <w:rPr>
      <w:sz w:val="24"/>
      <w:szCs w:val="21"/>
    </w:rPr>
  </w:style>
  <w:style w:type="character" w:customStyle="1" w:styleId="196">
    <w:name w:val="hj-easyread-speakerprocesser-position-action-icon"/>
    <w:basedOn w:val="43"/>
    <w:qFormat/>
    <w:uiPriority w:val="0"/>
  </w:style>
  <w:style w:type="character" w:customStyle="1" w:styleId="197">
    <w:name w:val="dropselect_box"/>
    <w:basedOn w:val="43"/>
    <w:qFormat/>
    <w:uiPriority w:val="0"/>
  </w:style>
  <w:style w:type="character" w:customStyle="1" w:styleId="198">
    <w:name w:val="dropselect_box1"/>
    <w:basedOn w:val="43"/>
    <w:qFormat/>
    <w:uiPriority w:val="0"/>
    <w:rPr>
      <w:bdr w:val="single" w:color="E2E2E2" w:sz="6" w:space="0"/>
    </w:rPr>
  </w:style>
  <w:style w:type="character" w:customStyle="1" w:styleId="199">
    <w:name w:val="u-close"/>
    <w:basedOn w:val="43"/>
    <w:qFormat/>
    <w:uiPriority w:val="0"/>
  </w:style>
  <w:style w:type="character" w:customStyle="1" w:styleId="200">
    <w:name w:val="photo"/>
    <w:basedOn w:val="43"/>
    <w:qFormat/>
    <w:uiPriority w:val="0"/>
    <w:rPr>
      <w:vanish/>
    </w:rPr>
  </w:style>
  <w:style w:type="paragraph" w:customStyle="1" w:styleId="201">
    <w:name w:val="正文5"/>
    <w:semiHidden/>
    <w:qFormat/>
    <w:uiPriority w:val="0"/>
    <w:pPr>
      <w:spacing w:line="360" w:lineRule="auto"/>
      <w:ind w:firstLine="200" w:firstLineChars="200"/>
    </w:pPr>
    <w:rPr>
      <w:rFonts w:ascii="Times New Roman" w:hAnsi="Times New Roman" w:eastAsia="宋体" w:cs="宋体"/>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9.png"/><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8"/>
    <customShpInfo spid="_x0000_s1029"/>
    <customShpInfo spid="_x0000_s1033"/>
    <customShpInfo spid="_x0000_s103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04B223-AC68-4AEF-A9E0-371EE7A0DD5F}">
  <ds:schemaRefs/>
</ds:datastoreItem>
</file>

<file path=docProps/app.xml><?xml version="1.0" encoding="utf-8"?>
<Properties xmlns="http://schemas.openxmlformats.org/officeDocument/2006/extended-properties" xmlns:vt="http://schemas.openxmlformats.org/officeDocument/2006/docPropsVTypes">
  <Template>Normal</Template>
  <Company>微软系统</Company>
  <Pages>76</Pages>
  <Words>39338</Words>
  <Characters>44587</Characters>
  <Lines>279</Lines>
  <Paragraphs>78</Paragraphs>
  <TotalTime>5</TotalTime>
  <ScaleCrop>false</ScaleCrop>
  <LinksUpToDate>false</LinksUpToDate>
  <CharactersWithSpaces>47560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2018-11-01T10:26:00Z</dcterms:created>
  <dc:creator>微软用户</dc:creator>
  <cp:lastModifiedBy>浮生若梦</cp:lastModifiedBy>
  <cp:lastPrinted>2020-12-17T02:40:00Z</cp:lastPrinted>
  <dcterms:modified xsi:type="dcterms:W3CDTF">2020-12-24T08:19:14Z</dcterms:modified>
  <dc:title>建设项目环境影响报告表</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