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570" w:firstLineChars="200"/>
        <w:jc w:val="center"/>
        <w:rPr>
          <w:rFonts w:hint="default" w:ascii="仿宋" w:hAnsi="仿宋" w:eastAsia="仿宋" w:cstheme="minorBidi"/>
          <w:sz w:val="28"/>
          <w:szCs w:val="28"/>
          <w:lang w:val="en-US" w:eastAsia="zh-CN"/>
        </w:rPr>
      </w:pPr>
      <w:r>
        <w:rPr>
          <w:rFonts w:hint="eastAsia" w:ascii="仿宋" w:hAnsi="仿宋" w:eastAsia="仿宋" w:cstheme="minorBidi"/>
          <w:sz w:val="28"/>
          <w:szCs w:val="28"/>
          <w:lang w:val="en-US" w:eastAsia="zh-CN"/>
        </w:rPr>
        <w:t>修改清单</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1、进一步调查湘阴县湘滨镇目前管网建设及排水现状，明确污水处理工艺来源，明确项目评价内容；调查服务范围工业废水产生情况。</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P3、P4、P6、P16</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2、调查项目管网穿越工程及相应的环保措施；明确污水处理厂防洪标高，据此细化项目建设内容一览表，完善设备清单。</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P11</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3、补充管网两侧环境保护目标调查，补充完善环境保护目标调查。</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P27</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4、核实纳污水体枯水期水文资料，完善废水外排对纳污水体的影响预测内容。</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P60-62</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5、细化臭气产生节点控制措施，提出周边用地控建要求，核实污泥产生量，明确污泥脱水前暂存方式，明确污泥脱水方式、处置方式。</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P37、P38、P56-57</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6、结合周边环境现状强化污水处理厂选址合理性分析。</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P73-74</w:t>
      </w:r>
      <w:r>
        <w:rPr>
          <w:rFonts w:hint="eastAsia" w:ascii="仿宋" w:hAnsi="仿宋" w:eastAsia="仿宋" w:cstheme="minorBidi"/>
          <w:sz w:val="28"/>
          <w:szCs w:val="28"/>
          <w:lang w:eastAsia="zh-CN"/>
        </w:rPr>
        <w:t>）</w:t>
      </w:r>
    </w:p>
    <w:p>
      <w:pPr>
        <w:spacing w:line="360" w:lineRule="exact"/>
        <w:ind w:firstLine="570" w:firstLineChars="200"/>
        <w:rPr>
          <w:rFonts w:hint="eastAsia" w:ascii="仿宋" w:hAnsi="仿宋" w:eastAsia="仿宋" w:cstheme="minorBidi"/>
          <w:sz w:val="28"/>
          <w:szCs w:val="28"/>
          <w:lang w:eastAsia="zh-CN"/>
        </w:rPr>
      </w:pPr>
      <w:r>
        <w:rPr>
          <w:rFonts w:hint="eastAsia" w:ascii="仿宋" w:hAnsi="仿宋" w:eastAsia="仿宋" w:cstheme="minorBidi"/>
          <w:sz w:val="28"/>
          <w:szCs w:val="28"/>
        </w:rPr>
        <w:t>7、分析项目建设的减排效果，完善“三线一单”相符性分析，补充项目纳污范围图、区域水系图、排污口位置图、项目与生态红线位置关系图，核实二次环保投资，细化竣工验收表内容。</w:t>
      </w:r>
      <w:r>
        <w:rPr>
          <w:rFonts w:hint="eastAsia" w:ascii="仿宋" w:hAnsi="仿宋" w:eastAsia="仿宋" w:cstheme="minorBidi"/>
          <w:sz w:val="28"/>
          <w:szCs w:val="28"/>
          <w:lang w:eastAsia="zh-CN"/>
        </w:rPr>
        <w:t>（</w:t>
      </w:r>
      <w:r>
        <w:rPr>
          <w:rFonts w:hint="eastAsia" w:ascii="仿宋" w:hAnsi="仿宋" w:eastAsia="仿宋" w:cstheme="minorBidi"/>
          <w:sz w:val="28"/>
          <w:szCs w:val="28"/>
          <w:lang w:val="en-US" w:eastAsia="zh-CN"/>
        </w:rPr>
        <w:t>P72-73、P75-76、附图</w:t>
      </w:r>
      <w:r>
        <w:rPr>
          <w:rFonts w:hint="eastAsia" w:ascii="仿宋" w:hAnsi="仿宋" w:eastAsia="仿宋" w:cstheme="minorBidi"/>
          <w:sz w:val="28"/>
          <w:szCs w:val="28"/>
          <w:lang w:eastAsia="zh-CN"/>
        </w:rPr>
        <w:t>）</w:t>
      </w:r>
    </w:p>
    <w:p/>
    <w:p>
      <w:pPr>
        <w:pStyle w:val="4"/>
        <w:rPr>
          <w:rFonts w:cs="宋体"/>
          <w:spacing w:val="20"/>
          <w:sz w:val="72"/>
          <w:szCs w:val="72"/>
        </w:rPr>
        <w:sectPr>
          <w:footerReference r:id="rId5" w:type="first"/>
          <w:headerReference r:id="rId3" w:type="default"/>
          <w:footerReference r:id="rId4" w:type="default"/>
          <w:pgSz w:w="11907" w:h="16840"/>
          <w:pgMar w:top="1361" w:right="1531" w:bottom="1418" w:left="1644" w:header="851" w:footer="851" w:gutter="0"/>
          <w:pgBorders>
            <w:top w:val="none" w:sz="0" w:space="0"/>
            <w:left w:val="none" w:sz="0" w:space="0"/>
            <w:bottom w:val="none" w:sz="0" w:space="0"/>
            <w:right w:val="none" w:sz="0" w:space="0"/>
          </w:pgBorders>
          <w:pgNumType w:start="0"/>
          <w:cols w:space="720" w:num="1"/>
          <w:titlePg/>
          <w:docGrid w:type="linesAndChars" w:linePitch="564" w:charSpace="1079"/>
        </w:sectPr>
      </w:pPr>
    </w:p>
    <w:p/>
    <w:p>
      <w:pPr>
        <w:pStyle w:val="4"/>
        <w:rPr>
          <w:spacing w:val="20"/>
          <w:sz w:val="72"/>
          <w:szCs w:val="72"/>
        </w:rPr>
      </w:pPr>
      <w:r>
        <w:rPr>
          <w:rFonts w:hint="eastAsia" w:cs="宋体"/>
          <w:spacing w:val="20"/>
          <w:sz w:val="72"/>
          <w:szCs w:val="72"/>
        </w:rPr>
        <w:t>建设项目环境影响报告表</w:t>
      </w:r>
    </w:p>
    <w:p>
      <w:pPr>
        <w:jc w:val="center"/>
      </w:pPr>
    </w:p>
    <w:p>
      <w:pPr>
        <w:jc w:val="center"/>
      </w:pPr>
    </w:p>
    <w:p>
      <w:pPr>
        <w:jc w:val="center"/>
      </w:pPr>
    </w:p>
    <w:p>
      <w:pPr>
        <w:jc w:val="center"/>
      </w:pPr>
    </w:p>
    <w:p>
      <w:pPr>
        <w:jc w:val="center"/>
      </w:pPr>
    </w:p>
    <w:p>
      <w:pPr>
        <w:jc w:val="center"/>
      </w:pPr>
    </w:p>
    <w:p>
      <w:pPr>
        <w:jc w:val="center"/>
      </w:pPr>
    </w:p>
    <w:p>
      <w:pPr>
        <w:ind w:left="3695" w:hanging="3692" w:hangingChars="1046"/>
        <w:jc w:val="center"/>
        <w:rPr>
          <w:spacing w:val="-6"/>
          <w:sz w:val="32"/>
          <w:szCs w:val="32"/>
          <w:u w:val="single"/>
        </w:rPr>
      </w:pPr>
      <w:r>
        <w:rPr>
          <w:rFonts w:hint="eastAsia" w:cs="宋体"/>
          <w:spacing w:val="-6"/>
          <w:sz w:val="36"/>
          <w:szCs w:val="36"/>
        </w:rPr>
        <w:t xml:space="preserve">项目名称： </w:t>
      </w:r>
      <w:r>
        <w:rPr>
          <w:rFonts w:hint="eastAsia" w:cs="宋体"/>
          <w:sz w:val="32"/>
          <w:u w:val="single"/>
          <w:lang w:val="en-US" w:eastAsia="zh-CN"/>
        </w:rPr>
        <w:t>湘阴县湘滨</w:t>
      </w:r>
      <w:r>
        <w:rPr>
          <w:rFonts w:hint="eastAsia" w:cs="宋体"/>
          <w:sz w:val="32"/>
          <w:u w:val="single"/>
        </w:rPr>
        <w:t>镇污水</w:t>
      </w:r>
      <w:r>
        <w:rPr>
          <w:rFonts w:hint="eastAsia" w:cs="宋体"/>
          <w:sz w:val="32"/>
          <w:u w:val="single"/>
          <w:lang w:val="en-US" w:eastAsia="zh-CN"/>
        </w:rPr>
        <w:t>处理工程</w:t>
      </w:r>
      <w:r>
        <w:rPr>
          <w:rFonts w:hint="eastAsia" w:cs="宋体"/>
          <w:sz w:val="32"/>
          <w:u w:val="single"/>
        </w:rPr>
        <w:t>项目</w:t>
      </w:r>
      <w:r>
        <w:rPr>
          <w:rFonts w:hint="eastAsia" w:cs="宋体"/>
          <w:sz w:val="32"/>
          <w:u w:val="single"/>
          <w:lang w:eastAsia="zh-CN"/>
        </w:rPr>
        <w:t>（</w:t>
      </w:r>
      <w:r>
        <w:rPr>
          <w:rFonts w:hint="eastAsia" w:cs="宋体"/>
          <w:sz w:val="32"/>
          <w:u w:val="single"/>
          <w:lang w:val="en-US" w:eastAsia="zh-CN"/>
        </w:rPr>
        <w:t>300m</w:t>
      </w:r>
      <w:r>
        <w:rPr>
          <w:rFonts w:hint="eastAsia" w:cs="宋体"/>
          <w:sz w:val="32"/>
          <w:u w:val="single"/>
          <w:vertAlign w:val="superscript"/>
          <w:lang w:val="en-US" w:eastAsia="zh-CN"/>
        </w:rPr>
        <w:t>3</w:t>
      </w:r>
      <w:r>
        <w:rPr>
          <w:rFonts w:hint="eastAsia" w:cs="宋体"/>
          <w:sz w:val="32"/>
          <w:u w:val="single"/>
          <w:lang w:val="en-US" w:eastAsia="zh-CN"/>
        </w:rPr>
        <w:t>/d</w:t>
      </w:r>
      <w:r>
        <w:rPr>
          <w:rFonts w:hint="eastAsia" w:cs="宋体"/>
          <w:sz w:val="32"/>
          <w:u w:val="single"/>
          <w:lang w:eastAsia="zh-CN"/>
        </w:rPr>
        <w:t>）</w:t>
      </w:r>
      <w:r>
        <w:rPr>
          <w:rFonts w:hint="eastAsia" w:cs="宋体"/>
          <w:u w:val="single"/>
        </w:rPr>
        <w:t xml:space="preserve"> </w:t>
      </w:r>
    </w:p>
    <w:p>
      <w:pPr>
        <w:jc w:val="center"/>
        <w:rPr>
          <w:sz w:val="36"/>
          <w:szCs w:val="36"/>
        </w:rPr>
      </w:pPr>
    </w:p>
    <w:p>
      <w:pPr>
        <w:jc w:val="center"/>
        <w:rPr>
          <w:spacing w:val="-6"/>
          <w:sz w:val="32"/>
          <w:szCs w:val="32"/>
          <w:u w:val="single"/>
        </w:rPr>
      </w:pPr>
      <w:r>
        <w:rPr>
          <w:rFonts w:hint="eastAsia" w:cs="宋体"/>
          <w:sz w:val="36"/>
          <w:szCs w:val="36"/>
        </w:rPr>
        <w:t>建设单位</w:t>
      </w:r>
      <w:r>
        <w:rPr>
          <w:sz w:val="36"/>
          <w:szCs w:val="36"/>
        </w:rPr>
        <w:t>(</w:t>
      </w:r>
      <w:r>
        <w:rPr>
          <w:rFonts w:hint="eastAsia" w:cs="宋体"/>
          <w:sz w:val="36"/>
          <w:szCs w:val="36"/>
        </w:rPr>
        <w:t>盖章</w:t>
      </w:r>
      <w:r>
        <w:rPr>
          <w:sz w:val="36"/>
          <w:szCs w:val="36"/>
        </w:rPr>
        <w:t>)</w:t>
      </w:r>
      <w:r>
        <w:rPr>
          <w:rFonts w:hint="eastAsia" w:cs="宋体"/>
          <w:sz w:val="36"/>
          <w:szCs w:val="36"/>
        </w:rPr>
        <w:t xml:space="preserve">： </w:t>
      </w:r>
      <w:r>
        <w:rPr>
          <w:rFonts w:hint="eastAsia" w:cs="宋体"/>
          <w:spacing w:val="-8"/>
          <w:sz w:val="32"/>
          <w:u w:val="single"/>
        </w:rPr>
        <w:t>湘阴县住房和城乡建设局</w:t>
      </w:r>
    </w:p>
    <w:p>
      <w:pPr>
        <w:rPr>
          <w:sz w:val="36"/>
          <w:szCs w:val="36"/>
          <w:u w:val="single"/>
        </w:rPr>
      </w:pPr>
    </w:p>
    <w:p>
      <w:pPr>
        <w:rPr>
          <w:sz w:val="36"/>
          <w:szCs w:val="36"/>
          <w:u w:val="single"/>
        </w:rPr>
      </w:pPr>
    </w:p>
    <w:p>
      <w:pPr>
        <w:rPr>
          <w:sz w:val="36"/>
          <w:szCs w:val="36"/>
          <w:u w:val="single"/>
        </w:rPr>
      </w:pPr>
    </w:p>
    <w:p>
      <w:pPr>
        <w:spacing w:line="800" w:lineRule="exact"/>
        <w:jc w:val="center"/>
        <w:rPr>
          <w:sz w:val="36"/>
          <w:szCs w:val="36"/>
        </w:rPr>
      </w:pPr>
      <w:r>
        <w:rPr>
          <w:rFonts w:hint="eastAsia" w:cs="宋体"/>
          <w:sz w:val="36"/>
          <w:szCs w:val="36"/>
        </w:rPr>
        <w:t>编制日期：</w:t>
      </w:r>
      <w:r>
        <w:rPr>
          <w:sz w:val="36"/>
          <w:szCs w:val="36"/>
        </w:rPr>
        <w:t>20</w:t>
      </w:r>
      <w:r>
        <w:rPr>
          <w:rFonts w:hint="eastAsia"/>
          <w:sz w:val="36"/>
          <w:szCs w:val="36"/>
          <w:lang w:val="en-US" w:eastAsia="zh-CN"/>
        </w:rPr>
        <w:t>20</w:t>
      </w:r>
      <w:r>
        <w:rPr>
          <w:rFonts w:hint="eastAsia" w:cs="宋体"/>
          <w:sz w:val="36"/>
          <w:szCs w:val="36"/>
        </w:rPr>
        <w:t>年</w:t>
      </w:r>
      <w:r>
        <w:rPr>
          <w:rFonts w:hint="eastAsia"/>
          <w:sz w:val="36"/>
          <w:szCs w:val="36"/>
        </w:rPr>
        <w:t>10</w:t>
      </w:r>
      <w:r>
        <w:rPr>
          <w:rFonts w:hint="eastAsia" w:cs="宋体"/>
          <w:sz w:val="36"/>
          <w:szCs w:val="36"/>
        </w:rPr>
        <w:t>月</w:t>
      </w:r>
    </w:p>
    <w:p>
      <w:pPr>
        <w:jc w:val="center"/>
        <w:rPr>
          <w:sz w:val="36"/>
          <w:szCs w:val="36"/>
        </w:rPr>
      </w:pPr>
    </w:p>
    <w:p>
      <w:r>
        <w:br w:type="page"/>
      </w:r>
    </w:p>
    <w:p>
      <w:pPr>
        <w:spacing w:afterLines="100"/>
        <w:jc w:val="center"/>
        <w:rPr>
          <w:b/>
          <w:bCs/>
          <w:sz w:val="36"/>
          <w:szCs w:val="36"/>
        </w:rPr>
      </w:pPr>
      <w:r>
        <w:rPr>
          <w:rFonts w:hint="eastAsia"/>
          <w:b/>
          <w:bCs/>
          <w:sz w:val="36"/>
          <w:szCs w:val="36"/>
        </w:rPr>
        <w:t>《建设项目环境影响报告表》编制说明</w:t>
      </w:r>
    </w:p>
    <w:p>
      <w:pPr>
        <w:rPr>
          <w:sz w:val="28"/>
          <w:szCs w:val="28"/>
        </w:rPr>
      </w:pPr>
      <w:r>
        <w:rPr>
          <w:rFonts w:hint="eastAsia" w:cs="宋体"/>
          <w:sz w:val="28"/>
          <w:szCs w:val="28"/>
        </w:rPr>
        <w:t>《建设项目环境影响报告表》由具有从事环境影响评价工作资质的单位编制。</w:t>
      </w:r>
    </w:p>
    <w:p>
      <w:pPr>
        <w:ind w:firstLine="482"/>
        <w:rPr>
          <w:sz w:val="28"/>
          <w:szCs w:val="28"/>
        </w:rPr>
      </w:pPr>
      <w:r>
        <w:rPr>
          <w:sz w:val="28"/>
          <w:szCs w:val="28"/>
        </w:rPr>
        <w:t>1</w:t>
      </w:r>
      <w:r>
        <w:rPr>
          <w:rFonts w:hint="eastAsia" w:cs="宋体"/>
          <w:sz w:val="28"/>
          <w:szCs w:val="28"/>
        </w:rPr>
        <w:t>、项目名称</w:t>
      </w:r>
      <w:r>
        <w:rPr>
          <w:sz w:val="28"/>
          <w:szCs w:val="28"/>
        </w:rPr>
        <w:t>—</w:t>
      </w:r>
      <w:r>
        <w:rPr>
          <w:rFonts w:hint="eastAsia" w:cs="宋体"/>
          <w:sz w:val="28"/>
          <w:szCs w:val="28"/>
        </w:rPr>
        <w:t>指项目立项批复时的名称，应不超过</w:t>
      </w:r>
      <w:r>
        <w:rPr>
          <w:sz w:val="28"/>
          <w:szCs w:val="28"/>
        </w:rPr>
        <w:t>30</w:t>
      </w:r>
      <w:r>
        <w:rPr>
          <w:rFonts w:hint="eastAsia" w:cs="宋体"/>
          <w:sz w:val="28"/>
          <w:szCs w:val="28"/>
        </w:rPr>
        <w:t>个字</w:t>
      </w:r>
      <w:r>
        <w:rPr>
          <w:sz w:val="28"/>
          <w:szCs w:val="28"/>
        </w:rPr>
        <w:t>(</w:t>
      </w:r>
      <w:r>
        <w:rPr>
          <w:rFonts w:hint="eastAsia" w:cs="宋体"/>
          <w:sz w:val="28"/>
          <w:szCs w:val="28"/>
        </w:rPr>
        <w:t>两个英文字段作一个汉字</w:t>
      </w:r>
      <w:r>
        <w:rPr>
          <w:sz w:val="28"/>
          <w:szCs w:val="28"/>
        </w:rPr>
        <w:t>)</w:t>
      </w:r>
      <w:r>
        <w:rPr>
          <w:rFonts w:hint="eastAsia" w:cs="宋体"/>
          <w:sz w:val="28"/>
          <w:szCs w:val="28"/>
        </w:rPr>
        <w:t>。</w:t>
      </w:r>
    </w:p>
    <w:p>
      <w:pPr>
        <w:ind w:firstLine="482"/>
        <w:rPr>
          <w:sz w:val="28"/>
          <w:szCs w:val="28"/>
        </w:rPr>
      </w:pPr>
      <w:r>
        <w:rPr>
          <w:sz w:val="28"/>
          <w:szCs w:val="28"/>
        </w:rPr>
        <w:t>2</w:t>
      </w:r>
      <w:r>
        <w:rPr>
          <w:rFonts w:hint="eastAsia" w:cs="宋体"/>
          <w:sz w:val="28"/>
          <w:szCs w:val="28"/>
        </w:rPr>
        <w:t>、建设地点</w:t>
      </w:r>
      <w:r>
        <w:rPr>
          <w:sz w:val="28"/>
          <w:szCs w:val="28"/>
        </w:rPr>
        <w:t>—</w:t>
      </w:r>
      <w:r>
        <w:rPr>
          <w:rFonts w:hint="eastAsia" w:cs="宋体"/>
          <w:sz w:val="28"/>
          <w:szCs w:val="28"/>
        </w:rPr>
        <w:t>指项目所在地详细地址、公路、铁路应填写起止地点。</w:t>
      </w:r>
    </w:p>
    <w:p>
      <w:pPr>
        <w:ind w:firstLine="482"/>
        <w:rPr>
          <w:sz w:val="28"/>
          <w:szCs w:val="28"/>
        </w:rPr>
      </w:pPr>
      <w:r>
        <w:rPr>
          <w:sz w:val="28"/>
          <w:szCs w:val="28"/>
        </w:rPr>
        <w:t>3</w:t>
      </w:r>
      <w:r>
        <w:rPr>
          <w:rFonts w:hint="eastAsia" w:cs="宋体"/>
          <w:sz w:val="28"/>
          <w:szCs w:val="28"/>
        </w:rPr>
        <w:t>、行业类别</w:t>
      </w:r>
      <w:r>
        <w:rPr>
          <w:sz w:val="28"/>
          <w:szCs w:val="28"/>
        </w:rPr>
        <w:t>—</w:t>
      </w:r>
      <w:r>
        <w:rPr>
          <w:rFonts w:hint="eastAsia" w:cs="宋体"/>
          <w:sz w:val="28"/>
          <w:szCs w:val="28"/>
        </w:rPr>
        <w:t>按国标填写。</w:t>
      </w:r>
    </w:p>
    <w:p>
      <w:pPr>
        <w:ind w:firstLine="482"/>
        <w:rPr>
          <w:sz w:val="28"/>
          <w:szCs w:val="28"/>
        </w:rPr>
      </w:pPr>
      <w:r>
        <w:rPr>
          <w:sz w:val="28"/>
          <w:szCs w:val="28"/>
        </w:rPr>
        <w:t>4</w:t>
      </w:r>
      <w:r>
        <w:rPr>
          <w:rFonts w:hint="eastAsia" w:cs="宋体"/>
          <w:sz w:val="28"/>
          <w:szCs w:val="28"/>
        </w:rPr>
        <w:t>、总投资</w:t>
      </w:r>
      <w:r>
        <w:rPr>
          <w:sz w:val="28"/>
          <w:szCs w:val="28"/>
        </w:rPr>
        <w:t>—</w:t>
      </w:r>
      <w:r>
        <w:rPr>
          <w:rFonts w:hint="eastAsia" w:cs="宋体"/>
          <w:sz w:val="28"/>
          <w:szCs w:val="28"/>
        </w:rPr>
        <w:t>指项目投资总额。</w:t>
      </w:r>
    </w:p>
    <w:p>
      <w:pPr>
        <w:ind w:firstLine="482"/>
        <w:rPr>
          <w:sz w:val="28"/>
          <w:szCs w:val="28"/>
        </w:rPr>
      </w:pPr>
      <w:r>
        <w:rPr>
          <w:sz w:val="28"/>
          <w:szCs w:val="28"/>
        </w:rPr>
        <w:t>5</w:t>
      </w:r>
      <w:r>
        <w:rPr>
          <w:rFonts w:hint="eastAsia" w:cs="宋体"/>
          <w:sz w:val="28"/>
          <w:szCs w:val="28"/>
        </w:rPr>
        <w:t>、主要环境保护目标</w:t>
      </w:r>
      <w:r>
        <w:rPr>
          <w:sz w:val="28"/>
          <w:szCs w:val="28"/>
        </w:rPr>
        <w:t>—</w:t>
      </w:r>
      <w:r>
        <w:rPr>
          <w:rFonts w:hint="eastAsia" w:cs="宋体"/>
          <w:sz w:val="28"/>
          <w:szCs w:val="28"/>
        </w:rPr>
        <w:t>指项目区周围一定范围内集中居民住宅区、学校、医院、保护文物、风景名胜区、水源地和生态敏感点等，应尽可能给出保护目标、性质、规模和距厂界距离等。</w:t>
      </w:r>
    </w:p>
    <w:p>
      <w:pPr>
        <w:ind w:firstLine="482"/>
        <w:rPr>
          <w:sz w:val="28"/>
          <w:szCs w:val="28"/>
        </w:rPr>
      </w:pPr>
      <w:r>
        <w:rPr>
          <w:sz w:val="28"/>
          <w:szCs w:val="28"/>
        </w:rPr>
        <w:t>6</w:t>
      </w:r>
      <w:r>
        <w:rPr>
          <w:rFonts w:hint="eastAsia" w:cs="宋体"/>
          <w:sz w:val="28"/>
          <w:szCs w:val="28"/>
        </w:rPr>
        <w:t>、结论与建议</w:t>
      </w:r>
      <w:r>
        <w:rPr>
          <w:sz w:val="28"/>
          <w:szCs w:val="28"/>
        </w:rPr>
        <w:t>—</w:t>
      </w:r>
      <w:r>
        <w:rPr>
          <w:rFonts w:hint="eastAsia" w:cs="宋体"/>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ind w:firstLine="482"/>
        <w:rPr>
          <w:sz w:val="28"/>
          <w:szCs w:val="28"/>
        </w:rPr>
      </w:pPr>
      <w:r>
        <w:rPr>
          <w:sz w:val="28"/>
          <w:szCs w:val="28"/>
        </w:rPr>
        <w:t>7</w:t>
      </w:r>
      <w:r>
        <w:rPr>
          <w:rFonts w:hint="eastAsia" w:cs="宋体"/>
          <w:sz w:val="28"/>
          <w:szCs w:val="28"/>
        </w:rPr>
        <w:t>、预审意见</w:t>
      </w:r>
      <w:r>
        <w:rPr>
          <w:sz w:val="28"/>
          <w:szCs w:val="28"/>
        </w:rPr>
        <w:t>—</w:t>
      </w:r>
      <w:r>
        <w:rPr>
          <w:rFonts w:hint="eastAsia" w:cs="宋体"/>
          <w:sz w:val="28"/>
          <w:szCs w:val="28"/>
        </w:rPr>
        <w:t>由行业主管部门填写答复意见，无主管部门项目，可不填。</w:t>
      </w:r>
    </w:p>
    <w:p>
      <w:pPr>
        <w:ind w:firstLine="482"/>
        <w:rPr>
          <w:rFonts w:eastAsia="黑体"/>
          <w:sz w:val="24"/>
          <w:szCs w:val="24"/>
        </w:rPr>
      </w:pPr>
      <w:r>
        <w:rPr>
          <w:sz w:val="28"/>
          <w:szCs w:val="28"/>
        </w:rPr>
        <w:t>8</w:t>
      </w:r>
      <w:r>
        <w:rPr>
          <w:rFonts w:hint="eastAsia" w:cs="宋体"/>
          <w:sz w:val="28"/>
          <w:szCs w:val="28"/>
        </w:rPr>
        <w:t>、审批意见</w:t>
      </w:r>
      <w:r>
        <w:rPr>
          <w:sz w:val="28"/>
          <w:szCs w:val="28"/>
        </w:rPr>
        <w:t>—</w:t>
      </w:r>
      <w:r>
        <w:rPr>
          <w:rFonts w:hint="eastAsia" w:cs="宋体"/>
          <w:sz w:val="28"/>
          <w:szCs w:val="28"/>
        </w:rPr>
        <w:t>由负责审批项目的环境保护行政主管部门批复。</w:t>
      </w:r>
    </w:p>
    <w:p>
      <w:pPr>
        <w:pStyle w:val="47"/>
        <w:ind w:firstLine="491"/>
        <w:rPr>
          <w:rFonts w:eastAsia="黑体"/>
          <w:sz w:val="24"/>
          <w:szCs w:val="24"/>
        </w:rPr>
        <w:sectPr>
          <w:pgSz w:w="11907" w:h="16840"/>
          <w:pgMar w:top="1361" w:right="1531" w:bottom="1418" w:left="1644" w:header="851" w:footer="851" w:gutter="0"/>
          <w:pgBorders>
            <w:top w:val="none" w:sz="0" w:space="0"/>
            <w:left w:val="none" w:sz="0" w:space="0"/>
            <w:bottom w:val="none" w:sz="0" w:space="0"/>
            <w:right w:val="none" w:sz="0" w:space="0"/>
          </w:pgBorders>
          <w:pgNumType w:start="0"/>
          <w:cols w:space="720" w:num="1"/>
          <w:titlePg/>
          <w:docGrid w:type="linesAndChars" w:linePitch="564" w:charSpace="1079"/>
        </w:sectPr>
      </w:pPr>
    </w:p>
    <w:p>
      <w:pPr>
        <w:pStyle w:val="4"/>
        <w:spacing w:before="0" w:after="0"/>
        <w:jc w:val="left"/>
        <w:rPr>
          <w:sz w:val="30"/>
          <w:szCs w:val="30"/>
        </w:rPr>
      </w:pPr>
      <w:r>
        <w:rPr>
          <w:rFonts w:hint="eastAsia"/>
          <w:sz w:val="30"/>
          <w:szCs w:val="30"/>
        </w:rPr>
        <w:t>建设项目基本情况</w:t>
      </w:r>
    </w:p>
    <w:tbl>
      <w:tblPr>
        <w:tblStyle w:val="2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776"/>
        <w:gridCol w:w="1474"/>
        <w:gridCol w:w="1558"/>
        <w:gridCol w:w="154"/>
        <w:gridCol w:w="1443"/>
        <w:gridCol w:w="1108"/>
        <w:gridCol w:w="425"/>
        <w:gridCol w:w="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51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项目名称</w:t>
            </w:r>
          </w:p>
        </w:tc>
        <w:tc>
          <w:tcPr>
            <w:tcW w:w="7513" w:type="dxa"/>
            <w:gridSpan w:val="6"/>
            <w:vAlign w:val="center"/>
          </w:tcPr>
          <w:p>
            <w:pPr>
              <w:adjustRightInd w:val="0"/>
              <w:snapToGrid w:val="0"/>
              <w:spacing w:line="480" w:lineRule="exact"/>
              <w:jc w:val="center"/>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湘阴县湘滨镇</w:t>
            </w:r>
            <w:r>
              <w:rPr>
                <w:rFonts w:hint="eastAsia" w:cs="宋体"/>
                <w:color w:val="auto"/>
                <w:sz w:val="24"/>
                <w:szCs w:val="24"/>
                <w:highlight w:val="none"/>
              </w:rPr>
              <w:t>污水处理</w:t>
            </w:r>
            <w:r>
              <w:rPr>
                <w:rFonts w:hint="eastAsia" w:cs="宋体"/>
                <w:color w:val="auto"/>
                <w:sz w:val="24"/>
                <w:szCs w:val="24"/>
                <w:highlight w:val="none"/>
                <w:lang w:val="en-US" w:eastAsia="zh-CN"/>
              </w:rPr>
              <w:t>工程</w:t>
            </w:r>
            <w:r>
              <w:rPr>
                <w:rFonts w:hint="eastAsia" w:cs="宋体"/>
                <w:color w:val="auto"/>
                <w:sz w:val="24"/>
                <w:szCs w:val="24"/>
                <w:highlight w:val="none"/>
              </w:rPr>
              <w:t>项目</w:t>
            </w:r>
            <w:r>
              <w:rPr>
                <w:rFonts w:hint="eastAsia" w:cs="宋体"/>
                <w:color w:val="auto"/>
                <w:sz w:val="24"/>
                <w:szCs w:val="24"/>
                <w:highlight w:val="none"/>
                <w:lang w:eastAsia="zh-CN"/>
              </w:rPr>
              <w:t>（</w:t>
            </w:r>
            <w:r>
              <w:rPr>
                <w:rFonts w:hint="eastAsia" w:cs="宋体"/>
                <w:color w:val="auto"/>
                <w:sz w:val="24"/>
                <w:szCs w:val="24"/>
                <w:highlight w:val="none"/>
                <w:lang w:val="en-US" w:eastAsia="zh-CN"/>
              </w:rPr>
              <w:t>300m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w:t>
            </w:r>
            <w:r>
              <w:rPr>
                <w:rFonts w:hint="eastAsia"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建设单位</w:t>
            </w:r>
          </w:p>
        </w:tc>
        <w:tc>
          <w:tcPr>
            <w:tcW w:w="7513" w:type="dxa"/>
            <w:gridSpan w:val="6"/>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湘阴县住房和城乡建设局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法人代表</w:t>
            </w:r>
          </w:p>
        </w:tc>
        <w:tc>
          <w:tcPr>
            <w:tcW w:w="1776"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刘勇</w:t>
            </w:r>
          </w:p>
        </w:tc>
        <w:tc>
          <w:tcPr>
            <w:tcW w:w="1474"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联系人</w:t>
            </w:r>
          </w:p>
        </w:tc>
        <w:tc>
          <w:tcPr>
            <w:tcW w:w="4263" w:type="dxa"/>
            <w:gridSpan w:val="4"/>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刘勇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通讯地址</w:t>
            </w:r>
          </w:p>
        </w:tc>
        <w:tc>
          <w:tcPr>
            <w:tcW w:w="7513" w:type="dxa"/>
            <w:gridSpan w:val="6"/>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lang w:val="en-US" w:eastAsia="zh-CN"/>
              </w:rPr>
              <w:t>湘阴县文星镇太傅路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联系电话</w:t>
            </w:r>
          </w:p>
        </w:tc>
        <w:tc>
          <w:tcPr>
            <w:tcW w:w="1776"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13575055088</w:t>
            </w:r>
          </w:p>
        </w:tc>
        <w:tc>
          <w:tcPr>
            <w:tcW w:w="1474"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传真</w:t>
            </w:r>
          </w:p>
        </w:tc>
        <w:tc>
          <w:tcPr>
            <w:tcW w:w="1712" w:type="dxa"/>
            <w:gridSpan w:val="2"/>
            <w:vAlign w:val="center"/>
          </w:tcPr>
          <w:p>
            <w:pPr>
              <w:adjustRightInd w:val="0"/>
              <w:snapToGrid w:val="0"/>
              <w:spacing w:line="480" w:lineRule="exact"/>
              <w:jc w:val="center"/>
              <w:rPr>
                <w:rFonts w:cs="宋体"/>
                <w:color w:val="auto"/>
                <w:sz w:val="24"/>
                <w:szCs w:val="24"/>
                <w:highlight w:val="none"/>
              </w:rPr>
            </w:pPr>
          </w:p>
        </w:tc>
        <w:tc>
          <w:tcPr>
            <w:tcW w:w="1443"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邮政编码</w:t>
            </w:r>
          </w:p>
        </w:tc>
        <w:tc>
          <w:tcPr>
            <w:tcW w:w="1108"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lang w:val="en-US" w:eastAsia="zh-CN"/>
              </w:rPr>
              <w:t>414601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cantSpli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建设地点</w:t>
            </w:r>
          </w:p>
        </w:tc>
        <w:tc>
          <w:tcPr>
            <w:tcW w:w="7513" w:type="dxa"/>
            <w:gridSpan w:val="6"/>
            <w:vAlign w:val="center"/>
          </w:tcPr>
          <w:p>
            <w:pPr>
              <w:adjustRightInd w:val="0"/>
              <w:snapToGrid w:val="0"/>
              <w:spacing w:line="480" w:lineRule="exact"/>
              <w:jc w:val="center"/>
              <w:rPr>
                <w:rFonts w:hint="default" w:cs="宋体"/>
                <w:color w:val="auto"/>
                <w:sz w:val="24"/>
                <w:szCs w:val="24"/>
                <w:highlight w:val="none"/>
                <w:lang w:val="en-US"/>
              </w:rPr>
            </w:pPr>
            <w:r>
              <w:rPr>
                <w:rFonts w:hint="eastAsia" w:cs="宋体"/>
                <w:color w:val="auto"/>
                <w:sz w:val="24"/>
                <w:szCs w:val="24"/>
                <w:highlight w:val="none"/>
                <w:lang w:val="en-US" w:eastAsia="zh-CN"/>
              </w:rPr>
              <w:t>湘阴县湘滨镇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立项审批部门</w:t>
            </w:r>
          </w:p>
        </w:tc>
        <w:tc>
          <w:tcPr>
            <w:tcW w:w="3250" w:type="dxa"/>
            <w:gridSpan w:val="2"/>
            <w:vAlign w:val="center"/>
          </w:tcPr>
          <w:p>
            <w:pPr>
              <w:adjustRightInd w:val="0"/>
              <w:snapToGrid w:val="0"/>
              <w:spacing w:line="480" w:lineRule="exact"/>
              <w:jc w:val="center"/>
              <w:rPr>
                <w:rFonts w:cs="宋体"/>
                <w:color w:val="auto"/>
                <w:sz w:val="24"/>
                <w:szCs w:val="24"/>
                <w:highlight w:val="none"/>
              </w:rPr>
            </w:pPr>
          </w:p>
        </w:tc>
        <w:tc>
          <w:tcPr>
            <w:tcW w:w="1558"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批准文号</w:t>
            </w:r>
          </w:p>
        </w:tc>
        <w:tc>
          <w:tcPr>
            <w:tcW w:w="2705" w:type="dxa"/>
            <w:gridSpan w:val="3"/>
            <w:vAlign w:val="center"/>
          </w:tcPr>
          <w:p>
            <w:pPr>
              <w:adjustRightInd w:val="0"/>
              <w:snapToGrid w:val="0"/>
              <w:spacing w:line="480" w:lineRule="exact"/>
              <w:jc w:val="center"/>
              <w:rPr>
                <w:rFonts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cantSplit/>
          <w:trHeight w:val="9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建设性质</w:t>
            </w:r>
          </w:p>
        </w:tc>
        <w:tc>
          <w:tcPr>
            <w:tcW w:w="3250" w:type="dxa"/>
            <w:gridSpan w:val="2"/>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新建</w:t>
            </w:r>
            <w:r>
              <w:rPr>
                <w:rFonts w:cs="宋体"/>
                <w:color w:val="auto"/>
                <w:sz w:val="24"/>
                <w:szCs w:val="24"/>
                <w:highlight w:val="none"/>
              </w:rPr>
              <w:fldChar w:fldCharType="begin"/>
            </w:r>
            <w:r>
              <w:rPr>
                <w:rFonts w:cs="宋体"/>
                <w:color w:val="auto"/>
                <w:sz w:val="24"/>
                <w:szCs w:val="24"/>
                <w:highlight w:val="none"/>
              </w:rPr>
              <w:instrText xml:space="preserve"> EQ \o\ac(</w:instrText>
            </w:r>
            <w:r>
              <w:rPr>
                <w:rFonts w:hint="eastAsia" w:cs="宋体"/>
                <w:color w:val="auto"/>
                <w:sz w:val="24"/>
                <w:szCs w:val="24"/>
                <w:highlight w:val="none"/>
              </w:rPr>
              <w:instrText xml:space="preserve">□,√</w:instrText>
            </w:r>
            <w:r>
              <w:rPr>
                <w:rFonts w:cs="宋体"/>
                <w:color w:val="auto"/>
                <w:sz w:val="24"/>
                <w:szCs w:val="24"/>
                <w:highlight w:val="none"/>
              </w:rPr>
              <w:instrText xml:space="preserve">)</w:instrText>
            </w:r>
            <w:r>
              <w:rPr>
                <w:rFonts w:cs="宋体"/>
                <w:color w:val="auto"/>
                <w:sz w:val="24"/>
                <w:szCs w:val="24"/>
                <w:highlight w:val="none"/>
              </w:rPr>
              <w:fldChar w:fldCharType="end"/>
            </w:r>
            <w:r>
              <w:rPr>
                <w:rFonts w:cs="宋体"/>
                <w:color w:val="auto"/>
                <w:sz w:val="24"/>
                <w:szCs w:val="24"/>
                <w:highlight w:val="none"/>
              </w:rPr>
              <w:t xml:space="preserve"> </w:t>
            </w:r>
            <w:r>
              <w:rPr>
                <w:rFonts w:hint="eastAsia" w:cs="宋体"/>
                <w:color w:val="auto"/>
                <w:sz w:val="24"/>
                <w:szCs w:val="24"/>
                <w:highlight w:val="none"/>
              </w:rPr>
              <w:t>改扩建</w:t>
            </w:r>
            <w:r>
              <w:rPr>
                <w:rFonts w:cs="宋体"/>
                <w:color w:val="auto"/>
                <w:sz w:val="24"/>
                <w:szCs w:val="24"/>
                <w:highlight w:val="none"/>
              </w:rPr>
              <w:fldChar w:fldCharType="begin"/>
            </w:r>
            <w:r>
              <w:rPr>
                <w:rFonts w:cs="宋体"/>
                <w:color w:val="auto"/>
                <w:sz w:val="24"/>
                <w:szCs w:val="24"/>
                <w:highlight w:val="none"/>
              </w:rPr>
              <w:instrText xml:space="preserve"> EQ \o\ac(</w:instrText>
            </w:r>
            <w:r>
              <w:rPr>
                <w:rFonts w:hint="eastAsia" w:cs="宋体"/>
                <w:color w:val="auto"/>
                <w:sz w:val="24"/>
                <w:szCs w:val="24"/>
                <w:highlight w:val="none"/>
              </w:rPr>
              <w:instrText xml:space="preserve">□</w:instrText>
            </w:r>
            <w:r>
              <w:rPr>
                <w:rFonts w:cs="宋体"/>
                <w:color w:val="auto"/>
                <w:sz w:val="24"/>
                <w:szCs w:val="24"/>
                <w:highlight w:val="none"/>
              </w:rPr>
              <w:instrText xml:space="preserve">)</w:instrText>
            </w:r>
            <w:r>
              <w:rPr>
                <w:rFonts w:cs="宋体"/>
                <w:color w:val="auto"/>
                <w:sz w:val="24"/>
                <w:szCs w:val="24"/>
                <w:highlight w:val="none"/>
              </w:rPr>
              <w:fldChar w:fldCharType="end"/>
            </w:r>
            <w:r>
              <w:rPr>
                <w:rFonts w:cs="宋体"/>
                <w:color w:val="auto"/>
                <w:sz w:val="24"/>
                <w:szCs w:val="24"/>
                <w:highlight w:val="none"/>
              </w:rPr>
              <w:t xml:space="preserve"> </w:t>
            </w:r>
            <w:r>
              <w:rPr>
                <w:rFonts w:hint="eastAsia" w:cs="宋体"/>
                <w:color w:val="auto"/>
                <w:sz w:val="24"/>
                <w:szCs w:val="24"/>
                <w:highlight w:val="none"/>
              </w:rPr>
              <w:t>技改</w:t>
            </w:r>
            <w:r>
              <w:rPr>
                <w:rFonts w:hint="eastAsia" w:cs="宋体"/>
                <w:color w:val="auto"/>
                <w:sz w:val="24"/>
                <w:szCs w:val="24"/>
                <w:highlight w:val="none"/>
              </w:rPr>
              <w:fldChar w:fldCharType="begin"/>
            </w:r>
            <w:r>
              <w:rPr>
                <w:rFonts w:hint="eastAsia" w:cs="宋体"/>
                <w:color w:val="auto"/>
                <w:sz w:val="24"/>
                <w:szCs w:val="24"/>
                <w:highlight w:val="none"/>
              </w:rPr>
              <w:instrText xml:space="preserve"> EQ \o\ac(□)</w:instrText>
            </w:r>
            <w:r>
              <w:rPr>
                <w:rFonts w:hint="eastAsia" w:cs="宋体"/>
                <w:color w:val="auto"/>
                <w:sz w:val="24"/>
                <w:szCs w:val="24"/>
                <w:highlight w:val="none"/>
              </w:rPr>
              <w:fldChar w:fldCharType="end"/>
            </w:r>
          </w:p>
        </w:tc>
        <w:tc>
          <w:tcPr>
            <w:tcW w:w="1558"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行业类别</w:t>
            </w:r>
          </w:p>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及代码</w:t>
            </w:r>
          </w:p>
        </w:tc>
        <w:tc>
          <w:tcPr>
            <w:tcW w:w="2705" w:type="dxa"/>
            <w:gridSpan w:val="3"/>
            <w:vAlign w:val="center"/>
          </w:tcPr>
          <w:p>
            <w:pPr>
              <w:adjustRightInd w:val="0"/>
              <w:snapToGrid w:val="0"/>
              <w:spacing w:line="480" w:lineRule="exact"/>
              <w:jc w:val="center"/>
              <w:rPr>
                <w:rFonts w:cs="宋体"/>
                <w:color w:val="auto"/>
                <w:sz w:val="24"/>
                <w:szCs w:val="24"/>
                <w:highlight w:val="none"/>
              </w:rPr>
            </w:pPr>
            <w:r>
              <w:rPr>
                <w:rFonts w:cs="宋体"/>
                <w:color w:val="auto"/>
                <w:sz w:val="24"/>
                <w:szCs w:val="24"/>
                <w:highlight w:val="none"/>
              </w:rPr>
              <w:t>4620</w:t>
            </w:r>
          </w:p>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68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占地面积</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平方米</w:t>
            </w:r>
            <w:r>
              <w:rPr>
                <w:rFonts w:cs="宋体"/>
                <w:color w:val="auto"/>
                <w:sz w:val="24"/>
                <w:szCs w:val="24"/>
                <w:highlight w:val="none"/>
              </w:rPr>
              <w:t>)</w:t>
            </w:r>
          </w:p>
        </w:tc>
        <w:tc>
          <w:tcPr>
            <w:tcW w:w="3250" w:type="dxa"/>
            <w:gridSpan w:val="2"/>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1406.67</w:t>
            </w:r>
          </w:p>
        </w:tc>
        <w:tc>
          <w:tcPr>
            <w:tcW w:w="1558"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绿化面积</w:t>
            </w:r>
          </w:p>
          <w:p>
            <w:pPr>
              <w:adjustRightInd w:val="0"/>
              <w:snapToGrid w:val="0"/>
              <w:spacing w:line="480" w:lineRule="exact"/>
              <w:jc w:val="center"/>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平方米</w:t>
            </w:r>
            <w:r>
              <w:rPr>
                <w:rFonts w:cs="宋体"/>
                <w:color w:val="auto"/>
                <w:sz w:val="24"/>
                <w:szCs w:val="24"/>
                <w:highlight w:val="none"/>
              </w:rPr>
              <w:t>)</w:t>
            </w:r>
          </w:p>
        </w:tc>
        <w:tc>
          <w:tcPr>
            <w:tcW w:w="2705" w:type="dxa"/>
            <w:gridSpan w:val="3"/>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732.02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68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总投资</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万元</w:t>
            </w:r>
            <w:r>
              <w:rPr>
                <w:rFonts w:cs="宋体"/>
                <w:color w:val="auto"/>
                <w:sz w:val="24"/>
                <w:szCs w:val="24"/>
                <w:highlight w:val="none"/>
              </w:rPr>
              <w:t>)</w:t>
            </w:r>
          </w:p>
        </w:tc>
        <w:tc>
          <w:tcPr>
            <w:tcW w:w="1776" w:type="dxa"/>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1590.87</w:t>
            </w:r>
          </w:p>
        </w:tc>
        <w:tc>
          <w:tcPr>
            <w:tcW w:w="1474" w:type="dxa"/>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其中：环保投资</w:t>
            </w:r>
            <w:r>
              <w:rPr>
                <w:rFonts w:cs="宋体"/>
                <w:color w:val="auto"/>
                <w:sz w:val="24"/>
                <w:szCs w:val="24"/>
                <w:highlight w:val="none"/>
              </w:rPr>
              <w:t>(</w:t>
            </w:r>
            <w:r>
              <w:rPr>
                <w:rFonts w:hint="eastAsia" w:cs="宋体"/>
                <w:color w:val="auto"/>
                <w:sz w:val="24"/>
                <w:szCs w:val="24"/>
                <w:highlight w:val="none"/>
              </w:rPr>
              <w:t>万元</w:t>
            </w:r>
            <w:r>
              <w:rPr>
                <w:rFonts w:cs="宋体"/>
                <w:color w:val="auto"/>
                <w:sz w:val="24"/>
                <w:szCs w:val="24"/>
                <w:highlight w:val="none"/>
              </w:rPr>
              <w:t>)</w:t>
            </w:r>
          </w:p>
        </w:tc>
        <w:tc>
          <w:tcPr>
            <w:tcW w:w="1558" w:type="dxa"/>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1590.87</w:t>
            </w:r>
          </w:p>
        </w:tc>
        <w:tc>
          <w:tcPr>
            <w:tcW w:w="1597" w:type="dxa"/>
            <w:gridSpan w:val="2"/>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环保投资占</w:t>
            </w:r>
          </w:p>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总投资比例</w:t>
            </w:r>
          </w:p>
        </w:tc>
        <w:tc>
          <w:tcPr>
            <w:tcW w:w="1108" w:type="dxa"/>
            <w:vAlign w:val="center"/>
          </w:tcPr>
          <w:p>
            <w:pPr>
              <w:adjustRightInd w:val="0"/>
              <w:snapToGrid w:val="0"/>
              <w:spacing w:line="480" w:lineRule="exact"/>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680" w:hRule="atLeast"/>
          <w:jc w:val="center"/>
        </w:trPr>
        <w:tc>
          <w:tcPr>
            <w:tcW w:w="1696" w:type="dxa"/>
            <w:gridSpan w:val="2"/>
            <w:vAlign w:val="center"/>
          </w:tcPr>
          <w:p>
            <w:pPr>
              <w:adjustRightInd w:val="0"/>
              <w:snapToGrid w:val="0"/>
              <w:spacing w:line="480" w:lineRule="exact"/>
              <w:rPr>
                <w:rFonts w:cs="宋体"/>
                <w:color w:val="auto"/>
                <w:sz w:val="24"/>
                <w:szCs w:val="24"/>
                <w:highlight w:val="none"/>
              </w:rPr>
            </w:pPr>
            <w:r>
              <w:rPr>
                <w:rFonts w:hint="eastAsia" w:cs="宋体"/>
                <w:color w:val="auto"/>
                <w:sz w:val="24"/>
                <w:szCs w:val="24"/>
                <w:highlight w:val="none"/>
              </w:rPr>
              <w:t>评价经费</w:t>
            </w:r>
          </w:p>
          <w:p>
            <w:pPr>
              <w:adjustRightInd w:val="0"/>
              <w:snapToGrid w:val="0"/>
              <w:spacing w:line="480" w:lineRule="exact"/>
              <w:rPr>
                <w:rFonts w:cs="宋体"/>
                <w:color w:val="auto"/>
                <w:sz w:val="24"/>
                <w:szCs w:val="24"/>
                <w:highlight w:val="none"/>
              </w:rPr>
            </w:pPr>
            <w:r>
              <w:rPr>
                <w:rFonts w:cs="宋体"/>
                <w:color w:val="auto"/>
                <w:sz w:val="24"/>
                <w:szCs w:val="24"/>
                <w:highlight w:val="none"/>
              </w:rPr>
              <w:t>(</w:t>
            </w:r>
            <w:r>
              <w:rPr>
                <w:rFonts w:hint="eastAsia" w:cs="宋体"/>
                <w:color w:val="auto"/>
                <w:sz w:val="24"/>
                <w:szCs w:val="24"/>
                <w:highlight w:val="none"/>
              </w:rPr>
              <w:t>万元</w:t>
            </w:r>
            <w:r>
              <w:rPr>
                <w:rFonts w:cs="宋体"/>
                <w:color w:val="auto"/>
                <w:sz w:val="24"/>
                <w:szCs w:val="24"/>
                <w:highlight w:val="none"/>
              </w:rPr>
              <w:t>)</w:t>
            </w:r>
          </w:p>
        </w:tc>
        <w:tc>
          <w:tcPr>
            <w:tcW w:w="1776" w:type="dxa"/>
            <w:vAlign w:val="center"/>
          </w:tcPr>
          <w:p>
            <w:pPr>
              <w:adjustRightInd w:val="0"/>
              <w:snapToGrid w:val="0"/>
              <w:spacing w:line="480" w:lineRule="exact"/>
              <w:jc w:val="center"/>
              <w:rPr>
                <w:rFonts w:cs="宋体"/>
                <w:color w:val="auto"/>
                <w:sz w:val="24"/>
                <w:szCs w:val="24"/>
                <w:highlight w:val="none"/>
              </w:rPr>
            </w:pPr>
          </w:p>
        </w:tc>
        <w:tc>
          <w:tcPr>
            <w:tcW w:w="3032" w:type="dxa"/>
            <w:gridSpan w:val="2"/>
            <w:vAlign w:val="center"/>
          </w:tcPr>
          <w:p>
            <w:pPr>
              <w:adjustRightInd w:val="0"/>
              <w:snapToGrid w:val="0"/>
              <w:spacing w:line="480" w:lineRule="exact"/>
              <w:jc w:val="center"/>
              <w:rPr>
                <w:rFonts w:cs="宋体"/>
                <w:color w:val="auto"/>
                <w:sz w:val="24"/>
                <w:szCs w:val="24"/>
                <w:highlight w:val="none"/>
              </w:rPr>
            </w:pPr>
            <w:r>
              <w:rPr>
                <w:rFonts w:hint="eastAsia" w:cs="宋体"/>
                <w:color w:val="auto"/>
                <w:sz w:val="24"/>
                <w:szCs w:val="24"/>
                <w:highlight w:val="none"/>
              </w:rPr>
              <w:t>预期投产日期</w:t>
            </w:r>
          </w:p>
        </w:tc>
        <w:tc>
          <w:tcPr>
            <w:tcW w:w="2705" w:type="dxa"/>
            <w:gridSpan w:val="3"/>
            <w:vAlign w:val="center"/>
          </w:tcPr>
          <w:p>
            <w:pPr>
              <w:adjustRightInd w:val="0"/>
              <w:snapToGrid w:val="0"/>
              <w:spacing w:line="480" w:lineRule="exact"/>
              <w:jc w:val="center"/>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66" w:type="dxa"/>
          <w:trHeight w:val="5447" w:hRule="atLeast"/>
          <w:jc w:val="center"/>
        </w:trPr>
        <w:tc>
          <w:tcPr>
            <w:tcW w:w="9209" w:type="dxa"/>
            <w:gridSpan w:val="8"/>
          </w:tcPr>
          <w:p>
            <w:pPr>
              <w:rPr>
                <w:rFonts w:eastAsia="黑体"/>
                <w:color w:val="auto"/>
                <w:spacing w:val="-10"/>
                <w:sz w:val="28"/>
                <w:szCs w:val="28"/>
                <w:highlight w:val="none"/>
              </w:rPr>
            </w:pPr>
            <w:r>
              <w:rPr>
                <w:rFonts w:hint="eastAsia" w:eastAsia="黑体" w:cs="黑体"/>
                <w:color w:val="auto"/>
                <w:spacing w:val="-10"/>
                <w:sz w:val="28"/>
                <w:szCs w:val="28"/>
                <w:highlight w:val="none"/>
              </w:rPr>
              <w:t>工程内容及规模：</w:t>
            </w:r>
          </w:p>
          <w:p>
            <w:pPr>
              <w:adjustRightInd w:val="0"/>
              <w:snapToGrid w:val="0"/>
              <w:spacing w:line="480" w:lineRule="exact"/>
              <w:ind w:firstLine="482" w:firstLineChars="200"/>
              <w:rPr>
                <w:b/>
                <w:bCs/>
                <w:color w:val="auto"/>
                <w:sz w:val="24"/>
                <w:szCs w:val="24"/>
                <w:highlight w:val="none"/>
              </w:rPr>
            </w:pPr>
            <w:r>
              <w:rPr>
                <w:rFonts w:hint="eastAsia" w:cs="宋体"/>
                <w:b/>
                <w:bCs/>
                <w:color w:val="auto"/>
                <w:sz w:val="24"/>
                <w:szCs w:val="24"/>
                <w:highlight w:val="none"/>
              </w:rPr>
              <w:t>一、项目由来</w:t>
            </w:r>
          </w:p>
          <w:p>
            <w:pPr>
              <w:spacing w:line="360" w:lineRule="auto"/>
              <w:ind w:firstLine="510"/>
              <w:rPr>
                <w:rFonts w:cs="宋体"/>
                <w:color w:val="auto"/>
                <w:sz w:val="24"/>
                <w:szCs w:val="24"/>
                <w:highlight w:val="none"/>
                <w:shd w:val="clear" w:color="auto" w:fill="auto"/>
              </w:rPr>
            </w:pPr>
            <w:r>
              <w:rPr>
                <w:rFonts w:hint="eastAsia" w:cs="宋体"/>
                <w:color w:val="auto"/>
                <w:sz w:val="24"/>
                <w:szCs w:val="24"/>
                <w:highlight w:val="none"/>
                <w:shd w:val="clear" w:color="auto" w:fill="auto"/>
              </w:rPr>
              <w:t>随着</w:t>
            </w:r>
            <w:r>
              <w:rPr>
                <w:rFonts w:hint="eastAsia" w:cs="宋体"/>
                <w:color w:val="auto"/>
                <w:sz w:val="24"/>
                <w:szCs w:val="24"/>
                <w:highlight w:val="none"/>
                <w:shd w:val="clear" w:color="auto" w:fill="auto"/>
                <w:lang w:val="en-US" w:eastAsia="zh-CN"/>
              </w:rPr>
              <w:t>湘阴</w:t>
            </w:r>
            <w:r>
              <w:rPr>
                <w:rFonts w:hint="eastAsia" w:cs="宋体"/>
                <w:color w:val="auto"/>
                <w:sz w:val="24"/>
                <w:szCs w:val="24"/>
                <w:highlight w:val="none"/>
                <w:shd w:val="clear" w:color="auto" w:fill="auto"/>
              </w:rPr>
              <w:t>各乡镇建设速度的日益加快，城镇的污水、废水排放量的日益增多，建设污水处理厂是十分必要的，它的建成对改善各镇城镇环境提高人民生活质量，加快城镇建设，促进和谐社会的建设，都有着深远的现实意义和历史意义。</w:t>
            </w:r>
          </w:p>
          <w:p>
            <w:pPr>
              <w:spacing w:line="360" w:lineRule="auto"/>
              <w:ind w:firstLine="510"/>
              <w:rPr>
                <w:rFonts w:hint="eastAsia" w:eastAsia="宋体" w:cs="宋体"/>
                <w:color w:val="auto"/>
                <w:sz w:val="24"/>
                <w:szCs w:val="24"/>
                <w:highlight w:val="none"/>
                <w:shd w:val="clear" w:color="auto" w:fill="auto"/>
                <w:lang w:eastAsia="zh-CN"/>
              </w:rPr>
            </w:pPr>
            <w:r>
              <w:rPr>
                <w:rFonts w:hint="eastAsia" w:cs="宋体"/>
                <w:color w:val="auto"/>
                <w:sz w:val="24"/>
                <w:szCs w:val="24"/>
                <w:highlight w:val="none"/>
                <w:shd w:val="clear" w:color="auto" w:fill="auto"/>
              </w:rPr>
              <w:t>2017 年 1 月，湖南省农村污水治理县域推进现场会在郴州市苏仙区举行， 来自全省 14 个市州及部分县市区住房和城乡建设部门、有关企业负责人 200 余 人出席会议。会上确定湖南省从今年起，实施重点镇污水处理设施建设三年行动 计划。力争到 2018 年底前，新建（改造）集镇污水处理设施 187 处，新增污水日处理能力48.96 万吨，配套建设管网 1688 公里等。以此带动，力争到“十三五”末，实现重点区域和重点镇污水处理设施全覆盖，建制镇污水处理率达到 80%。会议要求各地各有关部门迅速行动起来，全面提速农村污水治理。</w:t>
            </w:r>
          </w:p>
          <w:p>
            <w:pPr>
              <w:spacing w:line="360" w:lineRule="auto"/>
              <w:ind w:firstLine="510"/>
              <w:rPr>
                <w:rFonts w:hint="default" w:eastAsia="宋体" w:cs="宋体"/>
                <w:color w:val="auto"/>
                <w:sz w:val="24"/>
                <w:szCs w:val="24"/>
                <w:highlight w:val="none"/>
                <w:u w:val="single"/>
                <w:shd w:val="clear" w:color="auto" w:fill="auto"/>
                <w:lang w:val="en-US" w:eastAsia="zh-CN"/>
              </w:rPr>
            </w:pPr>
            <w:r>
              <w:rPr>
                <w:rFonts w:hint="eastAsia" w:cs="宋体"/>
                <w:color w:val="auto"/>
                <w:sz w:val="24"/>
                <w:szCs w:val="24"/>
                <w:highlight w:val="none"/>
                <w:shd w:val="clear" w:color="auto" w:fill="auto"/>
              </w:rPr>
              <w:t>为了</w:t>
            </w:r>
            <w:r>
              <w:rPr>
                <w:rFonts w:hint="eastAsia" w:cs="宋体"/>
                <w:color w:val="auto"/>
                <w:sz w:val="24"/>
                <w:szCs w:val="24"/>
                <w:highlight w:val="none"/>
                <w:shd w:val="clear" w:color="auto" w:fill="auto"/>
                <w:lang w:val="en-US" w:eastAsia="zh-CN"/>
              </w:rPr>
              <w:t>保护湘滨镇当地的水环境，</w:t>
            </w:r>
            <w:r>
              <w:rPr>
                <w:rFonts w:hint="eastAsia" w:cs="宋体"/>
                <w:color w:val="auto"/>
                <w:sz w:val="24"/>
                <w:szCs w:val="24"/>
                <w:highlight w:val="none"/>
                <w:shd w:val="clear" w:color="auto" w:fill="auto"/>
              </w:rPr>
              <w:t>完善镇区配套设施、保障镇区公共服务的需要，将推动城镇公共服务的普及化与均等化，保护生态环境，保障经济持续稳定发展，提高人民的生活质量，必须加快污水处理设施的完善建设工作，提高污水收集率。</w:t>
            </w:r>
            <w:r>
              <w:rPr>
                <w:rFonts w:hint="eastAsia" w:cs="宋体"/>
                <w:color w:val="auto"/>
                <w:sz w:val="24"/>
                <w:szCs w:val="24"/>
                <w:highlight w:val="none"/>
                <w:shd w:val="clear" w:color="auto" w:fill="auto"/>
                <w:lang w:val="en-US" w:eastAsia="zh-CN"/>
              </w:rPr>
              <w:t>湘阴县湘滨</w:t>
            </w:r>
            <w:r>
              <w:rPr>
                <w:rFonts w:hint="eastAsia" w:cs="宋体"/>
                <w:color w:val="auto"/>
                <w:sz w:val="24"/>
                <w:szCs w:val="24"/>
                <w:highlight w:val="none"/>
                <w:shd w:val="clear" w:color="auto" w:fill="auto"/>
              </w:rPr>
              <w:t>镇污水处理厂的建设是将</w:t>
            </w:r>
            <w:r>
              <w:rPr>
                <w:rFonts w:hint="eastAsia" w:cs="宋体"/>
                <w:color w:val="auto"/>
                <w:sz w:val="24"/>
                <w:szCs w:val="24"/>
                <w:highlight w:val="none"/>
                <w:shd w:val="clear" w:color="auto" w:fill="auto"/>
                <w:lang w:val="en-US" w:eastAsia="zh-CN"/>
              </w:rPr>
              <w:t>湘滨镇</w:t>
            </w:r>
            <w:r>
              <w:rPr>
                <w:rFonts w:hint="eastAsia" w:cs="宋体"/>
                <w:color w:val="auto"/>
                <w:sz w:val="24"/>
                <w:szCs w:val="24"/>
                <w:highlight w:val="none"/>
                <w:shd w:val="clear" w:color="auto" w:fill="auto"/>
              </w:rPr>
              <w:t>纳入污水处理范围的必然工程，</w:t>
            </w:r>
            <w:r>
              <w:rPr>
                <w:rFonts w:hint="eastAsia" w:cs="宋体"/>
                <w:color w:val="auto"/>
                <w:sz w:val="24"/>
                <w:szCs w:val="24"/>
                <w:highlight w:val="none"/>
                <w:shd w:val="clear" w:color="auto" w:fill="auto"/>
                <w:lang w:eastAsia="zh-CN"/>
              </w:rPr>
              <w:t>将大幅提高</w:t>
            </w:r>
            <w:r>
              <w:rPr>
                <w:rFonts w:hint="eastAsia" w:cs="宋体"/>
                <w:color w:val="auto"/>
                <w:sz w:val="24"/>
                <w:szCs w:val="24"/>
                <w:highlight w:val="none"/>
                <w:shd w:val="clear" w:color="auto" w:fill="auto"/>
                <w:lang w:val="en-US" w:eastAsia="zh-CN"/>
              </w:rPr>
              <w:t>湘滨镇</w:t>
            </w:r>
            <w:r>
              <w:rPr>
                <w:rFonts w:hint="eastAsia" w:cs="宋体"/>
                <w:color w:val="auto"/>
                <w:sz w:val="24"/>
                <w:szCs w:val="24"/>
                <w:highlight w:val="none"/>
                <w:shd w:val="clear" w:color="auto" w:fill="auto"/>
                <w:lang w:eastAsia="zh-CN"/>
              </w:rPr>
              <w:t>生活污水的收集处理率</w:t>
            </w:r>
            <w:r>
              <w:rPr>
                <w:rFonts w:hint="eastAsia" w:cs="宋体"/>
                <w:color w:val="auto"/>
                <w:sz w:val="24"/>
                <w:szCs w:val="24"/>
                <w:highlight w:val="none"/>
                <w:shd w:val="clear" w:color="auto" w:fill="auto"/>
              </w:rPr>
              <w:t>，因此，本工程是保护生态环境的需要，对改善居住环境，提高人民健康水平和生活质量，树立城镇良好的对外形象，促进和谐社会的发展，都有着重要意义。根据《湘阴县湘滨镇乡镇排水与污水处理工程专项规划》（2018-2030）</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本项目建设已纳入城湘滨镇镇规划。</w:t>
            </w:r>
          </w:p>
          <w:p>
            <w:pPr>
              <w:adjustRightInd w:val="0"/>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项目于2017年9月26日取得岳阳市发展和改革委员会关于湘阴县集镇污水处理设施建设项目可行性研究报告的批复，批复文号为岳发改审[2017]101号；项目于2018年8月14日取得岳阳市发展和改革委员会关于变更湘阴县集镇污水处理设施项目业主的批复；项目于2018年8月14日取得岳阳市发展和改革委员会关于调整湘阴县集镇污水处理设施建设(PPP)项目建设规模及内容的批复，批复文号为岳发改审[2020]92号。</w:t>
            </w:r>
          </w:p>
          <w:p>
            <w:pPr>
              <w:adjustRightInd w:val="0"/>
              <w:snapToGrid w:val="0"/>
              <w:spacing w:line="480" w:lineRule="exact"/>
              <w:ind w:firstLine="480" w:firstLineChars="200"/>
              <w:rPr>
                <w:color w:val="auto"/>
                <w:sz w:val="24"/>
                <w:szCs w:val="24"/>
                <w:highlight w:val="none"/>
              </w:rPr>
            </w:pPr>
            <w:r>
              <w:rPr>
                <w:rFonts w:hint="eastAsia" w:cs="宋体"/>
                <w:color w:val="auto"/>
                <w:sz w:val="24"/>
                <w:szCs w:val="24"/>
                <w:highlight w:val="none"/>
              </w:rPr>
              <w:t>根据《中华人民共和国环境影响评价法》（2016.09.01）、国务院令第 682 号《建设</w:t>
            </w:r>
            <w:bookmarkStart w:id="0" w:name="1.3__项目内容及规模"/>
            <w:bookmarkEnd w:id="0"/>
            <w:r>
              <w:rPr>
                <w:rFonts w:hint="eastAsia" w:cs="宋体"/>
                <w:color w:val="auto"/>
                <w:sz w:val="24"/>
                <w:szCs w:val="24"/>
                <w:highlight w:val="none"/>
              </w:rPr>
              <w:t>项目环境保护管理条例》（2017.10.1）、按照国家环保部第 44 号令《建设项目环境影响评价分类管理名录》（国家环保部 2017 年 9 月 1 日）等有关规定，本项目污水厂属于“三十三、水的生产和供应业”第 96 项“生活污水集中处理”中“其他”类，管网部分属于“四十九、交通运输业、管道运输业和仓储业—城镇管网及管廊建设(不含 1.6 兆帕及以下的天然气管道）—新建”，应编制环境影响报告表，因此，</w:t>
            </w:r>
            <w:r>
              <w:rPr>
                <w:rFonts w:hint="eastAsia" w:cs="宋体"/>
                <w:color w:val="auto"/>
                <w:sz w:val="24"/>
                <w:szCs w:val="24"/>
                <w:highlight w:val="none"/>
                <w:lang w:val="en-US" w:eastAsia="zh-CN"/>
              </w:rPr>
              <w:t>湘阴县</w:t>
            </w:r>
            <w:r>
              <w:rPr>
                <w:rFonts w:hint="eastAsia" w:cs="宋体"/>
                <w:color w:val="auto"/>
                <w:sz w:val="24"/>
                <w:szCs w:val="24"/>
                <w:highlight w:val="none"/>
              </w:rPr>
              <w:t>住房和城乡建设局委托</w:t>
            </w:r>
            <w:r>
              <w:rPr>
                <w:rFonts w:hint="eastAsia" w:cs="宋体"/>
                <w:color w:val="auto"/>
                <w:sz w:val="24"/>
                <w:szCs w:val="24"/>
                <w:highlight w:val="none"/>
                <w:lang w:val="en-US" w:eastAsia="zh-CN"/>
              </w:rPr>
              <w:t>湖南</w:t>
            </w:r>
            <w:r>
              <w:rPr>
                <w:rFonts w:hint="eastAsia" w:cs="宋体"/>
                <w:color w:val="auto"/>
                <w:sz w:val="24"/>
                <w:szCs w:val="24"/>
                <w:highlight w:val="none"/>
                <w:shd w:val="clear" w:color="auto" w:fill="auto"/>
              </w:rPr>
              <w:t>景玺环保科技有限公司</w:t>
            </w:r>
            <w:r>
              <w:rPr>
                <w:rFonts w:hint="eastAsia" w:cs="宋体"/>
                <w:color w:val="auto"/>
                <w:sz w:val="24"/>
                <w:szCs w:val="24"/>
                <w:highlight w:val="none"/>
              </w:rPr>
              <w:t>承担该项目环境影响评价的编制工作。评价人员通过对工程区域及其周边环境调查、资料收集工作，按照建设项目《环境影响评价技术导则》要求，编制了本项目环境影响报告表。</w:t>
            </w:r>
          </w:p>
          <w:p>
            <w:pPr>
              <w:spacing w:line="360" w:lineRule="auto"/>
              <w:ind w:firstLine="510"/>
              <w:rPr>
                <w:b/>
                <w:bCs/>
                <w:color w:val="auto"/>
                <w:sz w:val="24"/>
                <w:szCs w:val="24"/>
                <w:highlight w:val="none"/>
              </w:rPr>
            </w:pPr>
            <w:r>
              <w:rPr>
                <w:rFonts w:hint="eastAsia" w:cs="宋体"/>
                <w:b/>
                <w:bCs/>
                <w:color w:val="auto"/>
                <w:sz w:val="24"/>
                <w:szCs w:val="24"/>
                <w:highlight w:val="none"/>
              </w:rPr>
              <w:t>二、项目基本情况</w:t>
            </w:r>
          </w:p>
          <w:p>
            <w:pPr>
              <w:spacing w:line="360" w:lineRule="auto"/>
              <w:ind w:firstLine="510"/>
              <w:rPr>
                <w:b/>
                <w:bCs/>
                <w:color w:val="auto"/>
                <w:sz w:val="24"/>
                <w:szCs w:val="24"/>
                <w:highlight w:val="none"/>
              </w:rPr>
            </w:pPr>
            <w:r>
              <w:rPr>
                <w:b/>
                <w:bCs/>
                <w:color w:val="auto"/>
                <w:sz w:val="24"/>
                <w:szCs w:val="24"/>
                <w:highlight w:val="none"/>
              </w:rPr>
              <w:t>1</w:t>
            </w:r>
            <w:r>
              <w:rPr>
                <w:rFonts w:hint="eastAsia" w:cs="宋体"/>
                <w:b/>
                <w:bCs/>
                <w:color w:val="auto"/>
                <w:sz w:val="24"/>
                <w:szCs w:val="24"/>
                <w:highlight w:val="none"/>
              </w:rPr>
              <w:t>、项目名称、地点、建设单位及性质</w:t>
            </w:r>
          </w:p>
          <w:p>
            <w:pPr>
              <w:spacing w:line="360" w:lineRule="auto"/>
              <w:ind w:firstLine="510"/>
              <w:rPr>
                <w:rFonts w:hint="eastAsia" w:eastAsia="宋体" w:cs="宋体"/>
                <w:color w:val="auto"/>
                <w:sz w:val="24"/>
                <w:szCs w:val="24"/>
                <w:highlight w:val="none"/>
                <w:lang w:eastAsia="zh-CN"/>
              </w:rPr>
            </w:pPr>
            <w:r>
              <w:rPr>
                <w:rFonts w:hint="eastAsia" w:cs="宋体"/>
                <w:color w:val="auto"/>
                <w:sz w:val="24"/>
                <w:szCs w:val="24"/>
                <w:highlight w:val="none"/>
              </w:rPr>
              <w:t>项目名称：</w:t>
            </w:r>
            <w:r>
              <w:rPr>
                <w:rFonts w:hint="eastAsia" w:cs="宋体"/>
                <w:color w:val="auto"/>
                <w:sz w:val="24"/>
                <w:szCs w:val="24"/>
                <w:highlight w:val="none"/>
                <w:lang w:val="en-US" w:eastAsia="zh-CN"/>
              </w:rPr>
              <w:t>湘阴县湘滨镇</w:t>
            </w:r>
            <w:r>
              <w:rPr>
                <w:rFonts w:hint="eastAsia" w:cs="宋体"/>
                <w:color w:val="auto"/>
                <w:sz w:val="24"/>
                <w:szCs w:val="24"/>
                <w:highlight w:val="none"/>
              </w:rPr>
              <w:t>污水处理</w:t>
            </w:r>
            <w:r>
              <w:rPr>
                <w:rFonts w:hint="eastAsia" w:cs="宋体"/>
                <w:color w:val="auto"/>
                <w:sz w:val="24"/>
                <w:szCs w:val="24"/>
                <w:highlight w:val="none"/>
                <w:lang w:val="en-US" w:eastAsia="zh-CN"/>
              </w:rPr>
              <w:t>工程</w:t>
            </w:r>
            <w:r>
              <w:rPr>
                <w:rFonts w:hint="eastAsia" w:cs="宋体"/>
                <w:color w:val="auto"/>
                <w:sz w:val="24"/>
                <w:szCs w:val="24"/>
                <w:highlight w:val="none"/>
              </w:rPr>
              <w:t>项目</w:t>
            </w:r>
            <w:r>
              <w:rPr>
                <w:rFonts w:hint="eastAsia" w:cs="宋体"/>
                <w:color w:val="auto"/>
                <w:sz w:val="24"/>
                <w:szCs w:val="24"/>
                <w:highlight w:val="none"/>
                <w:lang w:eastAsia="zh-CN"/>
              </w:rPr>
              <w:t>（</w:t>
            </w:r>
            <w:r>
              <w:rPr>
                <w:rFonts w:hint="eastAsia" w:cs="宋体"/>
                <w:color w:val="auto"/>
                <w:sz w:val="24"/>
                <w:szCs w:val="24"/>
                <w:highlight w:val="none"/>
                <w:lang w:val="en-US" w:eastAsia="zh-CN"/>
              </w:rPr>
              <w:t>300m</w:t>
            </w:r>
            <w:r>
              <w:rPr>
                <w:rFonts w:hint="eastAsia" w:cs="宋体"/>
                <w:color w:val="auto"/>
                <w:sz w:val="24"/>
                <w:szCs w:val="24"/>
                <w:highlight w:val="none"/>
                <w:vertAlign w:val="superscript"/>
                <w:lang w:val="en-US" w:eastAsia="zh-CN"/>
              </w:rPr>
              <w:t>3</w:t>
            </w:r>
            <w:r>
              <w:rPr>
                <w:rFonts w:hint="eastAsia" w:cs="宋体"/>
                <w:color w:val="auto"/>
                <w:sz w:val="24"/>
                <w:szCs w:val="24"/>
                <w:highlight w:val="none"/>
                <w:lang w:val="en-US" w:eastAsia="zh-CN"/>
              </w:rPr>
              <w:t>/d</w:t>
            </w:r>
            <w:r>
              <w:rPr>
                <w:rFonts w:hint="eastAsia" w:cs="宋体"/>
                <w:color w:val="auto"/>
                <w:sz w:val="24"/>
                <w:szCs w:val="24"/>
                <w:highlight w:val="none"/>
                <w:lang w:eastAsia="zh-CN"/>
              </w:rPr>
              <w:t>）</w:t>
            </w:r>
          </w:p>
          <w:p>
            <w:pPr>
              <w:spacing w:line="360" w:lineRule="auto"/>
              <w:ind w:firstLine="510"/>
              <w:rPr>
                <w:color w:val="auto"/>
                <w:sz w:val="24"/>
                <w:szCs w:val="24"/>
                <w:highlight w:val="none"/>
                <w:shd w:val="clear" w:color="auto" w:fill="auto"/>
              </w:rPr>
            </w:pPr>
            <w:r>
              <w:rPr>
                <w:rFonts w:hint="eastAsia" w:cs="宋体"/>
                <w:color w:val="auto"/>
                <w:sz w:val="24"/>
                <w:szCs w:val="24"/>
                <w:highlight w:val="none"/>
                <w:shd w:val="clear" w:color="auto" w:fill="auto"/>
              </w:rPr>
              <w:t>业主单位：湘阴县住房和城乡建设局</w:t>
            </w:r>
          </w:p>
          <w:p>
            <w:pPr>
              <w:spacing w:line="360" w:lineRule="auto"/>
              <w:ind w:firstLine="510"/>
              <w:rPr>
                <w:color w:val="auto"/>
                <w:sz w:val="24"/>
                <w:szCs w:val="24"/>
                <w:highlight w:val="none"/>
              </w:rPr>
            </w:pPr>
            <w:r>
              <w:rPr>
                <w:rFonts w:hint="eastAsia" w:cs="宋体"/>
                <w:color w:val="auto"/>
                <w:sz w:val="24"/>
                <w:szCs w:val="24"/>
                <w:highlight w:val="none"/>
              </w:rPr>
              <w:t>建设地点：</w:t>
            </w:r>
            <w:r>
              <w:rPr>
                <w:rFonts w:hint="eastAsia" w:cs="宋体"/>
                <w:color w:val="auto"/>
                <w:sz w:val="24"/>
                <w:szCs w:val="24"/>
                <w:highlight w:val="none"/>
                <w:lang w:val="en-US" w:eastAsia="zh-CN"/>
              </w:rPr>
              <w:t>湘阴县湘滨镇</w:t>
            </w:r>
          </w:p>
          <w:p>
            <w:pPr>
              <w:spacing w:line="360" w:lineRule="auto"/>
              <w:ind w:firstLine="510"/>
              <w:rPr>
                <w:color w:val="auto"/>
                <w:sz w:val="24"/>
                <w:szCs w:val="24"/>
                <w:highlight w:val="none"/>
              </w:rPr>
            </w:pPr>
            <w:r>
              <w:rPr>
                <w:rFonts w:hint="eastAsia" w:cs="宋体"/>
                <w:color w:val="auto"/>
                <w:sz w:val="24"/>
                <w:szCs w:val="24"/>
                <w:highlight w:val="none"/>
              </w:rPr>
              <w:t>建设规模：污水处理厂规模为</w:t>
            </w:r>
            <w:r>
              <w:rPr>
                <w:rFonts w:hint="eastAsia" w:cs="宋体"/>
                <w:color w:val="auto"/>
                <w:sz w:val="24"/>
                <w:szCs w:val="24"/>
                <w:highlight w:val="none"/>
                <w:lang w:val="en-US" w:eastAsia="zh-CN"/>
              </w:rPr>
              <w:t>300</w:t>
            </w:r>
            <w:r>
              <w:rPr>
                <w:color w:val="auto"/>
                <w:sz w:val="24"/>
                <w:szCs w:val="24"/>
                <w:highlight w:val="none"/>
              </w:rPr>
              <w:t>m</w:t>
            </w:r>
            <w:r>
              <w:rPr>
                <w:color w:val="auto"/>
                <w:sz w:val="24"/>
                <w:szCs w:val="24"/>
                <w:highlight w:val="none"/>
                <w:vertAlign w:val="superscript"/>
              </w:rPr>
              <w:t>3</w:t>
            </w:r>
            <w:r>
              <w:rPr>
                <w:color w:val="auto"/>
                <w:sz w:val="24"/>
                <w:szCs w:val="24"/>
                <w:highlight w:val="none"/>
              </w:rPr>
              <w:t>/d</w:t>
            </w:r>
          </w:p>
          <w:p>
            <w:pPr>
              <w:spacing w:line="360" w:lineRule="auto"/>
              <w:ind w:firstLine="510"/>
              <w:rPr>
                <w:color w:val="auto"/>
                <w:sz w:val="24"/>
                <w:szCs w:val="24"/>
                <w:highlight w:val="none"/>
              </w:rPr>
            </w:pPr>
            <w:r>
              <w:rPr>
                <w:rFonts w:hint="eastAsia" w:cs="宋体"/>
                <w:color w:val="auto"/>
                <w:sz w:val="24"/>
                <w:szCs w:val="24"/>
                <w:highlight w:val="none"/>
              </w:rPr>
              <w:t>建设性质：新建</w:t>
            </w:r>
          </w:p>
          <w:p>
            <w:pPr>
              <w:spacing w:line="360" w:lineRule="auto"/>
              <w:ind w:firstLine="510"/>
              <w:rPr>
                <w:color w:val="auto"/>
                <w:sz w:val="24"/>
                <w:szCs w:val="24"/>
                <w:highlight w:val="none"/>
              </w:rPr>
            </w:pPr>
            <w:r>
              <w:rPr>
                <w:rFonts w:hint="eastAsia" w:cs="宋体"/>
                <w:color w:val="auto"/>
                <w:sz w:val="24"/>
                <w:szCs w:val="24"/>
                <w:highlight w:val="none"/>
              </w:rPr>
              <w:t>本项目的地理位置图见附图一。</w:t>
            </w:r>
          </w:p>
          <w:p>
            <w:pPr>
              <w:spacing w:line="360" w:lineRule="auto"/>
              <w:ind w:firstLine="510"/>
              <w:rPr>
                <w:b/>
                <w:bCs/>
                <w:color w:val="auto"/>
                <w:sz w:val="24"/>
                <w:szCs w:val="24"/>
                <w:highlight w:val="none"/>
              </w:rPr>
            </w:pPr>
            <w:r>
              <w:rPr>
                <w:b/>
                <w:bCs/>
                <w:color w:val="auto"/>
                <w:sz w:val="24"/>
                <w:szCs w:val="24"/>
                <w:highlight w:val="none"/>
              </w:rPr>
              <w:t>2</w:t>
            </w:r>
            <w:r>
              <w:rPr>
                <w:rFonts w:hint="eastAsia" w:cs="宋体"/>
                <w:b/>
                <w:bCs/>
                <w:color w:val="auto"/>
                <w:sz w:val="24"/>
                <w:szCs w:val="24"/>
                <w:highlight w:val="none"/>
              </w:rPr>
              <w:t>、主要建设内容</w:t>
            </w:r>
          </w:p>
          <w:p>
            <w:pPr>
              <w:spacing w:line="460" w:lineRule="exact"/>
              <w:ind w:firstLine="480" w:firstLineChars="200"/>
              <w:rPr>
                <w:rFonts w:cs="宋体"/>
                <w:color w:val="auto"/>
                <w:sz w:val="24"/>
                <w:szCs w:val="24"/>
                <w:highlight w:val="none"/>
                <w:u w:val="single"/>
              </w:rPr>
            </w:pPr>
            <w:r>
              <w:rPr>
                <w:rFonts w:hint="eastAsia" w:cs="宋体"/>
                <w:color w:val="auto"/>
                <w:sz w:val="24"/>
                <w:szCs w:val="24"/>
                <w:highlight w:val="none"/>
                <w:u w:val="none"/>
              </w:rPr>
              <w:t>本污水处理厂厂区</w:t>
            </w:r>
            <w:r>
              <w:rPr>
                <w:rFonts w:hint="eastAsia" w:cs="宋体"/>
                <w:color w:val="auto"/>
                <w:sz w:val="24"/>
                <w:szCs w:val="24"/>
                <w:highlight w:val="none"/>
                <w:u w:val="none"/>
                <w:lang w:val="en-US" w:eastAsia="zh-CN"/>
              </w:rPr>
              <w:t>近期</w:t>
            </w:r>
            <w:r>
              <w:rPr>
                <w:rFonts w:hint="eastAsia" w:cs="宋体"/>
                <w:color w:val="auto"/>
                <w:sz w:val="24"/>
                <w:szCs w:val="24"/>
                <w:highlight w:val="none"/>
                <w:u w:val="none"/>
              </w:rPr>
              <w:t>占地面积</w:t>
            </w:r>
            <w:r>
              <w:rPr>
                <w:rFonts w:hint="eastAsia"/>
                <w:color w:val="auto"/>
                <w:sz w:val="24"/>
                <w:szCs w:val="24"/>
                <w:highlight w:val="none"/>
                <w:u w:val="none"/>
                <w:lang w:val="en-US" w:eastAsia="zh-CN"/>
              </w:rPr>
              <w:t>1286.67</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s="宋体"/>
                <w:color w:val="auto"/>
                <w:sz w:val="24"/>
                <w:szCs w:val="24"/>
                <w:highlight w:val="none"/>
                <w:u w:val="none"/>
              </w:rPr>
              <w:t>，</w:t>
            </w:r>
            <w:r>
              <w:rPr>
                <w:rFonts w:hint="eastAsia" w:cs="宋体"/>
                <w:color w:val="auto"/>
                <w:sz w:val="24"/>
                <w:szCs w:val="24"/>
                <w:highlight w:val="none"/>
                <w:u w:val="none"/>
                <w:lang w:val="en-US" w:eastAsia="zh-CN"/>
              </w:rPr>
              <w:t>总占地面积1406.67</w:t>
            </w:r>
            <w:r>
              <w:rPr>
                <w:rFonts w:hint="eastAsia"/>
                <w:color w:val="auto"/>
                <w:sz w:val="24"/>
                <w:szCs w:val="24"/>
                <w:highlight w:val="none"/>
                <w:u w:val="none"/>
              </w:rPr>
              <w:t>m</w:t>
            </w:r>
            <w:r>
              <w:rPr>
                <w:rFonts w:hint="eastAsia"/>
                <w:color w:val="auto"/>
                <w:sz w:val="24"/>
                <w:szCs w:val="24"/>
                <w:highlight w:val="none"/>
                <w:u w:val="none"/>
                <w:vertAlign w:val="superscript"/>
              </w:rPr>
              <w:t>2</w:t>
            </w:r>
            <w:r>
              <w:rPr>
                <w:rFonts w:hint="eastAsia"/>
                <w:color w:val="auto"/>
                <w:sz w:val="24"/>
                <w:szCs w:val="24"/>
                <w:highlight w:val="none"/>
                <w:u w:val="none"/>
                <w:vertAlign w:val="baseline"/>
                <w:lang w:eastAsia="zh-CN"/>
              </w:rPr>
              <w:t>，</w:t>
            </w:r>
            <w:r>
              <w:rPr>
                <w:rFonts w:hint="eastAsia" w:cs="宋体"/>
                <w:color w:val="auto"/>
                <w:sz w:val="24"/>
                <w:szCs w:val="24"/>
                <w:highlight w:val="none"/>
                <w:u w:val="none"/>
              </w:rPr>
              <w:t>建筑和构筑物面积约212m</w:t>
            </w:r>
            <w:r>
              <w:rPr>
                <w:rFonts w:hint="eastAsia" w:cs="宋体"/>
                <w:color w:val="auto"/>
                <w:sz w:val="24"/>
                <w:szCs w:val="24"/>
                <w:highlight w:val="none"/>
                <w:u w:val="none"/>
                <w:vertAlign w:val="superscript"/>
              </w:rPr>
              <w:t>2</w:t>
            </w:r>
            <w:r>
              <w:rPr>
                <w:rFonts w:hint="eastAsia" w:cs="宋体"/>
                <w:color w:val="auto"/>
                <w:sz w:val="24"/>
                <w:szCs w:val="24"/>
                <w:highlight w:val="none"/>
                <w:u w:val="none"/>
              </w:rPr>
              <w:t>，设计处理规模为</w:t>
            </w:r>
            <w:r>
              <w:rPr>
                <w:rFonts w:hint="eastAsia"/>
                <w:color w:val="auto"/>
                <w:sz w:val="24"/>
                <w:szCs w:val="24"/>
                <w:highlight w:val="none"/>
                <w:u w:val="none"/>
                <w:lang w:val="en-US" w:eastAsia="zh-CN"/>
              </w:rPr>
              <w:t>300</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rPr>
              <w:t>，</w:t>
            </w:r>
            <w:r>
              <w:rPr>
                <w:rFonts w:hint="eastAsia"/>
                <w:color w:val="auto"/>
                <w:sz w:val="24"/>
                <w:szCs w:val="24"/>
                <w:highlight w:val="none"/>
                <w:u w:val="none"/>
                <w:lang w:val="en-US" w:eastAsia="zh-CN"/>
              </w:rPr>
              <w:t>远期规模为600</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lang w:eastAsia="zh-CN"/>
              </w:rPr>
              <w:t>，</w:t>
            </w:r>
            <w:r>
              <w:rPr>
                <w:rFonts w:hint="eastAsia" w:cs="宋体"/>
                <w:color w:val="auto"/>
                <w:sz w:val="24"/>
                <w:szCs w:val="24"/>
                <w:highlight w:val="none"/>
                <w:u w:val="none"/>
              </w:rPr>
              <w:t>本工程配套建设污水管网总长约</w:t>
            </w:r>
            <w:r>
              <w:rPr>
                <w:rFonts w:hint="eastAsia" w:cs="宋体"/>
                <w:color w:val="auto"/>
                <w:sz w:val="24"/>
                <w:szCs w:val="24"/>
                <w:highlight w:val="none"/>
                <w:u w:val="none"/>
                <w:lang w:val="en-US" w:eastAsia="zh-CN"/>
              </w:rPr>
              <w:t>6.68k</w:t>
            </w:r>
            <w:r>
              <w:rPr>
                <w:rFonts w:hint="eastAsia" w:cs="宋体"/>
                <w:color w:val="auto"/>
                <w:sz w:val="24"/>
                <w:szCs w:val="24"/>
                <w:highlight w:val="none"/>
                <w:u w:val="none"/>
              </w:rPr>
              <w:t>m。</w:t>
            </w:r>
            <w:r>
              <w:rPr>
                <w:rFonts w:hint="eastAsia" w:cs="宋体"/>
                <w:color w:val="auto"/>
                <w:sz w:val="24"/>
                <w:szCs w:val="24"/>
                <w:highlight w:val="none"/>
                <w:u w:val="single"/>
                <w:lang w:val="en-US" w:eastAsia="zh-CN"/>
              </w:rPr>
              <w:t>根据《湘阴县湘滨镇污水处理工程可行性研究报告》确定</w:t>
            </w:r>
            <w:r>
              <w:rPr>
                <w:rFonts w:hint="eastAsia" w:cs="宋体"/>
                <w:color w:val="auto"/>
                <w:sz w:val="24"/>
                <w:szCs w:val="24"/>
                <w:highlight w:val="none"/>
                <w:u w:val="single"/>
              </w:rPr>
              <w:t>污水</w:t>
            </w:r>
            <w:r>
              <w:rPr>
                <w:rFonts w:hint="eastAsia" w:cs="宋体"/>
                <w:color w:val="auto"/>
                <w:sz w:val="24"/>
                <w:szCs w:val="24"/>
                <w:highlight w:val="none"/>
                <w:u w:val="single"/>
                <w:shd w:val="clear" w:color="auto" w:fill="auto"/>
              </w:rPr>
              <w:t>处理工艺采用“格栅渠-调节池+A2O 污水处理工艺+软性固定填料过滤模块过滤+ 紫外消毒处理+计量出水”工艺。</w:t>
            </w:r>
            <w:r>
              <w:rPr>
                <w:rFonts w:hint="eastAsia" w:ascii="Times New Roman" w:hAnsi="Times New Roman" w:cs="Times New Roman"/>
                <w:color w:val="auto"/>
                <w:sz w:val="24"/>
                <w:szCs w:val="24"/>
                <w:u w:val="single"/>
                <w:lang w:eastAsia="zh-CN"/>
              </w:rPr>
              <w:t>本项目污泥由运泥车定期输送至南湖洲镇污水处理厂进行脱水，然后运至砖厂制砖。</w:t>
            </w:r>
            <w:r>
              <w:rPr>
                <w:rFonts w:hint="eastAsia" w:cs="宋体"/>
                <w:color w:val="auto"/>
                <w:sz w:val="24"/>
                <w:szCs w:val="24"/>
                <w:highlight w:val="none"/>
                <w:u w:val="single"/>
              </w:rPr>
              <w:t>出水水质《城镇污水厂污染物排放标准》（</w:t>
            </w:r>
            <w:r>
              <w:rPr>
                <w:color w:val="auto"/>
                <w:sz w:val="24"/>
                <w:szCs w:val="24"/>
                <w:highlight w:val="none"/>
                <w:u w:val="single"/>
              </w:rPr>
              <w:t>GB18918-2002</w:t>
            </w:r>
            <w:r>
              <w:rPr>
                <w:rFonts w:hint="eastAsia" w:cs="宋体"/>
                <w:color w:val="auto"/>
                <w:sz w:val="24"/>
                <w:szCs w:val="24"/>
                <w:highlight w:val="none"/>
                <w:u w:val="single"/>
              </w:rPr>
              <w:t>）一级</w:t>
            </w:r>
            <w:r>
              <w:rPr>
                <w:color w:val="auto"/>
                <w:sz w:val="24"/>
                <w:szCs w:val="24"/>
                <w:highlight w:val="none"/>
                <w:u w:val="single"/>
              </w:rPr>
              <w:t>A</w:t>
            </w:r>
            <w:r>
              <w:rPr>
                <w:rFonts w:hint="eastAsia" w:cs="宋体"/>
                <w:color w:val="auto"/>
                <w:sz w:val="24"/>
                <w:szCs w:val="24"/>
                <w:highlight w:val="none"/>
                <w:u w:val="single"/>
              </w:rPr>
              <w:t>标准。</w:t>
            </w:r>
          </w:p>
          <w:p>
            <w:pPr>
              <w:spacing w:line="360" w:lineRule="auto"/>
              <w:ind w:firstLine="510"/>
              <w:jc w:val="center"/>
              <w:rPr>
                <w:rFonts w:cs="宋体"/>
                <w:b/>
                <w:bCs/>
                <w:color w:val="auto"/>
                <w:sz w:val="24"/>
                <w:szCs w:val="24"/>
                <w:highlight w:val="none"/>
                <w:u w:val="none"/>
              </w:rPr>
            </w:pPr>
            <w:r>
              <w:rPr>
                <w:rFonts w:hint="eastAsia" w:cs="宋体"/>
                <w:b/>
                <w:bCs/>
                <w:color w:val="auto"/>
                <w:sz w:val="24"/>
                <w:szCs w:val="24"/>
                <w:highlight w:val="none"/>
                <w:u w:val="none"/>
              </w:rPr>
              <w:t>表1 项目工程内容</w:t>
            </w:r>
          </w:p>
          <w:tbl>
            <w:tblPr>
              <w:tblStyle w:val="29"/>
              <w:tblW w:w="8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272"/>
              <w:gridCol w:w="6275"/>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tcBorders>
                    <w:left w:val="nil"/>
                  </w:tcBorders>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项目名称</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主要建设内容</w:t>
                  </w:r>
                </w:p>
              </w:tc>
              <w:tc>
                <w:tcPr>
                  <w:tcW w:w="744" w:type="dxa"/>
                  <w:tcBorders>
                    <w:right w:val="nil"/>
                  </w:tcBorders>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主体工程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厂区</w:t>
                  </w:r>
                </w:p>
              </w:tc>
              <w:tc>
                <w:tcPr>
                  <w:tcW w:w="6275" w:type="dxa"/>
                  <w:vAlign w:val="center"/>
                </w:tcPr>
                <w:p>
                  <w:pPr>
                    <w:pStyle w:val="107"/>
                    <w:spacing w:line="360" w:lineRule="exact"/>
                    <w:jc w:val="center"/>
                    <w:rPr>
                      <w:rFonts w:hint="default" w:ascii="Times New Roman" w:hAnsi="Times New Roman" w:cs="Times New Roman"/>
                      <w:color w:val="auto"/>
                      <w:sz w:val="21"/>
                      <w:szCs w:val="21"/>
                      <w:highlight w:val="none"/>
                      <w:u w:val="none"/>
                      <w:lang w:val="en-US" w:eastAsia="zh-CN"/>
                    </w:rPr>
                  </w:pPr>
                  <w:r>
                    <w:rPr>
                      <w:rFonts w:ascii="Times New Roman" w:hAnsi="Times New Roman" w:cs="Times New Roman"/>
                      <w:color w:val="auto"/>
                      <w:sz w:val="21"/>
                      <w:szCs w:val="21"/>
                      <w:highlight w:val="none"/>
                      <w:u w:val="none"/>
                    </w:rPr>
                    <w:t>主要建设内容有：</w:t>
                  </w:r>
                  <w:r>
                    <w:rPr>
                      <w:rFonts w:hint="eastAsia" w:ascii="Times New Roman" w:hAnsi="Times New Roman" w:cs="Times New Roman"/>
                      <w:color w:val="auto"/>
                      <w:sz w:val="21"/>
                      <w:szCs w:val="21"/>
                      <w:highlight w:val="none"/>
                      <w:u w:val="none"/>
                      <w:lang w:val="en-US" w:eastAsia="zh-CN"/>
                    </w:rPr>
                    <w:t>600</w:t>
                  </w:r>
                  <w:r>
                    <w:rPr>
                      <w:rFonts w:ascii="Times New Roman" w:hAnsi="Times New Roman" w:cs="Times New Roman"/>
                      <w:color w:val="auto"/>
                      <w:sz w:val="21"/>
                      <w:szCs w:val="21"/>
                      <w:highlight w:val="none"/>
                      <w:u w:val="none"/>
                    </w:rPr>
                    <w:t>m3/d</w:t>
                  </w:r>
                  <w:r>
                    <w:rPr>
                      <w:rFonts w:hint="eastAsia" w:ascii="Times New Roman" w:hAnsi="Times New Roman" w:cs="Times New Roman"/>
                      <w:color w:val="auto"/>
                      <w:sz w:val="21"/>
                      <w:szCs w:val="21"/>
                      <w:highlight w:val="none"/>
                      <w:u w:val="none"/>
                      <w:lang w:val="en-US" w:eastAsia="zh-CN"/>
                    </w:rPr>
                    <w:t>规模组合池（含格栅渠、沉砂池、调节池、污泥池）、300</w:t>
                  </w:r>
                  <w:r>
                    <w:rPr>
                      <w:rFonts w:ascii="Times New Roman" w:hAnsi="Times New Roman" w:cs="Times New Roman"/>
                      <w:color w:val="auto"/>
                      <w:sz w:val="21"/>
                      <w:szCs w:val="21"/>
                      <w:highlight w:val="none"/>
                      <w:u w:val="none"/>
                    </w:rPr>
                    <w:t>m3/d</w:t>
                  </w:r>
                  <w:r>
                    <w:rPr>
                      <w:rFonts w:hint="eastAsia" w:ascii="Times New Roman" w:hAnsi="Times New Roman" w:cs="Times New Roman"/>
                      <w:color w:val="auto"/>
                      <w:sz w:val="21"/>
                      <w:szCs w:val="21"/>
                      <w:highlight w:val="none"/>
                      <w:u w:val="none"/>
                      <w:lang w:val="en-US" w:eastAsia="zh-CN"/>
                    </w:rPr>
                    <w:t>紫外消毒池、300</w:t>
                  </w:r>
                  <w:r>
                    <w:rPr>
                      <w:rFonts w:ascii="Times New Roman" w:hAnsi="Times New Roman" w:cs="Times New Roman"/>
                      <w:color w:val="auto"/>
                      <w:sz w:val="21"/>
                      <w:szCs w:val="21"/>
                      <w:highlight w:val="none"/>
                      <w:u w:val="none"/>
                    </w:rPr>
                    <w:t>m3/d</w:t>
                  </w:r>
                  <w:r>
                    <w:rPr>
                      <w:rFonts w:hint="eastAsia" w:ascii="Times New Roman" w:hAnsi="Times New Roman" w:cs="Times New Roman"/>
                      <w:color w:val="auto"/>
                      <w:sz w:val="21"/>
                      <w:szCs w:val="21"/>
                      <w:highlight w:val="none"/>
                      <w:u w:val="none"/>
                      <w:lang w:val="en-US" w:eastAsia="zh-CN"/>
                    </w:rPr>
                    <w:t>巴氏计量槽、600</w:t>
                  </w:r>
                  <w:r>
                    <w:rPr>
                      <w:rFonts w:ascii="Times New Roman" w:hAnsi="Times New Roman" w:cs="Times New Roman"/>
                      <w:color w:val="auto"/>
                      <w:sz w:val="21"/>
                      <w:szCs w:val="21"/>
                      <w:highlight w:val="none"/>
                      <w:u w:val="none"/>
                    </w:rPr>
                    <w:t>m3/d</w:t>
                  </w:r>
                  <w:r>
                    <w:rPr>
                      <w:rFonts w:hint="eastAsia" w:ascii="Times New Roman" w:hAnsi="Times New Roman" w:cs="Times New Roman"/>
                      <w:color w:val="auto"/>
                      <w:sz w:val="21"/>
                      <w:szCs w:val="21"/>
                      <w:highlight w:val="none"/>
                      <w:u w:val="none"/>
                      <w:lang w:val="en-US" w:eastAsia="zh-CN"/>
                    </w:rPr>
                    <w:t>综合管理用房、300</w:t>
                  </w:r>
                  <w:r>
                    <w:rPr>
                      <w:rFonts w:ascii="Times New Roman" w:hAnsi="Times New Roman" w:cs="Times New Roman"/>
                      <w:color w:val="auto"/>
                      <w:sz w:val="21"/>
                      <w:szCs w:val="21"/>
                      <w:highlight w:val="none"/>
                      <w:u w:val="none"/>
                    </w:rPr>
                    <w:t>m3/d</w:t>
                  </w:r>
                  <w:r>
                    <w:rPr>
                      <w:rFonts w:hint="eastAsia" w:ascii="Times New Roman" w:hAnsi="Times New Roman" w:cs="Times New Roman"/>
                      <w:color w:val="auto"/>
                      <w:sz w:val="21"/>
                      <w:szCs w:val="21"/>
                      <w:highlight w:val="none"/>
                      <w:u w:val="none"/>
                      <w:lang w:val="en-US" w:eastAsia="zh-CN"/>
                    </w:rPr>
                    <w:t>规模一体化设备（A2O+过滤）</w:t>
                  </w:r>
                </w:p>
              </w:tc>
              <w:tc>
                <w:tcPr>
                  <w:tcW w:w="744" w:type="dxa"/>
                  <w:tcBorders>
                    <w:right w:val="nil"/>
                  </w:tcBorders>
                  <w:vAlign w:val="center"/>
                </w:tcPr>
                <w:p>
                  <w:pPr>
                    <w:pStyle w:val="107"/>
                    <w:spacing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截污管道</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 xml:space="preserve">污水管网总长 </w:t>
                  </w:r>
                  <w:r>
                    <w:rPr>
                      <w:rFonts w:hint="eastAsia" w:ascii="Times New Roman" w:hAnsi="Times New Roman" w:cs="Times New Roman"/>
                      <w:color w:val="auto"/>
                      <w:sz w:val="21"/>
                      <w:szCs w:val="21"/>
                      <w:highlight w:val="none"/>
                      <w:u w:val="none"/>
                      <w:lang w:val="en-US" w:eastAsia="zh-CN"/>
                    </w:rPr>
                    <w:t>6.68</w:t>
                  </w:r>
                  <w:r>
                    <w:rPr>
                      <w:rFonts w:ascii="Times New Roman" w:hAnsi="Times New Roman" w:cs="Times New Roman"/>
                      <w:color w:val="auto"/>
                      <w:sz w:val="21"/>
                      <w:szCs w:val="21"/>
                      <w:highlight w:val="none"/>
                      <w:u w:val="none"/>
                    </w:rPr>
                    <w:t>km</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公用工程</w:t>
                  </w:r>
                </w:p>
              </w:tc>
              <w:tc>
                <w:tcPr>
                  <w:tcW w:w="1272" w:type="dxa"/>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供电</w:t>
                  </w:r>
                </w:p>
              </w:tc>
              <w:tc>
                <w:tcPr>
                  <w:tcW w:w="6275" w:type="dxa"/>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国家电网供电</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供水</w:t>
                  </w:r>
                </w:p>
              </w:tc>
              <w:tc>
                <w:tcPr>
                  <w:tcW w:w="6275" w:type="dxa"/>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自来供水，由镇</w:t>
                  </w:r>
                  <w:r>
                    <w:rPr>
                      <w:rFonts w:hint="eastAsia" w:ascii="Times New Roman" w:hAnsi="Times New Roman" w:cs="Times New Roman"/>
                      <w:color w:val="auto"/>
                      <w:sz w:val="21"/>
                      <w:szCs w:val="21"/>
                      <w:highlight w:val="none"/>
                      <w:u w:val="none"/>
                    </w:rPr>
                    <w:t>区自来</w:t>
                  </w:r>
                  <w:r>
                    <w:rPr>
                      <w:rFonts w:ascii="Times New Roman" w:hAnsi="Times New Roman" w:cs="Times New Roman"/>
                      <w:color w:val="auto"/>
                      <w:sz w:val="21"/>
                      <w:szCs w:val="21"/>
                      <w:highlight w:val="none"/>
                      <w:u w:val="none"/>
                    </w:rPr>
                    <w:t>水厂供水</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消防</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自来水厂供水，配备灭火器</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排水</w:t>
                  </w:r>
                </w:p>
              </w:tc>
              <w:tc>
                <w:tcPr>
                  <w:tcW w:w="6275" w:type="dxa"/>
                  <w:vAlign w:val="center"/>
                </w:tcPr>
                <w:p>
                  <w:pPr>
                    <w:pStyle w:val="107"/>
                    <w:spacing w:line="360" w:lineRule="exact"/>
                    <w:jc w:val="center"/>
                    <w:rPr>
                      <w:rFonts w:hint="default" w:ascii="Times New Roman" w:hAnsi="Times New Roman" w:eastAsia="宋体" w:cs="Times New Roman"/>
                      <w:color w:val="auto"/>
                      <w:sz w:val="21"/>
                      <w:szCs w:val="21"/>
                      <w:highlight w:val="none"/>
                      <w:u w:val="none"/>
                      <w:lang w:val="en-US" w:eastAsia="zh-CN"/>
                    </w:rPr>
                  </w:pPr>
                  <w:r>
                    <w:rPr>
                      <w:rFonts w:ascii="Times New Roman" w:hAnsi="Times New Roman" w:cs="Times New Roman"/>
                      <w:color w:val="auto"/>
                      <w:sz w:val="21"/>
                      <w:szCs w:val="21"/>
                      <w:highlight w:val="none"/>
                      <w:u w:val="none"/>
                      <w:shd w:val="clear" w:color="auto" w:fill="auto"/>
                    </w:rPr>
                    <w:t>厂区排水采用</w:t>
                  </w:r>
                  <w:r>
                    <w:rPr>
                      <w:rFonts w:hint="eastAsia" w:ascii="Times New Roman" w:hAnsi="Times New Roman" w:cs="Times New Roman"/>
                      <w:color w:val="auto"/>
                      <w:sz w:val="21"/>
                      <w:szCs w:val="21"/>
                      <w:highlight w:val="none"/>
                      <w:u w:val="none"/>
                      <w:shd w:val="clear" w:color="auto" w:fill="auto"/>
                      <w:lang w:val="en-US" w:eastAsia="zh-CN"/>
                    </w:rPr>
                    <w:t>雨污分流制</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道路</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道路宽为 4.0 米</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配套工程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综合用房</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 xml:space="preserve"> 主要包括设备自控室、加药间、 在线监控室等，</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绿化</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highlight w:val="none"/>
                      <w:u w:val="none"/>
                    </w:rPr>
                    <w:t>用绿化带与周围地区分隔，构建筑物间隙亦用绿化点缀分隔</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检查井设在管道交汇处、转弯处、管径和坡度变化处、</w:t>
                  </w:r>
                </w:p>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跌处和直线管段上每隔一定的距离处</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restart"/>
                  <w:tcBorders>
                    <w:lef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环保工程</w:t>
                  </w: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污水处理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污水处理构筑物</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废气处理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加强通风，注意厂区卫生，种植绿化树种；</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before="31"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噪声处理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隔声减震、围墙</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625" w:type="dxa"/>
                  <w:vMerge w:val="continue"/>
                  <w:tcBorders>
                    <w:top w:val="nil"/>
                    <w:left w:val="nil"/>
                  </w:tcBorders>
                  <w:vAlign w:val="center"/>
                </w:tcPr>
                <w:p>
                  <w:pPr>
                    <w:spacing w:line="360" w:lineRule="exact"/>
                    <w:jc w:val="center"/>
                    <w:rPr>
                      <w:color w:val="auto"/>
                      <w:sz w:val="21"/>
                      <w:szCs w:val="21"/>
                      <w:highlight w:val="none"/>
                      <w:u w:val="none"/>
                    </w:rPr>
                  </w:pPr>
                </w:p>
              </w:tc>
              <w:tc>
                <w:tcPr>
                  <w:tcW w:w="1272" w:type="dxa"/>
                  <w:vAlign w:val="center"/>
                </w:tcPr>
                <w:p>
                  <w:pPr>
                    <w:pStyle w:val="107"/>
                    <w:spacing w:before="32"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固废处理</w:t>
                  </w:r>
                </w:p>
              </w:tc>
              <w:tc>
                <w:tcPr>
                  <w:tcW w:w="6275" w:type="dxa"/>
                  <w:vAlign w:val="center"/>
                </w:tcPr>
                <w:p>
                  <w:pPr>
                    <w:pStyle w:val="107"/>
                    <w:spacing w:line="360" w:lineRule="exact"/>
                    <w:jc w:val="center"/>
                    <w:rPr>
                      <w:rFonts w:ascii="Times New Roman" w:hAnsi="Times New Roman" w:cs="Times New Roman"/>
                      <w:color w:val="auto"/>
                      <w:sz w:val="21"/>
                      <w:szCs w:val="21"/>
                      <w:highlight w:val="none"/>
                      <w:u w:val="none"/>
                    </w:rPr>
                  </w:pPr>
                  <w:r>
                    <w:rPr>
                      <w:rFonts w:ascii="Times New Roman" w:hAnsi="Times New Roman" w:cs="Times New Roman"/>
                      <w:color w:val="auto"/>
                      <w:sz w:val="21"/>
                      <w:szCs w:val="21"/>
                      <w:highlight w:val="none"/>
                      <w:u w:val="none"/>
                    </w:rPr>
                    <w:t>垃圾收集桶；</w:t>
                  </w:r>
                  <w:r>
                    <w:rPr>
                      <w:rFonts w:hint="eastAsia" w:ascii="Times New Roman" w:hAnsi="Times New Roman" w:cs="Times New Roman"/>
                      <w:color w:val="auto"/>
                      <w:sz w:val="21"/>
                      <w:szCs w:val="21"/>
                      <w:highlight w:val="none"/>
                      <w:u w:val="none"/>
                      <w:lang w:eastAsia="zh-CN"/>
                    </w:rPr>
                    <w:t>固废暂存</w:t>
                  </w:r>
                  <w:r>
                    <w:rPr>
                      <w:rFonts w:ascii="Times New Roman" w:hAnsi="Times New Roman" w:cs="Times New Roman"/>
                      <w:color w:val="auto"/>
                      <w:sz w:val="21"/>
                      <w:szCs w:val="21"/>
                      <w:highlight w:val="none"/>
                      <w:u w:val="none"/>
                    </w:rPr>
                    <w:t>堆场</w:t>
                  </w:r>
                </w:p>
              </w:tc>
              <w:tc>
                <w:tcPr>
                  <w:tcW w:w="744" w:type="dxa"/>
                  <w:tcBorders>
                    <w:right w:val="nil"/>
                  </w:tcBorders>
                  <w:vAlign w:val="center"/>
                </w:tcPr>
                <w:p>
                  <w:pPr>
                    <w:pStyle w:val="107"/>
                    <w:spacing w:before="68" w:line="360" w:lineRule="exact"/>
                    <w:jc w:val="center"/>
                    <w:rPr>
                      <w:rFonts w:ascii="Times New Roman" w:hAnsi="Times New Roman" w:cs="Times New Roman"/>
                      <w:color w:val="auto"/>
                      <w:sz w:val="21"/>
                      <w:szCs w:val="21"/>
                      <w:highlight w:val="none"/>
                      <w:u w:val="none"/>
                    </w:rPr>
                  </w:pPr>
                </w:p>
              </w:tc>
            </w:tr>
          </w:tbl>
          <w:p>
            <w:pPr>
              <w:spacing w:line="360" w:lineRule="auto"/>
              <w:ind w:firstLine="510"/>
              <w:rPr>
                <w:rFonts w:cs="宋体"/>
                <w:b/>
                <w:bCs/>
                <w:color w:val="auto"/>
                <w:sz w:val="24"/>
                <w:szCs w:val="24"/>
                <w:highlight w:val="none"/>
              </w:rPr>
            </w:pPr>
            <w:r>
              <w:rPr>
                <w:rFonts w:hint="eastAsia" w:cs="宋体"/>
                <w:b/>
                <w:bCs/>
                <w:color w:val="auto"/>
                <w:sz w:val="24"/>
                <w:szCs w:val="24"/>
                <w:highlight w:val="none"/>
              </w:rPr>
              <w:t>3、项目主要构筑物及设备情况</w:t>
            </w:r>
          </w:p>
          <w:p>
            <w:pPr>
              <w:spacing w:line="360" w:lineRule="auto"/>
              <w:ind w:firstLine="510"/>
              <w:jc w:val="center"/>
              <w:rPr>
                <w:rFonts w:cs="宋体"/>
                <w:color w:val="auto"/>
                <w:sz w:val="24"/>
                <w:szCs w:val="24"/>
                <w:highlight w:val="none"/>
              </w:rPr>
            </w:pPr>
            <w:r>
              <w:rPr>
                <w:rFonts w:hint="eastAsia" w:cs="宋体"/>
                <w:color w:val="auto"/>
                <w:sz w:val="24"/>
                <w:szCs w:val="24"/>
                <w:highlight w:val="none"/>
              </w:rPr>
              <w:t>表2 主要构筑物</w:t>
            </w:r>
          </w:p>
          <w:tbl>
            <w:tblPr>
              <w:tblStyle w:val="29"/>
              <w:tblW w:w="910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5"/>
              <w:gridCol w:w="1993"/>
              <w:gridCol w:w="3345"/>
              <w:gridCol w:w="755"/>
              <w:gridCol w:w="755"/>
              <w:gridCol w:w="14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jc w:val="center"/>
              </w:trPr>
              <w:tc>
                <w:tcPr>
                  <w:tcW w:w="755" w:type="dxa"/>
                  <w:tcBorders>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序号</w:t>
                  </w:r>
                </w:p>
              </w:tc>
              <w:tc>
                <w:tcPr>
                  <w:tcW w:w="1993"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构筑物</w:t>
                  </w:r>
                </w:p>
              </w:tc>
              <w:tc>
                <w:tcPr>
                  <w:tcW w:w="3345"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规格尺寸</w:t>
                  </w:r>
                </w:p>
              </w:tc>
              <w:tc>
                <w:tcPr>
                  <w:tcW w:w="755"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单位</w:t>
                  </w:r>
                </w:p>
              </w:tc>
              <w:tc>
                <w:tcPr>
                  <w:tcW w:w="755" w:type="dxa"/>
                  <w:tcBorders>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数量</w:t>
                  </w:r>
                </w:p>
              </w:tc>
              <w:tc>
                <w:tcPr>
                  <w:tcW w:w="1497" w:type="dxa"/>
                  <w:tcBorders>
                    <w:left w:val="single" w:color="000000" w:sz="4" w:space="0"/>
                    <w:bottom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w w:val="99"/>
                      <w:sz w:val="21"/>
                      <w:szCs w:val="21"/>
                      <w:highlight w:val="none"/>
                    </w:rPr>
                    <w:t>3</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组合池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L×B×H=11.8m×9.3m×2.5m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混凝土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11"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3.1</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格栅渠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06" w:line="240" w:lineRule="atLeast"/>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土建按远期 600m3/d 完成，设备按近期 300m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/d 安装</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2"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3.2</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沉砂池</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调节池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HRT=8.44h</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有效水深1.90m，有效容积140.60m</w:t>
                  </w:r>
                  <w:r>
                    <w:rPr>
                      <w:rFonts w:hint="eastAsia" w:ascii="Times New Roman" w:hAnsi="Times New Roman" w:cs="Times New Roman"/>
                      <w:color w:val="auto"/>
                      <w:sz w:val="21"/>
                      <w:szCs w:val="21"/>
                      <w:highlight w:val="none"/>
                      <w:vertAlign w:val="superscript"/>
                      <w:lang w:val="en-US" w:eastAsia="zh-CN"/>
                    </w:rPr>
                    <w:t>3</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套</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2"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3.4</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污泥池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23" w:line="24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容积20m</w:t>
                  </w:r>
                  <w:r>
                    <w:rPr>
                      <w:rFonts w:hint="eastAsia" w:ascii="Times New Roman" w:hAnsi="Times New Roman" w:cs="Times New Roman"/>
                      <w:color w:val="auto"/>
                      <w:sz w:val="21"/>
                      <w:szCs w:val="21"/>
                      <w:highlight w:val="none"/>
                      <w:vertAlign w:val="superscript"/>
                      <w:lang w:val="en-US" w:eastAsia="zh-CN"/>
                    </w:rPr>
                    <w:t>3</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9"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w w:val="99"/>
                      <w:sz w:val="21"/>
                      <w:szCs w:val="21"/>
                      <w:highlight w:val="none"/>
                    </w:rPr>
                    <w:t>4</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7"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sz w:val="21"/>
                      <w:szCs w:val="21"/>
                      <w:highlight w:val="none"/>
                    </w:rPr>
                    <w:t>消毒计量渠</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before="105"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L×B×H=</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7"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3"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before="107"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混凝土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755" w:type="dxa"/>
                  <w:tcBorders>
                    <w:top w:val="single" w:color="000000" w:sz="4" w:space="0"/>
                    <w:bottom w:val="single" w:color="000000" w:sz="4" w:space="0"/>
                    <w:right w:val="single" w:color="000000" w:sz="4" w:space="0"/>
                  </w:tcBorders>
                  <w:vAlign w:val="center"/>
                </w:tcPr>
                <w:p>
                  <w:pPr>
                    <w:pStyle w:val="107"/>
                    <w:spacing w:before="124" w:line="240" w:lineRule="atLeast"/>
                    <w:jc w:val="center"/>
                    <w:rPr>
                      <w:rFonts w:ascii="Times New Roman" w:hAnsi="Times New Roman" w:cs="Times New Roman"/>
                      <w:b/>
                      <w:color w:val="auto"/>
                      <w:sz w:val="21"/>
                      <w:szCs w:val="21"/>
                      <w:highlight w:val="none"/>
                    </w:rPr>
                  </w:pPr>
                  <w:r>
                    <w:rPr>
                      <w:rFonts w:ascii="Times New Roman" w:hAnsi="Times New Roman" w:cs="Times New Roman"/>
                      <w:b/>
                      <w:color w:val="auto"/>
                      <w:w w:val="99"/>
                      <w:sz w:val="21"/>
                      <w:szCs w:val="21"/>
                      <w:highlight w:val="none"/>
                    </w:rPr>
                    <w:t>6</w:t>
                  </w:r>
                </w:p>
              </w:tc>
              <w:tc>
                <w:tcPr>
                  <w:tcW w:w="1993"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hint="default" w:ascii="Times New Roman" w:hAnsi="Times New Roman" w:eastAsia="宋体" w:cs="Times New Roman"/>
                      <w:b/>
                      <w:color w:val="auto"/>
                      <w:sz w:val="21"/>
                      <w:szCs w:val="21"/>
                      <w:highlight w:val="none"/>
                      <w:lang w:val="en-US" w:eastAsia="zh-CN"/>
                    </w:rPr>
                  </w:pPr>
                  <w:r>
                    <w:rPr>
                      <w:rFonts w:ascii="Times New Roman" w:hAnsi="Times New Roman" w:cs="Times New Roman"/>
                      <w:b/>
                      <w:color w:val="auto"/>
                      <w:sz w:val="21"/>
                      <w:szCs w:val="21"/>
                      <w:highlight w:val="none"/>
                    </w:rPr>
                    <w:t>综合</w:t>
                  </w:r>
                  <w:r>
                    <w:rPr>
                      <w:rFonts w:hint="eastAsia" w:ascii="Times New Roman" w:hAnsi="Times New Roman" w:cs="Times New Roman"/>
                      <w:b/>
                      <w:color w:val="auto"/>
                      <w:sz w:val="21"/>
                      <w:szCs w:val="21"/>
                      <w:highlight w:val="none"/>
                      <w:lang w:val="en-US" w:eastAsia="zh-CN"/>
                    </w:rPr>
                    <w:t>管理用房</w:t>
                  </w:r>
                </w:p>
              </w:tc>
              <w:tc>
                <w:tcPr>
                  <w:tcW w:w="3345" w:type="dxa"/>
                  <w:tcBorders>
                    <w:top w:val="single" w:color="000000" w:sz="4" w:space="0"/>
                    <w:left w:val="single" w:color="000000" w:sz="4" w:space="0"/>
                    <w:bottom w:val="single" w:color="000000" w:sz="4" w:space="0"/>
                    <w:right w:val="single" w:color="000000" w:sz="4" w:space="0"/>
                  </w:tcBorders>
                  <w:vAlign w:val="center"/>
                </w:tcPr>
                <w:p>
                  <w:pPr>
                    <w:pStyle w:val="107"/>
                    <w:spacing w:line="24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L×B×H=2.7×12.0×4.0</w:t>
                  </w:r>
                  <w:r>
                    <w:rPr>
                      <w:rFonts w:hint="eastAsia" w:ascii="Times New Roman" w:hAnsi="Times New Roman" w:cs="Times New Roman"/>
                      <w:color w:val="auto"/>
                      <w:sz w:val="21"/>
                      <w:szCs w:val="21"/>
                      <w:highlight w:val="none"/>
                      <w:lang w:val="en-US" w:eastAsia="zh-CN"/>
                    </w:rPr>
                    <w:t>m</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08"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座</w:t>
                  </w:r>
                </w:p>
              </w:tc>
              <w:tc>
                <w:tcPr>
                  <w:tcW w:w="755" w:type="dxa"/>
                  <w:tcBorders>
                    <w:top w:val="single" w:color="000000" w:sz="4" w:space="0"/>
                    <w:left w:val="single" w:color="000000" w:sz="4" w:space="0"/>
                    <w:bottom w:val="single" w:color="000000" w:sz="4" w:space="0"/>
                    <w:right w:val="single" w:color="000000" w:sz="4" w:space="0"/>
                  </w:tcBorders>
                  <w:vAlign w:val="center"/>
                </w:tcPr>
                <w:p>
                  <w:pPr>
                    <w:pStyle w:val="107"/>
                    <w:spacing w:before="124" w:line="240" w:lineRule="atLeast"/>
                    <w:jc w:val="center"/>
                    <w:rPr>
                      <w:rFonts w:ascii="Times New Roman" w:hAnsi="Times New Roman" w:cs="Times New Roman"/>
                      <w:color w:val="auto"/>
                      <w:sz w:val="21"/>
                      <w:szCs w:val="21"/>
                      <w:highlight w:val="none"/>
                    </w:rPr>
                  </w:pPr>
                  <w:r>
                    <w:rPr>
                      <w:rFonts w:ascii="Times New Roman" w:hAnsi="Times New Roman" w:cs="Times New Roman"/>
                      <w:color w:val="auto"/>
                      <w:w w:val="99"/>
                      <w:sz w:val="21"/>
                      <w:szCs w:val="21"/>
                      <w:highlight w:val="none"/>
                    </w:rPr>
                    <w:t>1</w:t>
                  </w:r>
                </w:p>
              </w:tc>
              <w:tc>
                <w:tcPr>
                  <w:tcW w:w="1497" w:type="dxa"/>
                  <w:tcBorders>
                    <w:top w:val="single" w:color="000000" w:sz="4" w:space="0"/>
                    <w:left w:val="single" w:color="000000" w:sz="4" w:space="0"/>
                    <w:bottom w:val="single" w:color="000000" w:sz="4" w:space="0"/>
                  </w:tcBorders>
                  <w:vAlign w:val="center"/>
                </w:tcPr>
                <w:p>
                  <w:pPr>
                    <w:pStyle w:val="107"/>
                    <w:spacing w:line="240" w:lineRule="atLeast"/>
                    <w:jc w:val="center"/>
                    <w:rPr>
                      <w:rFonts w:ascii="Times New Roman" w:hAnsi="Times New Roman" w:cs="Times New Roman"/>
                      <w:color w:val="auto"/>
                      <w:sz w:val="21"/>
                      <w:szCs w:val="21"/>
                      <w:highlight w:val="none"/>
                    </w:rPr>
                  </w:pPr>
                </w:p>
              </w:tc>
            </w:tr>
          </w:tbl>
          <w:p>
            <w:pPr>
              <w:spacing w:line="360" w:lineRule="auto"/>
              <w:ind w:firstLine="510"/>
              <w:rPr>
                <w:rFonts w:cs="宋体"/>
                <w:b/>
                <w:bCs/>
                <w:color w:val="auto"/>
                <w:sz w:val="24"/>
                <w:szCs w:val="24"/>
                <w:highlight w:val="none"/>
              </w:rPr>
            </w:pPr>
            <w:r>
              <w:rPr>
                <w:rFonts w:hint="eastAsia" w:cs="宋体"/>
                <w:b/>
                <w:bCs/>
                <w:color w:val="auto"/>
                <w:sz w:val="24"/>
                <w:szCs w:val="24"/>
                <w:highlight w:val="none"/>
              </w:rPr>
              <w:t>4、主要设备情况</w:t>
            </w:r>
          </w:p>
          <w:p>
            <w:pPr>
              <w:snapToGrid w:val="0"/>
              <w:spacing w:line="360" w:lineRule="auto"/>
              <w:ind w:firstLine="482" w:firstLineChars="200"/>
              <w:jc w:val="center"/>
              <w:rPr>
                <w:rFonts w:cs="宋体"/>
                <w:b/>
                <w:bCs/>
                <w:color w:val="auto"/>
                <w:spacing w:val="14"/>
                <w:sz w:val="24"/>
                <w:szCs w:val="24"/>
                <w:highlight w:val="none"/>
              </w:rPr>
            </w:pPr>
            <w:r>
              <w:rPr>
                <w:rFonts w:hint="eastAsia" w:cs="宋体"/>
                <w:b/>
                <w:bCs/>
                <w:color w:val="auto"/>
                <w:sz w:val="24"/>
                <w:szCs w:val="24"/>
                <w:highlight w:val="none"/>
              </w:rPr>
              <w:t>表</w:t>
            </w:r>
            <w:r>
              <w:rPr>
                <w:b/>
                <w:bCs/>
                <w:color w:val="auto"/>
                <w:sz w:val="24"/>
                <w:szCs w:val="24"/>
                <w:highlight w:val="none"/>
              </w:rPr>
              <w:t>3</w:t>
            </w:r>
            <w:r>
              <w:rPr>
                <w:rFonts w:hint="eastAsia"/>
                <w:b/>
                <w:bCs/>
                <w:color w:val="auto"/>
                <w:sz w:val="24"/>
                <w:szCs w:val="24"/>
                <w:highlight w:val="none"/>
              </w:rPr>
              <w:t>本项目</w:t>
            </w:r>
            <w:r>
              <w:rPr>
                <w:rFonts w:hint="eastAsia" w:cs="宋体"/>
                <w:b/>
                <w:bCs/>
                <w:color w:val="auto"/>
                <w:spacing w:val="14"/>
                <w:sz w:val="24"/>
                <w:szCs w:val="24"/>
                <w:highlight w:val="none"/>
              </w:rPr>
              <w:t>主要设备情况一览表</w:t>
            </w:r>
          </w:p>
          <w:tbl>
            <w:tblPr>
              <w:tblStyle w:val="29"/>
              <w:tblW w:w="4997"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572"/>
              <w:gridCol w:w="619"/>
              <w:gridCol w:w="620"/>
              <w:gridCol w:w="1529"/>
              <w:gridCol w:w="3208"/>
              <w:gridCol w:w="433"/>
              <w:gridCol w:w="491"/>
              <w:gridCol w:w="1516"/>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构筑物</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设备名称</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w w:val="95"/>
                      <w:sz w:val="21"/>
                      <w:szCs w:val="21"/>
                      <w:highlight w:val="none"/>
                    </w:rPr>
                    <w:t>规格</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数量</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w:t>
                  </w: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组合池</w:t>
                  </w: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格栅渠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粗格栅除污机</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B=800mm，b=20mm，H=4.5m，θ=75°，N=1.1kW；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细格栅除污机</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B=800mm，b=5mm，H=4.5m，θ=75°，N=1.1kW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方闸门</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B×H=0.4×0.4m</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2</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配手动启闭装置</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栅渣小车</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有效容积 0.25m3</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2</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沉砂池调节池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潜污泵</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Q=8m3/h，H=15m，N=1.1kW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2 用 1 备</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潜水式排砂泵</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Q=10m3/h，H=10m，N=0.75kW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砂水分离器</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5~12L/s，N=0.37KW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手动闸阀</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DN50，PN16</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止回阀</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DN50，PN16</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橡胶软接头</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DN50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手动闸阀</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DN100，PN16</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污泥池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潜水污泥泵</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Q=10m3/h，H=9m，N=0.75kW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手动蝶阀</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软接头</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缓闭止回阀</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DN75，PN10</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2</w:t>
                  </w:r>
                </w:p>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eastAsia" w:ascii="Times New Roman" w:hAnsi="Times New Roman" w:cs="Times New Roman"/>
                      <w:b w:val="0"/>
                      <w:bCs/>
                      <w:color w:val="auto"/>
                      <w:sz w:val="21"/>
                      <w:szCs w:val="21"/>
                      <w:highlight w:val="none"/>
                      <w:lang w:val="en-US" w:eastAsia="zh-CN"/>
                    </w:rPr>
                    <w:t>一体化设备</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建议：150 m3/d/套 装机 N=3.25KW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套</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2</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0" w:hRule="atLeast"/>
                <w:jc w:val="center"/>
              </w:trPr>
              <w:tc>
                <w:tcPr>
                  <w:tcW w:w="318"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w:t>
                  </w: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紫外线消毒池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紫外线消毒设 备</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Q=15-20m3/h，配套灯管 3 支及镇流器、 控制系统、自动清洗系统等，总功率 0.72kW，220V</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套</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远期增加一台</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4</w:t>
                  </w:r>
                </w:p>
              </w:tc>
              <w:tc>
                <w:tcPr>
                  <w:tcW w:w="689" w:type="pct"/>
                  <w:gridSpan w:val="2"/>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计量渠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巴氏计量槽</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计量范围：0.32~20m3/h</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689" w:type="pct"/>
                  <w:gridSpan w:val="2"/>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超声波液位计</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5</w:t>
                  </w:r>
                </w:p>
              </w:tc>
              <w:tc>
                <w:tcPr>
                  <w:tcW w:w="689" w:type="pct"/>
                  <w:gridSpan w:val="2"/>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污泥池</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污泥车</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rPr>
                  </w:pPr>
                  <w:r>
                    <w:rPr>
                      <w:rFonts w:hint="eastAsia" w:ascii="Times New Roman" w:hAnsi="Times New Roman" w:cs="Times New Roman"/>
                      <w:b w:val="0"/>
                      <w:bCs/>
                      <w:color w:val="auto"/>
                      <w:sz w:val="21"/>
                      <w:szCs w:val="21"/>
                      <w:highlight w:val="none"/>
                      <w:u w:val="single"/>
                      <w:lang w:val="en-US" w:eastAsia="zh-CN"/>
                    </w:rPr>
                    <w:t>容积</w:t>
                  </w:r>
                  <w:r>
                    <w:rPr>
                      <w:rFonts w:hint="default" w:ascii="Times New Roman" w:hAnsi="Times New Roman" w:cs="Times New Roman"/>
                      <w:b w:val="0"/>
                      <w:bCs/>
                      <w:color w:val="auto"/>
                      <w:sz w:val="21"/>
                      <w:szCs w:val="21"/>
                      <w:highlight w:val="none"/>
                      <w:u w:val="single"/>
                    </w:rPr>
                    <w:t>5m</w:t>
                  </w:r>
                  <w:r>
                    <w:rPr>
                      <w:rFonts w:hint="default" w:ascii="Times New Roman" w:hAnsi="Times New Roman" w:cs="Times New Roman"/>
                      <w:b w:val="0"/>
                      <w:bCs/>
                      <w:color w:val="auto"/>
                      <w:sz w:val="21"/>
                      <w:szCs w:val="21"/>
                      <w:highlight w:val="none"/>
                      <w:u w:val="single"/>
                      <w:vertAlign w:val="superscript"/>
                    </w:rPr>
                    <w:t>3</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台</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u w:val="single"/>
                      <w:lang w:val="en-US" w:eastAsia="zh-CN"/>
                    </w:rPr>
                  </w:pPr>
                  <w:r>
                    <w:rPr>
                      <w:rFonts w:hint="eastAsia" w:ascii="Times New Roman" w:hAnsi="Times New Roman" w:cs="Times New Roman"/>
                      <w:b w:val="0"/>
                      <w:bCs/>
                      <w:color w:val="auto"/>
                      <w:sz w:val="21"/>
                      <w:szCs w:val="21"/>
                      <w:highlight w:val="none"/>
                      <w:u w:val="single"/>
                      <w:lang w:val="en-US" w:eastAsia="zh-CN"/>
                    </w:rPr>
                    <w:t>2</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6</w:t>
                  </w: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综合管理用房</w:t>
                  </w:r>
                </w:p>
              </w:tc>
              <w:tc>
                <w:tcPr>
                  <w:tcW w:w="344" w:type="pct"/>
                  <w:vMerge w:val="restar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加药间</w:t>
                  </w: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PAC加药装置</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有效容积 1m</w:t>
                  </w:r>
                  <w:r>
                    <w:rPr>
                      <w:rFonts w:hint="default" w:ascii="Times New Roman" w:hAnsi="Times New Roman" w:cs="Times New Roman"/>
                      <w:b w:val="0"/>
                      <w:bCs/>
                      <w:color w:val="auto"/>
                      <w:sz w:val="21"/>
                      <w:szCs w:val="21"/>
                      <w:highlight w:val="none"/>
                      <w:vertAlign w:val="superscript"/>
                    </w:rPr>
                    <w:t>3</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套</w:t>
                  </w: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1</w:t>
                  </w: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搅拌机</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总功率 N=1.5KW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18"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344" w:type="pct"/>
                  <w:vMerge w:val="continue"/>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b w:val="0"/>
                      <w:bCs/>
                      <w:color w:val="auto"/>
                      <w:sz w:val="21"/>
                      <w:szCs w:val="21"/>
                      <w:highlight w:val="none"/>
                      <w:lang w:val="en-US" w:eastAsia="zh-CN"/>
                    </w:rPr>
                  </w:pPr>
                </w:p>
              </w:tc>
              <w:tc>
                <w:tcPr>
                  <w:tcW w:w="85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计量泵</w:t>
                  </w:r>
                </w:p>
              </w:tc>
              <w:tc>
                <w:tcPr>
                  <w:tcW w:w="1784"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rPr>
                    <w:t>总功率 N=1.5KW</w:t>
                  </w:r>
                </w:p>
              </w:tc>
              <w:tc>
                <w:tcPr>
                  <w:tcW w:w="240"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27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lang w:val="en-US" w:eastAsia="zh-CN"/>
                    </w:rPr>
                  </w:pPr>
                </w:p>
              </w:tc>
              <w:tc>
                <w:tcPr>
                  <w:tcW w:w="843" w:type="pct"/>
                  <w:tcBorders>
                    <w:tl2br w:val="nil"/>
                    <w:tr2bl w:val="nil"/>
                  </w:tcBorders>
                  <w:vAlign w:val="center"/>
                </w:tcPr>
                <w:p>
                  <w:pPr>
                    <w:pStyle w:val="107"/>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val="0"/>
                      <w:bCs/>
                      <w:color w:val="auto"/>
                      <w:sz w:val="21"/>
                      <w:szCs w:val="21"/>
                      <w:highlight w:val="none"/>
                    </w:rPr>
                  </w:pPr>
                </w:p>
              </w:tc>
            </w:tr>
          </w:tbl>
          <w:p>
            <w:pPr>
              <w:spacing w:line="460" w:lineRule="exact"/>
              <w:rPr>
                <w:rFonts w:hint="eastAsia" w:cs="宋体"/>
                <w:b/>
                <w:bCs/>
                <w:color w:val="auto"/>
                <w:spacing w:val="14"/>
                <w:sz w:val="24"/>
                <w:szCs w:val="24"/>
                <w:highlight w:val="none"/>
              </w:rPr>
            </w:pPr>
          </w:p>
          <w:p>
            <w:pPr>
              <w:spacing w:line="460" w:lineRule="exact"/>
              <w:ind w:firstLine="510"/>
              <w:rPr>
                <w:b/>
                <w:bCs/>
                <w:color w:val="auto"/>
                <w:spacing w:val="14"/>
                <w:sz w:val="24"/>
                <w:szCs w:val="24"/>
                <w:highlight w:val="none"/>
              </w:rPr>
            </w:pPr>
            <w:r>
              <w:rPr>
                <w:rFonts w:hint="eastAsia" w:cs="宋体"/>
                <w:b/>
                <w:bCs/>
                <w:color w:val="auto"/>
                <w:spacing w:val="14"/>
                <w:sz w:val="24"/>
                <w:szCs w:val="24"/>
                <w:highlight w:val="none"/>
              </w:rPr>
              <w:t>5、服务范围</w:t>
            </w:r>
          </w:p>
          <w:p>
            <w:pPr>
              <w:snapToGrid w:val="0"/>
              <w:spacing w:line="460" w:lineRule="exact"/>
              <w:ind w:firstLine="480" w:firstLineChars="200"/>
              <w:rPr>
                <w:rFonts w:hint="default" w:eastAsia="宋体"/>
                <w:b/>
                <w:bCs/>
                <w:color w:val="auto"/>
                <w:sz w:val="24"/>
                <w:szCs w:val="24"/>
                <w:highlight w:val="none"/>
                <w:lang w:val="en-US" w:eastAsia="zh-CN"/>
              </w:rPr>
            </w:pPr>
            <w:r>
              <w:rPr>
                <w:rFonts w:hint="eastAsia" w:cs="宋体"/>
                <w:color w:val="auto"/>
                <w:sz w:val="24"/>
                <w:szCs w:val="24"/>
                <w:highlight w:val="none"/>
              </w:rPr>
              <w:t>本次规划污水收集范围为湘滨镇镇区，北至镇政府以北 35 米，南至红菱村三组，东至资江，西至栗塘村一、四、六组处，涉及平闸街区及洞庭村、栗塘村、红菱村部分用地。</w:t>
            </w:r>
          </w:p>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rPr>
              <w:t>6、污水量预测</w:t>
            </w:r>
          </w:p>
          <w:p>
            <w:pPr>
              <w:snapToGrid w:val="0"/>
              <w:spacing w:line="460" w:lineRule="exact"/>
              <w:ind w:firstLine="480" w:firstLineChars="200"/>
              <w:rPr>
                <w:rFonts w:hint="eastAsia" w:eastAsia="宋体" w:cs="宋体"/>
                <w:color w:val="auto"/>
                <w:sz w:val="24"/>
                <w:szCs w:val="24"/>
                <w:highlight w:val="none"/>
              </w:rPr>
            </w:pPr>
            <w:bookmarkStart w:id="1" w:name="表2-1__污水处理厂服务人口及水量预测"/>
            <w:bookmarkEnd w:id="1"/>
            <w:r>
              <w:rPr>
                <w:rFonts w:hint="eastAsia" w:eastAsia="宋体" w:cs="宋体"/>
                <w:color w:val="auto"/>
                <w:sz w:val="24"/>
                <w:szCs w:val="24"/>
                <w:highlight w:val="none"/>
              </w:rPr>
              <w:t>根据湘滨镇总体规划及近几年的实际供水情况，在未来 5~10 年内，随着城 镇的扩展，产业布局的调整和发展，城镇人口的不断增长以及人民生活水平的逐 步提高，污水的排放量会随之发生变化。在规划范围内，排水规模的大小需要进 行认真分析和科学预测。根据湘滨镇实际供水量调查统计资料、结合《城市排水 规划规范》(GB50138-2000)、《室外排水设计规范》(GB60014-2006,2016 年版)、 以及《湖南省乡镇排水与污水处理工程专项规划设计技术导引》(湖南省住房和 城乡建设厅 2019 年 7 月修订版)。等规范确定的各项污水排放定额。本次方案用分项指标法对湘滨镇的污水量进行预测。</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1、生活污水 </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 人口规模</w:t>
            </w:r>
          </w:p>
          <w:p>
            <w:p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近期 2020 年：人口规模 4000 人； 远期 2030 年：人口规模 7000 人。</w:t>
            </w:r>
          </w:p>
          <w:p>
            <w:pPr>
              <w:numPr>
                <w:ilvl w:val="0"/>
                <w:numId w:val="1"/>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生活污水量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按照《湖南省乡镇排水与污水处理工程专项规划设计技术导引》(湖南省住房和城乡建设厅 2019 年 7 月修订版)。中相关规定(4.2.3 节)确定的各项污水排放定额。</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按照平均日污水量近、远期取 80L/(人·d)，对湘滨镇区的污水量进行预测。 </w:t>
            </w:r>
          </w:p>
          <w:p>
            <w:pPr>
              <w:numPr>
                <w:ilvl w:val="0"/>
                <w:numId w:val="0"/>
              </w:numPr>
              <w:snapToGrid w:val="0"/>
              <w:spacing w:line="460" w:lineRule="exact"/>
              <w:ind w:firstLine="480" w:firstLineChars="200"/>
              <w:rPr>
                <w:rFonts w:hint="eastAsia"/>
                <w:lang w:val="en-US" w:eastAsia="zh-CN"/>
              </w:rPr>
            </w:pPr>
            <w:r>
              <w:rPr>
                <w:rFonts w:hint="eastAsia" w:eastAsia="宋体" w:cs="宋体"/>
                <w:color w:val="auto"/>
                <w:sz w:val="24"/>
                <w:szCs w:val="24"/>
                <w:highlight w:val="none"/>
                <w:lang w:val="en-US" w:eastAsia="zh-CN"/>
              </w:rPr>
              <w:t>则湘滨镇镇区近期(2020 年)生活污水量 Q1、远期（2030 年）生活污水量 Q2；Q1=4000×80÷1000=320m</w:t>
            </w:r>
            <w:r>
              <w:rPr>
                <w:rFonts w:hint="eastAsia" w:eastAsia="宋体" w:cs="宋体"/>
                <w:color w:val="auto"/>
                <w:sz w:val="24"/>
                <w:szCs w:val="24"/>
                <w:highlight w:val="none"/>
                <w:vertAlign w:val="superscript"/>
                <w:lang w:val="en-US" w:eastAsia="zh-CN"/>
              </w:rPr>
              <w:t>3</w:t>
            </w:r>
            <w:r>
              <w:rPr>
                <w:rFonts w:hint="eastAsia" w:eastAsia="宋体" w:cs="宋体"/>
                <w:color w:val="auto"/>
                <w:sz w:val="24"/>
                <w:szCs w:val="24"/>
                <w:highlight w:val="none"/>
                <w:lang w:val="en-US" w:eastAsia="zh-CN"/>
              </w:rPr>
              <w:t>/d Q2=7000×80÷1000=560m3/d 则湘滨镇近远期生活污水量预测详见表 4</w:t>
            </w:r>
          </w:p>
          <w:p>
            <w:pPr>
              <w:adjustRightInd w:val="0"/>
              <w:snapToGrid w:val="0"/>
              <w:spacing w:line="440" w:lineRule="exact"/>
              <w:ind w:firstLine="482" w:firstLineChars="200"/>
              <w:jc w:val="center"/>
              <w:rPr>
                <w:rFonts w:hint="eastAsia" w:eastAsia="宋体"/>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rPr>
              <w:t xml:space="preserve">4  </w:t>
            </w:r>
            <w:r>
              <w:rPr>
                <w:rFonts w:hint="eastAsia"/>
                <w:b/>
                <w:bCs/>
                <w:color w:val="auto"/>
                <w:sz w:val="24"/>
                <w:szCs w:val="24"/>
                <w:highlight w:val="none"/>
                <w:lang w:val="en-US" w:eastAsia="zh-CN"/>
              </w:rPr>
              <w:t>近远期生活污水量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9"/>
              <w:tblW w:w="681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9"/>
              <w:gridCol w:w="1995"/>
              <w:gridCol w:w="29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35" w:hRule="atLeast"/>
                <w:jc w:val="center"/>
              </w:trPr>
              <w:tc>
                <w:tcPr>
                  <w:tcW w:w="1919"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19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29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jc w:val="center"/>
              </w:trPr>
              <w:tc>
                <w:tcPr>
                  <w:tcW w:w="191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人口</w:t>
                  </w:r>
                </w:p>
              </w:tc>
              <w:tc>
                <w:tcPr>
                  <w:tcW w:w="19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4000</w:t>
                  </w:r>
                </w:p>
              </w:tc>
              <w:tc>
                <w:tcPr>
                  <w:tcW w:w="290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jc w:val="center"/>
              </w:trPr>
              <w:tc>
                <w:tcPr>
                  <w:tcW w:w="1919"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rPr>
                  </w:pPr>
                  <w:r>
                    <w:rPr>
                      <w:rFonts w:hint="eastAsia"/>
                      <w:color w:val="auto"/>
                      <w:sz w:val="21"/>
                      <w:szCs w:val="21"/>
                      <w:highlight w:val="none"/>
                    </w:rPr>
                    <w:t>生活污水量(m³/d)</w:t>
                  </w:r>
                </w:p>
              </w:tc>
              <w:tc>
                <w:tcPr>
                  <w:tcW w:w="19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320</w:t>
                  </w:r>
                </w:p>
              </w:tc>
              <w:tc>
                <w:tcPr>
                  <w:tcW w:w="290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560</w:t>
                  </w:r>
                </w:p>
              </w:tc>
            </w:tr>
          </w:tbl>
          <w:p>
            <w:pPr>
              <w:numPr>
                <w:ilvl w:val="0"/>
                <w:numId w:val="2"/>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公共建筑污水量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按照《湖南省乡镇排水与污水处理工程专项规划设计技术导引》(湖南省住房和城乡建设厅 2019 年 7 月修订版)中相关规定，公共建筑污水量村庄按居民生 活污水量的 5%～25%进行估算（无学校、幼儿园的村庄不考虑）；建制镇按居 民生活污水量的 5%～10%进行估算；集镇可按居民生活污水量的 10%～15%， 本规划按居民生活污水量的 10%进行估算。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则湘滨镇镇区近期(2020 年)公共建筑污水量 Q3、远期（2030 年）公共建筑 污水量 Q4；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Q3=320×10%=32m3/d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Q4=560×10%=56m3/d </w:t>
            </w:r>
          </w:p>
          <w:p>
            <w:pPr>
              <w:numPr>
                <w:ilvl w:val="0"/>
                <w:numId w:val="0"/>
              </w:numPr>
              <w:snapToGrid w:val="0"/>
              <w:spacing w:line="460" w:lineRule="exact"/>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则湘滨镇近远期公共建筑污水量预测详见表</w:t>
            </w:r>
            <w:r>
              <w:rPr>
                <w:rFonts w:hint="eastAsia" w:cs="宋体"/>
                <w:color w:val="auto"/>
                <w:sz w:val="24"/>
                <w:szCs w:val="24"/>
                <w:highlight w:val="none"/>
                <w:lang w:val="en-US" w:eastAsia="zh-CN"/>
              </w:rPr>
              <w:t>5</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5</w:t>
            </w:r>
            <w:r>
              <w:rPr>
                <w:rFonts w:hint="eastAsia"/>
                <w:b/>
                <w:bCs/>
                <w:color w:val="auto"/>
                <w:sz w:val="24"/>
                <w:szCs w:val="24"/>
                <w:highlight w:val="none"/>
              </w:rPr>
              <w:t xml:space="preserve">  </w:t>
            </w:r>
            <w:r>
              <w:rPr>
                <w:rFonts w:hint="eastAsia"/>
                <w:b/>
                <w:bCs/>
                <w:color w:val="auto"/>
                <w:sz w:val="24"/>
                <w:szCs w:val="24"/>
                <w:highlight w:val="none"/>
                <w:lang w:val="en-US" w:eastAsia="zh-CN"/>
              </w:rPr>
              <w:t>近远期公共建筑污水量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9"/>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公共建筑污水量(m³/d)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32</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56</w:t>
                  </w:r>
                </w:p>
              </w:tc>
            </w:tr>
          </w:tbl>
          <w:p>
            <w:pPr>
              <w:numPr>
                <w:ilvl w:val="0"/>
                <w:numId w:val="2"/>
              </w:numPr>
              <w:snapToGrid w:val="0"/>
              <w:spacing w:line="460" w:lineRule="exact"/>
              <w:ind w:left="0" w:leftChars="0" w:firstLine="480" w:firstLineChars="200"/>
              <w:rPr>
                <w:rFonts w:hint="eastAsia" w:eastAsia="宋体" w:cs="宋体"/>
                <w:color w:val="auto"/>
                <w:sz w:val="24"/>
                <w:szCs w:val="24"/>
                <w:highlight w:val="none"/>
                <w:u w:val="single"/>
                <w:lang w:val="en-US" w:eastAsia="zh-CN"/>
              </w:rPr>
            </w:pPr>
            <w:r>
              <w:rPr>
                <w:rFonts w:hint="eastAsia" w:eastAsia="宋体" w:cs="宋体"/>
                <w:color w:val="auto"/>
                <w:sz w:val="24"/>
                <w:szCs w:val="24"/>
                <w:highlight w:val="none"/>
                <w:u w:val="single"/>
                <w:lang w:val="en-US" w:eastAsia="zh-CN"/>
              </w:rPr>
              <w:t xml:space="preserve">工（企）业生产废水量 </w:t>
            </w:r>
          </w:p>
          <w:p>
            <w:pPr>
              <w:numPr>
                <w:ilvl w:val="0"/>
                <w:numId w:val="0"/>
              </w:numPr>
              <w:snapToGrid w:val="0"/>
              <w:spacing w:line="460" w:lineRule="exact"/>
              <w:ind w:leftChars="200"/>
              <w:rPr>
                <w:rFonts w:hint="eastAsia" w:eastAsia="宋体" w:cs="宋体"/>
                <w:color w:val="auto"/>
                <w:sz w:val="24"/>
                <w:szCs w:val="24"/>
                <w:highlight w:val="none"/>
                <w:u w:val="single"/>
                <w:lang w:val="en-US" w:eastAsia="zh-CN"/>
              </w:rPr>
            </w:pPr>
            <w:r>
              <w:rPr>
                <w:rFonts w:hint="eastAsia" w:eastAsia="宋体" w:cs="宋体"/>
                <w:color w:val="auto"/>
                <w:sz w:val="24"/>
                <w:szCs w:val="24"/>
                <w:highlight w:val="none"/>
                <w:u w:val="single"/>
                <w:lang w:val="en-US" w:eastAsia="zh-CN"/>
              </w:rPr>
              <w:t>根据《湘阴县湘滨镇污水处理工程可行性研究报告》</w:t>
            </w:r>
            <w:r>
              <w:rPr>
                <w:rFonts w:hint="eastAsia" w:cs="宋体"/>
                <w:color w:val="auto"/>
                <w:sz w:val="24"/>
                <w:szCs w:val="24"/>
                <w:highlight w:val="none"/>
                <w:u w:val="single"/>
                <w:lang w:val="en-US" w:eastAsia="zh-CN"/>
              </w:rPr>
              <w:t>，</w:t>
            </w:r>
            <w:r>
              <w:rPr>
                <w:rFonts w:hint="eastAsia" w:eastAsia="宋体" w:cs="宋体"/>
                <w:color w:val="auto"/>
                <w:sz w:val="24"/>
                <w:szCs w:val="24"/>
                <w:highlight w:val="none"/>
                <w:u w:val="single"/>
                <w:lang w:val="en-US" w:eastAsia="zh-CN"/>
              </w:rPr>
              <w:t xml:space="preserve">湘滨镇镇区没有工（企）业，所以工（企）业生产废水量为零。 </w:t>
            </w:r>
          </w:p>
          <w:p>
            <w:pPr>
              <w:numPr>
                <w:ilvl w:val="0"/>
                <w:numId w:val="2"/>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畜禽养殖废水量 由于湘滨镇镇区没有畜禽养殖废水量，所以工业畜禽养殖废水量为零。 </w:t>
            </w:r>
          </w:p>
          <w:p>
            <w:pPr>
              <w:numPr>
                <w:ilvl w:val="0"/>
                <w:numId w:val="2"/>
              </w:numPr>
              <w:snapToGrid w:val="0"/>
              <w:spacing w:line="460" w:lineRule="exact"/>
              <w:ind w:left="0" w:leftChars="0"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 xml:space="preserve"> 综合污水量 则湘滨镇镇区近远期综合污水量见表</w:t>
            </w:r>
            <w:r>
              <w:rPr>
                <w:rFonts w:hint="eastAsia" w:cs="宋体"/>
                <w:color w:val="auto"/>
                <w:sz w:val="24"/>
                <w:szCs w:val="24"/>
                <w:highlight w:val="none"/>
                <w:lang w:val="en-US" w:eastAsia="zh-CN"/>
              </w:rPr>
              <w:t>6</w:t>
            </w:r>
          </w:p>
          <w:p>
            <w:pPr>
              <w:adjustRightInd w:val="0"/>
              <w:snapToGrid w:val="0"/>
              <w:spacing w:line="440" w:lineRule="exact"/>
              <w:ind w:firstLine="482" w:firstLineChars="200"/>
              <w:jc w:val="center"/>
              <w:rPr>
                <w:rFonts w:hint="eastAsia"/>
                <w:lang w:val="en-US" w:eastAsia="zh-CN"/>
              </w:rPr>
            </w:pPr>
            <w:r>
              <w:rPr>
                <w:b/>
                <w:bCs/>
                <w:color w:val="auto"/>
                <w:sz w:val="24"/>
                <w:szCs w:val="24"/>
                <w:highlight w:val="none"/>
              </w:rPr>
              <w:t>表</w:t>
            </w:r>
            <w:r>
              <w:rPr>
                <w:rFonts w:hint="eastAsia"/>
                <w:b/>
                <w:bCs/>
                <w:color w:val="auto"/>
                <w:sz w:val="24"/>
                <w:szCs w:val="24"/>
                <w:highlight w:val="none"/>
                <w:lang w:val="en-US" w:eastAsia="zh-CN"/>
              </w:rPr>
              <w:t>6</w:t>
            </w:r>
            <w:r>
              <w:rPr>
                <w:rFonts w:hint="eastAsia"/>
                <w:b/>
                <w:bCs/>
                <w:color w:val="auto"/>
                <w:sz w:val="24"/>
                <w:szCs w:val="24"/>
                <w:highlight w:val="none"/>
              </w:rPr>
              <w:t xml:space="preserve">  </w:t>
            </w:r>
            <w:r>
              <w:rPr>
                <w:rFonts w:hint="eastAsia"/>
                <w:b/>
                <w:bCs/>
                <w:color w:val="auto"/>
                <w:sz w:val="24"/>
                <w:szCs w:val="24"/>
                <w:highlight w:val="none"/>
                <w:lang w:val="en-US" w:eastAsia="zh-CN"/>
              </w:rPr>
              <w:t>近远期公共建筑污水量</w:t>
            </w:r>
            <w:r>
              <w:rPr>
                <w:b/>
                <w:bCs/>
                <w:color w:val="auto"/>
                <w:sz w:val="24"/>
                <w:szCs w:val="24"/>
                <w:highlight w:val="none"/>
              </w:rPr>
              <w:t>预测</w:t>
            </w:r>
            <w:r>
              <w:rPr>
                <w:rFonts w:hint="eastAsia"/>
                <w:b/>
                <w:bCs/>
                <w:color w:val="auto"/>
                <w:sz w:val="24"/>
                <w:szCs w:val="24"/>
                <w:highlight w:val="none"/>
                <w:lang w:val="en-US" w:eastAsia="zh-CN"/>
              </w:rPr>
              <w:t>表</w:t>
            </w:r>
          </w:p>
          <w:tbl>
            <w:tblPr>
              <w:tblStyle w:val="29"/>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70"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综合污水量(m³/d)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352</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616</w:t>
                  </w:r>
                </w:p>
              </w:tc>
            </w:tr>
          </w:tbl>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 xml:space="preserve">污水处理厂规模按照镇区(集镇)规划年的平均日污水量确定。按照《湖南省 乡镇排水与污水处理工程专项规划设计技术导引》(湖南省住房和城乡建设厅 2019 年 7 月修订版)、《室外排水设计规范》(GB60014—2016 年版)、《镇(乡) 村排水工程技术规程》(CJJ124—2008)并根据镇区实际情况因地制宜选用各项系 数：污水收集率根据污水管网覆盖率取用；地下水渗入系数根据水文地质条件和 污水管道与检查井施工质量确定，取 1.0～1.1。 </w:t>
            </w:r>
          </w:p>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根据湘滨镇的经济发展现状以及自然地质条件，地下水渗入系数选择 1.0， 污水收集率近期(2020 年)为 80%，远期(2030 年)为 90%。</w:t>
            </w:r>
          </w:p>
          <w:p>
            <w:pPr>
              <w:adjustRightInd w:val="0"/>
              <w:snapToGrid w:val="0"/>
              <w:spacing w:line="460" w:lineRule="exact"/>
              <w:ind w:firstLine="480" w:firstLineChars="200"/>
              <w:rPr>
                <w:rFonts w:hint="eastAsia" w:eastAsia="宋体"/>
                <w:color w:val="auto"/>
                <w:sz w:val="24"/>
                <w:szCs w:val="24"/>
                <w:highlight w:val="none"/>
                <w:shd w:val="clear" w:color="auto" w:fill="auto"/>
                <w:lang w:val="en-US" w:eastAsia="zh-CN"/>
              </w:rPr>
            </w:pPr>
            <w:r>
              <w:rPr>
                <w:rFonts w:hint="eastAsia" w:eastAsia="宋体"/>
                <w:color w:val="auto"/>
                <w:sz w:val="24"/>
                <w:szCs w:val="24"/>
                <w:highlight w:val="none"/>
                <w:shd w:val="clear" w:color="auto" w:fill="auto"/>
                <w:lang w:val="en-US" w:eastAsia="zh-CN"/>
              </w:rPr>
              <w:t>则：湘滨镇污水量预测详见表</w:t>
            </w:r>
            <w:r>
              <w:rPr>
                <w:rFonts w:hint="eastAsia"/>
                <w:color w:val="auto"/>
                <w:sz w:val="24"/>
                <w:szCs w:val="24"/>
                <w:highlight w:val="none"/>
                <w:shd w:val="clear" w:color="auto" w:fill="auto"/>
                <w:lang w:val="en-US" w:eastAsia="zh-CN"/>
              </w:rPr>
              <w:t>7</w:t>
            </w:r>
          </w:p>
          <w:p>
            <w:pPr>
              <w:adjustRightInd w:val="0"/>
              <w:snapToGrid w:val="0"/>
              <w:spacing w:line="440" w:lineRule="exact"/>
              <w:ind w:firstLine="482" w:firstLineChars="200"/>
              <w:jc w:val="center"/>
              <w:rPr>
                <w:rFonts w:hint="default" w:eastAsia="宋体"/>
                <w:lang w:val="en-US" w:eastAsia="zh-CN"/>
              </w:rPr>
            </w:pPr>
            <w:r>
              <w:rPr>
                <w:b/>
                <w:bCs/>
                <w:color w:val="auto"/>
                <w:sz w:val="24"/>
                <w:szCs w:val="24"/>
                <w:highlight w:val="none"/>
              </w:rPr>
              <w:t>表</w:t>
            </w:r>
            <w:r>
              <w:rPr>
                <w:rFonts w:hint="eastAsia"/>
                <w:b/>
                <w:bCs/>
                <w:color w:val="auto"/>
                <w:sz w:val="24"/>
                <w:szCs w:val="24"/>
                <w:highlight w:val="none"/>
                <w:lang w:val="en-US" w:eastAsia="zh-CN"/>
              </w:rPr>
              <w:t>7</w:t>
            </w:r>
            <w:r>
              <w:rPr>
                <w:rFonts w:hint="eastAsia"/>
                <w:b/>
                <w:bCs/>
                <w:color w:val="auto"/>
                <w:sz w:val="24"/>
                <w:szCs w:val="24"/>
                <w:highlight w:val="none"/>
              </w:rPr>
              <w:t xml:space="preserve">  </w:t>
            </w:r>
            <w:r>
              <w:rPr>
                <w:rFonts w:hint="eastAsia"/>
                <w:b/>
                <w:bCs/>
                <w:color w:val="auto"/>
                <w:sz w:val="24"/>
                <w:szCs w:val="24"/>
                <w:highlight w:val="none"/>
                <w:lang w:val="en-US" w:eastAsia="zh-CN"/>
              </w:rPr>
              <w:t>湘滨镇近远期污水量预测表</w:t>
            </w:r>
          </w:p>
          <w:tbl>
            <w:tblPr>
              <w:tblStyle w:val="29"/>
              <w:tblW w:w="779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5"/>
              <w:gridCol w:w="2282"/>
              <w:gridCol w:w="33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6" w:hRule="atLeast"/>
                <w:jc w:val="center"/>
              </w:trPr>
              <w:tc>
                <w:tcPr>
                  <w:tcW w:w="219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年限</w:t>
                  </w:r>
                </w:p>
              </w:tc>
              <w:tc>
                <w:tcPr>
                  <w:tcW w:w="228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rFonts w:hint="eastAsia"/>
                      <w:color w:val="auto"/>
                      <w:sz w:val="21"/>
                      <w:szCs w:val="21"/>
                      <w:highlight w:val="none"/>
                      <w:lang w:val="en-US" w:eastAsia="zh-CN"/>
                    </w:rPr>
                    <w:t>近期（2020年）</w:t>
                  </w:r>
                </w:p>
              </w:tc>
              <w:tc>
                <w:tcPr>
                  <w:tcW w:w="3322"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远期（2030）年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人口</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4000</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352</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污水收集率</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0.8</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地下水渗入系数</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jc w:val="center"/>
              </w:trPr>
              <w:tc>
                <w:tcPr>
                  <w:tcW w:w="219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污水规模量(m³/d)</w:t>
                  </w:r>
                </w:p>
              </w:tc>
              <w:tc>
                <w:tcPr>
                  <w:tcW w:w="228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282</w:t>
                  </w:r>
                </w:p>
              </w:tc>
              <w:tc>
                <w:tcPr>
                  <w:tcW w:w="3322"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554</w:t>
                  </w:r>
                </w:p>
              </w:tc>
            </w:tr>
          </w:tbl>
          <w:p>
            <w:pPr>
              <w:adjustRightInd w:val="0"/>
              <w:snapToGrid w:val="0"/>
              <w:spacing w:line="460" w:lineRule="exact"/>
              <w:ind w:firstLine="482" w:firstLineChars="200"/>
              <w:rPr>
                <w:b/>
                <w:bCs/>
                <w:color w:val="auto"/>
                <w:sz w:val="24"/>
                <w:szCs w:val="24"/>
                <w:highlight w:val="none"/>
              </w:rPr>
            </w:pPr>
            <w:r>
              <w:rPr>
                <w:rFonts w:hint="eastAsia"/>
                <w:b/>
                <w:bCs/>
                <w:color w:val="auto"/>
                <w:sz w:val="24"/>
                <w:szCs w:val="24"/>
                <w:highlight w:val="none"/>
              </w:rPr>
              <w:t>7、设计进、出水水质及处理效率</w:t>
            </w:r>
          </w:p>
          <w:p>
            <w:pPr>
              <w:adjustRightInd w:val="0"/>
              <w:snapToGrid w:val="0"/>
              <w:spacing w:line="460" w:lineRule="exact"/>
              <w:ind w:firstLine="480" w:firstLineChars="200"/>
              <w:rPr>
                <w:rFonts w:hint="eastAsia" w:cs="宋体"/>
                <w:color w:val="auto"/>
                <w:sz w:val="24"/>
                <w:szCs w:val="24"/>
                <w:highlight w:val="none"/>
                <w:lang w:eastAsia="zh-CN"/>
              </w:rPr>
            </w:pPr>
            <w:bookmarkStart w:id="2" w:name="表2-2___污水处理厂进水水质水质表"/>
            <w:bookmarkEnd w:id="2"/>
            <w:r>
              <w:rPr>
                <w:rFonts w:hint="eastAsia" w:cs="宋体"/>
                <w:color w:val="auto"/>
                <w:sz w:val="24"/>
                <w:szCs w:val="24"/>
                <w:highlight w:val="none"/>
                <w:lang w:eastAsia="zh-CN"/>
              </w:rPr>
              <w:t>由于湘滨镇的污水没有工业污水，仅有生活污水，根据《湖南省镇(乡)村供排水工程专项规划 设计技术导引》(湖南省住房和城乡建设厅 2016 年 12 月修订)的生活污水水质范 围参考表以及湘阴县 2015 年全年实际进出水水质指标，对湘滨镇镇区生活污水 水质进行预测。鉴于湘阴县城的排水管网基本为雨污合流排水体制，而本工程排 水管网是雨污分流体制，各项指标值预测值较湘阴县城偏高。</w:t>
            </w:r>
          </w:p>
          <w:p>
            <w:pPr>
              <w:adjustRightInd w:val="0"/>
              <w:snapToGrid w:val="0"/>
              <w:spacing w:line="460" w:lineRule="exact"/>
              <w:ind w:firstLine="480" w:firstLineChars="200"/>
              <w:rPr>
                <w:rFonts w:hint="default" w:eastAsia="宋体"/>
                <w:color w:val="auto"/>
                <w:sz w:val="24"/>
                <w:szCs w:val="24"/>
                <w:highlight w:val="none"/>
                <w:lang w:val="en-US" w:eastAsia="zh-CN"/>
              </w:rPr>
            </w:pPr>
            <w:r>
              <w:rPr>
                <w:rFonts w:hint="eastAsia" w:cs="宋体"/>
                <w:color w:val="auto"/>
                <w:sz w:val="24"/>
                <w:szCs w:val="24"/>
                <w:highlight w:val="none"/>
                <w:lang w:eastAsia="zh-CN"/>
              </w:rPr>
              <w:t>综合国内部分污水处理厂的实际进水水质及设计进水水质，并结合湘滨镇污水处理厂进水水质预测情况，预测污水处理厂进水水质如下表：</w:t>
            </w:r>
          </w:p>
          <w:p>
            <w:pPr>
              <w:adjustRightInd w:val="0"/>
              <w:snapToGrid w:val="0"/>
              <w:spacing w:line="480" w:lineRule="exact"/>
              <w:ind w:firstLine="482" w:firstLineChars="200"/>
              <w:jc w:val="center"/>
              <w:rPr>
                <w:rFonts w:hint="eastAsia" w:eastAsia="宋体"/>
                <w:b/>
                <w:bCs/>
                <w:color w:val="auto"/>
                <w:sz w:val="24"/>
                <w:szCs w:val="24"/>
                <w:highlight w:val="none"/>
                <w:lang w:val="en-US" w:eastAsia="zh-CN"/>
              </w:rPr>
            </w:pPr>
            <w:r>
              <w:rPr>
                <w:b/>
                <w:bCs/>
                <w:color w:val="auto"/>
                <w:sz w:val="24"/>
                <w:szCs w:val="24"/>
                <w:highlight w:val="none"/>
              </w:rPr>
              <w:t>表</w:t>
            </w:r>
            <w:r>
              <w:rPr>
                <w:rFonts w:hint="eastAsia"/>
                <w:b/>
                <w:bCs/>
                <w:color w:val="auto"/>
                <w:sz w:val="24"/>
                <w:szCs w:val="24"/>
                <w:highlight w:val="none"/>
                <w:lang w:val="en-US" w:eastAsia="zh-CN"/>
              </w:rPr>
              <w:t>8</w:t>
            </w:r>
            <w:r>
              <w:rPr>
                <w:b/>
                <w:bCs/>
                <w:color w:val="auto"/>
                <w:sz w:val="24"/>
                <w:szCs w:val="24"/>
                <w:highlight w:val="none"/>
              </w:rPr>
              <w:tab/>
            </w:r>
            <w:r>
              <w:rPr>
                <w:b/>
                <w:bCs/>
                <w:color w:val="auto"/>
                <w:sz w:val="24"/>
                <w:szCs w:val="24"/>
                <w:highlight w:val="none"/>
              </w:rPr>
              <w:t>污水处理厂进水水质</w:t>
            </w:r>
            <w:r>
              <w:rPr>
                <w:rFonts w:hint="eastAsia"/>
                <w:b/>
                <w:bCs/>
                <w:color w:val="auto"/>
                <w:sz w:val="24"/>
                <w:szCs w:val="24"/>
                <w:highlight w:val="none"/>
                <w:lang w:val="en-US" w:eastAsia="zh-CN"/>
              </w:rPr>
              <w:t>推荐</w:t>
            </w:r>
          </w:p>
          <w:tbl>
            <w:tblPr>
              <w:tblStyle w:val="29"/>
              <w:tblW w:w="913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7"/>
              <w:gridCol w:w="1486"/>
              <w:gridCol w:w="1207"/>
              <w:gridCol w:w="1305"/>
              <w:gridCol w:w="1204"/>
              <w:gridCol w:w="1211"/>
              <w:gridCol w:w="12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74" w:hRule="atLeast"/>
                <w:jc w:val="center"/>
              </w:trPr>
              <w:tc>
                <w:tcPr>
                  <w:tcW w:w="1507" w:type="dxa"/>
                  <w:tcBorders>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污水种类</w:t>
                  </w:r>
                </w:p>
              </w:tc>
              <w:tc>
                <w:tcPr>
                  <w:tcW w:w="1486"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7"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305"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SS</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04"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氨氮</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1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总磷</w:t>
                  </w:r>
                </w:p>
                <w:p>
                  <w:pPr>
                    <w:adjustRightInd w:val="0"/>
                    <w:snapToGrid w:val="0"/>
                    <w:spacing w:line="320" w:lineRule="exact"/>
                    <w:jc w:val="center"/>
                    <w:rPr>
                      <w:color w:val="auto"/>
                      <w:sz w:val="21"/>
                      <w:szCs w:val="21"/>
                      <w:highlight w:val="none"/>
                    </w:rPr>
                  </w:pPr>
                  <w:r>
                    <w:rPr>
                      <w:rFonts w:hint="eastAsia"/>
                      <w:color w:val="auto"/>
                      <w:sz w:val="21"/>
                      <w:szCs w:val="21"/>
                      <w:highlight w:val="none"/>
                    </w:rPr>
                    <w:t>（</w:t>
                  </w:r>
                  <w:r>
                    <w:rPr>
                      <w:color w:val="auto"/>
                      <w:sz w:val="21"/>
                      <w:szCs w:val="21"/>
                      <w:highlight w:val="none"/>
                    </w:rPr>
                    <w:t>mg/L</w:t>
                  </w:r>
                  <w:r>
                    <w:rPr>
                      <w:rFonts w:hint="eastAsia"/>
                      <w:color w:val="auto"/>
                      <w:sz w:val="21"/>
                      <w:szCs w:val="21"/>
                      <w:highlight w:val="none"/>
                    </w:rPr>
                    <w:t>）</w:t>
                  </w:r>
                </w:p>
              </w:tc>
              <w:tc>
                <w:tcPr>
                  <w:tcW w:w="1211" w:type="dxa"/>
                  <w:tcBorders>
                    <w:left w:val="single" w:color="000000" w:sz="6" w:space="0"/>
                    <w:bottom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pH</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jc w:val="center"/>
              </w:trPr>
              <w:tc>
                <w:tcPr>
                  <w:tcW w:w="1507" w:type="dxa"/>
                  <w:tcBorders>
                    <w:top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生活污水</w:t>
                  </w:r>
                </w:p>
              </w:tc>
              <w:tc>
                <w:tcPr>
                  <w:tcW w:w="1486"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color w:val="auto"/>
                      <w:sz w:val="21"/>
                      <w:szCs w:val="21"/>
                      <w:highlight w:val="none"/>
                    </w:rPr>
                  </w:pPr>
                  <w:r>
                    <w:rPr>
                      <w:color w:val="auto"/>
                      <w:sz w:val="21"/>
                      <w:szCs w:val="21"/>
                      <w:highlight w:val="none"/>
                    </w:rPr>
                    <w:t>≤ 220</w:t>
                  </w:r>
                </w:p>
              </w:tc>
              <w:tc>
                <w:tcPr>
                  <w:tcW w:w="1207"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 12</w:t>
                  </w:r>
                  <w:r>
                    <w:rPr>
                      <w:rFonts w:hint="eastAsia"/>
                      <w:color w:val="auto"/>
                      <w:sz w:val="21"/>
                      <w:szCs w:val="21"/>
                      <w:highlight w:val="none"/>
                      <w:lang w:val="en-US" w:eastAsia="zh-CN"/>
                    </w:rPr>
                    <w:t>5</w:t>
                  </w:r>
                </w:p>
              </w:tc>
              <w:tc>
                <w:tcPr>
                  <w:tcW w:w="1305"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w:t>
                  </w:r>
                  <w:r>
                    <w:rPr>
                      <w:rFonts w:hint="eastAsia"/>
                      <w:color w:val="auto"/>
                      <w:sz w:val="21"/>
                      <w:szCs w:val="21"/>
                      <w:highlight w:val="none"/>
                      <w:lang w:val="en-US" w:eastAsia="zh-CN"/>
                    </w:rPr>
                    <w:t>135</w:t>
                  </w:r>
                </w:p>
              </w:tc>
              <w:tc>
                <w:tcPr>
                  <w:tcW w:w="1204"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 xml:space="preserve">≤ </w:t>
                  </w:r>
                  <w:r>
                    <w:rPr>
                      <w:rFonts w:hint="eastAsia"/>
                      <w:color w:val="auto"/>
                      <w:sz w:val="21"/>
                      <w:szCs w:val="21"/>
                      <w:highlight w:val="none"/>
                      <w:lang w:val="en-US" w:eastAsia="zh-CN"/>
                    </w:rPr>
                    <w:t>35</w:t>
                  </w:r>
                </w:p>
              </w:tc>
              <w:tc>
                <w:tcPr>
                  <w:tcW w:w="1211"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 xml:space="preserve">≤ </w:t>
                  </w:r>
                  <w:r>
                    <w:rPr>
                      <w:rFonts w:hint="eastAsia"/>
                      <w:color w:val="auto"/>
                      <w:sz w:val="21"/>
                      <w:szCs w:val="21"/>
                      <w:highlight w:val="none"/>
                      <w:lang w:val="en-US" w:eastAsia="zh-CN"/>
                    </w:rPr>
                    <w:t>3</w:t>
                  </w:r>
                </w:p>
              </w:tc>
              <w:tc>
                <w:tcPr>
                  <w:tcW w:w="1211" w:type="dxa"/>
                  <w:tcBorders>
                    <w:top w:val="single" w:color="000000" w:sz="6" w:space="0"/>
                    <w:left w:val="single" w:color="000000" w:sz="6" w:space="0"/>
                    <w:right w:val="single" w:color="000000" w:sz="6" w:space="0"/>
                  </w:tcBorders>
                  <w:vAlign w:val="center"/>
                </w:tcPr>
                <w:p>
                  <w:pPr>
                    <w:adjustRightInd w:val="0"/>
                    <w:snapToGrid w:val="0"/>
                    <w:spacing w:line="32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7.4</w:t>
                  </w:r>
                </w:p>
              </w:tc>
            </w:tr>
          </w:tbl>
          <w:p>
            <w:pPr>
              <w:adjustRightInd w:val="0"/>
              <w:snapToGrid w:val="0"/>
              <w:spacing w:line="460" w:lineRule="exact"/>
              <w:ind w:firstLine="480" w:firstLineChars="200"/>
              <w:rPr>
                <w:color w:val="auto"/>
                <w:sz w:val="24"/>
                <w:szCs w:val="24"/>
                <w:highlight w:val="none"/>
              </w:rPr>
            </w:pPr>
            <w:bookmarkStart w:id="3" w:name="表2-4污水处理厂设计污水处理率"/>
            <w:bookmarkEnd w:id="3"/>
            <w:r>
              <w:rPr>
                <w:rFonts w:hint="eastAsia" w:eastAsia="宋体" w:cs="宋体"/>
                <w:color w:val="auto"/>
                <w:sz w:val="24"/>
                <w:szCs w:val="24"/>
                <w:highlight w:val="none"/>
                <w:lang w:val="en-US" w:eastAsia="zh-CN"/>
              </w:rPr>
              <w:t xml:space="preserve">根据湖南省人民政府办公厅《湖南省 </w:t>
            </w:r>
            <w:r>
              <w:rPr>
                <w:rFonts w:hint="default" w:eastAsia="宋体" w:cs="宋体"/>
                <w:color w:val="auto"/>
                <w:sz w:val="24"/>
                <w:szCs w:val="24"/>
                <w:highlight w:val="none"/>
                <w:lang w:val="en-US" w:eastAsia="zh-CN"/>
              </w:rPr>
              <w:t xml:space="preserve">2014-2016 </w:t>
            </w:r>
            <w:r>
              <w:rPr>
                <w:rFonts w:hint="eastAsia" w:eastAsia="宋体" w:cs="宋体"/>
                <w:color w:val="auto"/>
                <w:sz w:val="24"/>
                <w:szCs w:val="24"/>
                <w:highlight w:val="none"/>
                <w:lang w:val="en-US" w:eastAsia="zh-CN"/>
              </w:rPr>
              <w:t>年</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两供两治</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设施建设实施方案》（湘政办发</w:t>
            </w:r>
            <w:r>
              <w:rPr>
                <w:rFonts w:hint="default" w:eastAsia="宋体" w:cs="宋体"/>
                <w:color w:val="auto"/>
                <w:sz w:val="24"/>
                <w:szCs w:val="24"/>
                <w:highlight w:val="none"/>
                <w:lang w:val="en-US" w:eastAsia="zh-CN"/>
              </w:rPr>
              <w:t xml:space="preserve">[2014]5 </w:t>
            </w:r>
            <w:r>
              <w:rPr>
                <w:rFonts w:hint="eastAsia" w:eastAsia="宋体" w:cs="宋体"/>
                <w:color w:val="auto"/>
                <w:sz w:val="24"/>
                <w:szCs w:val="24"/>
                <w:highlight w:val="none"/>
                <w:lang w:val="en-US" w:eastAsia="zh-CN"/>
              </w:rPr>
              <w:t>号），</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重要水源地、城市内湖、景观水系、水环境敏感区域等重点水域（以下简称</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重点水域</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）和其他有条件地区的污水处理厂排放标准达到《城镇污水处理厂污染物排放标准》（</w:t>
            </w:r>
            <w:r>
              <w:rPr>
                <w:rFonts w:hint="default" w:eastAsia="宋体" w:cs="宋体"/>
                <w:color w:val="auto"/>
                <w:sz w:val="24"/>
                <w:szCs w:val="24"/>
                <w:highlight w:val="none"/>
                <w:lang w:val="en-US" w:eastAsia="zh-CN"/>
              </w:rPr>
              <w:t>GB18918- 2002</w:t>
            </w:r>
            <w:r>
              <w:rPr>
                <w:rFonts w:hint="eastAsia" w:eastAsia="宋体" w:cs="宋体"/>
                <w:color w:val="auto"/>
                <w:sz w:val="24"/>
                <w:szCs w:val="24"/>
                <w:highlight w:val="none"/>
                <w:lang w:val="en-US" w:eastAsia="zh-CN"/>
              </w:rPr>
              <w:t xml:space="preserve">）一级 </w:t>
            </w:r>
            <w:r>
              <w:rPr>
                <w:rFonts w:hint="default" w:eastAsia="宋体" w:cs="宋体"/>
                <w:color w:val="auto"/>
                <w:sz w:val="24"/>
                <w:szCs w:val="24"/>
                <w:highlight w:val="none"/>
                <w:lang w:val="en-US" w:eastAsia="zh-CN"/>
              </w:rPr>
              <w:t xml:space="preserve">A </w:t>
            </w:r>
            <w:r>
              <w:rPr>
                <w:rFonts w:hint="eastAsia" w:eastAsia="宋体" w:cs="宋体"/>
                <w:color w:val="auto"/>
                <w:sz w:val="24"/>
                <w:szCs w:val="24"/>
                <w:highlight w:val="none"/>
                <w:lang w:val="en-US" w:eastAsia="zh-CN"/>
              </w:rPr>
              <w:t>标准 （以下简称</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 xml:space="preserve">一级 </w:t>
            </w:r>
            <w:r>
              <w:rPr>
                <w:rFonts w:hint="default" w:eastAsia="宋体" w:cs="宋体"/>
                <w:color w:val="auto"/>
                <w:sz w:val="24"/>
                <w:szCs w:val="24"/>
                <w:highlight w:val="none"/>
                <w:lang w:val="en-US" w:eastAsia="zh-CN"/>
              </w:rPr>
              <w:t>A”</w:t>
            </w:r>
            <w:r>
              <w:rPr>
                <w:rFonts w:hint="eastAsia" w:eastAsia="宋体" w:cs="宋体"/>
                <w:color w:val="auto"/>
                <w:sz w:val="24"/>
                <w:szCs w:val="24"/>
                <w:highlight w:val="none"/>
                <w:lang w:val="en-US" w:eastAsia="zh-CN"/>
              </w:rPr>
              <w:t>）及以上标准</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 xml:space="preserve">对重点水域和其他有条件地区已建的县以上城镇污水处理厂进行升级改造，进一步提高对主要污染物的削减能力，使其排放标准达到一级 </w:t>
            </w:r>
            <w:r>
              <w:rPr>
                <w:rFonts w:hint="default" w:eastAsia="宋体" w:cs="宋体"/>
                <w:color w:val="auto"/>
                <w:sz w:val="24"/>
                <w:szCs w:val="24"/>
                <w:highlight w:val="none"/>
                <w:lang w:val="en-US" w:eastAsia="zh-CN"/>
              </w:rPr>
              <w:t xml:space="preserve">A </w:t>
            </w:r>
            <w:r>
              <w:rPr>
                <w:rFonts w:hint="eastAsia" w:eastAsia="宋体" w:cs="宋体"/>
                <w:color w:val="auto"/>
                <w:sz w:val="24"/>
                <w:szCs w:val="24"/>
                <w:highlight w:val="none"/>
                <w:lang w:val="en-US" w:eastAsia="zh-CN"/>
              </w:rPr>
              <w:t>及以上</w:t>
            </w:r>
            <w:r>
              <w:rPr>
                <w:rFonts w:hint="default"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 湘阴县湘滨镇污水处理厂尾水受纳水体为王家河，污水处理厂出水水质需达到《城镇污水处理厂污染物排放标准》</w:t>
            </w:r>
            <w:r>
              <w:rPr>
                <w:rFonts w:hint="default" w:eastAsia="宋体" w:cs="宋体"/>
                <w:color w:val="auto"/>
                <w:sz w:val="24"/>
                <w:szCs w:val="24"/>
                <w:highlight w:val="none"/>
                <w:lang w:val="en-US" w:eastAsia="zh-CN"/>
              </w:rPr>
              <w:t>(GB18918-2002)</w:t>
            </w:r>
            <w:r>
              <w:rPr>
                <w:rFonts w:hint="eastAsia" w:eastAsia="宋体" w:cs="宋体"/>
                <w:color w:val="auto"/>
                <w:sz w:val="24"/>
                <w:szCs w:val="24"/>
                <w:highlight w:val="none"/>
                <w:lang w:val="en-US" w:eastAsia="zh-CN"/>
              </w:rPr>
              <w:t xml:space="preserve">一级 </w:t>
            </w:r>
            <w:r>
              <w:rPr>
                <w:rFonts w:hint="default" w:eastAsia="宋体" w:cs="宋体"/>
                <w:color w:val="auto"/>
                <w:sz w:val="24"/>
                <w:szCs w:val="24"/>
                <w:highlight w:val="none"/>
                <w:lang w:val="en-US" w:eastAsia="zh-CN"/>
              </w:rPr>
              <w:t xml:space="preserve">A </w:t>
            </w:r>
            <w:r>
              <w:rPr>
                <w:rFonts w:hint="eastAsia" w:eastAsia="宋体" w:cs="宋体"/>
                <w:color w:val="auto"/>
                <w:sz w:val="24"/>
                <w:szCs w:val="24"/>
                <w:highlight w:val="none"/>
                <w:lang w:val="en-US" w:eastAsia="zh-CN"/>
              </w:rPr>
              <w:t>标准，其主要污染物控制指标如下：</w:t>
            </w:r>
          </w:p>
          <w:p>
            <w:pPr>
              <w:adjustRightInd w:val="0"/>
              <w:snapToGrid w:val="0"/>
              <w:spacing w:line="480" w:lineRule="exact"/>
              <w:ind w:firstLine="482" w:firstLineChars="200"/>
              <w:jc w:val="center"/>
              <w:rPr>
                <w:rFonts w:hint="eastAsia" w:eastAsia="宋体"/>
                <w:b/>
                <w:bCs/>
                <w:color w:val="auto"/>
                <w:sz w:val="24"/>
                <w:szCs w:val="24"/>
                <w:highlight w:val="none"/>
                <w:lang w:eastAsia="zh-CN"/>
              </w:rPr>
            </w:pPr>
            <w:r>
              <w:rPr>
                <w:b/>
                <w:bCs/>
                <w:color w:val="auto"/>
                <w:sz w:val="24"/>
                <w:szCs w:val="24"/>
                <w:highlight w:val="none"/>
              </w:rPr>
              <w:t>表</w:t>
            </w:r>
            <w:r>
              <w:rPr>
                <w:rFonts w:hint="eastAsia"/>
                <w:b/>
                <w:bCs/>
                <w:color w:val="auto"/>
                <w:sz w:val="24"/>
                <w:szCs w:val="24"/>
                <w:highlight w:val="none"/>
                <w:lang w:val="en-US" w:eastAsia="zh-CN"/>
              </w:rPr>
              <w:t>9</w:t>
            </w:r>
            <w:r>
              <w:rPr>
                <w:rFonts w:hint="eastAsia"/>
                <w:b/>
                <w:bCs/>
                <w:color w:val="auto"/>
                <w:sz w:val="24"/>
                <w:szCs w:val="24"/>
                <w:highlight w:val="none"/>
              </w:rPr>
              <w:t xml:space="preserve"> </w:t>
            </w:r>
            <w:r>
              <w:rPr>
                <w:b/>
                <w:bCs/>
                <w:color w:val="auto"/>
                <w:sz w:val="24"/>
                <w:szCs w:val="24"/>
                <w:highlight w:val="none"/>
              </w:rPr>
              <w:t xml:space="preserve"> </w:t>
            </w:r>
            <w:r>
              <w:rPr>
                <w:rFonts w:hint="eastAsia"/>
                <w:b/>
                <w:bCs/>
                <w:color w:val="auto"/>
                <w:sz w:val="24"/>
                <w:szCs w:val="24"/>
                <w:highlight w:val="none"/>
                <w:lang w:val="en-US" w:eastAsia="zh-CN"/>
              </w:rPr>
              <w:t>湘阴县湘滨镇</w:t>
            </w:r>
            <w:r>
              <w:rPr>
                <w:b/>
                <w:bCs/>
                <w:color w:val="auto"/>
                <w:sz w:val="24"/>
                <w:szCs w:val="24"/>
                <w:highlight w:val="none"/>
              </w:rPr>
              <w:t>污水处理厂</w:t>
            </w:r>
            <w:r>
              <w:rPr>
                <w:rFonts w:hint="eastAsia"/>
                <w:b/>
                <w:bCs/>
                <w:color w:val="auto"/>
                <w:sz w:val="24"/>
                <w:szCs w:val="24"/>
                <w:highlight w:val="none"/>
                <w:lang w:val="en-US" w:eastAsia="zh-CN"/>
              </w:rPr>
              <w:t>出水水质</w:t>
            </w:r>
          </w:p>
          <w:tbl>
            <w:tblPr>
              <w:tblStyle w:val="29"/>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0"/>
              <w:gridCol w:w="1129"/>
              <w:gridCol w:w="1150"/>
              <w:gridCol w:w="1050"/>
              <w:gridCol w:w="1122"/>
              <w:gridCol w:w="874"/>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水 质 指 标</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CODcr</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BOD</w:t>
                  </w:r>
                  <w:r>
                    <w:rPr>
                      <w:color w:val="auto"/>
                      <w:sz w:val="21"/>
                      <w:szCs w:val="21"/>
                      <w:highlight w:val="none"/>
                      <w:vertAlign w:val="subscript"/>
                    </w:rPr>
                    <w:t>5</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SS</w:t>
                  </w:r>
                </w:p>
              </w:tc>
              <w:tc>
                <w:tcPr>
                  <w:tcW w:w="1122"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NH</w:t>
                  </w:r>
                  <w:r>
                    <w:rPr>
                      <w:color w:val="auto"/>
                      <w:sz w:val="21"/>
                      <w:szCs w:val="21"/>
                      <w:highlight w:val="none"/>
                      <w:vertAlign w:val="subscript"/>
                    </w:rPr>
                    <w:t>3</w:t>
                  </w:r>
                  <w:r>
                    <w:rPr>
                      <w:color w:val="auto"/>
                      <w:sz w:val="21"/>
                      <w:szCs w:val="21"/>
                      <w:highlight w:val="none"/>
                    </w:rPr>
                    <w:t>-N</w:t>
                  </w:r>
                </w:p>
              </w:tc>
              <w:tc>
                <w:tcPr>
                  <w:tcW w:w="874"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TP</w:t>
                  </w:r>
                </w:p>
              </w:tc>
              <w:tc>
                <w:tcPr>
                  <w:tcW w:w="1412" w:type="dxa"/>
                  <w:vAlign w:val="center"/>
                </w:tcPr>
                <w:p>
                  <w:pPr>
                    <w:adjustRightInd w:val="0"/>
                    <w:snapToGrid w:val="0"/>
                    <w:spacing w:line="32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粪大肠杆菌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370" w:type="dxa"/>
                  <w:vAlign w:val="center"/>
                </w:tcPr>
                <w:p>
                  <w:pPr>
                    <w:adjustRightInd w:val="0"/>
                    <w:snapToGrid w:val="0"/>
                    <w:spacing w:line="320" w:lineRule="exact"/>
                    <w:jc w:val="center"/>
                    <w:rPr>
                      <w:color w:val="auto"/>
                      <w:sz w:val="21"/>
                      <w:szCs w:val="21"/>
                      <w:highlight w:val="none"/>
                    </w:rPr>
                  </w:pPr>
                  <w:r>
                    <w:rPr>
                      <w:rFonts w:hint="eastAsia"/>
                      <w:color w:val="auto"/>
                      <w:sz w:val="21"/>
                      <w:szCs w:val="21"/>
                      <w:highlight w:val="none"/>
                    </w:rPr>
                    <w:t>出水水质（</w:t>
                  </w:r>
                  <w:r>
                    <w:rPr>
                      <w:color w:val="auto"/>
                      <w:sz w:val="21"/>
                      <w:szCs w:val="21"/>
                      <w:highlight w:val="none"/>
                    </w:rPr>
                    <w:t>mg/L</w:t>
                  </w:r>
                  <w:r>
                    <w:rPr>
                      <w:rFonts w:hint="eastAsia"/>
                      <w:color w:val="auto"/>
                      <w:sz w:val="21"/>
                      <w:szCs w:val="21"/>
                      <w:highlight w:val="none"/>
                    </w:rPr>
                    <w:t>）</w:t>
                  </w:r>
                </w:p>
              </w:tc>
              <w:tc>
                <w:tcPr>
                  <w:tcW w:w="1129"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≤50</w:t>
                  </w:r>
                </w:p>
              </w:tc>
              <w:tc>
                <w:tcPr>
                  <w:tcW w:w="11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050" w:type="dxa"/>
                  <w:vAlign w:val="center"/>
                </w:tcPr>
                <w:p>
                  <w:pPr>
                    <w:adjustRightInd w:val="0"/>
                    <w:snapToGrid w:val="0"/>
                    <w:spacing w:line="320" w:lineRule="exact"/>
                    <w:jc w:val="center"/>
                    <w:rPr>
                      <w:color w:val="auto"/>
                      <w:highlight w:val="none"/>
                    </w:rPr>
                  </w:pPr>
                  <w:r>
                    <w:rPr>
                      <w:color w:val="auto"/>
                      <w:sz w:val="21"/>
                      <w:szCs w:val="21"/>
                      <w:highlight w:val="none"/>
                    </w:rPr>
                    <w:t>10</w:t>
                  </w:r>
                </w:p>
              </w:tc>
              <w:tc>
                <w:tcPr>
                  <w:tcW w:w="1122" w:type="dxa"/>
                  <w:vAlign w:val="center"/>
                </w:tcPr>
                <w:p>
                  <w:pPr>
                    <w:adjustRightInd w:val="0"/>
                    <w:snapToGrid w:val="0"/>
                    <w:spacing w:line="320" w:lineRule="exact"/>
                    <w:jc w:val="center"/>
                    <w:rPr>
                      <w:rFonts w:hint="eastAsia" w:eastAsia="宋体"/>
                      <w:color w:val="auto"/>
                      <w:sz w:val="21"/>
                      <w:szCs w:val="21"/>
                      <w:highlight w:val="none"/>
                      <w:lang w:eastAsia="zh-CN"/>
                    </w:rPr>
                  </w:pPr>
                  <w:r>
                    <w:rPr>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p>
              </w:tc>
              <w:tc>
                <w:tcPr>
                  <w:tcW w:w="874" w:type="dxa"/>
                  <w:vAlign w:val="center"/>
                </w:tcPr>
                <w:p>
                  <w:pPr>
                    <w:adjustRightInd w:val="0"/>
                    <w:snapToGrid w:val="0"/>
                    <w:spacing w:line="320" w:lineRule="exact"/>
                    <w:jc w:val="center"/>
                    <w:rPr>
                      <w:color w:val="auto"/>
                      <w:sz w:val="21"/>
                      <w:szCs w:val="21"/>
                      <w:highlight w:val="none"/>
                    </w:rPr>
                  </w:pPr>
                  <w:r>
                    <w:rPr>
                      <w:color w:val="auto"/>
                      <w:sz w:val="21"/>
                      <w:szCs w:val="21"/>
                      <w:highlight w:val="none"/>
                    </w:rPr>
                    <w:t>0.5</w:t>
                  </w:r>
                </w:p>
              </w:tc>
              <w:tc>
                <w:tcPr>
                  <w:tcW w:w="1412" w:type="dxa"/>
                  <w:vAlign w:val="center"/>
                </w:tcPr>
                <w:p>
                  <w:pPr>
                    <w:adjustRightInd w:val="0"/>
                    <w:snapToGrid w:val="0"/>
                    <w:spacing w:line="320" w:lineRule="exact"/>
                    <w:jc w:val="center"/>
                    <w:rPr>
                      <w:rFonts w:hint="default" w:eastAsia="宋体"/>
                      <w:color w:val="auto"/>
                      <w:sz w:val="21"/>
                      <w:szCs w:val="21"/>
                      <w:highlight w:val="none"/>
                      <w:lang w:val="en-US" w:eastAsia="zh-CN"/>
                    </w:rPr>
                  </w:pPr>
                  <w:r>
                    <w:rPr>
                      <w:color w:val="auto"/>
                      <w:sz w:val="21"/>
                      <w:szCs w:val="21"/>
                      <w:highlight w:val="none"/>
                    </w:rPr>
                    <w:t>≤</w:t>
                  </w:r>
                  <w:r>
                    <w:rPr>
                      <w:rFonts w:hint="eastAsia"/>
                      <w:color w:val="auto"/>
                      <w:sz w:val="21"/>
                      <w:szCs w:val="21"/>
                      <w:highlight w:val="none"/>
                      <w:lang w:val="en-US" w:eastAsia="zh-CN"/>
                    </w:rPr>
                    <w:t>1000（个/L）</w:t>
                  </w:r>
                </w:p>
              </w:tc>
            </w:tr>
          </w:tbl>
          <w:p>
            <w:pPr>
              <w:adjustRightInd w:val="0"/>
              <w:snapToGrid w:val="0"/>
              <w:spacing w:line="480" w:lineRule="exact"/>
              <w:ind w:firstLine="482" w:firstLineChars="200"/>
              <w:rPr>
                <w:color w:val="auto"/>
                <w:sz w:val="24"/>
                <w:szCs w:val="24"/>
                <w:highlight w:val="none"/>
                <w:shd w:val="clear" w:color="auto" w:fill="auto"/>
              </w:rPr>
            </w:pPr>
            <w:r>
              <w:rPr>
                <w:rFonts w:hint="eastAsia"/>
                <w:b/>
                <w:bCs/>
                <w:color w:val="auto"/>
                <w:sz w:val="24"/>
                <w:szCs w:val="24"/>
                <w:highlight w:val="none"/>
                <w:shd w:val="clear" w:color="auto" w:fill="auto"/>
              </w:rPr>
              <w:t>8</w:t>
            </w:r>
            <w:r>
              <w:rPr>
                <w:rFonts w:hint="eastAsia" w:cs="宋体"/>
                <w:b/>
                <w:bCs/>
                <w:color w:val="auto"/>
                <w:sz w:val="24"/>
                <w:szCs w:val="24"/>
                <w:highlight w:val="none"/>
                <w:shd w:val="clear" w:color="auto" w:fill="auto"/>
              </w:rPr>
              <w:t>、污水处理工艺：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根据进出水水质和去除效率，拟建污水处理厂采用“格栅渠-调节池+A</w:t>
            </w:r>
            <w:r>
              <w:rPr>
                <w:rFonts w:hint="eastAsia" w:cs="宋体"/>
                <w:color w:val="auto"/>
                <w:sz w:val="24"/>
                <w:szCs w:val="24"/>
                <w:highlight w:val="none"/>
                <w:vertAlign w:val="superscript"/>
              </w:rPr>
              <w:t>2</w:t>
            </w:r>
            <w:r>
              <w:rPr>
                <w:rFonts w:hint="eastAsia" w:cs="宋体"/>
                <w:color w:val="auto"/>
                <w:sz w:val="24"/>
                <w:szCs w:val="24"/>
                <w:highlight w:val="none"/>
              </w:rPr>
              <w:t>O 污水处理工艺+软性固定填料过滤模块过滤+ 紫外消毒处理+计量出水”工艺。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（1）污水处理总体方案</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lang w:val="en-US" w:eastAsia="zh-CN"/>
              </w:rPr>
              <w:t>湘滨</w:t>
            </w:r>
            <w:r>
              <w:rPr>
                <w:rFonts w:hint="eastAsia" w:cs="宋体"/>
                <w:color w:val="auto"/>
                <w:sz w:val="24"/>
                <w:szCs w:val="24"/>
                <w:highlight w:val="none"/>
              </w:rPr>
              <w:t>镇污水处理厂工程各处理环节采用的主要工艺方案有：</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①预处理工艺：采用格栅渠+调节池</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②污水处理工艺：A</w:t>
            </w:r>
            <w:r>
              <w:rPr>
                <w:rFonts w:hint="eastAsia" w:cs="宋体"/>
                <w:color w:val="auto"/>
                <w:sz w:val="24"/>
                <w:szCs w:val="24"/>
                <w:highlight w:val="none"/>
                <w:vertAlign w:val="superscript"/>
              </w:rPr>
              <w:t>2</w:t>
            </w:r>
            <w:r>
              <w:rPr>
                <w:rFonts w:hint="eastAsia" w:cs="宋体"/>
                <w:color w:val="auto"/>
                <w:sz w:val="24"/>
                <w:szCs w:val="24"/>
                <w:highlight w:val="none"/>
              </w:rPr>
              <w:t>O 污水处理工艺。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③深度处理工艺：软性固定填料过滤模块过滤</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④污泥处理工艺：</w:t>
            </w:r>
            <w:r>
              <w:rPr>
                <w:rFonts w:hint="eastAsia" w:ascii="Times New Roman" w:hAnsi="Times New Roman" w:cs="Times New Roman"/>
                <w:color w:val="auto"/>
                <w:sz w:val="24"/>
                <w:szCs w:val="24"/>
                <w:u w:val="single"/>
                <w:lang w:eastAsia="zh-CN"/>
              </w:rPr>
              <w:t>本项目污泥由运泥车定期输送至南湖洲镇污水处理厂进行脱水，然后运至砖厂制砖。</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⑤消毒工艺：采用紫外线消毒工艺</w:t>
            </w:r>
          </w:p>
          <w:p>
            <w:pPr>
              <w:adjustRightInd w:val="0"/>
              <w:snapToGrid w:val="0"/>
              <w:spacing w:line="480" w:lineRule="exact"/>
              <w:ind w:firstLine="480" w:firstLineChars="200"/>
              <w:rPr>
                <w:rFonts w:cs="宋体"/>
                <w:color w:val="auto"/>
                <w:sz w:val="24"/>
                <w:szCs w:val="24"/>
                <w:highlight w:val="none"/>
              </w:rPr>
            </w:pPr>
            <w:r>
              <w:rPr>
                <w:rFonts w:hint="eastAsia" w:cs="宋体"/>
                <w:color w:val="auto"/>
                <w:sz w:val="24"/>
                <w:szCs w:val="24"/>
                <w:highlight w:val="none"/>
              </w:rPr>
              <w:t>⑥除臭工艺：</w:t>
            </w:r>
          </w:p>
          <w:p>
            <w:pPr>
              <w:spacing w:line="460" w:lineRule="exact"/>
              <w:ind w:firstLine="482" w:firstLineChars="200"/>
              <w:rPr>
                <w:rFonts w:cs="宋体"/>
                <w:b/>
                <w:bCs/>
                <w:color w:val="auto"/>
                <w:sz w:val="24"/>
                <w:szCs w:val="24"/>
                <w:highlight w:val="none"/>
                <w:shd w:val="clear" w:color="auto" w:fill="auto"/>
              </w:rPr>
            </w:pPr>
            <w:r>
              <w:rPr>
                <w:rFonts w:hint="eastAsia"/>
                <w:b/>
                <w:bCs/>
                <w:color w:val="auto"/>
                <w:sz w:val="24"/>
                <w:szCs w:val="24"/>
                <w:highlight w:val="none"/>
                <w:shd w:val="clear" w:color="auto" w:fill="auto"/>
              </w:rPr>
              <w:t>9</w:t>
            </w:r>
            <w:r>
              <w:rPr>
                <w:rFonts w:hint="eastAsia" w:cs="宋体"/>
                <w:b/>
                <w:bCs/>
                <w:color w:val="auto"/>
                <w:sz w:val="24"/>
                <w:szCs w:val="24"/>
                <w:highlight w:val="none"/>
                <w:shd w:val="clear" w:color="auto" w:fill="auto"/>
              </w:rPr>
              <w:t>、主要原、辅材料消耗</w:t>
            </w:r>
          </w:p>
          <w:p>
            <w:pPr>
              <w:spacing w:line="460" w:lineRule="exact"/>
              <w:ind w:firstLine="482" w:firstLineChars="200"/>
              <w:jc w:val="cente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表</w:t>
            </w:r>
            <w:r>
              <w:rPr>
                <w:rFonts w:hint="eastAsia" w:cs="宋体"/>
                <w:b/>
                <w:bCs/>
                <w:color w:val="auto"/>
                <w:sz w:val="24"/>
                <w:szCs w:val="24"/>
                <w:highlight w:val="none"/>
                <w:shd w:val="clear" w:color="auto" w:fill="auto"/>
                <w:lang w:val="en-US" w:eastAsia="zh-CN"/>
              </w:rPr>
              <w:t xml:space="preserve">10 </w:t>
            </w:r>
            <w:r>
              <w:rPr>
                <w:rFonts w:hint="eastAsia" w:cs="宋体"/>
                <w:b/>
                <w:bCs/>
                <w:color w:val="auto"/>
                <w:sz w:val="24"/>
                <w:szCs w:val="24"/>
                <w:highlight w:val="none"/>
                <w:shd w:val="clear" w:color="auto" w:fill="auto"/>
              </w:rPr>
              <w:t>主要</w:t>
            </w:r>
            <w:r>
              <w:rPr>
                <w:rFonts w:cs="宋体"/>
                <w:b/>
                <w:bCs/>
                <w:color w:val="auto"/>
                <w:sz w:val="24"/>
                <w:szCs w:val="24"/>
                <w:highlight w:val="none"/>
                <w:shd w:val="clear" w:color="auto" w:fill="auto"/>
              </w:rPr>
              <w:t>原辅材料消耗表</w:t>
            </w:r>
          </w:p>
          <w:tbl>
            <w:tblPr>
              <w:tblStyle w:val="30"/>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92"/>
              <w:gridCol w:w="1417"/>
              <w:gridCol w:w="193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序号</w:t>
                  </w:r>
                </w:p>
              </w:tc>
              <w:tc>
                <w:tcPr>
                  <w:tcW w:w="22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名称</w:t>
                  </w:r>
                </w:p>
              </w:tc>
              <w:tc>
                <w:tcPr>
                  <w:tcW w:w="1417"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单位</w:t>
                  </w:r>
                </w:p>
              </w:tc>
              <w:tc>
                <w:tcPr>
                  <w:tcW w:w="1935"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年用量</w:t>
                  </w:r>
                </w:p>
              </w:tc>
              <w:tc>
                <w:tcPr>
                  <w:tcW w:w="1727"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1</w:t>
                  </w:r>
                </w:p>
              </w:tc>
              <w:tc>
                <w:tcPr>
                  <w:tcW w:w="22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聚丙烯酰胺（PAM）</w:t>
                  </w:r>
                </w:p>
              </w:tc>
              <w:tc>
                <w:tcPr>
                  <w:tcW w:w="1417"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吨</w:t>
                  </w:r>
                </w:p>
              </w:tc>
              <w:tc>
                <w:tcPr>
                  <w:tcW w:w="1935"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0.146</w:t>
                  </w:r>
                </w:p>
              </w:tc>
              <w:tc>
                <w:tcPr>
                  <w:tcW w:w="1727" w:type="dxa"/>
                  <w:vAlign w:val="center"/>
                </w:tcPr>
                <w:p>
                  <w:pPr>
                    <w:spacing w:line="460" w:lineRule="exact"/>
                    <w:jc w:val="center"/>
                    <w:rPr>
                      <w:bCs/>
                      <w:color w:val="auto"/>
                      <w:sz w:val="21"/>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shd w:val="clear" w:color="auto" w:fill="auto"/>
                    </w:rPr>
                  </w:pPr>
                  <w:r>
                    <w:rPr>
                      <w:bCs/>
                      <w:color w:val="auto"/>
                      <w:sz w:val="21"/>
                      <w:szCs w:val="24"/>
                      <w:highlight w:val="none"/>
                      <w:shd w:val="clear" w:color="auto" w:fill="auto"/>
                    </w:rPr>
                    <w:t>2</w:t>
                  </w:r>
                </w:p>
              </w:tc>
              <w:tc>
                <w:tcPr>
                  <w:tcW w:w="22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聚合氯化铝（PAC）</w:t>
                  </w:r>
                </w:p>
              </w:tc>
              <w:tc>
                <w:tcPr>
                  <w:tcW w:w="1417"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吨</w:t>
                  </w:r>
                </w:p>
              </w:tc>
              <w:tc>
                <w:tcPr>
                  <w:tcW w:w="1935"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1.46</w:t>
                  </w:r>
                </w:p>
              </w:tc>
              <w:tc>
                <w:tcPr>
                  <w:tcW w:w="1727" w:type="dxa"/>
                  <w:vAlign w:val="center"/>
                </w:tcPr>
                <w:p>
                  <w:pPr>
                    <w:spacing w:line="460" w:lineRule="exact"/>
                    <w:jc w:val="center"/>
                    <w:rPr>
                      <w:bCs/>
                      <w:color w:val="auto"/>
                      <w:sz w:val="21"/>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lang w:val="en-US" w:eastAsia="zh-CN"/>
                    </w:rPr>
                    <w:t>3</w:t>
                  </w:r>
                </w:p>
              </w:tc>
              <w:tc>
                <w:tcPr>
                  <w:tcW w:w="2292" w:type="dxa"/>
                  <w:vAlign w:val="center"/>
                </w:tcPr>
                <w:p>
                  <w:pPr>
                    <w:spacing w:line="460" w:lineRule="exact"/>
                    <w:jc w:val="center"/>
                    <w:rPr>
                      <w:rFonts w:hint="eastAsia"/>
                      <w:bCs/>
                      <w:color w:val="auto"/>
                      <w:sz w:val="21"/>
                      <w:szCs w:val="24"/>
                      <w:highlight w:val="none"/>
                      <w:shd w:val="clear" w:color="auto" w:fill="auto"/>
                    </w:rPr>
                  </w:pPr>
                  <w:r>
                    <w:rPr>
                      <w:rFonts w:hint="eastAsia"/>
                      <w:bCs/>
                      <w:color w:val="auto"/>
                      <w:sz w:val="21"/>
                      <w:szCs w:val="24"/>
                      <w:highlight w:val="none"/>
                      <w:shd w:val="clear" w:color="auto" w:fill="auto"/>
                      <w:lang w:eastAsia="zh-CN"/>
                    </w:rPr>
                    <w:t>紫外线灯管</w:t>
                  </w:r>
                </w:p>
              </w:tc>
              <w:tc>
                <w:tcPr>
                  <w:tcW w:w="1417" w:type="dxa"/>
                  <w:vAlign w:val="center"/>
                </w:tcPr>
                <w:p>
                  <w:pPr>
                    <w:spacing w:line="460" w:lineRule="exact"/>
                    <w:jc w:val="center"/>
                    <w:rPr>
                      <w:rFonts w:hint="eastAsia"/>
                      <w:bCs/>
                      <w:color w:val="auto"/>
                      <w:sz w:val="21"/>
                      <w:szCs w:val="24"/>
                      <w:highlight w:val="none"/>
                      <w:shd w:val="clear" w:color="auto" w:fill="auto"/>
                    </w:rPr>
                  </w:pPr>
                  <w:r>
                    <w:rPr>
                      <w:rFonts w:hint="eastAsia"/>
                      <w:bCs/>
                      <w:color w:val="auto"/>
                      <w:sz w:val="21"/>
                      <w:szCs w:val="24"/>
                      <w:highlight w:val="none"/>
                      <w:shd w:val="clear" w:color="auto" w:fill="auto"/>
                      <w:lang w:eastAsia="zh-CN"/>
                    </w:rPr>
                    <w:t>吨</w:t>
                  </w:r>
                </w:p>
              </w:tc>
              <w:tc>
                <w:tcPr>
                  <w:tcW w:w="1935" w:type="dxa"/>
                  <w:vAlign w:val="center"/>
                </w:tcPr>
                <w:p>
                  <w:pPr>
                    <w:spacing w:line="460" w:lineRule="exact"/>
                    <w:jc w:val="center"/>
                    <w:rPr>
                      <w:rFonts w:hint="eastAsia"/>
                      <w:bCs/>
                      <w:color w:val="auto"/>
                      <w:sz w:val="21"/>
                      <w:szCs w:val="24"/>
                      <w:highlight w:val="none"/>
                      <w:shd w:val="clear" w:color="auto" w:fill="auto"/>
                    </w:rPr>
                  </w:pPr>
                  <w:r>
                    <w:rPr>
                      <w:rFonts w:hint="eastAsia"/>
                      <w:bCs/>
                      <w:color w:val="auto"/>
                      <w:sz w:val="21"/>
                      <w:szCs w:val="24"/>
                      <w:highlight w:val="none"/>
                      <w:shd w:val="clear" w:color="auto" w:fill="auto"/>
                      <w:lang w:val="en-US" w:eastAsia="zh-CN"/>
                    </w:rPr>
                    <w:t>0.01</w:t>
                  </w:r>
                </w:p>
              </w:tc>
              <w:tc>
                <w:tcPr>
                  <w:tcW w:w="1727" w:type="dxa"/>
                  <w:vAlign w:val="center"/>
                </w:tcPr>
                <w:p>
                  <w:pPr>
                    <w:spacing w:line="460" w:lineRule="exact"/>
                    <w:jc w:val="center"/>
                    <w:rPr>
                      <w:bCs/>
                      <w:color w:val="auto"/>
                      <w:sz w:val="21"/>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eastAsia"/>
                      <w:bCs/>
                      <w:color w:val="auto"/>
                      <w:sz w:val="21"/>
                      <w:szCs w:val="24"/>
                      <w:highlight w:val="none"/>
                      <w:shd w:val="clear" w:color="auto" w:fill="auto"/>
                      <w:lang w:val="en-US" w:eastAsia="zh-CN"/>
                    </w:rPr>
                  </w:pPr>
                  <w:r>
                    <w:rPr>
                      <w:rFonts w:hint="eastAsia"/>
                      <w:bCs/>
                      <w:color w:val="auto"/>
                      <w:sz w:val="21"/>
                      <w:szCs w:val="24"/>
                      <w:highlight w:val="none"/>
                      <w:shd w:val="clear" w:color="auto" w:fill="auto"/>
                      <w:lang w:val="en-US" w:eastAsia="zh-CN"/>
                    </w:rPr>
                    <w:t>4</w:t>
                  </w:r>
                </w:p>
              </w:tc>
              <w:tc>
                <w:tcPr>
                  <w:tcW w:w="2292" w:type="dxa"/>
                  <w:vAlign w:val="center"/>
                </w:tcPr>
                <w:p>
                  <w:pPr>
                    <w:spacing w:line="460" w:lineRule="exact"/>
                    <w:jc w:val="center"/>
                    <w:rPr>
                      <w:rFonts w:hint="eastAsia"/>
                      <w:bCs/>
                      <w:color w:val="auto"/>
                      <w:sz w:val="21"/>
                      <w:szCs w:val="24"/>
                      <w:highlight w:val="none"/>
                      <w:shd w:val="clear" w:color="auto" w:fill="auto"/>
                      <w:lang w:eastAsia="zh-CN"/>
                    </w:rPr>
                  </w:pPr>
                  <w:r>
                    <w:rPr>
                      <w:rFonts w:hint="eastAsia"/>
                      <w:bCs/>
                      <w:color w:val="auto"/>
                      <w:sz w:val="21"/>
                      <w:szCs w:val="24"/>
                      <w:highlight w:val="none"/>
                      <w:shd w:val="clear" w:color="auto" w:fill="auto"/>
                      <w:lang w:eastAsia="zh-CN"/>
                    </w:rPr>
                    <w:t>水</w:t>
                  </w:r>
                </w:p>
              </w:tc>
              <w:tc>
                <w:tcPr>
                  <w:tcW w:w="1417" w:type="dxa"/>
                  <w:vAlign w:val="center"/>
                </w:tcPr>
                <w:p>
                  <w:pPr>
                    <w:spacing w:line="460" w:lineRule="exact"/>
                    <w:jc w:val="center"/>
                    <w:rPr>
                      <w:rFonts w:hint="eastAsia"/>
                      <w:bCs/>
                      <w:color w:val="auto"/>
                      <w:sz w:val="21"/>
                      <w:szCs w:val="24"/>
                      <w:highlight w:val="none"/>
                      <w:shd w:val="clear" w:color="auto" w:fill="auto"/>
                      <w:lang w:eastAsia="zh-CN"/>
                    </w:rPr>
                  </w:pPr>
                  <w:r>
                    <w:rPr>
                      <w:rFonts w:hint="eastAsia"/>
                      <w:bCs/>
                      <w:color w:val="auto"/>
                      <w:sz w:val="21"/>
                      <w:szCs w:val="24"/>
                      <w:highlight w:val="none"/>
                      <w:shd w:val="clear" w:color="auto" w:fill="auto"/>
                      <w:lang w:eastAsia="zh-CN"/>
                    </w:rPr>
                    <w:t>吨</w:t>
                  </w:r>
                </w:p>
              </w:tc>
              <w:tc>
                <w:tcPr>
                  <w:tcW w:w="1935" w:type="dxa"/>
                  <w:vAlign w:val="center"/>
                </w:tcPr>
                <w:p>
                  <w:pPr>
                    <w:spacing w:line="460" w:lineRule="exact"/>
                    <w:jc w:val="center"/>
                    <w:rPr>
                      <w:rFonts w:hint="eastAsia"/>
                      <w:bCs/>
                      <w:color w:val="auto"/>
                      <w:sz w:val="21"/>
                      <w:szCs w:val="24"/>
                      <w:highlight w:val="none"/>
                      <w:shd w:val="clear" w:color="auto" w:fill="auto"/>
                      <w:lang w:val="en-US" w:eastAsia="zh-CN"/>
                    </w:rPr>
                  </w:pPr>
                  <w:r>
                    <w:rPr>
                      <w:rFonts w:hint="eastAsia"/>
                      <w:bCs/>
                      <w:color w:val="auto"/>
                      <w:sz w:val="21"/>
                      <w:szCs w:val="24"/>
                      <w:highlight w:val="none"/>
                      <w:shd w:val="clear" w:color="auto" w:fill="auto"/>
                      <w:lang w:val="en-US" w:eastAsia="zh-CN"/>
                    </w:rPr>
                    <w:t>110</w:t>
                  </w:r>
                </w:p>
              </w:tc>
              <w:tc>
                <w:tcPr>
                  <w:tcW w:w="1727" w:type="dxa"/>
                  <w:vAlign w:val="center"/>
                </w:tcPr>
                <w:p>
                  <w:pPr>
                    <w:spacing w:line="460" w:lineRule="exact"/>
                    <w:jc w:val="center"/>
                    <w:rPr>
                      <w:bCs/>
                      <w:color w:val="auto"/>
                      <w:sz w:val="21"/>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pPr>
                    <w:spacing w:line="460" w:lineRule="exact"/>
                    <w:jc w:val="center"/>
                    <w:rPr>
                      <w:rFonts w:hint="eastAsia" w:eastAsia="宋体"/>
                      <w:bCs/>
                      <w:color w:val="auto"/>
                      <w:sz w:val="21"/>
                      <w:szCs w:val="24"/>
                      <w:highlight w:val="none"/>
                      <w:shd w:val="clear" w:color="auto" w:fill="auto"/>
                      <w:lang w:eastAsia="zh-CN"/>
                    </w:rPr>
                  </w:pPr>
                  <w:r>
                    <w:rPr>
                      <w:rFonts w:hint="eastAsia"/>
                      <w:bCs/>
                      <w:color w:val="auto"/>
                      <w:sz w:val="21"/>
                      <w:szCs w:val="24"/>
                      <w:highlight w:val="none"/>
                      <w:shd w:val="clear" w:color="auto" w:fill="auto"/>
                      <w:lang w:val="en-US" w:eastAsia="zh-CN"/>
                    </w:rPr>
                    <w:t>5</w:t>
                  </w:r>
                </w:p>
              </w:tc>
              <w:tc>
                <w:tcPr>
                  <w:tcW w:w="2292"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电</w:t>
                  </w:r>
                </w:p>
              </w:tc>
              <w:tc>
                <w:tcPr>
                  <w:tcW w:w="1417"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千瓦时</w:t>
                  </w:r>
                </w:p>
              </w:tc>
              <w:tc>
                <w:tcPr>
                  <w:tcW w:w="1935"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82125</w:t>
                  </w:r>
                </w:p>
              </w:tc>
              <w:tc>
                <w:tcPr>
                  <w:tcW w:w="1727" w:type="dxa"/>
                  <w:vAlign w:val="center"/>
                </w:tcPr>
                <w:p>
                  <w:pPr>
                    <w:spacing w:line="460" w:lineRule="exact"/>
                    <w:jc w:val="center"/>
                    <w:rPr>
                      <w:bCs/>
                      <w:color w:val="auto"/>
                      <w:sz w:val="21"/>
                      <w:szCs w:val="24"/>
                      <w:highlight w:val="none"/>
                      <w:shd w:val="clear" w:color="auto" w:fill="auto"/>
                    </w:rPr>
                  </w:pPr>
                  <w:r>
                    <w:rPr>
                      <w:rFonts w:hint="eastAsia"/>
                      <w:bCs/>
                      <w:color w:val="auto"/>
                      <w:sz w:val="21"/>
                      <w:szCs w:val="24"/>
                      <w:highlight w:val="none"/>
                      <w:shd w:val="clear" w:color="auto" w:fill="auto"/>
                    </w:rPr>
                    <w:t>国家电网提供</w:t>
                  </w:r>
                </w:p>
              </w:tc>
            </w:tr>
          </w:tbl>
          <w:p>
            <w:pPr>
              <w:adjustRightInd w:val="0"/>
              <w:snapToGrid w:val="0"/>
              <w:spacing w:line="480" w:lineRule="exact"/>
              <w:ind w:firstLine="482" w:firstLineChars="200"/>
              <w:rPr>
                <w:b/>
                <w:bCs/>
                <w:color w:val="auto"/>
                <w:sz w:val="24"/>
                <w:szCs w:val="24"/>
                <w:highlight w:val="none"/>
                <w:shd w:val="clear" w:color="auto" w:fill="auto"/>
              </w:rPr>
            </w:pPr>
            <w:r>
              <w:rPr>
                <w:rFonts w:hint="eastAsia"/>
                <w:b/>
                <w:bCs/>
                <w:color w:val="auto"/>
                <w:sz w:val="24"/>
                <w:szCs w:val="24"/>
                <w:highlight w:val="none"/>
                <w:shd w:val="clear" w:color="auto" w:fill="auto"/>
              </w:rPr>
              <w:t>10、污水管网工程</w:t>
            </w:r>
          </w:p>
          <w:p>
            <w:pPr>
              <w:adjustRightInd w:val="0"/>
              <w:snapToGrid w:val="0"/>
              <w:spacing w:line="480" w:lineRule="exact"/>
              <w:ind w:firstLine="480" w:firstLineChars="200"/>
              <w:rPr>
                <w:color w:val="auto"/>
                <w:sz w:val="24"/>
                <w:szCs w:val="24"/>
                <w:highlight w:val="none"/>
                <w:shd w:val="clear" w:color="auto" w:fill="auto"/>
              </w:rPr>
            </w:pPr>
            <w:r>
              <w:rPr>
                <w:color w:val="auto"/>
                <w:sz w:val="24"/>
                <w:szCs w:val="24"/>
                <w:highlight w:val="none"/>
                <w:shd w:val="clear" w:color="auto" w:fill="auto"/>
              </w:rPr>
              <w:t>根据</w:t>
            </w:r>
            <w:r>
              <w:rPr>
                <w:rFonts w:hint="eastAsia"/>
                <w:color w:val="auto"/>
                <w:sz w:val="24"/>
                <w:szCs w:val="24"/>
                <w:highlight w:val="none"/>
                <w:shd w:val="clear" w:color="auto" w:fill="auto"/>
                <w:lang w:val="en-US" w:eastAsia="zh-CN"/>
              </w:rPr>
              <w:t>湘阴县湘滨镇</w:t>
            </w:r>
            <w:r>
              <w:rPr>
                <w:color w:val="auto"/>
                <w:sz w:val="24"/>
                <w:szCs w:val="24"/>
                <w:highlight w:val="none"/>
                <w:shd w:val="clear" w:color="auto" w:fill="auto"/>
              </w:rPr>
              <w:t>排水现状，</w:t>
            </w:r>
            <w:r>
              <w:rPr>
                <w:rFonts w:hint="eastAsia"/>
                <w:color w:val="auto"/>
                <w:sz w:val="24"/>
                <w:szCs w:val="24"/>
                <w:highlight w:val="none"/>
                <w:shd w:val="clear" w:color="auto" w:fill="auto"/>
                <w:lang w:val="en-US" w:eastAsia="zh-CN"/>
              </w:rPr>
              <w:t>近期</w:t>
            </w:r>
            <w:r>
              <w:rPr>
                <w:color w:val="auto"/>
                <w:sz w:val="24"/>
                <w:szCs w:val="24"/>
                <w:highlight w:val="none"/>
                <w:shd w:val="clear" w:color="auto" w:fill="auto"/>
              </w:rPr>
              <w:t>沿镇区现状道路敷设污水管网，远期结合规划道路敷设污水管网。近期沿镇区支路巷道敷设污水收集支管，沿镇区现状道路敷设污水干管，最终汇入污水处理厂，经过处理达标后排入受纳水体。污水管网充分利用地形地势，最大可能采用重力流形式，将污水收集排入污水处理厂。</w:t>
            </w:r>
          </w:p>
          <w:p>
            <w:pPr>
              <w:adjustRightInd w:val="0"/>
              <w:snapToGrid w:val="0"/>
              <w:spacing w:line="480" w:lineRule="exact"/>
              <w:ind w:firstLine="480" w:firstLineChars="200"/>
              <w:rPr>
                <w:rFonts w:hint="default"/>
                <w:color w:val="auto"/>
                <w:sz w:val="24"/>
                <w:szCs w:val="24"/>
                <w:highlight w:val="none"/>
                <w:shd w:val="clear" w:color="FFFFFF" w:fill="D9D9D9"/>
                <w:lang w:val="en-US"/>
              </w:rPr>
            </w:pPr>
            <w:r>
              <w:rPr>
                <w:rFonts w:hint="eastAsia"/>
                <w:color w:val="auto"/>
                <w:sz w:val="24"/>
                <w:szCs w:val="24"/>
                <w:highlight w:val="none"/>
                <w:shd w:val="clear" w:color="auto" w:fill="auto"/>
              </w:rPr>
              <w:t>1）排水体制：</w:t>
            </w:r>
            <w:r>
              <w:rPr>
                <w:rFonts w:hint="eastAsia"/>
                <w:color w:val="auto"/>
                <w:sz w:val="24"/>
                <w:szCs w:val="24"/>
                <w:highlight w:val="none"/>
                <w:shd w:val="clear" w:color="auto" w:fill="auto"/>
                <w:lang w:val="en-US" w:eastAsia="zh-CN"/>
              </w:rPr>
              <w:t>湘滨镇目前排水体制为合流制，本项目采用雨污分流制。镇区在规划期内结合新开发建设，逐步完善城镇排水系统，逐步由雨污合流制过度到雨污分流制，原有合流管道改为雨水管道，雨水直接排入水体；逐步建设污水管道，污水经过处理后排放。</w:t>
            </w:r>
          </w:p>
          <w:p>
            <w:pPr>
              <w:adjustRightInd w:val="0"/>
              <w:snapToGrid w:val="0"/>
              <w:spacing w:line="480" w:lineRule="exact"/>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排水管道：</w:t>
            </w:r>
            <w:r>
              <w:rPr>
                <w:rFonts w:hint="eastAsia"/>
                <w:color w:val="auto"/>
                <w:sz w:val="24"/>
                <w:szCs w:val="24"/>
                <w:highlight w:val="none"/>
              </w:rPr>
              <w:t>DN600 及以下的管道均采用 HDPE 管，但考虑到价格因素，DN600 以上管道采用钢筋混凝土管。</w:t>
            </w:r>
          </w:p>
          <w:p>
            <w:pPr>
              <w:adjustRightInd w:val="0"/>
              <w:snapToGrid w:val="0"/>
              <w:spacing w:line="480" w:lineRule="exact"/>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检查井：根据工程地质地形条件，若检查井的设计深度小于 7 米，则均采用砖砌结构；若沉泥井、换气井的设计深度大于 7 米，则采用采用现浇钢筋混凝 土结构或钢筋混凝土沉井结构，混凝土抗渗等级为 S6。</w:t>
            </w:r>
          </w:p>
          <w:p>
            <w:pPr>
              <w:adjustRightInd w:val="0"/>
              <w:snapToGrid w:val="0"/>
              <w:spacing w:line="48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4</w:t>
            </w:r>
            <w:r>
              <w:rPr>
                <w:color w:val="auto"/>
                <w:sz w:val="24"/>
                <w:szCs w:val="24"/>
                <w:highlight w:val="none"/>
                <w:shd w:val="clear" w:color="auto" w:fill="auto"/>
              </w:rPr>
              <w:t>）施工方案：对于新建、拟建道路，污水管线宜与其它管线统一规划考虑，并与道路施工同时进行。同时对于无法避免对道路路面破坏之处，应做好道路路面的恢复工程。</w:t>
            </w:r>
          </w:p>
          <w:p>
            <w:pPr>
              <w:spacing w:line="460" w:lineRule="exact"/>
              <w:ind w:firstLine="480" w:firstLineChars="200"/>
              <w:jc w:val="left"/>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1</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lang w:val="en-US" w:eastAsia="zh-CN"/>
              </w:rPr>
              <w:t>管槽开挖</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边坡坡度由施工单位根据现场土质情况沟槽深度及施工经验自行确定。可以采用机械或人工开挖。</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b、管槽在管道接头处，为避免接头承受整个管道的重量和操作方便，接头 的下面应留操作坑，接头装好后用管基填料仔细地把坑填满，使管道在整个长度 上形成连续支撑。</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 c、管槽整修与支护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① 管槽开挖至设计标高后，应将槽底虚土严格夯实，并在铺管前由人工整 平。 </w:t>
            </w:r>
          </w:p>
          <w:p>
            <w:pPr>
              <w:spacing w:line="460" w:lineRule="exact"/>
              <w:ind w:firstLine="480" w:firstLineChars="200"/>
              <w:jc w:val="left"/>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 xml:space="preserve">② 当有地下水时，要做好排水工作。要特别注意避免施工过程中塌方，确 保施工人员安全。 </w:t>
            </w:r>
          </w:p>
          <w:p>
            <w:pPr>
              <w:spacing w:line="460" w:lineRule="exact"/>
              <w:ind w:firstLine="480" w:firstLineChars="200"/>
              <w:jc w:val="left"/>
              <w:rPr>
                <w:rFonts w:hint="eastAsia" w:eastAsia="宋体"/>
                <w:shd w:val="clear" w:color="auto" w:fill="auto"/>
                <w:lang w:val="en-US" w:eastAsia="zh-CN"/>
              </w:rPr>
            </w:pPr>
            <w:r>
              <w:rPr>
                <w:rFonts w:hint="eastAsia"/>
                <w:color w:val="auto"/>
                <w:sz w:val="24"/>
                <w:szCs w:val="24"/>
                <w:highlight w:val="none"/>
                <w:shd w:val="clear" w:color="auto" w:fill="auto"/>
                <w:lang w:val="en-US" w:eastAsia="zh-CN"/>
              </w:rPr>
              <w:t>③ 对于深基坑管槽，地下水位较高时，应先降水，后开挖。必要时，应对 基坑采取支护措施，防止基坑跨塌。</w:t>
            </w:r>
          </w:p>
          <w:p>
            <w:pPr>
              <w:spacing w:line="460" w:lineRule="exact"/>
              <w:ind w:firstLine="480" w:firstLineChars="200"/>
              <w:jc w:val="left"/>
              <w:rPr>
                <w:rFonts w:hint="default"/>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（2）管道基础</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lang w:val="en-US" w:eastAsia="zh-CN"/>
              </w:rPr>
              <w:t>a、</w:t>
            </w:r>
            <w:r>
              <w:rPr>
                <w:rFonts w:hint="eastAsia"/>
                <w:color w:val="auto"/>
                <w:sz w:val="24"/>
                <w:szCs w:val="24"/>
                <w:highlight w:val="none"/>
                <w:shd w:val="clear" w:color="auto" w:fill="auto"/>
              </w:rPr>
              <w:t xml:space="preserve">钢筋混凝土排水管接头做法详总施图选用的标准图，管道基础(顶进施工 法的管道及过河管道除外)，做法详国标 04S516 第 5、6、7 页。 </w:t>
            </w:r>
          </w:p>
          <w:p>
            <w:pPr>
              <w:spacing w:line="460" w:lineRule="exact"/>
              <w:ind w:firstLine="480" w:firstLineChars="200"/>
              <w:jc w:val="left"/>
              <w:rPr>
                <w:rFonts w:hint="eastAsia"/>
                <w:color w:val="auto"/>
                <w:sz w:val="24"/>
                <w:szCs w:val="24"/>
                <w:highlight w:val="none"/>
                <w:shd w:val="clear" w:color="auto" w:fill="auto"/>
              </w:rPr>
            </w:pPr>
            <w:r>
              <w:rPr>
                <w:rFonts w:hint="eastAsia"/>
                <w:color w:val="auto"/>
                <w:sz w:val="24"/>
                <w:szCs w:val="24"/>
                <w:highlight w:val="none"/>
                <w:shd w:val="clear" w:color="auto" w:fill="auto"/>
              </w:rPr>
              <w:t>b、埋于道路下的管道，当管顶覆盖层厚度小于 700 时，应按下图施工。</w:t>
            </w:r>
          </w:p>
          <w:p>
            <w:pPr>
              <w:pStyle w:val="6"/>
              <w:rPr>
                <w:shd w:val="clear" w:color="auto" w:fill="auto"/>
              </w:rPr>
            </w:pPr>
            <w:r>
              <w:rPr>
                <w:shd w:val="clear" w:color="auto" w:fill="auto"/>
              </w:rPr>
              <w:drawing>
                <wp:inline distT="0" distB="0" distL="114300" distR="114300">
                  <wp:extent cx="5581650" cy="1381125"/>
                  <wp:effectExtent l="0" t="0" r="0" b="952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8"/>
                          <a:stretch>
                            <a:fillRect/>
                          </a:stretch>
                        </pic:blipFill>
                        <pic:spPr>
                          <a:xfrm>
                            <a:off x="0" y="0"/>
                            <a:ext cx="5581650" cy="1381125"/>
                          </a:xfrm>
                          <a:prstGeom prst="rect">
                            <a:avLst/>
                          </a:prstGeom>
                          <a:noFill/>
                          <a:ln>
                            <a:noFill/>
                          </a:ln>
                        </pic:spPr>
                      </pic:pic>
                    </a:graphicData>
                  </a:graphic>
                </wp:inline>
              </w:drawing>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c. 对于满包加固的混凝土管，应每隔 10 米设伸缩缝一道，伸缩缝做法详国 标 04S516 第 32 页。</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d、位于已修好的道路的管道基础一般不需要进行处理，对于较软地基、拟 采用换填砂卵石基层，平铺砂弧基进行处理，必要时采用其他地基处理方式进行。 </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e、当管槽内地下水较高，经排水处理后，必要时采用 100mm 厚 C10 素混 凝土垫层封闭槽底，再铺 100-200 厚砂弧基。</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f、对于岩基，拟采用砂弧基进行处理。</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（3）管槽内回填</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 a. 管槽回填土时先将槽内积水排除,再进行分层回填并逐层夯实.</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b、管道两侧全部管区的回填材料应填满无空隙并分布均匀。管道两侧土壤 的夯实方法 可根据管道的刚度、埋深、土壤特性等决定，但不允许采用渗水或 加高回填土的办法来提高密实度。 </w:t>
            </w:r>
          </w:p>
          <w:p>
            <w:pPr>
              <w:adjustRightInd w:val="0"/>
              <w:snapToGrid w:val="0"/>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重型设备至少在管顶覆土 1 米厚以后才能使用。</w:t>
            </w:r>
          </w:p>
          <w:p>
            <w:pPr>
              <w:spacing w:line="460" w:lineRule="exact"/>
              <w:ind w:firstLine="482" w:firstLineChars="200"/>
              <w:jc w:val="center"/>
              <w:rPr>
                <w:rFonts w:cs="宋体"/>
                <w:b/>
                <w:bCs/>
                <w:color w:val="auto"/>
                <w:sz w:val="24"/>
                <w:szCs w:val="24"/>
                <w:highlight w:val="none"/>
              </w:rPr>
            </w:pPr>
            <w:r>
              <w:rPr>
                <w:rFonts w:cs="宋体"/>
                <w:b/>
                <w:bCs/>
                <w:color w:val="auto"/>
                <w:sz w:val="24"/>
                <w:szCs w:val="24"/>
                <w:highlight w:val="none"/>
              </w:rPr>
              <w:t>表</w:t>
            </w:r>
            <w:r>
              <w:rPr>
                <w:rFonts w:hint="eastAsia" w:cs="宋体"/>
                <w:b/>
                <w:bCs/>
                <w:color w:val="auto"/>
                <w:sz w:val="24"/>
                <w:szCs w:val="24"/>
                <w:highlight w:val="none"/>
                <w:lang w:val="en-US" w:eastAsia="zh-CN"/>
              </w:rPr>
              <w:t>11</w:t>
            </w:r>
            <w:r>
              <w:rPr>
                <w:rFonts w:cs="宋体"/>
                <w:b/>
                <w:bCs/>
                <w:color w:val="auto"/>
                <w:sz w:val="24"/>
                <w:szCs w:val="24"/>
                <w:highlight w:val="none"/>
              </w:rPr>
              <w:t xml:space="preserve"> </w:t>
            </w:r>
            <w:r>
              <w:rPr>
                <w:rFonts w:hint="eastAsia" w:cs="宋体"/>
                <w:b/>
                <w:bCs/>
                <w:color w:val="auto"/>
                <w:sz w:val="24"/>
                <w:szCs w:val="24"/>
                <w:highlight w:val="none"/>
                <w:lang w:val="en-US" w:eastAsia="zh-CN"/>
              </w:rPr>
              <w:t>污水管道主要</w:t>
            </w:r>
            <w:r>
              <w:rPr>
                <w:rFonts w:cs="宋体"/>
                <w:b/>
                <w:bCs/>
                <w:color w:val="auto"/>
                <w:sz w:val="24"/>
                <w:szCs w:val="24"/>
                <w:highlight w:val="none"/>
              </w:rPr>
              <w:t>工程量</w:t>
            </w:r>
          </w:p>
          <w:tbl>
            <w:tblPr>
              <w:tblStyle w:val="29"/>
              <w:tblW w:w="8858"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040"/>
              <w:gridCol w:w="2567"/>
              <w:gridCol w:w="1817"/>
              <w:gridCol w:w="2195"/>
              <w:gridCol w:w="1239"/>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7" w:hRule="atLeast"/>
                <w:jc w:val="center"/>
              </w:trPr>
              <w:tc>
                <w:tcPr>
                  <w:tcW w:w="1040" w:type="dxa"/>
                  <w:tcBorders>
                    <w:bottom w:val="single" w:color="000000" w:sz="6" w:space="0"/>
                    <w:right w:val="single" w:color="000000" w:sz="6" w:space="0"/>
                  </w:tcBorders>
                  <w:vAlign w:val="center"/>
                </w:tcPr>
                <w:p>
                  <w:pPr>
                    <w:pStyle w:val="10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序号</w:t>
                  </w:r>
                </w:p>
              </w:tc>
              <w:tc>
                <w:tcPr>
                  <w:tcW w:w="2567" w:type="dxa"/>
                  <w:tcBorders>
                    <w:left w:val="single" w:color="000000" w:sz="6" w:space="0"/>
                    <w:bottom w:val="single" w:color="000000" w:sz="6" w:space="0"/>
                    <w:right w:val="single" w:color="000000" w:sz="6" w:space="0"/>
                  </w:tcBorders>
                  <w:vAlign w:val="center"/>
                </w:tcPr>
                <w:p>
                  <w:pPr>
                    <w:pStyle w:val="107"/>
                    <w:spacing w:before="91" w:line="240" w:lineRule="atLeast"/>
                    <w:jc w:val="center"/>
                    <w:rPr>
                      <w:rFonts w:hint="eastAsia" w:ascii="Times New Roman" w:hAnsi="Times New Roman" w:eastAsia="宋体" w:cs="Times New Roman"/>
                      <w:b/>
                      <w:color w:val="auto"/>
                      <w:sz w:val="21"/>
                      <w:highlight w:val="none"/>
                      <w:lang w:eastAsia="zh-CN"/>
                    </w:rPr>
                  </w:pPr>
                  <w:r>
                    <w:rPr>
                      <w:rFonts w:hint="eastAsia" w:ascii="Times New Roman" w:hAnsi="Times New Roman" w:cs="Times New Roman"/>
                      <w:b/>
                      <w:color w:val="auto"/>
                      <w:sz w:val="21"/>
                      <w:highlight w:val="none"/>
                      <w:lang w:val="en-US" w:eastAsia="zh-CN"/>
                    </w:rPr>
                    <w:t>管材</w:t>
                  </w:r>
                </w:p>
              </w:tc>
              <w:tc>
                <w:tcPr>
                  <w:tcW w:w="1817" w:type="dxa"/>
                  <w:tcBorders>
                    <w:left w:val="single" w:color="000000" w:sz="6" w:space="0"/>
                    <w:bottom w:val="single" w:color="000000" w:sz="6" w:space="0"/>
                    <w:right w:val="single" w:color="000000" w:sz="6" w:space="0"/>
                  </w:tcBorders>
                  <w:vAlign w:val="center"/>
                </w:tcPr>
                <w:p>
                  <w:pPr>
                    <w:pStyle w:val="107"/>
                    <w:spacing w:before="91" w:line="240" w:lineRule="atLeast"/>
                    <w:jc w:val="center"/>
                    <w:rPr>
                      <w:rFonts w:hint="eastAsia" w:ascii="Times New Roman" w:hAnsi="Times New Roman" w:eastAsia="宋体" w:cs="Times New Roman"/>
                      <w:b/>
                      <w:color w:val="auto"/>
                      <w:sz w:val="21"/>
                      <w:highlight w:val="none"/>
                      <w:lang w:eastAsia="zh-CN"/>
                    </w:rPr>
                  </w:pPr>
                  <w:r>
                    <w:rPr>
                      <w:rFonts w:hint="eastAsia" w:ascii="Times New Roman" w:hAnsi="Times New Roman" w:cs="Times New Roman"/>
                      <w:b/>
                      <w:color w:val="auto"/>
                      <w:sz w:val="21"/>
                      <w:highlight w:val="none"/>
                      <w:lang w:val="en-US" w:eastAsia="zh-CN"/>
                    </w:rPr>
                    <w:t>管径（mm）</w:t>
                  </w:r>
                </w:p>
              </w:tc>
              <w:tc>
                <w:tcPr>
                  <w:tcW w:w="2195" w:type="dxa"/>
                  <w:tcBorders>
                    <w:left w:val="single" w:color="000000" w:sz="6" w:space="0"/>
                    <w:bottom w:val="single" w:color="000000" w:sz="6" w:space="0"/>
                    <w:right w:val="single" w:color="000000" w:sz="6" w:space="0"/>
                  </w:tcBorders>
                  <w:vAlign w:val="center"/>
                </w:tcPr>
                <w:p>
                  <w:pPr>
                    <w:pStyle w:val="107"/>
                    <w:spacing w:before="91" w:line="240" w:lineRule="atLeast"/>
                    <w:jc w:val="center"/>
                    <w:rPr>
                      <w:rFonts w:hint="eastAsia" w:ascii="Times New Roman" w:hAnsi="Times New Roman" w:eastAsia="宋体" w:cs="Times New Roman"/>
                      <w:b/>
                      <w:color w:val="auto"/>
                      <w:sz w:val="21"/>
                      <w:highlight w:val="none"/>
                      <w:lang w:eastAsia="zh-CN"/>
                    </w:rPr>
                  </w:pPr>
                  <w:r>
                    <w:rPr>
                      <w:rFonts w:hint="eastAsia" w:ascii="Times New Roman" w:hAnsi="Times New Roman" w:cs="Times New Roman"/>
                      <w:b/>
                      <w:color w:val="auto"/>
                      <w:sz w:val="21"/>
                      <w:highlight w:val="none"/>
                      <w:lang w:val="en-US" w:eastAsia="zh-CN"/>
                    </w:rPr>
                    <w:t>管长</w:t>
                  </w:r>
                  <w:r>
                    <w:rPr>
                      <w:rFonts w:hint="eastAsia" w:ascii="Times New Roman" w:hAnsi="Times New Roman" w:cs="Times New Roman"/>
                      <w:b/>
                      <w:color w:val="auto"/>
                      <w:sz w:val="21"/>
                      <w:highlight w:val="none"/>
                      <w:lang w:eastAsia="zh-CN"/>
                    </w:rPr>
                    <w:t>（</w:t>
                  </w:r>
                  <w:r>
                    <w:rPr>
                      <w:rFonts w:hint="eastAsia" w:ascii="Times New Roman" w:hAnsi="Times New Roman" w:cs="Times New Roman"/>
                      <w:b/>
                      <w:color w:val="auto"/>
                      <w:sz w:val="21"/>
                      <w:highlight w:val="none"/>
                      <w:lang w:val="en-US" w:eastAsia="zh-CN"/>
                    </w:rPr>
                    <w:t>m</w:t>
                  </w:r>
                  <w:r>
                    <w:rPr>
                      <w:rFonts w:hint="eastAsia" w:ascii="Times New Roman" w:hAnsi="Times New Roman" w:cs="Times New Roman"/>
                      <w:b/>
                      <w:color w:val="auto"/>
                      <w:sz w:val="21"/>
                      <w:highlight w:val="none"/>
                      <w:lang w:eastAsia="zh-CN"/>
                    </w:rPr>
                    <w:t>）</w:t>
                  </w:r>
                </w:p>
              </w:tc>
              <w:tc>
                <w:tcPr>
                  <w:tcW w:w="1239" w:type="dxa"/>
                  <w:tcBorders>
                    <w:left w:val="single" w:color="000000" w:sz="6" w:space="0"/>
                    <w:bottom w:val="single" w:color="000000" w:sz="6" w:space="0"/>
                  </w:tcBorders>
                  <w:vAlign w:val="center"/>
                </w:tcPr>
                <w:p>
                  <w:pPr>
                    <w:pStyle w:val="107"/>
                    <w:spacing w:before="91" w:line="240" w:lineRule="atLeast"/>
                    <w:jc w:val="center"/>
                    <w:rPr>
                      <w:rFonts w:ascii="Times New Roman" w:hAnsi="Times New Roman" w:cs="Times New Roman"/>
                      <w:b/>
                      <w:color w:val="auto"/>
                      <w:sz w:val="21"/>
                      <w:highlight w:val="none"/>
                    </w:rPr>
                  </w:pPr>
                  <w:r>
                    <w:rPr>
                      <w:rFonts w:ascii="Times New Roman" w:hAnsi="Times New Roman" w:cs="Times New Roman"/>
                      <w:b/>
                      <w:color w:val="auto"/>
                      <w:sz w:val="21"/>
                      <w:highlight w:val="none"/>
                    </w:rPr>
                    <w:t>备注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jc w:val="center"/>
              </w:trPr>
              <w:tc>
                <w:tcPr>
                  <w:tcW w:w="1040" w:type="dxa"/>
                  <w:tcBorders>
                    <w:top w:val="single" w:color="000000" w:sz="6" w:space="0"/>
                    <w:bottom w:val="single" w:color="000000" w:sz="6" w:space="0"/>
                    <w:right w:val="single" w:color="000000" w:sz="6" w:space="0"/>
                  </w:tcBorders>
                  <w:vAlign w:val="center"/>
                </w:tcPr>
                <w:p>
                  <w:pPr>
                    <w:pStyle w:val="107"/>
                    <w:spacing w:before="99"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1</w:t>
                  </w:r>
                </w:p>
              </w:tc>
              <w:tc>
                <w:tcPr>
                  <w:tcW w:w="2567" w:type="dxa"/>
                  <w:tcBorders>
                    <w:top w:val="single" w:color="000000" w:sz="6" w:space="0"/>
                    <w:left w:val="single" w:color="000000" w:sz="6" w:space="0"/>
                    <w:bottom w:val="single" w:color="000000" w:sz="6" w:space="0"/>
                    <w:right w:val="single" w:color="000000" w:sz="6" w:space="0"/>
                  </w:tcBorders>
                  <w:vAlign w:val="center"/>
                </w:tcPr>
                <w:p>
                  <w:pPr>
                    <w:pStyle w:val="107"/>
                    <w:spacing w:before="92" w:line="240" w:lineRule="atLeast"/>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HDPE管</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107"/>
                    <w:spacing w:before="99"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DN400</w:t>
                  </w:r>
                </w:p>
              </w:tc>
              <w:tc>
                <w:tcPr>
                  <w:tcW w:w="2195" w:type="dxa"/>
                  <w:tcBorders>
                    <w:top w:val="single" w:color="000000" w:sz="6" w:space="0"/>
                    <w:left w:val="single" w:color="000000" w:sz="6" w:space="0"/>
                    <w:bottom w:val="single" w:color="000000" w:sz="6" w:space="0"/>
                    <w:right w:val="single" w:color="000000" w:sz="6" w:space="0"/>
                  </w:tcBorders>
                  <w:vAlign w:val="center"/>
                </w:tcPr>
                <w:p>
                  <w:pPr>
                    <w:pStyle w:val="107"/>
                    <w:spacing w:before="92" w:line="240" w:lineRule="atLeast"/>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4189.8</w:t>
                  </w:r>
                </w:p>
              </w:tc>
              <w:tc>
                <w:tcPr>
                  <w:tcW w:w="1239" w:type="dxa"/>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8" w:hRule="atLeast"/>
                <w:jc w:val="center"/>
              </w:trPr>
              <w:tc>
                <w:tcPr>
                  <w:tcW w:w="1040" w:type="dxa"/>
                  <w:tcBorders>
                    <w:top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2</w:t>
                  </w:r>
                </w:p>
              </w:tc>
              <w:tc>
                <w:tcPr>
                  <w:tcW w:w="2567" w:type="dxa"/>
                  <w:tcBorders>
                    <w:top w:val="single" w:color="000000" w:sz="6" w:space="0"/>
                    <w:left w:val="single" w:color="000000" w:sz="6" w:space="0"/>
                    <w:bottom w:val="single" w:color="000000" w:sz="6" w:space="0"/>
                    <w:right w:val="single" w:color="000000" w:sz="6" w:space="0"/>
                  </w:tcBorders>
                  <w:vAlign w:val="center"/>
                </w:tcPr>
                <w:p>
                  <w:pPr>
                    <w:pStyle w:val="107"/>
                    <w:spacing w:before="92" w:line="240" w:lineRule="atLeast"/>
                    <w:jc w:val="center"/>
                    <w:rPr>
                      <w:rFonts w:hint="eastAsia" w:ascii="Times New Roman" w:hAnsi="Times New Roman" w:eastAsia="宋体" w:cs="Times New Roman"/>
                      <w:color w:val="auto"/>
                      <w:sz w:val="21"/>
                      <w:highlight w:val="none"/>
                      <w:lang w:eastAsia="zh-CN"/>
                    </w:rPr>
                  </w:pPr>
                  <w:r>
                    <w:rPr>
                      <w:rFonts w:hint="eastAsia" w:ascii="Times New Roman" w:hAnsi="Times New Roman" w:cs="Times New Roman"/>
                      <w:color w:val="auto"/>
                      <w:sz w:val="21"/>
                      <w:highlight w:val="none"/>
                      <w:lang w:val="en-US" w:eastAsia="zh-CN"/>
                    </w:rPr>
                    <w:t>钢管</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DN400</w:t>
                  </w:r>
                </w:p>
              </w:tc>
              <w:tc>
                <w:tcPr>
                  <w:tcW w:w="219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hint="default"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1900</w:t>
                  </w:r>
                </w:p>
              </w:tc>
              <w:tc>
                <w:tcPr>
                  <w:tcW w:w="1239" w:type="dxa"/>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8" w:hRule="atLeast"/>
                <w:jc w:val="center"/>
              </w:trPr>
              <w:tc>
                <w:tcPr>
                  <w:tcW w:w="1040" w:type="dxa"/>
                  <w:tcBorders>
                    <w:top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3</w:t>
                  </w:r>
                </w:p>
              </w:tc>
              <w:tc>
                <w:tcPr>
                  <w:tcW w:w="2567" w:type="dxa"/>
                  <w:tcBorders>
                    <w:top w:val="single" w:color="000000" w:sz="6" w:space="0"/>
                    <w:left w:val="single" w:color="000000" w:sz="6" w:space="0"/>
                    <w:bottom w:val="single" w:color="000000" w:sz="6" w:space="0"/>
                    <w:right w:val="single" w:color="000000" w:sz="6" w:space="0"/>
                  </w:tcBorders>
                  <w:vAlign w:val="center"/>
                </w:tcPr>
                <w:p>
                  <w:pPr>
                    <w:pStyle w:val="107"/>
                    <w:spacing w:before="94" w:line="240" w:lineRule="atLeast"/>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PE管</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107"/>
                    <w:spacing w:before="101" w:line="240" w:lineRule="atLeast"/>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DN400</w:t>
                  </w:r>
                </w:p>
              </w:tc>
              <w:tc>
                <w:tcPr>
                  <w:tcW w:w="219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hint="default"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589</w:t>
                  </w:r>
                </w:p>
              </w:tc>
              <w:tc>
                <w:tcPr>
                  <w:tcW w:w="1239" w:type="dxa"/>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9" w:hRule="atLeast"/>
                <w:jc w:val="center"/>
              </w:trPr>
              <w:tc>
                <w:tcPr>
                  <w:tcW w:w="5424" w:type="dxa"/>
                  <w:gridSpan w:val="3"/>
                  <w:tcBorders>
                    <w:top w:val="single" w:color="000000" w:sz="6" w:space="0"/>
                    <w:right w:val="single" w:color="000000" w:sz="6" w:space="0"/>
                  </w:tcBorders>
                  <w:vAlign w:val="center"/>
                </w:tcPr>
                <w:p>
                  <w:pPr>
                    <w:pStyle w:val="107"/>
                    <w:spacing w:line="240" w:lineRule="atLeast"/>
                    <w:jc w:val="center"/>
                    <w:rPr>
                      <w:rFonts w:hint="eastAsia"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小计</w:t>
                  </w:r>
                </w:p>
              </w:tc>
              <w:tc>
                <w:tcPr>
                  <w:tcW w:w="2195" w:type="dxa"/>
                  <w:tcBorders>
                    <w:top w:val="single" w:color="000000" w:sz="6" w:space="0"/>
                    <w:left w:val="single" w:color="000000" w:sz="6" w:space="0"/>
                    <w:right w:val="single" w:color="000000" w:sz="6" w:space="0"/>
                  </w:tcBorders>
                  <w:vAlign w:val="center"/>
                </w:tcPr>
                <w:p>
                  <w:pPr>
                    <w:pStyle w:val="107"/>
                    <w:spacing w:line="240" w:lineRule="atLeast"/>
                    <w:jc w:val="center"/>
                    <w:rPr>
                      <w:rFonts w:hint="default" w:ascii="Times New Roman" w:hAnsi="Times New Roman" w:eastAsia="宋体" w:cs="Times New Roman"/>
                      <w:color w:val="auto"/>
                      <w:sz w:val="20"/>
                      <w:highlight w:val="none"/>
                      <w:lang w:val="en-US" w:eastAsia="zh-CN"/>
                    </w:rPr>
                  </w:pPr>
                  <w:r>
                    <w:rPr>
                      <w:rFonts w:hint="eastAsia" w:ascii="Times New Roman" w:hAnsi="Times New Roman" w:cs="Times New Roman"/>
                      <w:color w:val="auto"/>
                      <w:sz w:val="20"/>
                      <w:highlight w:val="none"/>
                      <w:lang w:val="en-US" w:eastAsia="zh-CN"/>
                    </w:rPr>
                    <w:t>6678.8</w:t>
                  </w:r>
                </w:p>
              </w:tc>
              <w:tc>
                <w:tcPr>
                  <w:tcW w:w="1239" w:type="dxa"/>
                  <w:tcBorders>
                    <w:top w:val="single" w:color="000000" w:sz="6" w:space="0"/>
                    <w:left w:val="single" w:color="000000" w:sz="6" w:space="0"/>
                  </w:tcBorders>
                  <w:vAlign w:val="center"/>
                </w:tcPr>
                <w:p>
                  <w:pPr>
                    <w:pStyle w:val="107"/>
                    <w:spacing w:line="240" w:lineRule="atLeast"/>
                    <w:jc w:val="center"/>
                    <w:rPr>
                      <w:rFonts w:ascii="Times New Roman" w:hAnsi="Times New Roman" w:cs="Times New Roman"/>
                      <w:color w:val="auto"/>
                      <w:sz w:val="20"/>
                      <w:highlight w:val="none"/>
                    </w:rPr>
                  </w:pPr>
                </w:p>
              </w:tc>
            </w:tr>
          </w:tbl>
          <w:p>
            <w:pPr>
              <w:adjustRightInd w:val="0"/>
              <w:snapToGrid w:val="0"/>
              <w:spacing w:line="480" w:lineRule="exact"/>
              <w:ind w:firstLine="482" w:firstLineChars="200"/>
              <w:rPr>
                <w:color w:val="auto"/>
                <w:sz w:val="24"/>
                <w:szCs w:val="24"/>
                <w:highlight w:val="none"/>
              </w:rPr>
            </w:pPr>
            <w:r>
              <w:rPr>
                <w:b/>
                <w:bCs/>
                <w:color w:val="auto"/>
                <w:sz w:val="24"/>
                <w:szCs w:val="24"/>
                <w:highlight w:val="none"/>
              </w:rPr>
              <w:t>1</w:t>
            </w:r>
            <w:r>
              <w:rPr>
                <w:rFonts w:hint="eastAsia"/>
                <w:b/>
                <w:bCs/>
                <w:color w:val="auto"/>
                <w:sz w:val="24"/>
                <w:szCs w:val="24"/>
                <w:highlight w:val="none"/>
              </w:rPr>
              <w:t>1</w:t>
            </w:r>
            <w:r>
              <w:rPr>
                <w:rFonts w:hint="eastAsia" w:cs="宋体"/>
                <w:b/>
                <w:bCs/>
                <w:color w:val="auto"/>
                <w:sz w:val="24"/>
                <w:szCs w:val="24"/>
                <w:highlight w:val="none"/>
              </w:rPr>
              <w:t>、工程投资</w:t>
            </w:r>
          </w:p>
          <w:p>
            <w:pPr>
              <w:adjustRightInd w:val="0"/>
              <w:snapToGrid w:val="0"/>
              <w:spacing w:line="48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湘阴县湘滨镇污水处理厂远期规模为 600m³/d，近期规模为 300m³/d</w:t>
            </w:r>
            <w:r>
              <w:rPr>
                <w:rFonts w:hint="eastAsia" w:cs="宋体"/>
                <w:color w:val="auto"/>
                <w:sz w:val="24"/>
                <w:szCs w:val="24"/>
                <w:highlight w:val="none"/>
                <w:lang w:eastAsia="zh-CN"/>
              </w:rPr>
              <w:t>，</w:t>
            </w:r>
            <w:r>
              <w:rPr>
                <w:rFonts w:hint="eastAsia" w:cs="宋体"/>
                <w:color w:val="auto"/>
                <w:sz w:val="24"/>
                <w:szCs w:val="24"/>
                <w:highlight w:val="none"/>
                <w:lang w:val="en-US" w:eastAsia="zh-CN"/>
              </w:rPr>
              <w:t>项</w:t>
            </w:r>
            <w:r>
              <w:rPr>
                <w:rFonts w:hint="eastAsia" w:cs="宋体"/>
                <w:color w:val="auto"/>
                <w:sz w:val="24"/>
                <w:szCs w:val="24"/>
                <w:highlight w:val="none"/>
                <w:lang w:eastAsia="zh-CN"/>
              </w:rPr>
              <w:t>目总投资为 1590.87 万元，其中建筑工程费：747.77 万元。</w:t>
            </w:r>
          </w:p>
          <w:p>
            <w:pPr>
              <w:numPr>
                <w:ilvl w:val="0"/>
                <w:numId w:val="3"/>
              </w:numPr>
              <w:tabs>
                <w:tab w:val="left" w:pos="3660"/>
              </w:tabs>
              <w:spacing w:line="480" w:lineRule="exact"/>
              <w:ind w:firstLine="482" w:firstLineChars="200"/>
              <w:rPr>
                <w:rFonts w:hint="eastAsia"/>
                <w:b/>
                <w:bCs/>
                <w:color w:val="auto"/>
                <w:sz w:val="24"/>
                <w:szCs w:val="24"/>
                <w:highlight w:val="none"/>
                <w:u w:val="single"/>
                <w:lang w:val="en-US" w:eastAsia="zh-CN"/>
              </w:rPr>
            </w:pPr>
            <w:r>
              <w:rPr>
                <w:rFonts w:hint="eastAsia"/>
                <w:b/>
                <w:bCs/>
                <w:color w:val="auto"/>
                <w:sz w:val="24"/>
                <w:szCs w:val="24"/>
                <w:highlight w:val="none"/>
                <w:u w:val="single"/>
                <w:lang w:val="en-US" w:eastAsia="zh-CN"/>
              </w:rPr>
              <w:t>防洪设计标高</w:t>
            </w:r>
          </w:p>
          <w:p>
            <w:pPr>
              <w:adjustRightInd w:val="0"/>
              <w:snapToGrid w:val="0"/>
              <w:spacing w:line="480" w:lineRule="exact"/>
              <w:ind w:firstLine="480" w:firstLineChars="200"/>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湘阴县湘滨镇污水处理厂位于湘滨镇镇区东侧，现状地面标在 25.51~26.89m， 周围有塘和沟渠高于污水处理厂的地面标高，因此厂区不会受到洪水威胁。</w:t>
            </w:r>
          </w:p>
          <w:p>
            <w:pPr>
              <w:numPr>
                <w:ilvl w:val="0"/>
                <w:numId w:val="3"/>
              </w:numPr>
              <w:tabs>
                <w:tab w:val="left" w:pos="3660"/>
              </w:tabs>
              <w:spacing w:line="480" w:lineRule="exact"/>
              <w:ind w:firstLine="482" w:firstLineChars="200"/>
              <w:rPr>
                <w:rFonts w:hint="eastAsia"/>
                <w:b/>
                <w:bCs/>
                <w:color w:val="auto"/>
                <w:sz w:val="24"/>
                <w:szCs w:val="24"/>
                <w:highlight w:val="none"/>
                <w:lang w:val="en-US" w:eastAsia="zh-CN"/>
              </w:rPr>
            </w:pPr>
            <w:r>
              <w:rPr>
                <w:rFonts w:hint="eastAsia"/>
                <w:b/>
                <w:bCs/>
                <w:color w:val="auto"/>
                <w:sz w:val="24"/>
                <w:szCs w:val="24"/>
                <w:highlight w:val="none"/>
                <w:lang w:val="en-US" w:eastAsia="zh-CN"/>
              </w:rPr>
              <w:t>厂址选择</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本工程污水处理厂厂址的选择考虑以下几个原则： </w:t>
            </w:r>
          </w:p>
          <w:p>
            <w:pPr>
              <w:numPr>
                <w:ilvl w:val="0"/>
                <w:numId w:val="4"/>
              </w:numPr>
              <w:tabs>
                <w:tab w:val="left" w:pos="3660"/>
              </w:tabs>
              <w:spacing w:line="480" w:lineRule="exact"/>
              <w:ind w:left="480" w:leftChars="160" w:firstLine="0" w:firstLineChars="0"/>
              <w:rPr>
                <w:rFonts w:hint="default"/>
                <w:color w:val="auto"/>
                <w:sz w:val="24"/>
                <w:szCs w:val="24"/>
                <w:highlight w:val="none"/>
                <w:lang w:val="en-US" w:eastAsia="zh-CN"/>
              </w:rPr>
            </w:pPr>
            <w:r>
              <w:rPr>
                <w:rFonts w:hint="default"/>
                <w:color w:val="auto"/>
                <w:sz w:val="24"/>
                <w:szCs w:val="24"/>
                <w:highlight w:val="none"/>
                <w:lang w:val="en-US" w:eastAsia="zh-CN"/>
              </w:rPr>
              <w:t>厂址选择应尽量做到少占农田，且应有扩建条件，为今后发展留有余地；</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（2）厂址必须位于给水水源下游至少 500m，并应设在城镇、工厂厂区及生 活区的下游和夏季城镇主导风向的下风向，为保证卫生要求，厂址应与城镇、工 业区、生活区及农村居民点保持一定的防护距离；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 xml:space="preserve">厂址应在工程地质条件较好的地方，在有抗震要求的地区，还应考虑 地震、地质条件，目的是减少基础处理和排水费用，降低工程造价，并有利于施 工。一般应选在地下水位较低，地基承载力较大，湿陷等级不高，岩石无断裂带， 以及对工程抗震有利的地段；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w:t>
            </w:r>
            <w:r>
              <w:rPr>
                <w:rFonts w:hint="default"/>
                <w:color w:val="auto"/>
                <w:sz w:val="24"/>
                <w:szCs w:val="24"/>
                <w:highlight w:val="none"/>
                <w:lang w:val="en-US" w:eastAsia="zh-CN"/>
              </w:rPr>
              <w:t xml:space="preserve">靠近水体，便于处理后出水的排放；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（5）</w:t>
            </w:r>
            <w:r>
              <w:rPr>
                <w:rFonts w:hint="default"/>
                <w:color w:val="auto"/>
                <w:sz w:val="24"/>
                <w:szCs w:val="24"/>
                <w:highlight w:val="none"/>
                <w:lang w:val="en-US" w:eastAsia="zh-CN"/>
              </w:rPr>
              <w:t xml:space="preserve">厂址应尽量选择在交通方便的地方，以利于施工运输和运行管理； </w:t>
            </w:r>
          </w:p>
          <w:p>
            <w:pPr>
              <w:tabs>
                <w:tab w:val="left" w:pos="3660"/>
              </w:tabs>
              <w:spacing w:line="48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（6）</w:t>
            </w:r>
            <w:r>
              <w:rPr>
                <w:rFonts w:hint="default"/>
                <w:color w:val="auto"/>
                <w:sz w:val="24"/>
                <w:szCs w:val="24"/>
                <w:highlight w:val="none"/>
                <w:lang w:val="en-US" w:eastAsia="zh-CN"/>
              </w:rPr>
              <w:t xml:space="preserve">厂址应尽量靠近供电电源，以利于安全运行和降低输电线路费用； </w:t>
            </w:r>
          </w:p>
          <w:p>
            <w:pPr>
              <w:tabs>
                <w:tab w:val="left" w:pos="3660"/>
              </w:tabs>
              <w:spacing w:line="48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 xml:space="preserve">（7）汛期不受洪水威胁； </w:t>
            </w:r>
          </w:p>
          <w:p>
            <w:pPr>
              <w:tabs>
                <w:tab w:val="left" w:pos="3660"/>
              </w:tabs>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3</w:t>
            </w:r>
            <w:r>
              <w:rPr>
                <w:rFonts w:hint="eastAsia" w:cs="宋体"/>
                <w:b/>
                <w:bCs/>
                <w:color w:val="auto"/>
                <w:sz w:val="24"/>
                <w:szCs w:val="24"/>
                <w:highlight w:val="none"/>
              </w:rPr>
              <w:t>、总平面布置</w:t>
            </w:r>
          </w:p>
          <w:p>
            <w:pPr>
              <w:tabs>
                <w:tab w:val="left" w:pos="3660"/>
              </w:tabs>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根据污水处理厂厂址地形特点及确定的工艺流程和设计规模，本工程厂区的总体平面布置遵循以下原则： </w:t>
            </w:r>
          </w:p>
          <w:p>
            <w:pPr>
              <w:numPr>
                <w:ilvl w:val="0"/>
                <w:numId w:val="5"/>
              </w:numPr>
              <w:tabs>
                <w:tab w:val="left" w:pos="3660"/>
              </w:tabs>
              <w:spacing w:line="480" w:lineRule="exact"/>
              <w:ind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根据周边情况，各专业统一规划，合理进行平面布局。 </w:t>
            </w:r>
          </w:p>
          <w:p>
            <w:pPr>
              <w:numPr>
                <w:ilvl w:val="0"/>
                <w:numId w:val="5"/>
              </w:numPr>
              <w:tabs>
                <w:tab w:val="left" w:pos="3660"/>
              </w:tabs>
              <w:spacing w:line="480" w:lineRule="exact"/>
              <w:ind w:left="0" w:leftChars="0" w:firstLine="480" w:firstLineChars="200"/>
              <w:rPr>
                <w:rFonts w:hint="eastAsia"/>
                <w:color w:val="auto"/>
                <w:sz w:val="24"/>
                <w:szCs w:val="24"/>
                <w:highlight w:val="none"/>
                <w:shd w:val="clear" w:color="auto" w:fill="auto"/>
              </w:rPr>
            </w:pPr>
            <w:r>
              <w:rPr>
                <w:rFonts w:hint="eastAsia"/>
                <w:color w:val="auto"/>
                <w:sz w:val="24"/>
                <w:szCs w:val="24"/>
                <w:highlight w:val="none"/>
                <w:shd w:val="clear" w:color="auto" w:fill="auto"/>
              </w:rPr>
              <w:t xml:space="preserve">根据自然条件合理布局以使流程顺畅，尽可能减少土方工程量以节省 工程投资。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符合环境保护要求。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竖向设计充分考虑场地及周边实际情况，合理排出雨水，尽量减少总 水位差。</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合理布局管线；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 xml:space="preserve">在满足工艺流程顺畅、简洁、合理的前提下，力求布局紧凑，管线短 捷，尽量少交叉，并充分注意节省占地。 </w:t>
            </w:r>
          </w:p>
          <w:p>
            <w:pPr>
              <w:numPr>
                <w:ilvl w:val="0"/>
                <w:numId w:val="5"/>
              </w:numPr>
              <w:tabs>
                <w:tab w:val="left" w:pos="3660"/>
              </w:tabs>
              <w:spacing w:line="480" w:lineRule="exact"/>
              <w:ind w:left="0" w:leftChars="0" w:firstLine="480" w:firstLineChars="200"/>
              <w:rPr>
                <w:color w:val="auto"/>
                <w:sz w:val="24"/>
                <w:szCs w:val="24"/>
                <w:highlight w:val="none"/>
                <w:shd w:val="clear" w:color="auto" w:fill="auto"/>
              </w:rPr>
            </w:pPr>
            <w:r>
              <w:rPr>
                <w:rFonts w:hint="eastAsia"/>
                <w:color w:val="auto"/>
                <w:sz w:val="24"/>
                <w:szCs w:val="24"/>
                <w:highlight w:val="none"/>
                <w:shd w:val="clear" w:color="auto" w:fill="auto"/>
              </w:rPr>
              <w:t>人流、物流运输便捷，主次道路分工明确，满足消防要求。</w:t>
            </w:r>
          </w:p>
          <w:p>
            <w:pPr>
              <w:tabs>
                <w:tab w:val="left" w:pos="3660"/>
              </w:tabs>
              <w:spacing w:line="480" w:lineRule="exact"/>
              <w:ind w:firstLine="480" w:firstLineChars="200"/>
              <w:rPr>
                <w:color w:val="auto"/>
                <w:sz w:val="24"/>
                <w:szCs w:val="24"/>
                <w:highlight w:val="none"/>
                <w:shd w:val="clear" w:color="auto" w:fill="auto"/>
              </w:rPr>
            </w:pPr>
            <w:r>
              <w:rPr>
                <w:color w:val="auto"/>
                <w:sz w:val="24"/>
                <w:szCs w:val="24"/>
                <w:highlight w:val="none"/>
                <w:shd w:val="clear" w:color="auto" w:fill="auto"/>
              </w:rPr>
              <w:t>厂区布置情况详见总平面布置图。</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4</w:t>
            </w:r>
            <w:r>
              <w:rPr>
                <w:rFonts w:hint="eastAsia" w:cs="宋体"/>
                <w:b/>
                <w:bCs/>
                <w:color w:val="auto"/>
                <w:sz w:val="24"/>
                <w:szCs w:val="24"/>
                <w:highlight w:val="none"/>
              </w:rPr>
              <w:t>、劳动定员及工作制度</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根据 A2O 工艺的运行经验，本可研确定污水处理厂运行管理人员 1 人。</w:t>
            </w:r>
          </w:p>
          <w:p>
            <w:pPr>
              <w:adjustRightInd w:val="0"/>
              <w:snapToGrid w:val="0"/>
              <w:spacing w:line="480" w:lineRule="exact"/>
              <w:ind w:firstLine="482" w:firstLineChars="200"/>
              <w:rPr>
                <w:b/>
                <w:bCs/>
                <w:color w:val="auto"/>
                <w:sz w:val="24"/>
                <w:szCs w:val="24"/>
                <w:highlight w:val="none"/>
              </w:rPr>
            </w:pPr>
            <w:r>
              <w:rPr>
                <w:b/>
                <w:bCs/>
                <w:color w:val="auto"/>
                <w:sz w:val="24"/>
                <w:szCs w:val="24"/>
                <w:highlight w:val="none"/>
              </w:rPr>
              <w:t>1</w:t>
            </w:r>
            <w:r>
              <w:rPr>
                <w:rFonts w:hint="eastAsia"/>
                <w:b/>
                <w:bCs/>
                <w:color w:val="auto"/>
                <w:sz w:val="24"/>
                <w:szCs w:val="24"/>
                <w:highlight w:val="none"/>
                <w:lang w:val="en-US" w:eastAsia="zh-CN"/>
              </w:rPr>
              <w:t>5</w:t>
            </w:r>
            <w:r>
              <w:rPr>
                <w:rFonts w:hint="eastAsia" w:cs="宋体"/>
                <w:b/>
                <w:bCs/>
                <w:color w:val="auto"/>
                <w:sz w:val="24"/>
                <w:szCs w:val="24"/>
                <w:highlight w:val="none"/>
              </w:rPr>
              <w:t>、公用工程</w:t>
            </w:r>
          </w:p>
          <w:p>
            <w:pPr>
              <w:snapToGrid w:val="0"/>
              <w:spacing w:line="480" w:lineRule="exact"/>
              <w:ind w:firstLine="480" w:firstLineChars="200"/>
              <w:rPr>
                <w:color w:val="auto"/>
                <w:sz w:val="24"/>
                <w:szCs w:val="24"/>
                <w:highlight w:val="none"/>
                <w:shd w:val="clear" w:color="auto" w:fill="auto"/>
              </w:rPr>
            </w:pPr>
            <w:r>
              <w:rPr>
                <w:rFonts w:hint="eastAsia" w:cs="宋体"/>
                <w:color w:val="auto"/>
                <w:sz w:val="24"/>
                <w:szCs w:val="24"/>
                <w:highlight w:val="none"/>
                <w:shd w:val="clear" w:color="auto" w:fill="auto"/>
              </w:rPr>
              <w:t>（</w:t>
            </w:r>
            <w:r>
              <w:rPr>
                <w:color w:val="auto"/>
                <w:sz w:val="24"/>
                <w:szCs w:val="24"/>
                <w:highlight w:val="none"/>
                <w:shd w:val="clear" w:color="auto" w:fill="auto"/>
              </w:rPr>
              <w:t>1</w:t>
            </w:r>
            <w:r>
              <w:rPr>
                <w:rFonts w:hint="eastAsia" w:cs="宋体"/>
                <w:color w:val="auto"/>
                <w:sz w:val="24"/>
                <w:szCs w:val="24"/>
                <w:highlight w:val="none"/>
                <w:shd w:val="clear" w:color="auto" w:fill="auto"/>
              </w:rPr>
              <w:t>）厂区道路</w:t>
            </w:r>
          </w:p>
          <w:p>
            <w:pPr>
              <w:snapToGrid w:val="0"/>
              <w:spacing w:line="480" w:lineRule="exact"/>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本次设计道路宽为 4.0 米，以保证厂区交通顺畅。厂区用绿化带与周围地区 分隔，构建筑物间隙亦用绿化点缀分隔。</w:t>
            </w:r>
          </w:p>
          <w:p>
            <w:pPr>
              <w:snapToGrid w:val="0"/>
              <w:spacing w:line="480" w:lineRule="exact"/>
              <w:ind w:firstLine="480" w:firstLineChars="200"/>
              <w:rPr>
                <w:color w:val="auto"/>
                <w:sz w:val="24"/>
                <w:szCs w:val="24"/>
                <w:highlight w:val="none"/>
                <w:shd w:val="clear" w:color="auto" w:fill="auto"/>
              </w:rPr>
            </w:pPr>
            <w:r>
              <w:rPr>
                <w:rFonts w:hint="eastAsia" w:cs="宋体"/>
                <w:color w:val="auto"/>
                <w:sz w:val="24"/>
                <w:szCs w:val="24"/>
                <w:highlight w:val="none"/>
                <w:shd w:val="clear" w:color="auto" w:fill="auto"/>
              </w:rPr>
              <w:t>（</w:t>
            </w:r>
            <w:r>
              <w:rPr>
                <w:color w:val="auto"/>
                <w:sz w:val="24"/>
                <w:szCs w:val="24"/>
                <w:highlight w:val="none"/>
                <w:shd w:val="clear" w:color="auto" w:fill="auto"/>
              </w:rPr>
              <w:t>2</w:t>
            </w:r>
            <w:r>
              <w:rPr>
                <w:rFonts w:hint="eastAsia" w:cs="宋体"/>
                <w:color w:val="auto"/>
                <w:sz w:val="24"/>
                <w:szCs w:val="24"/>
                <w:highlight w:val="none"/>
                <w:shd w:val="clear" w:color="auto" w:fill="auto"/>
              </w:rPr>
              <w:t>）厂区给水</w:t>
            </w:r>
          </w:p>
          <w:p>
            <w:pPr>
              <w:snapToGrid w:val="0"/>
              <w:spacing w:line="480" w:lineRule="exact"/>
              <w:ind w:firstLine="480" w:firstLineChars="200"/>
              <w:rPr>
                <w:rFonts w:cs="宋体"/>
                <w:color w:val="auto"/>
                <w:sz w:val="24"/>
                <w:szCs w:val="24"/>
                <w:highlight w:val="none"/>
                <w:shd w:val="clear" w:color="FFFFFF" w:fill="D9D9D9"/>
              </w:rPr>
            </w:pPr>
            <w:r>
              <w:rPr>
                <w:rFonts w:hint="eastAsia" w:cs="宋体"/>
                <w:color w:val="auto"/>
                <w:sz w:val="24"/>
                <w:szCs w:val="24"/>
                <w:highlight w:val="none"/>
              </w:rPr>
              <w:t>厂区给水管接自城镇供水干管，以镇区自来水厂为水源，厂区给水主要用于生活、消防等。</w:t>
            </w:r>
          </w:p>
          <w:p>
            <w:pPr>
              <w:snapToGrid w:val="0"/>
              <w:spacing w:line="48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）厂区排水</w:t>
            </w:r>
          </w:p>
          <w:p>
            <w:pPr>
              <w:snapToGrid w:val="0"/>
              <w:spacing w:line="480" w:lineRule="exact"/>
              <w:ind w:firstLine="480" w:firstLineChars="200"/>
              <w:rPr>
                <w:rFonts w:hint="eastAsia" w:eastAsia="宋体" w:cs="宋体"/>
                <w:color w:val="auto"/>
                <w:sz w:val="24"/>
                <w:szCs w:val="24"/>
                <w:highlight w:val="none"/>
                <w:lang w:val="en-US" w:eastAsia="zh-CN"/>
              </w:rPr>
            </w:pPr>
            <w:bookmarkStart w:id="4" w:name="_Toc303446435"/>
            <w:r>
              <w:rPr>
                <w:rFonts w:hint="eastAsia" w:cs="宋体"/>
                <w:color w:val="auto"/>
                <w:sz w:val="24"/>
                <w:szCs w:val="24"/>
                <w:highlight w:val="none"/>
              </w:rPr>
              <w:t>本项目乡镇范围内排水体制采用完全分流制排水</w:t>
            </w:r>
            <w:r>
              <w:rPr>
                <w:rFonts w:hint="eastAsia" w:cs="宋体"/>
                <w:color w:val="auto"/>
                <w:sz w:val="24"/>
                <w:szCs w:val="24"/>
                <w:highlight w:val="none"/>
                <w:lang w:eastAsia="zh-CN"/>
              </w:rPr>
              <w:t>。</w:t>
            </w:r>
          </w:p>
          <w:bookmarkEnd w:id="4"/>
          <w:p>
            <w:pPr>
              <w:snapToGrid w:val="0"/>
              <w:spacing w:line="480" w:lineRule="exact"/>
              <w:ind w:firstLine="480" w:firstLineChars="200"/>
              <w:rPr>
                <w:color w:val="auto"/>
                <w:spacing w:val="14"/>
                <w:sz w:val="24"/>
                <w:szCs w:val="24"/>
                <w:highlight w:val="none"/>
              </w:rPr>
            </w:pPr>
            <w:r>
              <w:rPr>
                <w:rFonts w:hint="eastAsia" w:cs="宋体"/>
                <w:color w:val="auto"/>
                <w:sz w:val="24"/>
                <w:szCs w:val="24"/>
                <w:highlight w:val="none"/>
              </w:rPr>
              <w:t>（</w:t>
            </w:r>
            <w:r>
              <w:rPr>
                <w:rFonts w:hint="eastAsia"/>
                <w:color w:val="auto"/>
                <w:sz w:val="24"/>
                <w:szCs w:val="24"/>
                <w:highlight w:val="none"/>
              </w:rPr>
              <w:t>4</w:t>
            </w:r>
            <w:r>
              <w:rPr>
                <w:rFonts w:hint="eastAsia" w:cs="宋体"/>
                <w:color w:val="auto"/>
                <w:sz w:val="24"/>
                <w:szCs w:val="24"/>
                <w:highlight w:val="none"/>
              </w:rPr>
              <w:t>）厂区供电</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 xml:space="preserve">本污水处理厂为二级供电负荷，从附近变电站“T 接”引一路 10kV 专用架 空线电源供电。电源以架空敷设方式引至水厂附近后，再转换为电缆埋地敷设引至厂区内柱上安装变压器 </w:t>
            </w:r>
          </w:p>
          <w:p>
            <w:pPr>
              <w:snapToGrid w:val="0"/>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 xml:space="preserve">0.4kV侧亦采用单母线不分段结线方式。由配变电室引至厂区用电各构筑物、 建筑物的0.4kV 低压配电线路均采用放射式供电。 </w:t>
            </w:r>
          </w:p>
          <w:p>
            <w:pPr>
              <w:snapToGrid w:val="0"/>
              <w:spacing w:line="48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本工程变配电系统按近期设计，各变配电间土建按远期设计，配电柜及 PLC 柜分别位于配电间及值班室内</w:t>
            </w:r>
            <w:r>
              <w:rPr>
                <w:rFonts w:hint="eastAsia" w:cs="宋体"/>
                <w:color w:val="auto"/>
                <w:sz w:val="24"/>
                <w:szCs w:val="24"/>
                <w:highlight w:val="none"/>
                <w:lang w:eastAsia="zh-CN"/>
              </w:rPr>
              <w:t>。</w:t>
            </w:r>
          </w:p>
          <w:p>
            <w:pPr>
              <w:snapToGrid w:val="0"/>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rPr>
              <w:t>1</w:t>
            </w:r>
            <w:r>
              <w:rPr>
                <w:rFonts w:hint="eastAsia" w:cs="宋体"/>
                <w:b/>
                <w:bCs/>
                <w:color w:val="auto"/>
                <w:sz w:val="24"/>
                <w:szCs w:val="24"/>
                <w:highlight w:val="none"/>
                <w:lang w:val="en-US" w:eastAsia="zh-CN"/>
              </w:rPr>
              <w:t>6</w:t>
            </w:r>
            <w:r>
              <w:rPr>
                <w:rFonts w:hint="eastAsia" w:cs="宋体"/>
                <w:b/>
                <w:bCs/>
                <w:color w:val="auto"/>
                <w:sz w:val="24"/>
                <w:szCs w:val="24"/>
                <w:highlight w:val="none"/>
              </w:rPr>
              <w:t>、项目占地情况</w:t>
            </w:r>
          </w:p>
          <w:p>
            <w:pPr>
              <w:snapToGrid w:val="0"/>
              <w:spacing w:line="460" w:lineRule="exact"/>
              <w:ind w:firstLine="480" w:firstLineChars="200"/>
              <w:rPr>
                <w:rFonts w:hint="eastAsia" w:eastAsia="宋体" w:cs="宋体"/>
                <w:color w:val="auto"/>
                <w:sz w:val="24"/>
                <w:szCs w:val="24"/>
                <w:highlight w:val="none"/>
                <w:shd w:val="clear" w:color="auto" w:fill="auto"/>
                <w:lang w:eastAsia="zh-CN"/>
              </w:rPr>
            </w:pPr>
            <w:r>
              <w:rPr>
                <w:rFonts w:hint="eastAsia" w:cs="宋体"/>
                <w:color w:val="auto"/>
                <w:sz w:val="24"/>
                <w:szCs w:val="24"/>
                <w:highlight w:val="none"/>
                <w:shd w:val="clear" w:color="auto" w:fill="auto"/>
              </w:rPr>
              <w:t>根据湘阴县湘滨镇污水处理厂厂址及总平面布置可知，在污水处理厂征地范围内主要是农田，山地，没有居民住宅及工厂</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项目污水处理厂为永久占地</w:t>
            </w:r>
            <w:r>
              <w:rPr>
                <w:rFonts w:hint="eastAsia" w:cs="宋体"/>
                <w:color w:val="auto"/>
                <w:sz w:val="24"/>
                <w:szCs w:val="24"/>
                <w:highlight w:val="none"/>
                <w:shd w:val="clear" w:color="auto" w:fill="auto"/>
                <w:lang w:eastAsia="zh-CN"/>
              </w:rPr>
              <w:t>。</w:t>
            </w:r>
          </w:p>
          <w:p>
            <w:pPr>
              <w:adjustRightInd w:val="0"/>
              <w:snapToGrid w:val="0"/>
              <w:spacing w:line="480" w:lineRule="exact"/>
              <w:rPr>
                <w:b/>
                <w:bCs/>
                <w:color w:val="auto"/>
                <w:sz w:val="24"/>
                <w:szCs w:val="24"/>
                <w:highlight w:val="none"/>
              </w:rPr>
            </w:pPr>
          </w:p>
          <w:p>
            <w:pPr>
              <w:tabs>
                <w:tab w:val="left" w:pos="3660"/>
              </w:tabs>
              <w:spacing w:line="480" w:lineRule="exact"/>
              <w:rPr>
                <w:color w:val="auto"/>
                <w:sz w:val="24"/>
                <w:szCs w:val="24"/>
                <w:highlight w:val="none"/>
              </w:rPr>
            </w:pPr>
          </w:p>
          <w:p>
            <w:pPr>
              <w:tabs>
                <w:tab w:val="left" w:pos="3660"/>
              </w:tabs>
              <w:spacing w:line="48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21" w:type="dxa"/>
          <w:wAfter w:w="341" w:type="dxa"/>
          <w:trHeight w:val="13378" w:hRule="atLeast"/>
          <w:jc w:val="center"/>
        </w:trPr>
        <w:tc>
          <w:tcPr>
            <w:tcW w:w="9213" w:type="dxa"/>
            <w:gridSpan w:val="8"/>
          </w:tcPr>
          <w:p>
            <w:pPr>
              <w:spacing w:line="440" w:lineRule="exact"/>
              <w:rPr>
                <w:b/>
                <w:bCs/>
                <w:color w:val="auto"/>
                <w:sz w:val="24"/>
                <w:szCs w:val="24"/>
                <w:highlight w:val="none"/>
              </w:rPr>
            </w:pPr>
            <w:r>
              <w:rPr>
                <w:rFonts w:hint="eastAsia" w:cs="宋体"/>
                <w:b/>
                <w:bCs/>
                <w:color w:val="auto"/>
                <w:sz w:val="24"/>
                <w:szCs w:val="24"/>
                <w:highlight w:val="none"/>
              </w:rPr>
              <w:t>与本项目有关的原有污染情况及主要环境问题：</w:t>
            </w:r>
          </w:p>
          <w:p>
            <w:pPr>
              <w:adjustRightInd w:val="0"/>
              <w:snapToGrid w:val="0"/>
              <w:spacing w:line="480" w:lineRule="exact"/>
              <w:ind w:firstLine="480" w:firstLineChars="200"/>
              <w:rPr>
                <w:color w:val="auto"/>
                <w:sz w:val="24"/>
                <w:szCs w:val="24"/>
                <w:highlight w:val="none"/>
              </w:rPr>
            </w:pPr>
            <w:r>
              <w:rPr>
                <w:rFonts w:hint="eastAsia"/>
                <w:color w:val="auto"/>
                <w:sz w:val="24"/>
                <w:szCs w:val="24"/>
                <w:highlight w:val="none"/>
                <w:lang w:val="en-US" w:eastAsia="zh-CN"/>
              </w:rPr>
              <w:t>湘阴县湘滨镇</w:t>
            </w:r>
            <w:r>
              <w:rPr>
                <w:rFonts w:hint="eastAsia"/>
                <w:color w:val="auto"/>
                <w:sz w:val="24"/>
                <w:szCs w:val="24"/>
                <w:highlight w:val="none"/>
              </w:rPr>
              <w:t>污水处理</w:t>
            </w:r>
            <w:r>
              <w:rPr>
                <w:color w:val="auto"/>
                <w:sz w:val="24"/>
                <w:szCs w:val="24"/>
                <w:highlight w:val="none"/>
              </w:rPr>
              <w:t>厂</w:t>
            </w:r>
            <w:r>
              <w:rPr>
                <w:rFonts w:hint="eastAsia"/>
                <w:color w:val="auto"/>
                <w:sz w:val="24"/>
                <w:szCs w:val="24"/>
                <w:highlight w:val="none"/>
              </w:rPr>
              <w:t>建设项目位于</w:t>
            </w:r>
            <w:r>
              <w:rPr>
                <w:rFonts w:hint="eastAsia"/>
                <w:color w:val="auto"/>
                <w:sz w:val="24"/>
                <w:szCs w:val="24"/>
                <w:highlight w:val="none"/>
                <w:lang w:val="en-US" w:eastAsia="zh-CN"/>
              </w:rPr>
              <w:t>湘阴县湘滨镇</w:t>
            </w:r>
            <w:r>
              <w:rPr>
                <w:rFonts w:hint="eastAsia"/>
                <w:color w:val="auto"/>
                <w:sz w:val="24"/>
                <w:szCs w:val="24"/>
                <w:highlight w:val="none"/>
              </w:rPr>
              <w:t>，</w:t>
            </w:r>
            <w:r>
              <w:rPr>
                <w:rFonts w:hint="eastAsia"/>
                <w:color w:val="auto"/>
                <w:sz w:val="24"/>
                <w:szCs w:val="24"/>
                <w:highlight w:val="none"/>
                <w:lang w:eastAsia="zh-CN"/>
              </w:rPr>
              <w:t>本项目用地为一块空地，没有与本项相关的原有污染情况。</w:t>
            </w:r>
            <w:r>
              <w:rPr>
                <w:color w:val="auto"/>
                <w:sz w:val="24"/>
                <w:szCs w:val="24"/>
                <w:highlight w:val="none"/>
              </w:rPr>
              <w:t>目前，</w:t>
            </w:r>
            <w:r>
              <w:rPr>
                <w:rFonts w:hint="eastAsia"/>
                <w:color w:val="auto"/>
                <w:sz w:val="24"/>
                <w:szCs w:val="24"/>
                <w:highlight w:val="none"/>
              </w:rPr>
              <w:t>湘滨镇排水体制为合流制，</w:t>
            </w:r>
            <w:r>
              <w:rPr>
                <w:color w:val="auto"/>
                <w:sz w:val="24"/>
                <w:szCs w:val="24"/>
                <w:highlight w:val="none"/>
              </w:rPr>
              <w:t>城镇污水主要是生活污水。</w:t>
            </w:r>
            <w:r>
              <w:rPr>
                <w:rFonts w:hint="eastAsia"/>
                <w:color w:val="auto"/>
                <w:sz w:val="24"/>
                <w:szCs w:val="24"/>
                <w:highlight w:val="none"/>
              </w:rPr>
              <w:t>目前尚无污水处理厂，污水未经处理直接就排入水体。市政排水设施以水利排灌渠及撇洪渠等为主，雨、污水就近排入水体。沟渠最终都汇入自然水体。</w:t>
            </w:r>
          </w:p>
          <w:p>
            <w:pPr>
              <w:adjustRightInd w:val="0"/>
              <w:snapToGrid w:val="0"/>
              <w:spacing w:line="480" w:lineRule="exact"/>
              <w:ind w:firstLine="480" w:firstLineChars="200"/>
              <w:rPr>
                <w:rFonts w:hint="eastAsia" w:eastAsia="宋体"/>
                <w:color w:val="auto"/>
                <w:sz w:val="24"/>
                <w:szCs w:val="24"/>
                <w:highlight w:val="none"/>
                <w:lang w:eastAsia="zh-CN"/>
              </w:rPr>
            </w:pPr>
            <w:r>
              <w:rPr>
                <w:color w:val="auto"/>
                <w:sz w:val="24"/>
                <w:szCs w:val="24"/>
                <w:highlight w:val="none"/>
              </w:rPr>
              <w:t>目前乡镇排水主要存在</w:t>
            </w:r>
            <w:r>
              <w:rPr>
                <w:rFonts w:hint="eastAsia"/>
                <w:color w:val="auto"/>
                <w:sz w:val="24"/>
                <w:szCs w:val="24"/>
                <w:highlight w:val="none"/>
                <w:lang w:val="en-US" w:eastAsia="zh-CN"/>
              </w:rPr>
              <w:t>的主要</w:t>
            </w:r>
            <w:r>
              <w:rPr>
                <w:color w:val="auto"/>
                <w:sz w:val="24"/>
                <w:szCs w:val="24"/>
                <w:highlight w:val="none"/>
              </w:rPr>
              <w:t>问题</w:t>
            </w:r>
            <w:r>
              <w:rPr>
                <w:rFonts w:hint="eastAsia"/>
                <w:color w:val="auto"/>
                <w:sz w:val="24"/>
                <w:szCs w:val="24"/>
                <w:highlight w:val="none"/>
                <w:lang w:val="en-US" w:eastAsia="zh-CN"/>
              </w:rPr>
              <w:t>为</w:t>
            </w:r>
            <w:r>
              <w:rPr>
                <w:rFonts w:hint="eastAsia"/>
                <w:color w:val="auto"/>
                <w:sz w:val="24"/>
                <w:szCs w:val="24"/>
                <w:highlight w:val="none"/>
                <w:lang w:eastAsia="zh-CN"/>
              </w:rPr>
              <w:t>镇内污水经合流管道排入自然水体，污染环境；镇区管渠布局不合理、管渠质量不能满足城市排水功能、排水不畅。镇村的生活污水，无有效处理，对水体存在较大的污染。</w:t>
            </w:r>
          </w:p>
          <w:p>
            <w:pPr>
              <w:adjustRightInd w:val="0"/>
              <w:snapToGrid w:val="0"/>
              <w:spacing w:line="480" w:lineRule="exact"/>
              <w:ind w:firstLine="480" w:firstLineChars="200"/>
              <w:rPr>
                <w:color w:val="auto"/>
                <w:sz w:val="24"/>
                <w:szCs w:val="24"/>
                <w:highlight w:val="none"/>
                <w:u w:val="single"/>
              </w:rPr>
            </w:pPr>
          </w:p>
          <w:p>
            <w:pPr>
              <w:adjustRightInd w:val="0"/>
              <w:snapToGrid w:val="0"/>
              <w:spacing w:line="480" w:lineRule="exact"/>
              <w:ind w:firstLine="480" w:firstLineChars="200"/>
              <w:rPr>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21" w:type="dxa"/>
          <w:wAfter w:w="341" w:type="dxa"/>
          <w:trHeight w:val="13221" w:hRule="atLeast"/>
          <w:jc w:val="center"/>
        </w:trPr>
        <w:tc>
          <w:tcPr>
            <w:tcW w:w="9213" w:type="dxa"/>
            <w:gridSpan w:val="8"/>
          </w:tcPr>
          <w:p>
            <w:pPr>
              <w:spacing w:line="440" w:lineRule="exact"/>
              <w:rPr>
                <w:b/>
                <w:bCs/>
                <w:color w:val="auto"/>
                <w:spacing w:val="-20"/>
                <w:sz w:val="28"/>
                <w:szCs w:val="28"/>
                <w:highlight w:val="none"/>
              </w:rPr>
            </w:pPr>
            <w:r>
              <w:rPr>
                <w:rFonts w:hint="eastAsia" w:cs="宋体"/>
                <w:b/>
                <w:bCs/>
                <w:color w:val="auto"/>
                <w:spacing w:val="-20"/>
                <w:sz w:val="28"/>
                <w:szCs w:val="28"/>
                <w:highlight w:val="none"/>
              </w:rPr>
              <w:t>自然环境简况（地形、地貌、地质、气候、气象、水文、植被、生物多样性等）：</w:t>
            </w:r>
          </w:p>
          <w:p>
            <w:pPr>
              <w:spacing w:line="440" w:lineRule="exact"/>
              <w:ind w:firstLine="482"/>
              <w:rPr>
                <w:color w:val="auto"/>
                <w:sz w:val="24"/>
                <w:szCs w:val="24"/>
                <w:highlight w:val="none"/>
              </w:rPr>
            </w:pPr>
            <w:r>
              <w:rPr>
                <w:b/>
                <w:bCs/>
                <w:color w:val="auto"/>
                <w:sz w:val="24"/>
                <w:szCs w:val="24"/>
                <w:highlight w:val="none"/>
              </w:rPr>
              <w:t>1</w:t>
            </w:r>
            <w:r>
              <w:rPr>
                <w:rFonts w:hint="eastAsia" w:cs="宋体"/>
                <w:b/>
                <w:bCs/>
                <w:color w:val="auto"/>
                <w:sz w:val="24"/>
                <w:szCs w:val="24"/>
                <w:highlight w:val="none"/>
              </w:rPr>
              <w:t>、地理位置</w:t>
            </w:r>
          </w:p>
          <w:p>
            <w:pPr>
              <w:snapToGrid w:val="0"/>
              <w:spacing w:line="440" w:lineRule="exact"/>
              <w:ind w:firstLine="472" w:firstLineChars="197"/>
              <w:rPr>
                <w:rFonts w:hint="eastAsia" w:cs="宋体"/>
                <w:color w:val="auto"/>
                <w:sz w:val="24"/>
                <w:szCs w:val="24"/>
                <w:highlight w:val="none"/>
              </w:rPr>
            </w:pPr>
            <w:r>
              <w:rPr>
                <w:rFonts w:hint="eastAsia" w:cs="宋体"/>
                <w:color w:val="auto"/>
                <w:sz w:val="24"/>
                <w:szCs w:val="24"/>
                <w:highlight w:val="none"/>
              </w:rPr>
              <w:t>湘阴位于湖南省东北部，东邻汨罗市、西接益阳市，南界望城县，北抵沅江市、屈原行政区，居湘、资两水尾闾，濒临南洞庭湖，以“居湘水之阴”而得名，介于东经112° 30' -113° 02’，北纬28° 30' -29° 03’之间。南北长61公里，东西宽51.3公里，行政区域总面积1581.5 平方公里。湘阴交通十分便利，境内以公路交通为主，最南部距省会长沙仅20公里，南行20公里至长沙市外环线，进入高速公路网。湘汨公路紧接107 国道及京珠高速公路，两路与县城距离不过30公里。京广铁路紧靠东部，省道308线贯穿东西与长常高速公路相接。湘江大桥和临资口大桥将全县紧紧联成一体，使湘阴位“长沙、岳阳、益阳”三市“一小时经济圈”之间。</w:t>
            </w:r>
          </w:p>
          <w:p>
            <w:pPr>
              <w:snapToGrid w:val="0"/>
              <w:spacing w:line="440" w:lineRule="exact"/>
              <w:ind w:firstLine="472" w:firstLineChars="197"/>
              <w:rPr>
                <w:rFonts w:hint="eastAsia" w:cs="宋体"/>
                <w:color w:val="auto"/>
                <w:sz w:val="24"/>
                <w:szCs w:val="24"/>
                <w:highlight w:val="none"/>
              </w:rPr>
            </w:pPr>
            <w:r>
              <w:rPr>
                <w:rFonts w:hint="eastAsia" w:cs="宋体"/>
                <w:color w:val="auto"/>
                <w:sz w:val="24"/>
                <w:szCs w:val="24"/>
                <w:highlight w:val="none"/>
              </w:rPr>
              <w:t>湘滨镇地处湖南湘阴县域西北端，东接杨林寨乡，西望益阳市，南邻</w:t>
            </w:r>
            <w:r>
              <w:rPr>
                <w:rFonts w:hint="eastAsia" w:cs="宋体"/>
                <w:color w:val="auto"/>
                <w:sz w:val="24"/>
                <w:szCs w:val="24"/>
                <w:highlight w:val="none"/>
                <w:lang w:eastAsia="zh-CN"/>
              </w:rPr>
              <w:t>湘滨</w:t>
            </w:r>
            <w:r>
              <w:rPr>
                <w:rFonts w:hint="eastAsia" w:cs="宋体"/>
                <w:color w:val="auto"/>
                <w:sz w:val="24"/>
                <w:szCs w:val="24"/>
                <w:highlight w:val="none"/>
              </w:rPr>
              <w:t>镇，北接洞庭湖。湘滨紧靠临资口大桥，对外交通便捷。距离湘阴县 30 分钟车程，距离省会长沙 2 小时车程。湘滨镇地处环洞庭湖生态经济区，是环湖公路沿线的特色生态小镇，是环湖生态旅游圈的组成部分。</w:t>
            </w:r>
          </w:p>
          <w:p>
            <w:pPr>
              <w:snapToGrid w:val="0"/>
              <w:spacing w:line="440" w:lineRule="exact"/>
              <w:ind w:firstLine="472" w:firstLineChars="197"/>
              <w:rPr>
                <w:color w:val="auto"/>
                <w:sz w:val="24"/>
                <w:szCs w:val="24"/>
                <w:highlight w:val="none"/>
              </w:rPr>
            </w:pPr>
            <w:r>
              <w:rPr>
                <w:rFonts w:hint="eastAsia" w:cs="宋体"/>
                <w:color w:val="auto"/>
                <w:sz w:val="24"/>
                <w:szCs w:val="24"/>
                <w:highlight w:val="none"/>
              </w:rPr>
              <w:t>项目位于</w:t>
            </w:r>
            <w:r>
              <w:rPr>
                <w:rFonts w:hint="eastAsia" w:cs="宋体"/>
                <w:color w:val="auto"/>
                <w:sz w:val="24"/>
                <w:szCs w:val="24"/>
                <w:highlight w:val="none"/>
                <w:lang w:val="en-US" w:eastAsia="zh-CN"/>
              </w:rPr>
              <w:t>湘阴县湘滨</w:t>
            </w:r>
            <w:r>
              <w:rPr>
                <w:rFonts w:hint="eastAsia" w:cs="宋体"/>
                <w:color w:val="auto"/>
                <w:sz w:val="24"/>
                <w:szCs w:val="24"/>
                <w:highlight w:val="none"/>
              </w:rPr>
              <w:t>龙门</w:t>
            </w:r>
            <w:r>
              <w:rPr>
                <w:rFonts w:cs="宋体"/>
                <w:color w:val="auto"/>
                <w:sz w:val="24"/>
                <w:szCs w:val="24"/>
                <w:highlight w:val="none"/>
              </w:rPr>
              <w:t>村</w:t>
            </w:r>
            <w:r>
              <w:rPr>
                <w:rFonts w:hint="eastAsia" w:cs="宋体"/>
                <w:color w:val="auto"/>
                <w:kern w:val="0"/>
                <w:sz w:val="24"/>
                <w:szCs w:val="24"/>
                <w:highlight w:val="none"/>
              </w:rPr>
              <w:t>，</w:t>
            </w:r>
            <w:r>
              <w:rPr>
                <w:rFonts w:hint="eastAsia" w:cs="宋体"/>
                <w:color w:val="auto"/>
                <w:sz w:val="24"/>
                <w:szCs w:val="24"/>
                <w:highlight w:val="none"/>
              </w:rPr>
              <w:t>其地理位置见附图</w:t>
            </w:r>
            <w:r>
              <w:rPr>
                <w:color w:val="auto"/>
                <w:sz w:val="24"/>
                <w:szCs w:val="24"/>
                <w:highlight w:val="none"/>
              </w:rPr>
              <w:t>1</w:t>
            </w:r>
            <w:r>
              <w:rPr>
                <w:rFonts w:hint="eastAsia" w:cs="宋体"/>
                <w:color w:val="auto"/>
                <w:sz w:val="24"/>
                <w:szCs w:val="24"/>
                <w:highlight w:val="none"/>
              </w:rPr>
              <w:t>。</w:t>
            </w:r>
          </w:p>
          <w:p>
            <w:pPr>
              <w:spacing w:line="440" w:lineRule="exact"/>
              <w:ind w:firstLine="482"/>
              <w:rPr>
                <w:b/>
                <w:bCs/>
                <w:color w:val="auto"/>
                <w:sz w:val="24"/>
                <w:szCs w:val="24"/>
                <w:highlight w:val="none"/>
                <w:shd w:val="clear" w:color="auto" w:fill="auto"/>
              </w:rPr>
            </w:pPr>
            <w:r>
              <w:rPr>
                <w:b/>
                <w:bCs/>
                <w:color w:val="auto"/>
                <w:sz w:val="24"/>
                <w:szCs w:val="24"/>
                <w:highlight w:val="none"/>
                <w:shd w:val="clear" w:color="auto" w:fill="auto"/>
              </w:rPr>
              <w:t>2</w:t>
            </w:r>
            <w:r>
              <w:rPr>
                <w:rFonts w:hint="eastAsia" w:cs="宋体"/>
                <w:b/>
                <w:bCs/>
                <w:color w:val="auto"/>
                <w:sz w:val="24"/>
                <w:szCs w:val="24"/>
                <w:highlight w:val="none"/>
                <w:shd w:val="clear" w:color="auto" w:fill="auto"/>
              </w:rPr>
              <w:t>、地形地貌</w:t>
            </w:r>
          </w:p>
          <w:p>
            <w:pPr>
              <w:spacing w:line="440" w:lineRule="exact"/>
              <w:ind w:firstLine="482"/>
              <w:rPr>
                <w:rFonts w:hint="eastAsia" w:cs="宋体"/>
                <w:color w:val="auto"/>
                <w:sz w:val="24"/>
                <w:szCs w:val="24"/>
                <w:highlight w:val="none"/>
                <w:shd w:val="clear" w:color="auto" w:fill="auto"/>
              </w:rPr>
            </w:pPr>
            <w:r>
              <w:rPr>
                <w:rFonts w:hint="eastAsia" w:cs="宋体"/>
                <w:color w:val="auto"/>
                <w:sz w:val="24"/>
                <w:szCs w:val="24"/>
                <w:highlight w:val="none"/>
                <w:shd w:val="clear" w:color="auto" w:fill="auto"/>
              </w:rPr>
              <w:t>湘阴县地处洞庭湖平原东南部，地势东高西低，一般海拔在50m以下，地块属新华夏构造体系的第二隆起带，湘江大断裂带从本县通过。地貌星低山、岗地、平原三种形态。地形以平原为主，东部为低山丘陵区，是湘东山地向西延伸余脉，境内最高海拔552m。区域地层简单，由老到新依次为古界冷家溪、中生界白亚系和新生界下第三系中村组第四系。湘阴是湖南省地震监测重点区，具备发生中强地震的地质构造背景，为6.5级潜在震源区。历史上湘阴</w:t>
            </w:r>
            <w:r>
              <w:rPr>
                <w:rFonts w:hint="eastAsia" w:cs="宋体"/>
                <w:color w:val="auto"/>
                <w:sz w:val="24"/>
                <w:szCs w:val="24"/>
                <w:highlight w:val="none"/>
                <w:shd w:val="clear" w:color="auto" w:fill="auto"/>
                <w:lang w:val="en-US" w:eastAsia="zh-CN"/>
              </w:rPr>
              <w:t>一</w:t>
            </w:r>
            <w:r>
              <w:rPr>
                <w:rFonts w:hint="eastAsia" w:cs="宋体"/>
                <w:color w:val="auto"/>
                <w:sz w:val="24"/>
                <w:szCs w:val="24"/>
                <w:highlight w:val="none"/>
                <w:shd w:val="clear" w:color="auto" w:fill="auto"/>
              </w:rPr>
              <w:t>带发生过多次有感地震，近期仪器记录到4次小震。根据《建筑抗震设计规范》GB50011</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2001附录A及相关规定，湘阴为VII度烈度区。</w:t>
            </w:r>
          </w:p>
          <w:p>
            <w:pPr>
              <w:spacing w:line="440" w:lineRule="exact"/>
              <w:ind w:firstLine="482"/>
              <w:rPr>
                <w:color w:val="auto"/>
                <w:sz w:val="24"/>
                <w:szCs w:val="24"/>
                <w:highlight w:val="none"/>
                <w:shd w:val="clear" w:color="auto" w:fill="auto"/>
              </w:rPr>
            </w:pPr>
            <w:r>
              <w:rPr>
                <w:rFonts w:hint="eastAsia" w:cs="宋体"/>
                <w:color w:val="auto"/>
                <w:sz w:val="24"/>
                <w:szCs w:val="24"/>
                <w:highlight w:val="none"/>
                <w:shd w:val="clear" w:color="auto" w:fill="auto"/>
              </w:rPr>
              <w:t>地基承载力在180-280kPa之间，地下基岩埋深10-15米，底基层由全新的素填、粉质粘土，淤泥质土及园砾，卵石组成，无溶洞、断层、滑坡等不良地质情况。地貌类型以冲积平原和岗地为主。成土母质以河流冲积物、湖积物、第四纪红土为主。</w:t>
            </w:r>
          </w:p>
          <w:p>
            <w:pPr>
              <w:spacing w:line="440" w:lineRule="exact"/>
              <w:ind w:firstLine="482"/>
              <w:rPr>
                <w:b/>
                <w:bCs/>
                <w:color w:val="auto"/>
                <w:sz w:val="24"/>
                <w:szCs w:val="24"/>
                <w:highlight w:val="none"/>
                <w:shd w:val="clear" w:color="auto" w:fill="auto"/>
              </w:rPr>
            </w:pPr>
            <w:r>
              <w:rPr>
                <w:b/>
                <w:bCs/>
                <w:color w:val="auto"/>
                <w:sz w:val="24"/>
                <w:szCs w:val="24"/>
                <w:highlight w:val="none"/>
                <w:shd w:val="clear" w:color="auto" w:fill="auto"/>
              </w:rPr>
              <w:t>3</w:t>
            </w:r>
            <w:r>
              <w:rPr>
                <w:rFonts w:hint="eastAsia" w:cs="宋体"/>
                <w:b/>
                <w:bCs/>
                <w:color w:val="auto"/>
                <w:sz w:val="24"/>
                <w:szCs w:val="24"/>
                <w:highlight w:val="none"/>
                <w:shd w:val="clear" w:color="auto" w:fill="auto"/>
              </w:rPr>
              <w:t>、气象气候</w:t>
            </w:r>
          </w:p>
          <w:p>
            <w:pPr>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湘阴县地处亚热带季风气候，具有中亚热带向北亚热带性质，属湿润大陆季风气候。其主要特征是:严寒期短，无霜期长，春温多变，秋寒偏早，雨季明显，夏秋多旱，四季分明，季节性强，“湖陆风”盛行。</w:t>
            </w:r>
          </w:p>
          <w:p>
            <w:pPr>
              <w:spacing w:line="440" w:lineRule="exact"/>
              <w:ind w:firstLine="480" w:firstLineChars="200"/>
              <w:rPr>
                <w:color w:val="auto"/>
                <w:sz w:val="24"/>
                <w:szCs w:val="24"/>
                <w:highlight w:val="none"/>
              </w:rPr>
            </w:pPr>
            <w:r>
              <w:rPr>
                <w:rFonts w:hint="eastAsia" w:cs="宋体"/>
                <w:color w:val="auto"/>
                <w:sz w:val="24"/>
                <w:szCs w:val="24"/>
                <w:highlight w:val="none"/>
              </w:rPr>
              <w:t>据湘阴气象站1971-2000年共30年实测气象资料统计:多年平均气压1009.8hpa.多年平均气温16.8C;极端最高气温40.0C(1971年7月22日);极端最低气温12.6"C(1977年1月30日)。多年平均降水量达1389.8.1mm; 4-7 月为雨季，其余月份降水较少。年最大降水量为1719.4mm (1996年)，年最大蒸发量为1347.8mm,年最小蒸发量为995.4mm (1982年)，日最大蒸发量12.2mm (1978年7月2日):年平均无霜期为277天。夏季多东南风，冬季多西北风，最大风力可达8级。多年平均风速2.7m/s,最大风速为18.7m's: 汛期最大风速多年平均值为14.1m/s.主要灾害性天气有暴雨、干旱、大风、雷雹、低温、冰冻。据县气象站30年观测资料，年平均气温16.9C,最热月平均气温28.9'C，最冷月平均气温4.5C，极端最高气温39.5'C,极端最低气温-14.7C;年平均相对湿度82%;年降水量1447.1mm; 年日照时数1593.3h</w:t>
            </w:r>
            <w:r>
              <w:rPr>
                <w:rFonts w:hint="eastAsia" w:cs="宋体"/>
                <w:color w:val="auto"/>
                <w:sz w:val="24"/>
                <w:szCs w:val="24"/>
                <w:highlight w:val="none"/>
                <w:lang w:eastAsia="zh-CN"/>
              </w:rPr>
              <w:t>；</w:t>
            </w:r>
            <w:r>
              <w:rPr>
                <w:rFonts w:hint="eastAsia" w:cs="宋体"/>
                <w:color w:val="auto"/>
                <w:sz w:val="24"/>
                <w:szCs w:val="24"/>
                <w:highlight w:val="none"/>
              </w:rPr>
              <w:t>年主导风向北北东风，年平均风速2.4m/s.</w:t>
            </w:r>
          </w:p>
          <w:p>
            <w:pPr>
              <w:spacing w:line="440" w:lineRule="exact"/>
              <w:ind w:firstLine="482" w:firstLineChars="200"/>
              <w:rPr>
                <w:b/>
                <w:bCs/>
                <w:color w:val="auto"/>
                <w:sz w:val="24"/>
                <w:szCs w:val="24"/>
                <w:highlight w:val="none"/>
                <w:shd w:val="clear" w:color="auto" w:fill="auto"/>
              </w:rPr>
            </w:pPr>
            <w:r>
              <w:rPr>
                <w:b/>
                <w:bCs/>
                <w:color w:val="auto"/>
                <w:sz w:val="24"/>
                <w:szCs w:val="24"/>
                <w:highlight w:val="none"/>
                <w:shd w:val="clear" w:color="auto" w:fill="auto"/>
              </w:rPr>
              <w:t>4</w:t>
            </w:r>
            <w:r>
              <w:rPr>
                <w:rFonts w:hint="eastAsia" w:cs="宋体"/>
                <w:b/>
                <w:bCs/>
                <w:color w:val="auto"/>
                <w:sz w:val="24"/>
                <w:szCs w:val="24"/>
                <w:highlight w:val="none"/>
                <w:shd w:val="clear" w:color="auto" w:fill="auto"/>
              </w:rPr>
              <w:t>、河流水系</w:t>
            </w:r>
          </w:p>
          <w:p>
            <w:pPr>
              <w:spacing w:line="440" w:lineRule="exact"/>
              <w:ind w:firstLine="480" w:firstLineChars="200"/>
              <w:rPr>
                <w:rFonts w:hint="eastAsia" w:cs="宋体"/>
                <w:color w:val="auto"/>
                <w:sz w:val="24"/>
                <w:szCs w:val="24"/>
                <w:highlight w:val="none"/>
                <w:lang w:val="en-US" w:eastAsia="zh-CN"/>
              </w:rPr>
            </w:pPr>
            <w:bookmarkStart w:id="5" w:name="_Toc162344297"/>
            <w:r>
              <w:rPr>
                <w:rFonts w:hint="eastAsia" w:cs="宋体"/>
                <w:color w:val="auto"/>
                <w:sz w:val="24"/>
                <w:szCs w:val="24"/>
                <w:highlight w:val="none"/>
                <w:lang w:val="en-US" w:eastAsia="zh-CN"/>
              </w:rPr>
              <w:t>湘阴江湖甚多，水域面积98.56万亩，占全县总面积的41.56%。其中，江河面积14.55万亩，占水域面积的14.76%; 湖泊面积约33.2 万亩，占水域面积的33.69%。余为洪水季节是水、枯水季节即洲的湖洲，约占水域的15.55%。地下水以沙卵石层含量为最丰富。据湖南地质局勘测，湘阴年平补给地下水的总量为14.03 亿立方米。其中，降水补给1.64亿立方米，江湖补给2.39亿立方米。枯水年地下水径流量为0.78亿立方米，孔隙水总储量为131.67 亿立方米。年可开采量为3.29亿立方米。县境地下水质良好。</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湘江是我省的最大河流,其发源湖南省永州市蓝山县紫良瑶族乡蓝山国家森林公园的野狗岭，河源为潇水，在永州市的萍岛汇合广西来水称湘江，经金沙入湖南省东安县，流经零陵、衡阳、株洲、湘潭、岳阳，然后自岳阳入洞庭湖，于城陵矶入长江，全长856km,是岳阳市的主要供水源。湘江岳阳段全长95km,江面宽500~1500m,般水深6~ 15m, 河床多砂砾石且坡度平缓，河水流速慢。其流量分平、洪、丰、枯四个水期，有明显的季节变化，洪水期多出现在5~7月，枯水期多出现在12~盟年2月。湘江是岳阳市的一条景观河流，既是岳阳市的主要供水水源，又是岳阳市的污水最终受纳水体。保护好湘江岳阳市区段的水环境质量，是保证岳阳市可持续发展战略的重要因素之一 。</w:t>
            </w:r>
          </w:p>
          <w:p>
            <w:pPr>
              <w:spacing w:line="440" w:lineRule="exact"/>
              <w:ind w:firstLine="482" w:firstLineChars="200"/>
              <w:rPr>
                <w:b/>
                <w:bCs/>
                <w:color w:val="auto"/>
                <w:sz w:val="24"/>
                <w:szCs w:val="24"/>
                <w:highlight w:val="none"/>
                <w:shd w:val="clear" w:color="auto" w:fill="auto"/>
              </w:rPr>
            </w:pPr>
            <w:r>
              <w:rPr>
                <w:b/>
                <w:bCs/>
                <w:color w:val="auto"/>
                <w:sz w:val="24"/>
                <w:szCs w:val="24"/>
                <w:highlight w:val="none"/>
                <w:shd w:val="clear" w:color="auto" w:fill="auto"/>
              </w:rPr>
              <w:t>5</w:t>
            </w:r>
            <w:bookmarkEnd w:id="5"/>
            <w:r>
              <w:rPr>
                <w:rFonts w:hint="eastAsia" w:cs="宋体"/>
                <w:b/>
                <w:bCs/>
                <w:color w:val="auto"/>
                <w:sz w:val="24"/>
                <w:szCs w:val="24"/>
                <w:highlight w:val="none"/>
                <w:shd w:val="clear" w:color="auto" w:fill="auto"/>
              </w:rPr>
              <w:t>、</w:t>
            </w:r>
            <w:r>
              <w:rPr>
                <w:rFonts w:hint="eastAsia" w:cs="宋体"/>
                <w:b/>
                <w:bCs/>
                <w:color w:val="auto"/>
                <w:sz w:val="24"/>
                <w:szCs w:val="24"/>
                <w:highlight w:val="none"/>
                <w:shd w:val="clear" w:color="auto" w:fill="auto"/>
                <w:lang w:val="en-US" w:eastAsia="zh-CN"/>
              </w:rPr>
              <w:t>动</w:t>
            </w:r>
            <w:r>
              <w:rPr>
                <w:rFonts w:hint="eastAsia" w:cs="宋体"/>
                <w:b/>
                <w:bCs/>
                <w:color w:val="auto"/>
                <w:sz w:val="24"/>
                <w:szCs w:val="24"/>
                <w:highlight w:val="none"/>
                <w:shd w:val="clear" w:color="auto" w:fill="auto"/>
              </w:rPr>
              <w:t>植物资源</w:t>
            </w:r>
          </w:p>
          <w:p>
            <w:pPr>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本项目所在地湘阴县总面积1581.5km，其中平原占42.98%，岗地占13.95%，低山占1.51%，河湖占41.56%，湘江南北穿境，资水东西横流，两水尾闾在境内汇入洞庭湖，属“两湖栽培植被水生植被区”。区内水生植物较为丰富，优势种群有芦苇、莲藕、菱角、菱白、李荠等人工经济作物，低等生物主要是绿藻、隐藻等。陆域植被属亚热带长绿阔叶林区，守地形条件影响，森林植被主要分布在县境东部低山丘陵区，以马尾松、杉木等人工针叶林为主，自然植被少，常见类型为灌草丛。农作物主要有水稻、玉米、红薯、豆类、棉、苎麻、等粮食作物和蔬菜类作物。陆域经济作物主要为茶叶。</w:t>
            </w:r>
          </w:p>
          <w:p>
            <w:pPr>
              <w:spacing w:line="44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野生陆域动物在湘阴地区种类很少，主要有水蛇、野兔、黄鼠狼、田鼠、青蛙、等。家畜主要有猪、牛、羊、鸡、鸭、鹅等。境内水生动物较为丰富，高等水生动物主要有青、草、鲢、鳙、鲤、湘云鲫等鱼类</w:t>
            </w:r>
            <w:r>
              <w:rPr>
                <w:rFonts w:hint="eastAsia" w:cs="宋体"/>
                <w:color w:val="auto"/>
                <w:sz w:val="24"/>
                <w:szCs w:val="24"/>
                <w:highlight w:val="none"/>
                <w:lang w:eastAsia="zh-CN"/>
              </w:rPr>
              <w:t>。</w:t>
            </w:r>
          </w:p>
          <w:p>
            <w:pPr>
              <w:spacing w:line="440" w:lineRule="exact"/>
              <w:ind w:firstLine="480" w:firstLineChars="200"/>
            </w:pPr>
            <w:r>
              <w:rPr>
                <w:rFonts w:hint="eastAsia" w:cs="宋体"/>
                <w:color w:val="auto"/>
                <w:sz w:val="24"/>
                <w:szCs w:val="24"/>
                <w:highlight w:val="none"/>
              </w:rPr>
              <w:t>总体上，评价区范围内植被简单，自然植被以稀疏的杉木、马尾松、油茶为主，人工植被以农作物植被为主。群落外观以葱绿为主，季相变化不大，四季常绿。项目用地范围内无名木古树。</w:t>
            </w:r>
          </w:p>
          <w:p>
            <w:pPr>
              <w:numPr>
                <w:ilvl w:val="0"/>
                <w:numId w:val="0"/>
              </w:numPr>
              <w:spacing w:line="440" w:lineRule="exact"/>
              <w:ind w:firstLine="482" w:firstLineChars="200"/>
              <w:rPr>
                <w:rFonts w:hint="eastAsia"/>
                <w:b/>
                <w:bCs/>
                <w:color w:val="auto"/>
                <w:sz w:val="24"/>
                <w:szCs w:val="24"/>
                <w:highlight w:val="none"/>
                <w:lang w:val="en-US" w:eastAsia="zh-CN"/>
              </w:rPr>
            </w:pPr>
            <w:r>
              <w:rPr>
                <w:rFonts w:hint="eastAsia"/>
                <w:b/>
                <w:bCs/>
                <w:color w:val="auto"/>
                <w:sz w:val="24"/>
                <w:szCs w:val="24"/>
                <w:highlight w:val="none"/>
                <w:lang w:val="en-US" w:eastAsia="zh-CN"/>
              </w:rPr>
              <w:t xml:space="preserve">6、项目周边情况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6.1 《湘阴县湘滨镇排水与污水处理工程专项规划》（2018-2030）</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（1）规划定位</w:t>
            </w:r>
          </w:p>
          <w:p>
            <w:pPr>
              <w:spacing w:line="440" w:lineRule="exact"/>
              <w:ind w:firstLine="480" w:firstLineChars="200"/>
              <w:rPr>
                <w:rFonts w:hint="default" w:cs="宋体"/>
                <w:color w:val="auto"/>
                <w:sz w:val="24"/>
                <w:szCs w:val="24"/>
                <w:highlight w:val="none"/>
                <w:lang w:val="en-US" w:eastAsia="zh-CN"/>
              </w:rPr>
            </w:pPr>
            <w:r>
              <w:rPr>
                <w:rFonts w:hint="eastAsia" w:cs="宋体"/>
                <w:color w:val="auto"/>
                <w:sz w:val="24"/>
                <w:szCs w:val="24"/>
                <w:highlight w:val="none"/>
                <w:lang w:val="en-US" w:eastAsia="zh-CN"/>
              </w:rPr>
              <w:t>以建设宜居、宜业、低碳、生态的小城镇为目标，建设现代化交通网络、 信息网络以及物流网络，实现城镇建设和环境保护协调发展，城镇化质与量同步 提升，城镇建设与村庄建设协调发展。积极发展休闲度假产业、精品养殖业和生 态观光农业， 打造特色城镇形象，展示水乡情怀。</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（2）排水体制</w:t>
            </w:r>
          </w:p>
          <w:p>
            <w:pPr>
              <w:spacing w:line="440" w:lineRule="exact"/>
              <w:ind w:firstLine="480" w:firstLineChars="200"/>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湘滨镇排水体制为合流制。目前尚无污水处理厂，污水未经处理直接就排入水体。市政排水设施以水利排灌渠及撇洪渠等为主，雨、污水就近排入水体。沟渠最终都汇入自然水体。</w:t>
            </w:r>
          </w:p>
          <w:p>
            <w:pPr>
              <w:spacing w:line="440" w:lineRule="exact"/>
              <w:ind w:firstLine="480" w:firstLineChars="200"/>
              <w:rPr>
                <w:rFonts w:hint="default" w:cs="宋体"/>
                <w:color w:val="auto"/>
                <w:sz w:val="24"/>
                <w:szCs w:val="24"/>
                <w:highlight w:val="none"/>
                <w:u w:val="single"/>
                <w:lang w:val="en-US" w:eastAsia="zh-CN"/>
              </w:rPr>
            </w:pPr>
            <w:r>
              <w:rPr>
                <w:rFonts w:hint="eastAsia" w:cs="宋体"/>
                <w:color w:val="auto"/>
                <w:sz w:val="24"/>
                <w:szCs w:val="24"/>
                <w:highlight w:val="none"/>
                <w:u w:val="single"/>
                <w:lang w:val="en-US" w:eastAsia="zh-CN"/>
              </w:rPr>
              <w:t>镇区在规划期内结合新开发建设，逐步完善城镇排水系统，逐步由雨污合流制过度到雨污分流制，原有合流管道改为雨水管道，雨水直接排入水体；逐步建设污水管道，污水经过处理后排放。同时建立对企业的监督机制， 养殖业污水必须经处理并符合排放标准后排放。 中心村采取分流制，建设雨水沟渠，雨水自然排放。</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（3）给水工程规划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①现状供水及用水情况： </w:t>
            </w:r>
          </w:p>
          <w:p>
            <w:pPr>
              <w:numPr>
                <w:ilvl w:val="0"/>
                <w:numId w:val="6"/>
              </w:num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供水情况 </w:t>
            </w:r>
          </w:p>
          <w:p>
            <w:pPr>
              <w:numPr>
                <w:ilvl w:val="0"/>
                <w:numId w:val="0"/>
              </w:numPr>
              <w:spacing w:line="440" w:lineRule="exact"/>
              <w:ind w:firstLine="480" w:firstLineChars="200"/>
              <w:rPr>
                <w:rFonts w:hint="default" w:eastAsia="宋体"/>
                <w:color w:val="auto"/>
                <w:sz w:val="24"/>
                <w:szCs w:val="24"/>
                <w:highlight w:val="none"/>
                <w:lang w:val="en-US" w:eastAsia="zh-CN"/>
              </w:rPr>
            </w:pPr>
            <w:r>
              <w:rPr>
                <w:rFonts w:hint="eastAsia" w:cs="宋体"/>
                <w:color w:val="auto"/>
                <w:sz w:val="24"/>
                <w:szCs w:val="24"/>
                <w:highlight w:val="none"/>
                <w:lang w:val="en-US" w:eastAsia="zh-CN"/>
              </w:rPr>
              <w:t>湘滨镇镇域内现有三座水厂，其中：湘滨镇自来水厂位于红菱村，现状规 模 2800m3/d，占地 1 亩；水源为地下水，水厂工艺简单。镇区人均综合生活用 水量标准在 200 升/人.天左右；六口水厂位于余长村，现状供应柳谭片区的部分 村庄；王家河水厂位于栗塘村，水厂规模小，供水能力差；镇域内其他村庄生活 用水主要取自地表水、地下水，水量虽充沛但取水设施简陋，普遍缺乏水质监测。 另外，镇域内普遍无消防设施，暂无消防供水。</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b、用水情况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生活用水：全镇生活用水量呈稳步增长趋势，主要原因是镇人口增加，城镇化水平、自来水普及率和生活水平提高带来的用水量增加。2012 年，镇区人 均生活用水量 200L/d。村民生活用水量较小，人均 60 L/d。</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②用水量预测</w:t>
            </w:r>
          </w:p>
          <w:p>
            <w:pPr>
              <w:numPr>
                <w:ilvl w:val="0"/>
                <w:numId w:val="7"/>
              </w:num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镇区 </w:t>
            </w:r>
          </w:p>
          <w:p>
            <w:pPr>
              <w:numPr>
                <w:ilvl w:val="0"/>
                <w:numId w:val="0"/>
              </w:num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目前人均生活用水量为 200 L/d，随着规划期末供水设施的改善，人均生活 用水量会有所提升，预计到 2030 年为 1.2 万人口，人均综合用水量 220L/d·人 （参照《城市给水工程规划规范 GB50282-98》及《用水定额 DB43/T 388-2008》 湖南省地方标准，综合考虑得出湘滨镇人均综合用水量指标），则综合用水量： Q=0.22×1.2=0.26 万立方米/天 </w:t>
            </w:r>
          </w:p>
          <w:p>
            <w:pPr>
              <w:numPr>
                <w:ilvl w:val="0"/>
                <w:numId w:val="7"/>
              </w:numPr>
              <w:spacing w:line="440" w:lineRule="exact"/>
              <w:ind w:left="0" w:leftChars="0"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中心村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人均生活用水量取 90L/d.人，公共用水量 10%，则人均综合用水量 Q=90× （1+10%）=100L/d。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c、基层村庄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人均生活用水量取 90L/d.人，公共用水量 10%，则人均综合用水量 Q=90× （1+10%）=100L/d。</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③ 给水设施规划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a、水厂：规划废弃掉王家河水厂，对湘滨镇自来水厂和六口水厂扩容，其规模分别扩建至 3800m3/d、2400m3/d，满足镇区及洞庭片区、柳谭片区和白马寺 片区的用水需求；规划拟在云集村新建一处自来水厂，规模为 2100m3/d，主要 满足临资口片区的自来水供水需求。规划期末，镇域内自来水普及率达到 95% 以上。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b、消防给水设施：建议在居民点集聚区域集中设置消火栓，消火栓设置处的最 小服务水头不应低于 10m。乡镇配置手抬式消防泵。此外，生活饮用水水质应 符合《农村实施&lt;生活饮用水卫生标准&gt;准则》的要求。各村应设置水质监测点， 进行定期检测，保证供水安全和卫生。</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（4）排水设施规划</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a、规划于湘滨镇北部建设污水处理厂，规模 2100m3/d，占地 5 亩，处理 湘滨镇区污水。 </w:t>
            </w:r>
          </w:p>
          <w:p>
            <w:pPr>
              <w:spacing w:line="44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b、其他村庄污水规模较小，可灵活组织污水处理方式：建设投资少、运行 费用低的小型污水处理厂或分散式污水处理设施，如沼气池、氧化塘、微动力污 水处理装置。污水处理采取集中和分散相结合的方式，山区分散处理为主，地势 平坦地区集中处理为主。 2030 年镇区污水集中处理率达 100%，村庄污水集中 处理率达到 60%以上。</w:t>
            </w:r>
          </w:p>
          <w:p>
            <w:pPr>
              <w:spacing w:line="440" w:lineRule="exact"/>
              <w:ind w:firstLine="482" w:firstLineChars="200"/>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7、项目四至情况</w:t>
            </w:r>
          </w:p>
          <w:p>
            <w:pPr>
              <w:spacing w:line="440" w:lineRule="exact"/>
              <w:ind w:firstLine="480" w:firstLineChars="200"/>
              <w:rPr>
                <w:rFonts w:hint="default" w:eastAsia="宋体"/>
                <w:color w:val="auto"/>
                <w:sz w:val="24"/>
                <w:szCs w:val="24"/>
                <w:highlight w:val="none"/>
                <w:lang w:val="en-US" w:eastAsia="zh-CN"/>
              </w:rPr>
            </w:pPr>
            <w:r>
              <w:rPr>
                <w:rFonts w:hint="eastAsia" w:cs="宋体"/>
                <w:color w:val="auto"/>
                <w:sz w:val="24"/>
                <w:szCs w:val="24"/>
                <w:highlight w:val="none"/>
                <w:lang w:val="en-US" w:eastAsia="zh-CN"/>
              </w:rPr>
              <w:t>项目所在地位于湘阴县湘滨镇，</w:t>
            </w:r>
            <w:r>
              <w:rPr>
                <w:rFonts w:hint="eastAsia" w:cs="宋体"/>
                <w:color w:val="auto"/>
                <w:sz w:val="24"/>
                <w:szCs w:val="24"/>
              </w:rPr>
              <w:t>总占地面积</w:t>
            </w:r>
            <w:r>
              <w:rPr>
                <w:rFonts w:hint="eastAsia"/>
                <w:color w:val="auto"/>
                <w:sz w:val="24"/>
                <w:szCs w:val="24"/>
                <w:lang w:val="en-US" w:eastAsia="zh-CN"/>
              </w:rPr>
              <w:t>1406.67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近期占地1286.</w:t>
            </w:r>
            <w:r>
              <w:rPr>
                <w:rFonts w:hint="eastAsia" w:cs="宋体"/>
                <w:color w:val="auto"/>
                <w:sz w:val="24"/>
                <w:szCs w:val="24"/>
                <w:shd w:val="clear" w:color="auto" w:fill="auto"/>
                <w:lang w:val="en-US" w:eastAsia="zh-CN"/>
              </w:rPr>
              <w:t>67</w:t>
            </w:r>
            <w:r>
              <w:rPr>
                <w:rFonts w:hint="eastAsia"/>
                <w:color w:val="auto"/>
                <w:sz w:val="24"/>
                <w:szCs w:val="24"/>
                <w:shd w:val="clear" w:color="auto" w:fill="auto"/>
              </w:rPr>
              <w:t>m</w:t>
            </w:r>
            <w:r>
              <w:rPr>
                <w:rFonts w:hint="eastAsia"/>
                <w:color w:val="auto"/>
                <w:sz w:val="24"/>
                <w:szCs w:val="24"/>
                <w:shd w:val="clear" w:color="auto" w:fill="auto"/>
                <w:vertAlign w:val="superscript"/>
              </w:rPr>
              <w:t>2</w:t>
            </w:r>
            <w:r>
              <w:rPr>
                <w:rFonts w:hint="eastAsia" w:cs="宋体"/>
                <w:color w:val="auto"/>
                <w:sz w:val="24"/>
                <w:szCs w:val="24"/>
                <w:highlight w:val="none"/>
                <w:shd w:val="clear" w:color="auto" w:fill="auto"/>
                <w:lang w:val="en-US" w:eastAsia="zh-CN"/>
              </w:rPr>
              <w:t>。工程周边情况如下：南侧为灌溉渠，北侧为湘滨镇居民。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4" w:hRule="atLeast"/>
          <w:jc w:val="center"/>
        </w:trPr>
        <w:tc>
          <w:tcPr>
            <w:tcW w:w="9975" w:type="dxa"/>
            <w:gridSpan w:val="10"/>
          </w:tcPr>
          <w:p>
            <w:pPr>
              <w:pStyle w:val="24"/>
              <w:spacing w:line="420" w:lineRule="exact"/>
              <w:rPr>
                <w:b/>
                <w:bCs/>
                <w:color w:val="auto"/>
                <w:highlight w:val="none"/>
              </w:rPr>
            </w:pPr>
            <w:r>
              <w:rPr>
                <w:rFonts w:hint="eastAsia" w:cs="宋体"/>
                <w:b/>
                <w:bCs/>
                <w:color w:val="auto"/>
                <w:highlight w:val="none"/>
              </w:rPr>
              <w:t>建设项目所在地区域环境质量现状及主要环境问题（环境空气、地面水、地下水、声环境、生态环境等）：</w:t>
            </w:r>
          </w:p>
          <w:p>
            <w:pPr>
              <w:spacing w:line="420" w:lineRule="exact"/>
              <w:ind w:firstLine="464" w:firstLineChars="200"/>
              <w:rPr>
                <w:rFonts w:cs="宋体"/>
                <w:color w:val="auto"/>
                <w:spacing w:val="-4"/>
                <w:sz w:val="24"/>
                <w:szCs w:val="24"/>
                <w:highlight w:val="none"/>
              </w:rPr>
            </w:pPr>
            <w:r>
              <w:rPr>
                <w:rFonts w:hint="eastAsia" w:cs="宋体"/>
                <w:color w:val="auto"/>
                <w:spacing w:val="-4"/>
                <w:sz w:val="24"/>
                <w:szCs w:val="24"/>
                <w:highlight w:val="none"/>
              </w:rPr>
              <w:t>为了解项目评价区域环境质量现状，</w:t>
            </w:r>
            <w:r>
              <w:rPr>
                <w:color w:val="auto"/>
                <w:sz w:val="24"/>
                <w:highlight w:val="none"/>
              </w:rPr>
              <w:t>本次评价委托</w:t>
            </w:r>
            <w:r>
              <w:rPr>
                <w:rFonts w:hint="eastAsia"/>
                <w:color w:val="auto"/>
                <w:sz w:val="24"/>
                <w:highlight w:val="none"/>
              </w:rPr>
              <w:t>湖南昌旭环保科技有限公司</w:t>
            </w:r>
            <w:r>
              <w:rPr>
                <w:color w:val="auto"/>
                <w:sz w:val="24"/>
                <w:highlight w:val="none"/>
              </w:rPr>
              <w:t>对项目所在地大气、地表水</w:t>
            </w:r>
            <w:r>
              <w:rPr>
                <w:rFonts w:hint="eastAsia"/>
                <w:color w:val="auto"/>
                <w:sz w:val="24"/>
                <w:highlight w:val="none"/>
              </w:rPr>
              <w:t>、地下水</w:t>
            </w:r>
            <w:r>
              <w:rPr>
                <w:color w:val="auto"/>
                <w:sz w:val="24"/>
                <w:highlight w:val="none"/>
              </w:rPr>
              <w:t>及噪声等环境要素进行了质量现状监测</w:t>
            </w:r>
            <w:r>
              <w:rPr>
                <w:rFonts w:hint="eastAsia" w:cs="宋体"/>
                <w:color w:val="auto"/>
                <w:spacing w:val="-4"/>
                <w:sz w:val="24"/>
                <w:szCs w:val="24"/>
                <w:highlight w:val="none"/>
              </w:rPr>
              <w:t>。</w:t>
            </w:r>
          </w:p>
          <w:p>
            <w:pPr>
              <w:spacing w:line="420" w:lineRule="exact"/>
              <w:ind w:firstLine="480" w:firstLineChars="200"/>
              <w:rPr>
                <w:color w:val="auto"/>
                <w:sz w:val="24"/>
                <w:szCs w:val="24"/>
                <w:highlight w:val="none"/>
              </w:rPr>
            </w:pPr>
            <w:r>
              <w:rPr>
                <w:color w:val="auto"/>
                <w:sz w:val="24"/>
                <w:szCs w:val="24"/>
                <w:highlight w:val="none"/>
              </w:rPr>
              <w:t>1</w:t>
            </w:r>
            <w:r>
              <w:rPr>
                <w:rFonts w:hint="eastAsia" w:cs="宋体"/>
                <w:color w:val="auto"/>
                <w:sz w:val="24"/>
                <w:szCs w:val="24"/>
                <w:highlight w:val="none"/>
              </w:rPr>
              <w:t>、环境空气</w:t>
            </w:r>
          </w:p>
          <w:p>
            <w:pPr>
              <w:pStyle w:val="116"/>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1</w:t>
            </w:r>
            <w:r>
              <w:rPr>
                <w:rFonts w:hint="eastAsia" w:cs="Times New Roman"/>
                <w:color w:val="auto"/>
                <w:sz w:val="24"/>
                <w:szCs w:val="24"/>
                <w:lang w:eastAsia="zh-CN"/>
              </w:rPr>
              <w:t>）</w:t>
            </w:r>
            <w:r>
              <w:rPr>
                <w:rFonts w:hint="eastAsia" w:cs="Times New Roman"/>
                <w:color w:val="auto"/>
                <w:sz w:val="24"/>
                <w:szCs w:val="24"/>
                <w:lang w:val="en-US" w:eastAsia="zh-CN"/>
              </w:rPr>
              <w:t>常规检测数据</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left"/>
              <w:textAlignment w:val="auto"/>
              <w:rPr>
                <w:rFonts w:hint="eastAsia" w:cs="Times New Roman"/>
                <w:b/>
                <w:bCs/>
                <w:color w:val="auto"/>
                <w:highlight w:val="none"/>
              </w:rPr>
            </w:pPr>
            <w:r>
              <w:rPr>
                <w:rFonts w:hint="default" w:ascii="Times New Roman" w:hAnsi="Times New Roman" w:eastAsia="宋体" w:cs="Times New Roman"/>
                <w:szCs w:val="24"/>
              </w:rPr>
              <w:t>本环评收集了</w:t>
            </w:r>
            <w:r>
              <w:rPr>
                <w:rFonts w:hint="default" w:ascii="Times New Roman" w:hAnsi="Times New Roman" w:eastAsia="宋体" w:cs="Times New Roman"/>
                <w:szCs w:val="24"/>
                <w:lang w:val="en-US" w:eastAsia="zh-CN"/>
              </w:rPr>
              <w:t>2019年环境空气质量监测结果。</w:t>
            </w:r>
            <w:r>
              <w:rPr>
                <w:rFonts w:hint="default" w:ascii="Times New Roman" w:hAnsi="Times New Roman" w:eastAsia="宋体" w:cs="Times New Roman"/>
                <w:color w:val="auto"/>
                <w:sz w:val="24"/>
                <w:u w:val="none" w:color="auto"/>
                <w:lang w:val="en-US" w:eastAsia="zh-CN"/>
              </w:rPr>
              <w:t>根据《环境影响评价技术到则--大气环境》（HJ2.2-2018）中“6.2.1.1项目所在区域达标判定，优先采用国家或生态环境主管部门发布的平均基准年环境质量公告或环境质量报告中的数据或结论”，基准因子采用岳阳市生态环境局湘阴分局发布的湘阴县环境空气质量情况进行评价，</w:t>
            </w:r>
            <w:r>
              <w:rPr>
                <w:rFonts w:hint="default" w:ascii="Times New Roman" w:hAnsi="Times New Roman" w:eastAsia="宋体" w:cs="Times New Roman"/>
                <w:color w:val="auto"/>
                <w:sz w:val="24"/>
                <w:u w:val="none" w:color="auto"/>
              </w:rPr>
              <w:t>具体数据统计见表</w:t>
            </w:r>
            <w:r>
              <w:rPr>
                <w:rFonts w:hint="eastAsia" w:ascii="Times New Roman" w:hAnsi="Times New Roman" w:eastAsia="宋体" w:cs="Times New Roman"/>
                <w:color w:val="auto"/>
                <w:sz w:val="24"/>
                <w:u w:val="none" w:color="auto"/>
                <w:lang w:val="en-US" w:eastAsia="zh-CN"/>
              </w:rPr>
              <w:t>3-1</w:t>
            </w:r>
            <w:r>
              <w:rPr>
                <w:rFonts w:hint="default" w:ascii="Times New Roman" w:hAnsi="Times New Roman" w:eastAsia="宋体" w:cs="Times New Roman"/>
                <w:color w:val="auto"/>
                <w:sz w:val="24"/>
                <w:u w:val="none" w:color="auto"/>
              </w:rPr>
              <w:t>。</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eastAsia" w:cs="Times New Roman"/>
                <w:b/>
                <w:bCs/>
                <w:color w:val="auto"/>
                <w:highlight w:val="none"/>
              </w:rPr>
            </w:pPr>
            <w:r>
              <w:rPr>
                <w:rFonts w:hint="eastAsia" w:cs="Times New Roman"/>
                <w:b/>
                <w:bCs/>
                <w:color w:val="auto"/>
                <w:highlight w:val="none"/>
              </w:rPr>
              <w:t>表</w:t>
            </w:r>
            <w:r>
              <w:rPr>
                <w:rFonts w:hint="eastAsia" w:cs="Times New Roman"/>
                <w:b/>
                <w:bCs/>
                <w:color w:val="auto"/>
                <w:highlight w:val="none"/>
                <w:lang w:val="en-US" w:eastAsia="zh-CN"/>
              </w:rPr>
              <w:t>3</w:t>
            </w:r>
            <w:r>
              <w:rPr>
                <w:rFonts w:hint="eastAsia" w:cs="Times New Roman"/>
                <w:b/>
                <w:bCs/>
                <w:color w:val="auto"/>
                <w:highlight w:val="none"/>
              </w:rPr>
              <w:t>-1 湘阴县环保局监测站201</w:t>
            </w:r>
            <w:r>
              <w:rPr>
                <w:rFonts w:hint="eastAsia" w:cs="Times New Roman"/>
                <w:b/>
                <w:bCs/>
                <w:color w:val="auto"/>
                <w:highlight w:val="none"/>
                <w:lang w:val="en-US" w:eastAsia="zh-CN"/>
              </w:rPr>
              <w:t>9</w:t>
            </w:r>
            <w:r>
              <w:rPr>
                <w:rFonts w:hint="eastAsia" w:cs="Times New Roman"/>
                <w:b/>
                <w:bCs/>
                <w:color w:val="auto"/>
                <w:highlight w:val="none"/>
              </w:rPr>
              <w:t>年空气质量指数统计表</w:t>
            </w:r>
          </w:p>
          <w:tbl>
            <w:tblPr>
              <w:tblStyle w:val="29"/>
              <w:tblW w:w="8496" w:type="dxa"/>
              <w:jc w:val="center"/>
              <w:tblLayout w:type="fixed"/>
              <w:tblCellMar>
                <w:top w:w="15" w:type="dxa"/>
                <w:left w:w="15" w:type="dxa"/>
                <w:bottom w:w="15" w:type="dxa"/>
                <w:right w:w="15" w:type="dxa"/>
              </w:tblCellMar>
            </w:tblPr>
            <w:tblGrid>
              <w:gridCol w:w="379"/>
              <w:gridCol w:w="1040"/>
              <w:gridCol w:w="611"/>
              <w:gridCol w:w="570"/>
              <w:gridCol w:w="615"/>
              <w:gridCol w:w="554"/>
              <w:gridCol w:w="530"/>
              <w:gridCol w:w="688"/>
              <w:gridCol w:w="727"/>
              <w:gridCol w:w="615"/>
              <w:gridCol w:w="712"/>
              <w:gridCol w:w="559"/>
              <w:gridCol w:w="896"/>
            </w:tblGrid>
            <w:tr>
              <w:tblPrEx>
                <w:tblCellMar>
                  <w:top w:w="15" w:type="dxa"/>
                  <w:left w:w="15" w:type="dxa"/>
                  <w:bottom w:w="15" w:type="dxa"/>
                  <w:right w:w="15" w:type="dxa"/>
                </w:tblCellMar>
              </w:tblPrEx>
              <w:trPr>
                <w:trHeight w:val="480"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测点名称</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        统计</w:t>
                  </w:r>
                </w:p>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时间</w:t>
                  </w:r>
                </w:p>
              </w:tc>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实测天数</w:t>
                  </w:r>
                </w:p>
              </w:tc>
              <w:tc>
                <w:tcPr>
                  <w:tcW w:w="3684"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污染物日均值浓度月平均</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AQI</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首要污染物</w:t>
                  </w:r>
                </w:p>
              </w:tc>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优良天数</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优良率</w:t>
                  </w:r>
                </w:p>
              </w:tc>
            </w:tr>
            <w:tr>
              <w:tblPrEx>
                <w:tblCellMar>
                  <w:top w:w="15" w:type="dxa"/>
                  <w:left w:w="15" w:type="dxa"/>
                  <w:bottom w:w="15" w:type="dxa"/>
                  <w:right w:w="15" w:type="dxa"/>
                </w:tblCellMar>
              </w:tblPrEx>
              <w:trPr>
                <w:trHeight w:val="61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SO</w:t>
                  </w:r>
                  <w:r>
                    <w:rPr>
                      <w:rFonts w:hint="eastAsia" w:ascii="Times New Roman" w:hAnsi="Times New Roman" w:eastAsia="宋体" w:cs="Times New Roman"/>
                      <w:b w:val="0"/>
                      <w:bCs/>
                      <w:color w:val="auto"/>
                      <w:sz w:val="21"/>
                      <w:szCs w:val="21"/>
                      <w:highlight w:val="none"/>
                      <w:vertAlign w:val="subscript"/>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NO</w:t>
                  </w:r>
                  <w:r>
                    <w:rPr>
                      <w:rFonts w:hint="eastAsia" w:ascii="Times New Roman" w:hAnsi="Times New Roman" w:eastAsia="宋体" w:cs="Times New Roman"/>
                      <w:b w:val="0"/>
                      <w:bCs/>
                      <w:color w:val="auto"/>
                      <w:sz w:val="21"/>
                      <w:szCs w:val="21"/>
                      <w:highlight w:val="none"/>
                      <w:vertAlign w:val="subscript"/>
                    </w:rPr>
                    <w:t>2</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w:t>
                  </w:r>
                  <w:r>
                    <w:rPr>
                      <w:rFonts w:hint="eastAsia" w:ascii="Times New Roman" w:hAnsi="Times New Roman" w:eastAsia="宋体" w:cs="Times New Roman"/>
                      <w:b w:val="0"/>
                      <w:bCs/>
                      <w:color w:val="auto"/>
                      <w:sz w:val="21"/>
                      <w:szCs w:val="21"/>
                      <w:highlight w:val="none"/>
                      <w:vertAlign w:val="subscript"/>
                    </w:rPr>
                    <w:t>3</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CO</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10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w:t>
                  </w:r>
                  <w:r>
                    <w:rPr>
                      <w:rFonts w:hint="eastAsia" w:ascii="Times New Roman" w:hAnsi="Times New Roman" w:eastAsia="宋体" w:cs="Times New Roman"/>
                      <w:b w:val="0"/>
                      <w:bCs/>
                      <w:color w:val="auto"/>
                      <w:sz w:val="21"/>
                      <w:szCs w:val="21"/>
                      <w:highlight w:val="none"/>
                      <w:vertAlign w:val="subscript"/>
                    </w:rPr>
                    <w:t>2.5</w:t>
                  </w: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r>
            <w:tr>
              <w:tblPrEx>
                <w:tblCellMar>
                  <w:top w:w="15" w:type="dxa"/>
                  <w:left w:w="15" w:type="dxa"/>
                  <w:bottom w:w="15" w:type="dxa"/>
                  <w:right w:w="15" w:type="dxa"/>
                </w:tblCellMar>
              </w:tblPrEx>
              <w:trPr>
                <w:trHeight w:val="495"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县环保局</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53</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58.1</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2月</w:t>
                  </w:r>
                </w:p>
              </w:tc>
              <w:tc>
                <w:tcPr>
                  <w:tcW w:w="611" w:type="dxa"/>
                  <w:tcBorders>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28</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1.4</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52</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92.9</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27</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30</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70</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100%</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4月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5</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47</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5月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19</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55</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eastAsia="宋体" w:cs="Times New Roman"/>
                      <w:b w:val="0"/>
                      <w:bCs/>
                      <w:color w:val="auto"/>
                      <w:sz w:val="21"/>
                      <w:szCs w:val="21"/>
                      <w:highlight w:val="none"/>
                      <w:lang w:val="en-US" w:eastAsia="zh-CN"/>
                    </w:rPr>
                    <w:t>36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56</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6月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15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0.5</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56</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7月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0.8</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108</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25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57</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96.8</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6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43</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137</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35</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93.5</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18</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51</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161</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101</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24</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80.0</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10月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26</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1.1</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139</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38</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83</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O3</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29</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rPr>
                    <w:t>93.5%</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11月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32</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1.1</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125</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71</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93.3</w:t>
                  </w: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12月</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7</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41</w:t>
                  </w:r>
                  <w:r>
                    <w:rPr>
                      <w:rFonts w:hint="eastAsia" w:ascii="Times New Roman" w:hAnsi="Times New Roman" w:eastAsia="宋体" w:cs="Times New Roman"/>
                      <w:b w:val="0"/>
                      <w:bCs/>
                      <w:color w:val="auto"/>
                      <w:sz w:val="21"/>
                      <w:szCs w:val="21"/>
                      <w:highlight w:val="none"/>
                    </w:rPr>
                    <w:t xml:space="preserve">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64</w:t>
                  </w:r>
                  <w:r>
                    <w:rPr>
                      <w:rFonts w:hint="eastAsia" w:ascii="Times New Roman" w:hAnsi="Times New Roman" w:eastAsia="宋体" w:cs="Times New Roman"/>
                      <w:b w:val="0"/>
                      <w:bCs/>
                      <w:color w:val="auto"/>
                      <w:sz w:val="21"/>
                      <w:szCs w:val="21"/>
                      <w:highlight w:val="none"/>
                    </w:rPr>
                    <w:t xml:space="preserve">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0.9</w:t>
                  </w:r>
                  <w:r>
                    <w:rPr>
                      <w:rFonts w:hint="eastAsia" w:ascii="Times New Roman" w:hAnsi="Times New Roman" w:eastAsia="宋体" w:cs="Times New Roman"/>
                      <w:b w:val="0"/>
                      <w:bCs/>
                      <w:color w:val="auto"/>
                      <w:sz w:val="21"/>
                      <w:szCs w:val="21"/>
                      <w:highlight w:val="none"/>
                    </w:rPr>
                    <w:t xml:space="preserve">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rPr>
                    <w:t xml:space="preserve">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49</w:t>
                  </w:r>
                  <w:r>
                    <w:rPr>
                      <w:rFonts w:hint="eastAsia" w:ascii="Times New Roman" w:hAnsi="Times New Roman" w:eastAsia="宋体" w:cs="Times New Roman"/>
                      <w:b w:val="0"/>
                      <w:bCs/>
                      <w:color w:val="auto"/>
                      <w:sz w:val="21"/>
                      <w:szCs w:val="21"/>
                      <w:highlight w:val="none"/>
                    </w:rPr>
                    <w:t xml:space="preserve">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68</w:t>
                  </w:r>
                  <w:r>
                    <w:rPr>
                      <w:rFonts w:hint="eastAsia" w:ascii="Times New Roman" w:hAnsi="Times New Roman" w:eastAsia="宋体" w:cs="Times New Roman"/>
                      <w:b w:val="0"/>
                      <w:bCs/>
                      <w:color w:val="auto"/>
                      <w:sz w:val="21"/>
                      <w:szCs w:val="21"/>
                      <w:highlight w:val="none"/>
                    </w:rPr>
                    <w:t xml:space="preserve">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90.3%</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年均值</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8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18 </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91 </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0.8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54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39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 xml:space="preserve">55 </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PM2.5</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r>
            <w:tr>
              <w:tblPrEx>
                <w:tblCellMar>
                  <w:top w:w="15" w:type="dxa"/>
                  <w:left w:w="15" w:type="dxa"/>
                  <w:bottom w:w="15" w:type="dxa"/>
                  <w:right w:w="15" w:type="dxa"/>
                </w:tblCellMar>
              </w:tblPrEx>
              <w:trPr>
                <w:trHeight w:val="495"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合计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365</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w:t>
                  </w:r>
                </w:p>
              </w:tc>
              <w:tc>
                <w:tcPr>
                  <w:tcW w:w="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328</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89.9%</w:t>
                  </w:r>
                </w:p>
              </w:tc>
            </w:tr>
          </w:tbl>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i w:val="0"/>
                <w:iCs w:val="0"/>
                <w:color w:val="auto"/>
                <w:highlight w:val="none"/>
              </w:rPr>
            </w:pPr>
            <w:r>
              <w:rPr>
                <w:rFonts w:hint="default" w:ascii="Times New Roman" w:hAnsi="Times New Roman" w:eastAsia="宋体" w:cs="Times New Roman"/>
                <w:b/>
                <w:bCs/>
                <w:i w:val="0"/>
                <w:iCs w:val="0"/>
                <w:color w:val="auto"/>
                <w:highlight w:val="none"/>
              </w:rPr>
              <w:t>表</w:t>
            </w:r>
            <w:r>
              <w:rPr>
                <w:rFonts w:hint="eastAsia" w:ascii="Times New Roman" w:hAnsi="Times New Roman" w:eastAsia="宋体" w:cs="Times New Roman"/>
                <w:b/>
                <w:bCs/>
                <w:i w:val="0"/>
                <w:iCs w:val="0"/>
                <w:color w:val="auto"/>
                <w:highlight w:val="none"/>
                <w:lang w:val="en-US" w:eastAsia="zh-CN"/>
              </w:rPr>
              <w:t>3-2</w:t>
            </w:r>
            <w:r>
              <w:rPr>
                <w:rFonts w:hint="default" w:ascii="Times New Roman" w:hAnsi="Times New Roman" w:eastAsia="宋体" w:cs="Times New Roman"/>
                <w:b/>
                <w:bCs/>
                <w:i w:val="0"/>
                <w:iCs w:val="0"/>
                <w:color w:val="auto"/>
                <w:highlight w:val="none"/>
              </w:rPr>
              <w:t xml:space="preserve">  湘阴县201</w:t>
            </w:r>
            <w:r>
              <w:rPr>
                <w:rFonts w:hint="default" w:ascii="Times New Roman" w:hAnsi="Times New Roman" w:eastAsia="宋体" w:cs="Times New Roman"/>
                <w:b/>
                <w:bCs/>
                <w:i w:val="0"/>
                <w:iCs w:val="0"/>
                <w:color w:val="auto"/>
                <w:highlight w:val="none"/>
                <w:lang w:val="en-US" w:eastAsia="zh-CN"/>
              </w:rPr>
              <w:t>9</w:t>
            </w:r>
            <w:r>
              <w:rPr>
                <w:rFonts w:hint="default" w:ascii="Times New Roman" w:hAnsi="Times New Roman" w:eastAsia="宋体" w:cs="Times New Roman"/>
                <w:b/>
                <w:bCs/>
                <w:i w:val="0"/>
                <w:iCs w:val="0"/>
                <w:color w:val="auto"/>
                <w:highlight w:val="none"/>
              </w:rPr>
              <w:t>年环境空气质量评价表</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
              <w:gridCol w:w="3774"/>
              <w:gridCol w:w="1333"/>
              <w:gridCol w:w="1438"/>
              <w:gridCol w:w="1082"/>
              <w:gridCol w:w="11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评价指标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现状浓度（μg/m³）</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标准值（μg/m³）</w:t>
                  </w:r>
                </w:p>
              </w:tc>
              <w:tc>
                <w:tcPr>
                  <w:tcW w:w="556"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超标倍数</w:t>
                  </w:r>
                </w:p>
              </w:tc>
              <w:tc>
                <w:tcPr>
                  <w:tcW w:w="57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10</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51.42</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70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PM</w:t>
                  </w:r>
                  <w:r>
                    <w:rPr>
                      <w:rFonts w:hint="default" w:ascii="Times New Roman" w:hAnsi="Times New Roman" w:eastAsia="宋体" w:cs="Times New Roman"/>
                      <w:b w:val="0"/>
                      <w:bCs w:val="0"/>
                      <w:color w:val="auto"/>
                      <w:sz w:val="21"/>
                      <w:szCs w:val="21"/>
                      <w:u w:val="none" w:color="auto"/>
                      <w:vertAlign w:val="subscript"/>
                    </w:rPr>
                    <w:t>2.5</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39.33</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35</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0.12</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不达标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SO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5.67</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60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NO</w:t>
                  </w:r>
                  <w:r>
                    <w:rPr>
                      <w:rFonts w:hint="default" w:ascii="Times New Roman" w:hAnsi="Times New Roman" w:eastAsia="宋体" w:cs="Times New Roman"/>
                      <w:b w:val="0"/>
                      <w:bCs w:val="0"/>
                      <w:color w:val="auto"/>
                      <w:sz w:val="21"/>
                      <w:szCs w:val="21"/>
                      <w:u w:val="none" w:color="auto"/>
                      <w:vertAlign w:val="subscript"/>
                    </w:rPr>
                    <w:t>2</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年平均</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23</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CO</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24小时平均（第95位百分位数）</w:t>
                  </w:r>
                </w:p>
              </w:tc>
              <w:tc>
                <w:tcPr>
                  <w:tcW w:w="685"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1.04</w:t>
                  </w:r>
                </w:p>
              </w:tc>
              <w:tc>
                <w:tcPr>
                  <w:tcW w:w="739"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4000</w:t>
                  </w:r>
                </w:p>
              </w:tc>
              <w:tc>
                <w:tcPr>
                  <w:tcW w:w="556" w:type="pct"/>
                  <w:noWrap w:val="0"/>
                  <w:vAlign w:val="center"/>
                </w:tcPr>
                <w:p>
                  <w:pPr>
                    <w:jc w:val="center"/>
                    <w:textAlignment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4"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O</w:t>
                  </w:r>
                  <w:r>
                    <w:rPr>
                      <w:rFonts w:hint="default" w:ascii="Times New Roman" w:hAnsi="Times New Roman" w:eastAsia="宋体" w:cs="Times New Roman"/>
                      <w:b w:val="0"/>
                      <w:bCs w:val="0"/>
                      <w:color w:val="auto"/>
                      <w:sz w:val="21"/>
                      <w:szCs w:val="21"/>
                      <w:u w:val="none" w:color="auto"/>
                      <w:vertAlign w:val="subscript"/>
                    </w:rPr>
                    <w:t>3</w:t>
                  </w:r>
                </w:p>
              </w:tc>
              <w:tc>
                <w:tcPr>
                  <w:tcW w:w="1940" w:type="pct"/>
                  <w:noWrap w:val="0"/>
                  <w:vAlign w:val="center"/>
                </w:tcPr>
                <w:p>
                  <w:pPr>
                    <w:pStyle w:val="124"/>
                    <w:adjustRightInd w:val="0"/>
                    <w:snapToGrid w:val="0"/>
                    <w:spacing w:line="240" w:lineRule="auto"/>
                    <w:ind w:firstLine="0" w:firstLineChars="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日最大8h平均（第90位百分位数）</w:t>
                  </w:r>
                </w:p>
              </w:tc>
              <w:tc>
                <w:tcPr>
                  <w:tcW w:w="685"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101.67</w:t>
                  </w:r>
                </w:p>
              </w:tc>
              <w:tc>
                <w:tcPr>
                  <w:tcW w:w="739"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kern w:val="2"/>
                      <w:sz w:val="21"/>
                      <w:szCs w:val="21"/>
                      <w:u w:val="none" w:color="auto"/>
                    </w:rPr>
                    <w:t>160</w:t>
                  </w:r>
                </w:p>
              </w:tc>
              <w:tc>
                <w:tcPr>
                  <w:tcW w:w="556" w:type="pct"/>
                  <w:noWrap w:val="0"/>
                  <w:vAlign w:val="center"/>
                </w:tcPr>
                <w:p>
                  <w:pPr>
                    <w:snapToGrid w:val="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kern w:val="2"/>
                      <w:sz w:val="21"/>
                      <w:szCs w:val="21"/>
                      <w:u w:val="none" w:color="auto"/>
                      <w:lang w:val="en-US" w:eastAsia="zh-CN"/>
                    </w:rPr>
                    <w:t>0</w:t>
                  </w:r>
                </w:p>
              </w:tc>
              <w:tc>
                <w:tcPr>
                  <w:tcW w:w="574" w:type="pct"/>
                  <w:noWrap w:val="0"/>
                  <w:vAlign w:val="center"/>
                </w:tcPr>
                <w:p>
                  <w:pPr>
                    <w:adjustRightInd w:val="0"/>
                    <w:snapToGrid w:val="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bl>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cs="Times New Roman"/>
                <w:color w:val="auto"/>
                <w:highlight w:val="none"/>
              </w:rPr>
            </w:pP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rPr>
            </w:pPr>
            <w:r>
              <w:rPr>
                <w:rFonts w:hint="eastAsia" w:cs="Times New Roman"/>
                <w:color w:val="auto"/>
                <w:highlight w:val="none"/>
              </w:rPr>
              <w:t>根据《环境影响评价技术导则 大气环境》（HJ2.2-2018）6.4.1.1—“城市环境空气质量达标情况评价指标为SO</w:t>
            </w:r>
            <w:r>
              <w:rPr>
                <w:rFonts w:hint="eastAsia" w:cs="Times New Roman"/>
                <w:color w:val="auto"/>
                <w:highlight w:val="none"/>
                <w:vertAlign w:val="subscript"/>
              </w:rPr>
              <w:t>2</w:t>
            </w:r>
            <w:r>
              <w:rPr>
                <w:rFonts w:hint="eastAsia" w:cs="Times New Roman"/>
                <w:color w:val="auto"/>
                <w:highlight w:val="none"/>
              </w:rPr>
              <w:t>、NO</w:t>
            </w:r>
            <w:r>
              <w:rPr>
                <w:rFonts w:hint="eastAsia" w:cs="Times New Roman"/>
                <w:color w:val="auto"/>
                <w:highlight w:val="none"/>
                <w:vertAlign w:val="subscript"/>
              </w:rPr>
              <w:t>2</w:t>
            </w:r>
            <w:r>
              <w:rPr>
                <w:rFonts w:hint="eastAsia" w:cs="Times New Roman"/>
                <w:color w:val="auto"/>
                <w:highlight w:val="none"/>
              </w:rPr>
              <w:t>、PM</w:t>
            </w:r>
            <w:r>
              <w:rPr>
                <w:rFonts w:hint="eastAsia" w:cs="Times New Roman"/>
                <w:color w:val="auto"/>
                <w:highlight w:val="none"/>
                <w:vertAlign w:val="subscript"/>
              </w:rPr>
              <w:t>10</w:t>
            </w:r>
            <w:r>
              <w:rPr>
                <w:rFonts w:hint="eastAsia" w:cs="Times New Roman"/>
                <w:color w:val="auto"/>
                <w:highlight w:val="none"/>
              </w:rPr>
              <w:t>、PM</w:t>
            </w:r>
            <w:r>
              <w:rPr>
                <w:rFonts w:hint="eastAsia" w:cs="Times New Roman"/>
                <w:color w:val="auto"/>
                <w:highlight w:val="none"/>
                <w:vertAlign w:val="subscript"/>
              </w:rPr>
              <w:t>2.5</w:t>
            </w:r>
            <w:r>
              <w:rPr>
                <w:rFonts w:hint="eastAsia" w:cs="Times New Roman"/>
                <w:color w:val="auto"/>
                <w:highlight w:val="none"/>
              </w:rPr>
              <w:t>、CO和O</w:t>
            </w:r>
            <w:r>
              <w:rPr>
                <w:rFonts w:hint="eastAsia" w:cs="Times New Roman"/>
                <w:color w:val="auto"/>
                <w:highlight w:val="none"/>
                <w:vertAlign w:val="subscript"/>
              </w:rPr>
              <w:t>3</w:t>
            </w:r>
            <w:r>
              <w:rPr>
                <w:rFonts w:hint="eastAsia" w:cs="Times New Roman"/>
                <w:color w:val="auto"/>
                <w:highlight w:val="none"/>
              </w:rPr>
              <w:t>，六项污染物全部达标即为城市环境空气质量达标”；6.4.1.3—“采用HJ 663中各评价项目的年评价指标进行判定。年评价指标中的平均浓度和相应百分位数24h平均或8h平均质量浓度满足GB3095中浓度限值要求的即为达标。”</w:t>
            </w:r>
          </w:p>
          <w:p>
            <w:pPr>
              <w:spacing w:line="360" w:lineRule="auto"/>
              <w:ind w:firstLine="480" w:firstLineChars="200"/>
              <w:rPr>
                <w:rFonts w:hint="eastAsia" w:cs="Times New Roman"/>
                <w:color w:val="auto"/>
                <w:highlight w:val="none"/>
              </w:rPr>
            </w:pPr>
            <w:r>
              <w:rPr>
                <w:rFonts w:hint="eastAsia" w:ascii="Times New Roman" w:hAnsi="Times New Roman" w:eastAsia="宋体" w:cs="Times New Roman"/>
                <w:color w:val="auto"/>
                <w:kern w:val="2"/>
                <w:sz w:val="24"/>
                <w:szCs w:val="24"/>
                <w:u w:val="none" w:color="auto"/>
                <w:lang w:val="en-US" w:eastAsia="zh-CN"/>
              </w:rPr>
              <w:t>根据</w:t>
            </w:r>
            <w:r>
              <w:rPr>
                <w:rFonts w:hint="default" w:ascii="Times New Roman" w:hAnsi="Times New Roman" w:eastAsia="宋体" w:cs="Times New Roman"/>
                <w:color w:val="auto"/>
                <w:kern w:val="2"/>
                <w:sz w:val="24"/>
                <w:szCs w:val="24"/>
                <w:u w:val="none" w:color="auto"/>
                <w:lang w:val="en-US" w:eastAsia="zh-CN"/>
              </w:rPr>
              <w:t>2019年湘阴县环境空气质量数据可知，湘阴县PM</w:t>
            </w:r>
            <w:r>
              <w:rPr>
                <w:rFonts w:hint="default" w:ascii="Times New Roman" w:hAnsi="Times New Roman" w:eastAsia="宋体" w:cs="Times New Roman"/>
                <w:color w:val="auto"/>
                <w:kern w:val="2"/>
                <w:sz w:val="24"/>
                <w:szCs w:val="24"/>
                <w:u w:val="none" w:color="auto"/>
                <w:vertAlign w:val="subscript"/>
                <w:lang w:val="en-US" w:eastAsia="zh-CN"/>
              </w:rPr>
              <w:t>10</w:t>
            </w:r>
            <w:r>
              <w:rPr>
                <w:rFonts w:hint="default" w:ascii="Times New Roman" w:hAnsi="Times New Roman" w:eastAsia="宋体" w:cs="Times New Roman"/>
                <w:color w:val="auto"/>
                <w:kern w:val="2"/>
                <w:sz w:val="24"/>
                <w:szCs w:val="24"/>
                <w:u w:val="none" w:color="auto"/>
                <w:lang w:val="en-US" w:eastAsia="zh-CN"/>
              </w:rPr>
              <w:t>、SO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、NO</w:t>
            </w:r>
            <w:r>
              <w:rPr>
                <w:rFonts w:hint="default" w:ascii="Times New Roman" w:hAnsi="Times New Roman" w:eastAsia="宋体" w:cs="Times New Roman"/>
                <w:color w:val="auto"/>
                <w:kern w:val="2"/>
                <w:sz w:val="24"/>
                <w:szCs w:val="24"/>
                <w:u w:val="none" w:color="auto"/>
                <w:vertAlign w:val="subscript"/>
                <w:lang w:val="en-US" w:eastAsia="zh-CN"/>
              </w:rPr>
              <w:t>2</w:t>
            </w:r>
            <w:r>
              <w:rPr>
                <w:rFonts w:hint="default" w:ascii="Times New Roman" w:hAnsi="Times New Roman" w:eastAsia="宋体" w:cs="Times New Roman"/>
                <w:color w:val="auto"/>
                <w:kern w:val="2"/>
                <w:sz w:val="24"/>
                <w:szCs w:val="24"/>
                <w:u w:val="none" w:color="auto"/>
                <w:lang w:val="en-US" w:eastAsia="zh-CN"/>
              </w:rPr>
              <w:t>平均质量浓度和CO 95百分数日平均质量浓度、O</w:t>
            </w:r>
            <w:r>
              <w:rPr>
                <w:rFonts w:hint="default" w:ascii="Times New Roman" w:hAnsi="Times New Roman" w:eastAsia="宋体" w:cs="Times New Roman"/>
                <w:color w:val="auto"/>
                <w:kern w:val="2"/>
                <w:sz w:val="24"/>
                <w:szCs w:val="24"/>
                <w:u w:val="none" w:color="auto"/>
                <w:vertAlign w:val="subscript"/>
                <w:lang w:val="en-US" w:eastAsia="zh-CN"/>
              </w:rPr>
              <w:t xml:space="preserve">3 </w:t>
            </w:r>
            <w:r>
              <w:rPr>
                <w:rFonts w:hint="default" w:ascii="Times New Roman" w:hAnsi="Times New Roman" w:eastAsia="宋体" w:cs="Times New Roman"/>
                <w:color w:val="auto"/>
                <w:kern w:val="2"/>
                <w:sz w:val="24"/>
                <w:szCs w:val="24"/>
                <w:u w:val="none" w:color="auto"/>
                <w:lang w:val="en-US" w:eastAsia="zh-CN"/>
              </w:rPr>
              <w:t>90百分位数最大8小时平均质量浓度可达到《环境空气质量标准》（GB3095-2012）中二级标准。PM</w:t>
            </w:r>
            <w:r>
              <w:rPr>
                <w:rFonts w:hint="default" w:ascii="Times New Roman" w:hAnsi="Times New Roman" w:eastAsia="宋体" w:cs="Times New Roman"/>
                <w:color w:val="auto"/>
                <w:kern w:val="2"/>
                <w:sz w:val="24"/>
                <w:szCs w:val="24"/>
                <w:u w:val="none" w:color="auto"/>
                <w:vertAlign w:val="subscript"/>
                <w:lang w:val="en-US" w:eastAsia="zh-CN"/>
              </w:rPr>
              <w:t>2.5</w:t>
            </w:r>
            <w:r>
              <w:rPr>
                <w:rFonts w:hint="default" w:ascii="Times New Roman" w:hAnsi="Times New Roman" w:eastAsia="宋体" w:cs="Times New Roman"/>
                <w:color w:val="auto"/>
                <w:kern w:val="2"/>
                <w:sz w:val="24"/>
                <w:szCs w:val="24"/>
                <w:u w:val="none" w:color="auto"/>
                <w:lang w:val="en-US" w:eastAsia="zh-CN"/>
              </w:rPr>
              <w:t>年平均质量浓度尚未达到《环境空气质量标准》（GB3095-2012）中的二级标准，由此可知，项目所在区域为环境空气质量不达标区。</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cs="Times New Roman"/>
                <w:color w:val="auto"/>
                <w:highlight w:val="none"/>
                <w:lang w:val="en-US" w:eastAsia="zh-CN"/>
              </w:rPr>
            </w:pPr>
            <w:r>
              <w:rPr>
                <w:rFonts w:hint="eastAsia" w:cs="Times New Roman"/>
                <w:color w:val="auto"/>
                <w:highlight w:val="none"/>
              </w:rPr>
              <w:t>根据湖南省人民政府2018年6月18日发布的《湖南省污染防治攻坚战三年行动计划（2018—2020）年》的通知（湘政发〔2018〕17号）要求：到2020年，岳阳、益阳 PM2.5年均浓度平均值下降到41μg/m3 以下，PM10年均浓度平均值下降到 71μg/m3 以下。同时根据《岳阳市贯彻落实&lt;大气污染防治行动计划&gt; 实施方案》要求，当地政府加大环境治理力度，采取产业和能源结构调整措施、大气污染治理的措施等一系列措施，岳阳市大气环境质量将得到有效改善。</w:t>
            </w:r>
          </w:p>
          <w:p>
            <w:pPr>
              <w:pStyle w:val="114"/>
              <w:keepLines w:val="0"/>
              <w:pageBreakBefore w:val="0"/>
              <w:widowControl w:val="0"/>
              <w:numPr>
                <w:ilvl w:val="0"/>
                <w:numId w:val="4"/>
              </w:numPr>
              <w:kinsoku/>
              <w:wordWrap/>
              <w:overflowPunct/>
              <w:topLinePunct w:val="0"/>
              <w:autoSpaceDE/>
              <w:autoSpaceDN/>
              <w:bidi w:val="0"/>
              <w:adjustRightInd/>
              <w:snapToGrid/>
              <w:spacing w:line="480" w:lineRule="exact"/>
              <w:ind w:left="480" w:leftChars="160" w:right="0" w:rightChars="0" w:firstLine="0" w:firstLineChars="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补充监测</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结合区域环境特点，</w:t>
            </w:r>
            <w:r>
              <w:rPr>
                <w:rFonts w:hint="eastAsia" w:ascii="Times New Roman" w:hAnsi="Times New Roman" w:eastAsia="宋体" w:cs="Times New Roman"/>
                <w:color w:val="auto"/>
                <w:highlight w:val="none"/>
                <w:lang w:eastAsia="zh-CN"/>
              </w:rPr>
              <w:t>委托湖南昌旭环保科技有限公司进行现场采样监测，</w:t>
            </w:r>
            <w:r>
              <w:rPr>
                <w:rFonts w:hint="eastAsia" w:ascii="Times New Roman" w:hAnsi="Times New Roman" w:eastAsia="宋体" w:cs="Times New Roman"/>
                <w:color w:val="auto"/>
                <w:highlight w:val="none"/>
              </w:rPr>
              <w:t>本环评</w:t>
            </w:r>
            <w:r>
              <w:rPr>
                <w:rFonts w:hint="eastAsia" w:ascii="Times New Roman" w:hAnsi="Times New Roman" w:eastAsia="宋体" w:cs="Times New Roman"/>
                <w:color w:val="auto"/>
                <w:highlight w:val="none"/>
                <w:lang w:eastAsia="zh-CN"/>
              </w:rPr>
              <w:t>设置</w:t>
            </w:r>
            <w:r>
              <w:rPr>
                <w:rFonts w:hint="eastAsia" w:ascii="Times New Roman" w:hAnsi="Times New Roman" w:eastAsia="宋体" w:cs="Times New Roman"/>
                <w:color w:val="auto"/>
                <w:highlight w:val="none"/>
                <w:lang w:val="en-US" w:eastAsia="zh-CN"/>
              </w:rPr>
              <w:t>1个</w:t>
            </w:r>
            <w:r>
              <w:rPr>
                <w:rFonts w:hint="default" w:ascii="Times New Roman" w:hAnsi="Times New Roman" w:eastAsia="宋体" w:cs="Times New Roman"/>
                <w:color w:val="auto"/>
                <w:highlight w:val="none"/>
              </w:rPr>
              <w:t>环境空气质量现状监测点</w:t>
            </w:r>
            <w:r>
              <w:rPr>
                <w:rFonts w:hint="eastAsia" w:ascii="Times New Roman" w:hAnsi="Times New Roman" w:eastAsia="宋体" w:cs="Times New Roman"/>
                <w:color w:val="auto"/>
                <w:highlight w:val="none"/>
              </w:rPr>
              <w:t>，监测一次值</w:t>
            </w:r>
            <w:r>
              <w:rPr>
                <w:rFonts w:hint="eastAsia" w:ascii="Times New Roman" w:hAnsi="Times New Roman" w:eastAsia="宋体" w:cs="Times New Roman"/>
                <w:color w:val="auto"/>
                <w:highlight w:val="none"/>
                <w:lang w:eastAsia="zh-CN"/>
              </w:rPr>
              <w:t>，监测结果见表</w:t>
            </w:r>
            <w:r>
              <w:rPr>
                <w:rFonts w:hint="eastAsia" w:cs="Times New Roman"/>
                <w:color w:val="auto"/>
                <w:highlight w:val="none"/>
                <w:lang w:val="en-US" w:eastAsia="zh-CN"/>
              </w:rPr>
              <w:t>14</w:t>
            </w:r>
            <w:r>
              <w:rPr>
                <w:rFonts w:hint="eastAsia" w:ascii="Times New Roman" w:hAnsi="Times New Roman" w:eastAsia="宋体" w:cs="Times New Roman"/>
                <w:color w:val="auto"/>
                <w:highlight w:val="none"/>
              </w:rPr>
              <w:t>。</w:t>
            </w:r>
          </w:p>
          <w:p>
            <w:pPr>
              <w:pStyle w:val="114"/>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表14 环境空气监测结果</w:t>
            </w:r>
          </w:p>
          <w:tbl>
            <w:tblPr>
              <w:tblStyle w:val="29"/>
              <w:tblW w:w="947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56"/>
              <w:gridCol w:w="1830"/>
              <w:gridCol w:w="2541"/>
              <w:gridCol w:w="1535"/>
              <w:gridCol w:w="17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856"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点位名称</w:t>
                  </w:r>
                </w:p>
              </w:tc>
              <w:tc>
                <w:tcPr>
                  <w:tcW w:w="4371" w:type="dxa"/>
                  <w:gridSpan w:val="2"/>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检测日期</w:t>
                  </w:r>
                </w:p>
              </w:tc>
              <w:tc>
                <w:tcPr>
                  <w:tcW w:w="3251" w:type="dxa"/>
                  <w:gridSpan w:val="2"/>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rPr>
                    <w:t>检测结果（μ</w:t>
                  </w:r>
                  <w:r>
                    <w:rPr>
                      <w:rFonts w:hint="default" w:ascii="Times New Roman" w:hAnsi="Times New Roman" w:eastAsia="宋体" w:cs="Times New Roman"/>
                      <w:bCs/>
                      <w:color w:val="auto"/>
                      <w:sz w:val="21"/>
                      <w:szCs w:val="24"/>
                      <w:highlight w:val="none"/>
                      <w:lang w:val="en-US" w:eastAsia="zh-CN"/>
                    </w:rPr>
                    <w:t>g</w:t>
                  </w:r>
                  <w:r>
                    <w:rPr>
                      <w:rFonts w:hint="default" w:ascii="Times New Roman" w:hAnsi="Times New Roman" w:eastAsia="宋体" w:cs="Times New Roman"/>
                      <w:bCs/>
                      <w:color w:val="auto"/>
                      <w:sz w:val="21"/>
                      <w:szCs w:val="24"/>
                      <w:highlight w:val="none"/>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4371" w:type="dxa"/>
                  <w:gridSpan w:val="2"/>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535"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氨</w:t>
                  </w:r>
                </w:p>
              </w:tc>
              <w:tc>
                <w:tcPr>
                  <w:tcW w:w="1716"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硫化氢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湘滨镇人大</w:t>
                  </w:r>
                  <w:r>
                    <w:rPr>
                      <w:rFonts w:hint="eastAsia" w:ascii="Times New Roman" w:hAnsi="Times New Roman" w:eastAsia="宋体" w:cs="Times New Roman"/>
                      <w:bCs/>
                      <w:color w:val="auto"/>
                      <w:sz w:val="21"/>
                      <w:szCs w:val="24"/>
                      <w:highlight w:val="none"/>
                      <w:lang w:val="en-US" w:eastAsia="zh-CN"/>
                    </w:rPr>
                    <w:t>G1</w:t>
                  </w: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2020.11.13</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2020.11.14</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2020.11.15</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2020.11.16</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2020.11.17</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2020.11.18</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eastAsia" w:ascii="Times New Roman" w:hAnsi="Times New Roman" w:eastAsia="宋体" w:cs="Times New Roman"/>
                      <w:bCs/>
                      <w:color w:val="auto"/>
                      <w:sz w:val="21"/>
                      <w:szCs w:val="24"/>
                      <w:highlight w:val="none"/>
                      <w:lang w:val="en-US" w:eastAsia="zh-CN"/>
                    </w:rPr>
                    <w:t>2020.11.19</w:t>
                  </w: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02:00～03:00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08:00～09:00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14:00～15:00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856"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1830"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p>
              </w:tc>
              <w:tc>
                <w:tcPr>
                  <w:tcW w:w="254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rPr>
                  </w:pPr>
                  <w:r>
                    <w:rPr>
                      <w:rFonts w:hint="default" w:ascii="Times New Roman" w:hAnsi="Times New Roman" w:eastAsia="宋体" w:cs="Times New Roman"/>
                      <w:bCs/>
                      <w:color w:val="auto"/>
                      <w:sz w:val="21"/>
                      <w:szCs w:val="24"/>
                      <w:highlight w:val="none"/>
                      <w:lang w:val="en-US" w:eastAsia="zh-CN"/>
                    </w:rPr>
                    <w:t>20:00～21:00</w:t>
                  </w:r>
                </w:p>
              </w:tc>
              <w:tc>
                <w:tcPr>
                  <w:tcW w:w="1535"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w:t>
                  </w:r>
                </w:p>
              </w:tc>
              <w:tc>
                <w:tcPr>
                  <w:tcW w:w="1716" w:type="dxa"/>
                  <w:tcBorders>
                    <w:tl2br w:val="nil"/>
                    <w:tr2bl w:val="nil"/>
                  </w:tcBorders>
                  <w:noWrap w:val="0"/>
                  <w:vAlign w:val="bottom"/>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70</w:t>
                  </w:r>
                </w:p>
              </w:tc>
            </w:tr>
          </w:tbl>
          <w:p>
            <w:pPr>
              <w:spacing w:line="420" w:lineRule="exact"/>
              <w:ind w:firstLine="480" w:firstLineChars="200"/>
              <w:rPr>
                <w:color w:val="auto"/>
                <w:sz w:val="24"/>
                <w:szCs w:val="24"/>
                <w:highlight w:val="none"/>
              </w:rPr>
            </w:pPr>
          </w:p>
          <w:p>
            <w:pPr>
              <w:spacing w:line="420" w:lineRule="exact"/>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、水环境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cs="宋体"/>
                <w:snapToGrid w:val="0"/>
                <w:color w:val="auto"/>
                <w:kern w:val="24"/>
                <w:highlight w:val="none"/>
              </w:rPr>
            </w:pPr>
            <w:r>
              <w:rPr>
                <w:rFonts w:hint="eastAsia" w:cs="宋体"/>
                <w:color w:val="auto"/>
                <w:sz w:val="24"/>
                <w:szCs w:val="24"/>
                <w:highlight w:val="none"/>
                <w:shd w:val="clear" w:color="auto" w:fill="auto"/>
              </w:rPr>
              <w:t>本项目废水经处理后</w:t>
            </w:r>
            <w:r>
              <w:rPr>
                <w:rFonts w:hint="eastAsia" w:cs="宋体"/>
                <w:color w:val="auto"/>
                <w:sz w:val="24"/>
                <w:szCs w:val="24"/>
                <w:highlight w:val="none"/>
                <w:shd w:val="clear" w:color="auto" w:fill="auto"/>
                <w:lang w:val="en-US" w:eastAsia="zh-CN"/>
              </w:rPr>
              <w:t>汇入灌溉渠，最终</w:t>
            </w:r>
            <w:r>
              <w:rPr>
                <w:rFonts w:hint="eastAsia" w:cs="宋体"/>
                <w:color w:val="auto"/>
                <w:sz w:val="24"/>
                <w:szCs w:val="24"/>
                <w:highlight w:val="none"/>
                <w:shd w:val="clear" w:color="auto" w:fill="auto"/>
              </w:rPr>
              <w:t>汇入湘江，为了解本项目所在区域水环境质量现状，</w:t>
            </w:r>
            <w:r>
              <w:rPr>
                <w:rFonts w:hint="eastAsia" w:cs="宋体"/>
                <w:color w:val="auto"/>
                <w:sz w:val="24"/>
                <w:szCs w:val="24"/>
                <w:highlight w:val="none"/>
                <w:shd w:val="clear" w:color="auto" w:fill="auto"/>
                <w:lang w:val="en-US" w:eastAsia="zh-CN"/>
              </w:rPr>
              <w:t>湘阴县住建局委托湖南昌旭环保科技有限公司进行现场采样监测，监测时间为：2020年11月13日-2020年11月15日，</w:t>
            </w:r>
            <w:r>
              <w:rPr>
                <w:rFonts w:hint="eastAsia" w:cs="宋体"/>
                <w:color w:val="auto"/>
                <w:sz w:val="24"/>
                <w:szCs w:val="24"/>
                <w:highlight w:val="none"/>
                <w:shd w:val="clear" w:color="auto" w:fill="auto"/>
              </w:rPr>
              <w:t>水质现状监测因子为：pH、COD、BOD</w:t>
            </w:r>
            <w:r>
              <w:rPr>
                <w:rFonts w:hint="eastAsia" w:cs="宋体"/>
                <w:color w:val="auto"/>
                <w:sz w:val="24"/>
                <w:szCs w:val="24"/>
                <w:highlight w:val="none"/>
                <w:shd w:val="clear" w:color="auto" w:fill="auto"/>
                <w:vertAlign w:val="subscript"/>
              </w:rPr>
              <w:t>5</w:t>
            </w:r>
            <w:r>
              <w:rPr>
                <w:rFonts w:hint="eastAsia" w:cs="宋体"/>
                <w:color w:val="auto"/>
                <w:sz w:val="24"/>
                <w:szCs w:val="24"/>
                <w:highlight w:val="none"/>
                <w:shd w:val="clear" w:color="auto" w:fill="auto"/>
              </w:rPr>
              <w:t>、NH</w:t>
            </w:r>
            <w:r>
              <w:rPr>
                <w:rFonts w:hint="eastAsia" w:cs="宋体"/>
                <w:color w:val="auto"/>
                <w:sz w:val="24"/>
                <w:szCs w:val="24"/>
                <w:highlight w:val="none"/>
                <w:shd w:val="clear" w:color="auto" w:fill="auto"/>
                <w:vertAlign w:val="subscript"/>
              </w:rPr>
              <w:t>3</w:t>
            </w:r>
            <w:r>
              <w:rPr>
                <w:rFonts w:hint="eastAsia" w:cs="宋体"/>
                <w:color w:val="auto"/>
                <w:sz w:val="24"/>
                <w:szCs w:val="24"/>
                <w:highlight w:val="none"/>
                <w:shd w:val="clear" w:color="auto" w:fill="auto"/>
              </w:rPr>
              <w:t>-N、总磷</w:t>
            </w:r>
            <w:r>
              <w:rPr>
                <w:rFonts w:hint="eastAsia" w:cs="宋体"/>
                <w:color w:val="auto"/>
                <w:sz w:val="24"/>
                <w:szCs w:val="24"/>
                <w:highlight w:val="none"/>
                <w:shd w:val="clear" w:color="auto" w:fill="auto"/>
                <w:lang w:val="en-US" w:eastAsia="zh-CN"/>
              </w:rPr>
              <w:t>等</w:t>
            </w:r>
            <w:r>
              <w:rPr>
                <w:rFonts w:hint="eastAsia" w:cs="宋体"/>
                <w:color w:val="auto"/>
                <w:sz w:val="24"/>
                <w:szCs w:val="24"/>
                <w:highlight w:val="none"/>
                <w:shd w:val="clear" w:color="auto" w:fill="auto"/>
              </w:rPr>
              <w:t>。</w:t>
            </w:r>
            <w:r>
              <w:rPr>
                <w:rFonts w:hint="eastAsia" w:cs="宋体"/>
                <w:color w:val="auto"/>
                <w:sz w:val="24"/>
                <w:szCs w:val="24"/>
                <w:highlight w:val="none"/>
                <w:lang w:val="en-US" w:eastAsia="zh-CN"/>
              </w:rPr>
              <w:t>监测结果如表15。</w:t>
            </w:r>
          </w:p>
          <w:p>
            <w:pPr>
              <w:pStyle w:val="98"/>
              <w:spacing w:before="163"/>
              <w:jc w:val="center"/>
              <w:rPr>
                <w:rFonts w:ascii="Times New Roman" w:hAnsi="Times New Roman" w:cs="Times New Roman"/>
                <w:snapToGrid w:val="0"/>
                <w:color w:val="auto"/>
                <w:kern w:val="24"/>
                <w:highlight w:val="none"/>
              </w:rPr>
            </w:pPr>
            <w:r>
              <w:rPr>
                <w:rFonts w:hint="eastAsia" w:ascii="Times New Roman" w:hAnsi="Times New Roman" w:cs="宋体"/>
                <w:snapToGrid w:val="0"/>
                <w:color w:val="auto"/>
                <w:kern w:val="24"/>
                <w:highlight w:val="none"/>
              </w:rPr>
              <w:t>表</w:t>
            </w:r>
            <w:r>
              <w:rPr>
                <w:rFonts w:hint="eastAsia" w:ascii="Times New Roman" w:hAnsi="Times New Roman" w:cs="Times New Roman"/>
                <w:snapToGrid w:val="0"/>
                <w:color w:val="auto"/>
                <w:kern w:val="24"/>
                <w:highlight w:val="none"/>
                <w:lang w:val="en-US" w:eastAsia="zh-CN"/>
              </w:rPr>
              <w:t>15</w:t>
            </w:r>
            <w:r>
              <w:rPr>
                <w:rFonts w:ascii="Times New Roman" w:hAnsi="Times New Roman" w:cs="Times New Roman"/>
                <w:snapToGrid w:val="0"/>
                <w:color w:val="auto"/>
                <w:kern w:val="24"/>
                <w:highlight w:val="none"/>
              </w:rPr>
              <w:t xml:space="preserve"> </w:t>
            </w:r>
            <w:r>
              <w:rPr>
                <w:rFonts w:hint="eastAsia" w:ascii="Times New Roman" w:hAnsi="Times New Roman" w:cs="宋体"/>
                <w:snapToGrid w:val="0"/>
                <w:color w:val="auto"/>
                <w:kern w:val="24"/>
                <w:highlight w:val="none"/>
              </w:rPr>
              <w:t>水质监测结果单位：</w:t>
            </w:r>
            <w:r>
              <w:rPr>
                <w:rFonts w:ascii="Times New Roman" w:hAnsi="Times New Roman" w:cs="Times New Roman"/>
                <w:snapToGrid w:val="0"/>
                <w:color w:val="auto"/>
                <w:kern w:val="24"/>
                <w:highlight w:val="none"/>
              </w:rPr>
              <w:t>mg/L (pH</w:t>
            </w:r>
            <w:r>
              <w:rPr>
                <w:rFonts w:hint="eastAsia" w:ascii="Times New Roman" w:hAnsi="Times New Roman" w:cs="宋体"/>
                <w:snapToGrid w:val="0"/>
                <w:color w:val="auto"/>
                <w:kern w:val="24"/>
                <w:highlight w:val="none"/>
              </w:rPr>
              <w:t>无量纲</w:t>
            </w:r>
            <w:r>
              <w:rPr>
                <w:rFonts w:ascii="Times New Roman" w:hAnsi="Times New Roman" w:cs="Times New Roman"/>
                <w:snapToGrid w:val="0"/>
                <w:color w:val="auto"/>
                <w:kern w:val="24"/>
                <w:highlight w:val="none"/>
              </w:rPr>
              <w:t>)</w:t>
            </w:r>
          </w:p>
          <w:tbl>
            <w:tblPr>
              <w:tblStyle w:val="29"/>
              <w:tblW w:w="957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99"/>
              <w:gridCol w:w="1720"/>
              <w:gridCol w:w="1610"/>
              <w:gridCol w:w="1388"/>
              <w:gridCol w:w="1599"/>
              <w:gridCol w:w="12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点位名称</w:t>
                  </w:r>
                </w:p>
              </w:tc>
              <w:tc>
                <w:tcPr>
                  <w:tcW w:w="1720"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4597" w:type="dxa"/>
                  <w:gridSpan w:val="3"/>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tc>
              <w:tc>
                <w:tcPr>
                  <w:tcW w:w="1262"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2020.11.14</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2020.11.15</w:t>
                  </w:r>
                </w:p>
              </w:tc>
              <w:tc>
                <w:tcPr>
                  <w:tcW w:w="1262"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项目南面灌溉渠</w:t>
                  </w:r>
                  <w:r>
                    <w:rPr>
                      <w:rFonts w:hint="eastAsia" w:ascii="Times New Roman" w:hAnsi="Times New Roman" w:eastAsia="宋体" w:cs="Times New Roman"/>
                      <w:bCs/>
                      <w:color w:val="auto"/>
                      <w:sz w:val="21"/>
                      <w:szCs w:val="24"/>
                      <w:highlight w:val="none"/>
                      <w:lang w:val="en-US" w:eastAsia="zh-CN"/>
                    </w:rPr>
                    <w:t>S1</w:t>
                  </w: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7.45</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7.43</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7.46</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2.1</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2.2</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0.254</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0.242</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0.242</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0.05</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0.04</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0.04</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2600</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2400</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2600</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王家河上</w:t>
                  </w:r>
                  <w:r>
                    <w:rPr>
                      <w:rFonts w:hint="eastAsia" w:ascii="Times New Roman" w:hAnsi="Times New Roman" w:eastAsia="宋体" w:cs="Times New Roman"/>
                      <w:bCs/>
                      <w:color w:val="auto"/>
                      <w:sz w:val="21"/>
                      <w:szCs w:val="24"/>
                      <w:highlight w:val="none"/>
                      <w:lang w:val="en-US" w:eastAsia="zh-CN"/>
                    </w:rPr>
                    <w:t>游S2</w:t>
                  </w: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7.27</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7.31</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7.25</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8</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1.3</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0.169</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0.157</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0.163</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0.09</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0.06</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0.08</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0.02</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2200</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2300</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2400</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王家河</w:t>
                  </w:r>
                  <w:r>
                    <w:rPr>
                      <w:rFonts w:hint="eastAsia" w:ascii="Times New Roman" w:hAnsi="Times New Roman" w:eastAsia="宋体" w:cs="Times New Roman"/>
                      <w:bCs/>
                      <w:color w:val="auto"/>
                      <w:sz w:val="21"/>
                      <w:szCs w:val="24"/>
                      <w:highlight w:val="none"/>
                      <w:lang w:val="en-US" w:eastAsia="zh-CN"/>
                    </w:rPr>
                    <w:t>下游S3</w:t>
                  </w: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7.39</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7.41</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7.36</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CODcr</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15</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BOD5</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2.9</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2.9</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3.2</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0.236</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0.230</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0.230</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总磷</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0.14</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0.15</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0.14</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石油类</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0.05</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0.06</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0.05</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999"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粪大肠菌群</w:t>
                  </w:r>
                </w:p>
              </w:tc>
              <w:tc>
                <w:tcPr>
                  <w:tcW w:w="1610"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2800</w:t>
                  </w:r>
                </w:p>
              </w:tc>
              <w:tc>
                <w:tcPr>
                  <w:tcW w:w="1388"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2800</w:t>
                  </w:r>
                </w:p>
              </w:tc>
              <w:tc>
                <w:tcPr>
                  <w:tcW w:w="1599"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3200</w:t>
                  </w:r>
                </w:p>
              </w:tc>
              <w:tc>
                <w:tcPr>
                  <w:tcW w:w="126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个/L</w:t>
                  </w:r>
                </w:p>
              </w:tc>
            </w:tr>
          </w:tbl>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color w:val="auto"/>
                <w:sz w:val="24"/>
                <w:szCs w:val="24"/>
                <w:highlight w:val="none"/>
              </w:rPr>
            </w:pPr>
            <w:r>
              <w:rPr>
                <w:rFonts w:hint="eastAsia" w:cs="宋体"/>
                <w:color w:val="auto"/>
                <w:sz w:val="24"/>
                <w:szCs w:val="24"/>
                <w:highlight w:val="none"/>
              </w:rPr>
              <w:t>表</w:t>
            </w:r>
            <w:r>
              <w:rPr>
                <w:color w:val="auto"/>
                <w:sz w:val="24"/>
                <w:szCs w:val="24"/>
                <w:highlight w:val="none"/>
              </w:rPr>
              <w:t>1</w:t>
            </w:r>
            <w:r>
              <w:rPr>
                <w:rFonts w:hint="eastAsia"/>
                <w:color w:val="auto"/>
                <w:sz w:val="24"/>
                <w:szCs w:val="24"/>
                <w:highlight w:val="none"/>
                <w:lang w:val="en-US" w:eastAsia="zh-CN"/>
              </w:rPr>
              <w:t>5</w:t>
            </w:r>
            <w:r>
              <w:rPr>
                <w:rFonts w:hint="eastAsia" w:cs="宋体"/>
                <w:color w:val="auto"/>
                <w:sz w:val="24"/>
                <w:szCs w:val="24"/>
                <w:highlight w:val="none"/>
              </w:rPr>
              <w:t>中各监测断面监测因子能够满足《地表水环境质量标准》（</w:t>
            </w:r>
            <w:r>
              <w:rPr>
                <w:color w:val="auto"/>
                <w:sz w:val="24"/>
                <w:szCs w:val="24"/>
                <w:highlight w:val="none"/>
              </w:rPr>
              <w:t>GB3838-2002</w:t>
            </w:r>
            <w:r>
              <w:rPr>
                <w:rFonts w:hint="eastAsia" w:cs="宋体"/>
                <w:color w:val="auto"/>
                <w:sz w:val="24"/>
                <w:szCs w:val="24"/>
                <w:highlight w:val="none"/>
              </w:rPr>
              <w:t>）的</w:t>
            </w:r>
            <w:r>
              <w:rPr>
                <w:rFonts w:hint="eastAsia"/>
                <w:color w:val="auto"/>
                <w:sz w:val="24"/>
                <w:szCs w:val="24"/>
                <w:highlight w:val="none"/>
              </w:rPr>
              <w:t>相应</w:t>
            </w:r>
            <w:r>
              <w:rPr>
                <w:rFonts w:hint="eastAsia" w:cs="宋体"/>
                <w:color w:val="auto"/>
                <w:sz w:val="24"/>
                <w:szCs w:val="24"/>
                <w:highlight w:val="none"/>
              </w:rPr>
              <w:t>水质标准，区域水环境质量良好。</w:t>
            </w:r>
          </w:p>
          <w:p>
            <w:pPr>
              <w:spacing w:line="460" w:lineRule="exact"/>
              <w:ind w:firstLine="480" w:firstLineChars="200"/>
              <w:rPr>
                <w:color w:val="auto"/>
                <w:sz w:val="24"/>
                <w:szCs w:val="24"/>
                <w:highlight w:val="none"/>
              </w:rPr>
            </w:pPr>
            <w:r>
              <w:rPr>
                <w:rFonts w:hint="eastAsia"/>
                <w:color w:val="auto"/>
                <w:sz w:val="24"/>
                <w:szCs w:val="24"/>
                <w:highlight w:val="none"/>
              </w:rPr>
              <w:t>3、地下水环境</w:t>
            </w:r>
          </w:p>
          <w:p>
            <w:pPr>
              <w:spacing w:line="460" w:lineRule="exact"/>
              <w:ind w:firstLine="480" w:firstLineChars="200"/>
              <w:rPr>
                <w:rFonts w:hint="eastAsia"/>
                <w:color w:val="auto"/>
                <w:sz w:val="24"/>
                <w:szCs w:val="24"/>
                <w:highlight w:val="none"/>
                <w:lang w:eastAsia="zh-CN"/>
              </w:rPr>
            </w:pPr>
            <w:r>
              <w:rPr>
                <w:rFonts w:hint="eastAsia"/>
                <w:color w:val="auto"/>
                <w:sz w:val="24"/>
                <w:szCs w:val="24"/>
                <w:highlight w:val="none"/>
                <w:lang w:eastAsia="zh-CN"/>
              </w:rPr>
              <w:t>本项目在评价区域内</w:t>
            </w:r>
            <w:r>
              <w:rPr>
                <w:rFonts w:hint="eastAsia"/>
                <w:color w:val="auto"/>
                <w:sz w:val="24"/>
                <w:szCs w:val="24"/>
                <w:highlight w:val="none"/>
                <w:shd w:val="clear" w:color="auto" w:fill="auto"/>
                <w:lang w:eastAsia="zh-CN"/>
              </w:rPr>
              <w:t>布设了</w:t>
            </w:r>
            <w:r>
              <w:rPr>
                <w:rFonts w:hint="eastAsia"/>
                <w:color w:val="auto"/>
                <w:sz w:val="24"/>
                <w:szCs w:val="24"/>
                <w:highlight w:val="none"/>
                <w:shd w:val="clear" w:color="auto" w:fill="auto"/>
                <w:lang w:val="en-US" w:eastAsia="zh-CN"/>
              </w:rPr>
              <w:t>3</w:t>
            </w:r>
            <w:r>
              <w:rPr>
                <w:rFonts w:hint="eastAsia"/>
                <w:color w:val="auto"/>
                <w:sz w:val="24"/>
                <w:szCs w:val="24"/>
                <w:highlight w:val="none"/>
                <w:shd w:val="clear" w:color="auto" w:fill="auto"/>
                <w:lang w:eastAsia="zh-CN"/>
              </w:rPr>
              <w:t>个地下水水质监测点位，每天采样一次。</w:t>
            </w:r>
          </w:p>
          <w:p>
            <w:pPr>
              <w:spacing w:line="460" w:lineRule="exact"/>
              <w:ind w:firstLine="482" w:firstLineChars="200"/>
              <w:jc w:val="center"/>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表</w:t>
            </w:r>
            <w:r>
              <w:rPr>
                <w:rFonts w:hint="eastAsia" w:ascii="Times New Roman" w:hAnsi="Times New Roman" w:eastAsia="宋体" w:cs="Times New Roman"/>
                <w:b/>
                <w:bCs/>
                <w:color w:val="auto"/>
                <w:sz w:val="24"/>
                <w:szCs w:val="24"/>
                <w:highlight w:val="none"/>
                <w:lang w:val="en-US" w:eastAsia="zh-CN"/>
              </w:rPr>
              <w:t xml:space="preserve">16 </w:t>
            </w:r>
            <w:r>
              <w:rPr>
                <w:rFonts w:hint="eastAsia" w:ascii="Times New Roman" w:hAnsi="Times New Roman" w:eastAsia="宋体" w:cs="Times New Roman"/>
                <w:b/>
                <w:bCs/>
                <w:color w:val="auto"/>
                <w:sz w:val="24"/>
                <w:szCs w:val="24"/>
                <w:highlight w:val="none"/>
                <w:lang w:eastAsia="zh-CN"/>
              </w:rPr>
              <w:t>地下水监测布点情况</w:t>
            </w:r>
          </w:p>
          <w:tbl>
            <w:tblPr>
              <w:tblStyle w:val="29"/>
              <w:tblW w:w="8661"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91"/>
              <w:gridCol w:w="3865"/>
              <w:gridCol w:w="390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91" w:type="dxa"/>
                  <w:tcBorders>
                    <w:top w:val="single" w:color="auto" w:sz="2" w:space="0"/>
                    <w:left w:val="single" w:color="auto" w:sz="2" w:space="0"/>
                    <w:bottom w:val="single" w:color="auto" w:sz="6" w:space="0"/>
                    <w:right w:val="single" w:color="auto" w:sz="6"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编号</w:t>
                  </w:r>
                </w:p>
              </w:tc>
              <w:tc>
                <w:tcPr>
                  <w:tcW w:w="3865" w:type="dxa"/>
                  <w:tcBorders>
                    <w:top w:val="single" w:color="auto" w:sz="2"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监测点</w:t>
                  </w:r>
                </w:p>
              </w:tc>
              <w:tc>
                <w:tcPr>
                  <w:tcW w:w="3905" w:type="dxa"/>
                  <w:tcBorders>
                    <w:top w:val="single" w:color="auto" w:sz="2" w:space="0"/>
                    <w:left w:val="single" w:color="auto" w:sz="4" w:space="0"/>
                    <w:bottom w:val="single" w:color="auto" w:sz="6"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监测项目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U1</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eastAsia="zh-CN"/>
                    </w:rPr>
                    <w:t>西</w:t>
                  </w:r>
                  <w:r>
                    <w:rPr>
                      <w:rFonts w:hint="eastAsia" w:cs="Times New Roman"/>
                      <w:color w:val="auto"/>
                      <w:sz w:val="21"/>
                      <w:szCs w:val="21"/>
                      <w:highlight w:val="none"/>
                      <w:lang w:val="en-US" w:eastAsia="zh-CN"/>
                    </w:rPr>
                    <w:t>北</w:t>
                  </w:r>
                  <w:r>
                    <w:rPr>
                      <w:rFonts w:hint="default" w:ascii="Times New Roman" w:hAnsi="Times New Roman" w:cs="Times New Roman"/>
                      <w:color w:val="auto"/>
                      <w:sz w:val="21"/>
                      <w:szCs w:val="21"/>
                      <w:highlight w:val="none"/>
                      <w:lang w:eastAsia="zh-CN"/>
                    </w:rPr>
                    <w:t>侧居民点</w:t>
                  </w:r>
                </w:p>
              </w:tc>
              <w:tc>
                <w:tcPr>
                  <w:tcW w:w="3905" w:type="dxa"/>
                  <w:vMerge w:val="restart"/>
                  <w:tcBorders>
                    <w:top w:val="single" w:color="auto" w:sz="6" w:space="0"/>
                    <w:left w:val="single" w:color="auto" w:sz="4" w:space="0"/>
                    <w:right w:val="single" w:color="auto" w:sz="2"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r>
                    <w:rPr>
                      <w:rFonts w:hint="default" w:ascii="Times New Roman" w:hAnsi="Times New Roman" w:cs="Times New Roman"/>
                      <w:color w:val="auto"/>
                      <w:sz w:val="21"/>
                      <w:szCs w:val="21"/>
                      <w:highlight w:val="none"/>
                      <w:lang w:eastAsia="zh-CN"/>
                    </w:rPr>
                    <w:t>硫酸盐</w:t>
                  </w:r>
                  <w:r>
                    <w:rPr>
                      <w:rFonts w:hint="default" w:ascii="Times New Roman" w:hAnsi="Times New Roman" w:cs="Times New Roman"/>
                      <w:color w:val="auto"/>
                      <w:sz w:val="21"/>
                      <w:szCs w:val="21"/>
                      <w:highlight w:val="none"/>
                    </w:rPr>
                    <w:t>、氨氮、高锰酸盐指数、总硬度、硝酸盐、亚硝酸盐、氟化物、</w:t>
                  </w:r>
                  <w:r>
                    <w:rPr>
                      <w:rFonts w:hint="default" w:ascii="Times New Roman" w:hAnsi="Times New Roman" w:cs="Times New Roman"/>
                      <w:color w:val="auto"/>
                      <w:sz w:val="21"/>
                      <w:szCs w:val="21"/>
                      <w:highlight w:val="none"/>
                      <w:lang w:eastAsia="zh-CN"/>
                    </w:rPr>
                    <w:t>氯化物、</w:t>
                  </w:r>
                  <w:r>
                    <w:rPr>
                      <w:rFonts w:hint="default" w:ascii="Times New Roman" w:hAnsi="Times New Roman" w:cs="Times New Roman"/>
                      <w:color w:val="auto"/>
                      <w:sz w:val="21"/>
                      <w:szCs w:val="21"/>
                      <w:highlight w:val="none"/>
                    </w:rPr>
                    <w:t>氰化物、溶解性总固体、总大肠菌群、细菌总数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U2</w:t>
                  </w:r>
                </w:p>
              </w:tc>
              <w:tc>
                <w:tcPr>
                  <w:tcW w:w="386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ascii="Times New Roman" w:hAnsi="Times New Roman" w:cs="Times New Roman"/>
                      <w:color w:val="auto"/>
                      <w:sz w:val="21"/>
                      <w:szCs w:val="21"/>
                      <w:highlight w:val="none"/>
                      <w:lang w:eastAsia="zh-CN"/>
                    </w:rPr>
                    <w:t>西</w:t>
                  </w:r>
                  <w:r>
                    <w:rPr>
                      <w:rFonts w:hint="eastAsia" w:cs="Times New Roman"/>
                      <w:color w:val="auto"/>
                      <w:sz w:val="21"/>
                      <w:szCs w:val="21"/>
                      <w:highlight w:val="none"/>
                      <w:lang w:val="en-US" w:eastAsia="zh-CN"/>
                    </w:rPr>
                    <w:t>北</w:t>
                  </w:r>
                  <w:r>
                    <w:rPr>
                      <w:rFonts w:hint="default" w:ascii="Times New Roman" w:hAnsi="Times New Roman" w:cs="Times New Roman"/>
                      <w:color w:val="auto"/>
                      <w:sz w:val="21"/>
                      <w:szCs w:val="21"/>
                      <w:highlight w:val="none"/>
                      <w:lang w:eastAsia="zh-CN"/>
                    </w:rPr>
                    <w:t>侧居民点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91" w:type="dxa"/>
                  <w:tcBorders>
                    <w:top w:val="single" w:color="auto" w:sz="6" w:space="0"/>
                    <w:left w:val="single" w:color="auto" w:sz="2" w:space="0"/>
                    <w:bottom w:val="single" w:color="auto" w:sz="6" w:space="0"/>
                    <w:right w:val="single" w:color="auto" w:sz="6" w:space="0"/>
                  </w:tcBorders>
                  <w:vAlign w:val="center"/>
                </w:tcPr>
                <w:p>
                  <w:pPr>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U3</w:t>
                  </w:r>
                </w:p>
              </w:tc>
              <w:tc>
                <w:tcPr>
                  <w:tcW w:w="3865" w:type="dxa"/>
                  <w:tcBorders>
                    <w:top w:val="single" w:color="auto" w:sz="6" w:space="0"/>
                    <w:left w:val="single" w:color="auto" w:sz="6" w:space="0"/>
                    <w:right w:val="single" w:color="auto" w:sz="4" w:space="0"/>
                  </w:tcBorders>
                  <w:vAlign w:val="center"/>
                </w:tcPr>
                <w:p>
                  <w:pPr>
                    <w:adjustRightInd w:val="0"/>
                    <w:snapToGrid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eastAsia" w:cs="Times New Roman"/>
                      <w:color w:val="auto"/>
                      <w:sz w:val="21"/>
                      <w:szCs w:val="21"/>
                      <w:highlight w:val="none"/>
                      <w:lang w:val="en-US" w:eastAsia="zh-CN"/>
                    </w:rPr>
                    <w:t>西北</w:t>
                  </w:r>
                  <w:r>
                    <w:rPr>
                      <w:rFonts w:hint="default" w:ascii="Times New Roman" w:hAnsi="Times New Roman" w:cs="Times New Roman"/>
                      <w:color w:val="auto"/>
                      <w:sz w:val="21"/>
                      <w:szCs w:val="21"/>
                      <w:highlight w:val="none"/>
                      <w:lang w:eastAsia="zh-CN"/>
                    </w:rPr>
                    <w:t>侧居民</w:t>
                  </w:r>
                  <w:r>
                    <w:rPr>
                      <w:rFonts w:hint="eastAsia" w:ascii="Times New Roman" w:hAnsi="Times New Roman" w:cs="Times New Roman"/>
                      <w:color w:val="auto"/>
                      <w:sz w:val="21"/>
                      <w:szCs w:val="21"/>
                      <w:highlight w:val="none"/>
                      <w:lang w:eastAsia="zh-CN"/>
                    </w:rPr>
                    <w:t>点</w:t>
                  </w:r>
                </w:p>
              </w:tc>
              <w:tc>
                <w:tcPr>
                  <w:tcW w:w="3905" w:type="dxa"/>
                  <w:vMerge w:val="continue"/>
                  <w:tcBorders>
                    <w:left w:val="single" w:color="auto" w:sz="4" w:space="0"/>
                    <w:right w:val="single" w:color="auto" w:sz="2" w:space="0"/>
                  </w:tcBorders>
                  <w:vAlign w:val="center"/>
                </w:tcPr>
                <w:p>
                  <w:pPr>
                    <w:spacing w:line="360" w:lineRule="exact"/>
                    <w:jc w:val="center"/>
                    <w:rPr>
                      <w:rFonts w:hint="default" w:ascii="Times New Roman" w:hAnsi="Times New Roman" w:cs="Times New Roman"/>
                      <w:color w:val="auto"/>
                      <w:sz w:val="21"/>
                      <w:szCs w:val="21"/>
                      <w:highlight w:val="none"/>
                    </w:rPr>
                  </w:pPr>
                </w:p>
              </w:tc>
            </w:tr>
          </w:tbl>
          <w:p>
            <w:pPr>
              <w:spacing w:line="460" w:lineRule="exact"/>
              <w:ind w:firstLine="482" w:firstLineChars="200"/>
              <w:jc w:val="center"/>
              <w:rPr>
                <w:b/>
                <w:bCs/>
                <w:color w:val="auto"/>
                <w:sz w:val="24"/>
                <w:szCs w:val="24"/>
                <w:highlight w:val="none"/>
              </w:rPr>
            </w:pPr>
            <w:r>
              <w:rPr>
                <w:rFonts w:hint="eastAsia"/>
                <w:b/>
                <w:bCs/>
                <w:color w:val="auto"/>
                <w:sz w:val="24"/>
                <w:szCs w:val="24"/>
                <w:highlight w:val="none"/>
              </w:rPr>
              <w:t>表1</w:t>
            </w:r>
            <w:r>
              <w:rPr>
                <w:rFonts w:hint="eastAsia"/>
                <w:b/>
                <w:bCs/>
                <w:color w:val="auto"/>
                <w:sz w:val="24"/>
                <w:szCs w:val="24"/>
                <w:highlight w:val="none"/>
                <w:lang w:val="en-US" w:eastAsia="zh-CN"/>
              </w:rPr>
              <w:t>7</w:t>
            </w:r>
            <w:r>
              <w:rPr>
                <w:rFonts w:hint="eastAsia"/>
                <w:b/>
                <w:bCs/>
                <w:color w:val="auto"/>
                <w:sz w:val="24"/>
                <w:szCs w:val="24"/>
                <w:highlight w:val="none"/>
              </w:rPr>
              <w:t xml:space="preserve"> 地下水水质监测结果</w:t>
            </w:r>
          </w:p>
          <w:tbl>
            <w:tblPr>
              <w:tblStyle w:val="29"/>
              <w:tblW w:w="96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11"/>
              <w:gridCol w:w="1457"/>
              <w:gridCol w:w="1726"/>
              <w:gridCol w:w="1754"/>
              <w:gridCol w:w="1701"/>
              <w:gridCol w:w="16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311"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采样日期</w:t>
                  </w:r>
                </w:p>
              </w:tc>
              <w:tc>
                <w:tcPr>
                  <w:tcW w:w="1457"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检测项目</w:t>
                  </w:r>
                </w:p>
              </w:tc>
              <w:tc>
                <w:tcPr>
                  <w:tcW w:w="5181" w:type="dxa"/>
                  <w:gridSpan w:val="3"/>
                  <w:tcBorders>
                    <w:bottom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tc>
              <w:tc>
                <w:tcPr>
                  <w:tcW w:w="1690"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26" w:type="dxa"/>
                  <w:tcBorders>
                    <w:top w:val="single" w:color="auto" w:sz="4" w:space="0"/>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项目西北侧</w:t>
                  </w:r>
                </w:p>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居民点D1</w:t>
                  </w:r>
                </w:p>
              </w:tc>
              <w:tc>
                <w:tcPr>
                  <w:tcW w:w="1754" w:type="dxa"/>
                  <w:tcBorders>
                    <w:top w:val="single" w:color="auto" w:sz="4" w:space="0"/>
                    <w:left w:val="single" w:color="auto" w:sz="4" w:space="0"/>
                    <w:righ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项目西北侧</w:t>
                  </w:r>
                </w:p>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居民点D2</w:t>
                  </w:r>
                </w:p>
              </w:tc>
              <w:tc>
                <w:tcPr>
                  <w:tcW w:w="1701" w:type="dxa"/>
                  <w:tcBorders>
                    <w:top w:val="single" w:color="auto" w:sz="4" w:space="0"/>
                    <w:left w:val="single" w:color="auto" w:sz="4" w:space="0"/>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项目西北侧</w:t>
                  </w:r>
                </w:p>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居民点D3</w:t>
                  </w:r>
                </w:p>
              </w:tc>
              <w:tc>
                <w:tcPr>
                  <w:tcW w:w="1690"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pH</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6.88</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6.69</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6.97</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氯化物</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2.89</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14.5</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16.9</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LAS</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氨氮</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0.060</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0.066</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0.078</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耗氧量</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1.20</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1.34</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1.23</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总大肠菌群</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MPNb/100mL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汞</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砷</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六价铬</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铅</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8" w:hRule="atLeast"/>
                <w:jc w:val="center"/>
              </w:trPr>
              <w:tc>
                <w:tcPr>
                  <w:tcW w:w="1311"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铜</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31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457"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锌</w:t>
                  </w:r>
                </w:p>
              </w:tc>
              <w:tc>
                <w:tcPr>
                  <w:tcW w:w="1726" w:type="dxa"/>
                  <w:tcBorders>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54" w:type="dxa"/>
                  <w:tcBorders>
                    <w:left w:val="single" w:color="auto" w:sz="4" w:space="0"/>
                    <w:righ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701" w:type="dxa"/>
                  <w:tcBorders>
                    <w:left w:val="single" w:color="auto" w:sz="4" w:space="0"/>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ND</w:t>
                  </w:r>
                </w:p>
              </w:tc>
              <w:tc>
                <w:tcPr>
                  <w:tcW w:w="1690"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mg/L</w:t>
                  </w:r>
                </w:p>
              </w:tc>
            </w:tr>
          </w:tbl>
          <w:p>
            <w:pPr>
              <w:pStyle w:val="114"/>
              <w:keepNext w:val="0"/>
              <w:keepLines w:val="0"/>
              <w:pageBreakBefore w:val="0"/>
              <w:widowControl w:val="0"/>
              <w:kinsoku/>
              <w:wordWrap/>
              <w:overflowPunct/>
              <w:topLinePunct w:val="0"/>
              <w:autoSpaceDE/>
              <w:autoSpaceDN/>
              <w:bidi w:val="0"/>
              <w:adjustRightInd/>
              <w:snapToGrid/>
              <w:spacing w:line="480" w:lineRule="atLeast"/>
              <w:ind w:left="0" w:leftChars="0" w:right="0" w:rightChars="0" w:firstLine="0" w:firstLineChars="0"/>
              <w:jc w:val="both"/>
              <w:textAlignment w:val="auto"/>
              <w:outlineLvl w:val="9"/>
              <w:rPr>
                <w:rFonts w:cs="Times New Roman"/>
                <w:color w:val="auto"/>
                <w:highlight w:val="none"/>
              </w:rPr>
            </w:pPr>
          </w:p>
          <w:p>
            <w:pPr>
              <w:pStyle w:val="114"/>
              <w:keepNext w:val="0"/>
              <w:keepLines w:val="0"/>
              <w:pageBreakBefore w:val="0"/>
              <w:widowControl w:val="0"/>
              <w:kinsoku/>
              <w:wordWrap/>
              <w:overflowPunct/>
              <w:topLinePunct w:val="0"/>
              <w:autoSpaceDE/>
              <w:autoSpaceDN/>
              <w:bidi w:val="0"/>
              <w:adjustRightInd/>
              <w:snapToGrid/>
              <w:spacing w:line="480" w:lineRule="atLeast"/>
              <w:ind w:left="0" w:leftChars="0" w:right="0" w:rightChars="0"/>
              <w:jc w:val="both"/>
              <w:textAlignment w:val="auto"/>
              <w:outlineLvl w:val="9"/>
              <w:rPr>
                <w:rFonts w:cs="Times New Roman"/>
                <w:color w:val="auto"/>
                <w:highlight w:val="none"/>
              </w:rPr>
            </w:pPr>
            <w:r>
              <w:rPr>
                <w:rFonts w:cs="Times New Roman"/>
                <w:color w:val="auto"/>
                <w:highlight w:val="none"/>
              </w:rPr>
              <w:t>根据监测结果可知，项目布设的</w:t>
            </w:r>
            <w:r>
              <w:rPr>
                <w:rFonts w:hint="eastAsia" w:cs="Times New Roman"/>
                <w:color w:val="auto"/>
                <w:highlight w:val="none"/>
                <w:lang w:val="en-US" w:eastAsia="zh-CN"/>
              </w:rPr>
              <w:t>3</w:t>
            </w:r>
            <w:r>
              <w:rPr>
                <w:rFonts w:cs="Times New Roman"/>
                <w:color w:val="auto"/>
                <w:highlight w:val="none"/>
              </w:rPr>
              <w:t>个监测点位的各项指标均满足《地下水质量标准》</w:t>
            </w:r>
            <w:r>
              <w:rPr>
                <w:rFonts w:cs="Times New Roman"/>
                <w:color w:val="auto"/>
                <w:highlight w:val="none"/>
                <w:lang w:val="zh-CN"/>
              </w:rPr>
              <w:t>（</w:t>
            </w:r>
            <w:r>
              <w:rPr>
                <w:rFonts w:cs="Times New Roman"/>
                <w:color w:val="auto"/>
                <w:highlight w:val="none"/>
              </w:rPr>
              <w:t>GB/T 14848-</w:t>
            </w:r>
            <w:r>
              <w:rPr>
                <w:rFonts w:hint="eastAsia" w:cs="Times New Roman"/>
                <w:color w:val="auto"/>
                <w:highlight w:val="none"/>
                <w:lang w:val="en-US" w:eastAsia="zh-CN"/>
              </w:rPr>
              <w:t>2017</w:t>
            </w:r>
            <w:r>
              <w:rPr>
                <w:rFonts w:cs="Times New Roman"/>
                <w:color w:val="auto"/>
                <w:highlight w:val="none"/>
                <w:lang w:val="zh-CN"/>
              </w:rPr>
              <w:t>）</w:t>
            </w:r>
            <w:r>
              <w:rPr>
                <w:rFonts w:hint="eastAsia" w:ascii="宋体" w:hAnsi="宋体"/>
                <w:color w:val="auto"/>
                <w:highlight w:val="none"/>
                <w:lang w:eastAsia="ja-JP"/>
              </w:rPr>
              <w:t>Ⅲ</w:t>
            </w:r>
            <w:r>
              <w:rPr>
                <w:rFonts w:cs="Times New Roman"/>
                <w:color w:val="auto"/>
                <w:highlight w:val="none"/>
              </w:rPr>
              <w:t>类标准要求。</w:t>
            </w:r>
          </w:p>
          <w:p>
            <w:pPr>
              <w:spacing w:line="460" w:lineRule="exact"/>
              <w:ind w:firstLine="480" w:firstLineChars="200"/>
              <w:rPr>
                <w:color w:val="auto"/>
                <w:sz w:val="24"/>
                <w:szCs w:val="24"/>
                <w:highlight w:val="none"/>
              </w:rPr>
            </w:pPr>
            <w:r>
              <w:rPr>
                <w:rFonts w:hint="eastAsia"/>
                <w:color w:val="auto"/>
                <w:sz w:val="24"/>
                <w:szCs w:val="24"/>
                <w:highlight w:val="none"/>
              </w:rPr>
              <w:t>4</w:t>
            </w:r>
            <w:r>
              <w:rPr>
                <w:rFonts w:hint="eastAsia" w:cs="宋体"/>
                <w:color w:val="auto"/>
                <w:sz w:val="24"/>
                <w:szCs w:val="24"/>
                <w:highlight w:val="none"/>
              </w:rPr>
              <w:t>、声环境</w:t>
            </w:r>
          </w:p>
          <w:p>
            <w:pPr>
              <w:spacing w:line="420" w:lineRule="exact"/>
              <w:ind w:firstLine="480" w:firstLineChars="200"/>
              <w:rPr>
                <w:color w:val="auto"/>
                <w:sz w:val="24"/>
                <w:szCs w:val="24"/>
                <w:highlight w:val="none"/>
              </w:rPr>
            </w:pPr>
            <w:r>
              <w:rPr>
                <w:rFonts w:hint="eastAsia" w:cs="宋体"/>
                <w:color w:val="auto"/>
                <w:sz w:val="24"/>
                <w:szCs w:val="24"/>
                <w:highlight w:val="none"/>
              </w:rPr>
              <w:t>厂界噪声监测结果见表</w:t>
            </w:r>
            <w:r>
              <w:rPr>
                <w:rFonts w:hint="eastAsia"/>
                <w:color w:val="auto"/>
                <w:sz w:val="24"/>
                <w:szCs w:val="24"/>
                <w:highlight w:val="none"/>
              </w:rPr>
              <w:t>1</w:t>
            </w:r>
            <w:r>
              <w:rPr>
                <w:rFonts w:hint="eastAsia"/>
                <w:color w:val="auto"/>
                <w:sz w:val="24"/>
                <w:szCs w:val="24"/>
                <w:highlight w:val="none"/>
                <w:lang w:val="en-US" w:eastAsia="zh-CN"/>
              </w:rPr>
              <w:t>8</w:t>
            </w:r>
            <w:r>
              <w:rPr>
                <w:rFonts w:hint="eastAsia" w:cs="宋体"/>
                <w:color w:val="auto"/>
                <w:sz w:val="24"/>
                <w:szCs w:val="24"/>
                <w:highlight w:val="none"/>
              </w:rPr>
              <w:t>。</w:t>
            </w:r>
          </w:p>
          <w:p>
            <w:pPr>
              <w:spacing w:line="46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b/>
                <w:bCs/>
                <w:color w:val="auto"/>
                <w:sz w:val="24"/>
                <w:szCs w:val="24"/>
                <w:highlight w:val="none"/>
              </w:rPr>
              <w:t>1</w:t>
            </w:r>
            <w:r>
              <w:rPr>
                <w:rFonts w:hint="eastAsia"/>
                <w:b/>
                <w:bCs/>
                <w:color w:val="auto"/>
                <w:sz w:val="24"/>
                <w:szCs w:val="24"/>
                <w:highlight w:val="none"/>
                <w:lang w:val="en-US" w:eastAsia="zh-CN"/>
              </w:rPr>
              <w:t>8</w:t>
            </w:r>
            <w:r>
              <w:rPr>
                <w:b/>
                <w:bCs/>
                <w:color w:val="auto"/>
                <w:sz w:val="24"/>
                <w:szCs w:val="24"/>
                <w:highlight w:val="none"/>
              </w:rPr>
              <w:t xml:space="preserve"> </w:t>
            </w:r>
            <w:r>
              <w:rPr>
                <w:rFonts w:hint="eastAsia" w:cs="宋体"/>
                <w:b/>
                <w:bCs/>
                <w:color w:val="auto"/>
                <w:sz w:val="24"/>
                <w:szCs w:val="24"/>
                <w:highlight w:val="none"/>
              </w:rPr>
              <w:t>厂界噪声监测结果</w:t>
            </w:r>
            <w:r>
              <w:rPr>
                <w:rFonts w:hint="eastAsia" w:cs="宋体"/>
                <w:b/>
                <w:color w:val="auto"/>
                <w:sz w:val="24"/>
                <w:szCs w:val="24"/>
                <w:highlight w:val="none"/>
              </w:rPr>
              <w:t>单位</w:t>
            </w:r>
            <w:r>
              <w:rPr>
                <w:b/>
                <w:color w:val="auto"/>
                <w:sz w:val="24"/>
                <w:szCs w:val="24"/>
                <w:highlight w:val="none"/>
              </w:rPr>
              <w:t xml:space="preserve"> dB</w:t>
            </w:r>
            <w:r>
              <w:rPr>
                <w:rFonts w:hint="eastAsia" w:cs="宋体"/>
                <w:b/>
                <w:color w:val="auto"/>
                <w:sz w:val="24"/>
                <w:szCs w:val="24"/>
                <w:highlight w:val="none"/>
              </w:rPr>
              <w:t>（</w:t>
            </w:r>
            <w:r>
              <w:rPr>
                <w:b/>
                <w:color w:val="auto"/>
                <w:sz w:val="24"/>
                <w:szCs w:val="24"/>
                <w:highlight w:val="none"/>
              </w:rPr>
              <w:t>A</w:t>
            </w:r>
            <w:r>
              <w:rPr>
                <w:rFonts w:hint="eastAsia" w:cs="宋体"/>
                <w:b/>
                <w:color w:val="auto"/>
                <w:sz w:val="24"/>
                <w:szCs w:val="24"/>
                <w:highlight w:val="none"/>
              </w:rPr>
              <w:t>）</w:t>
            </w:r>
          </w:p>
          <w:tbl>
            <w:tblPr>
              <w:tblStyle w:val="29"/>
              <w:tblW w:w="95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3627"/>
              <w:gridCol w:w="1633"/>
              <w:gridCol w:w="1751"/>
              <w:gridCol w:w="1204"/>
              <w:gridCol w:w="13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61" w:hRule="atLeast"/>
                <w:jc w:val="center"/>
              </w:trPr>
              <w:tc>
                <w:tcPr>
                  <w:tcW w:w="3627"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点位名称</w:t>
                  </w:r>
                </w:p>
              </w:tc>
              <w:tc>
                <w:tcPr>
                  <w:tcW w:w="1633"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检测日期</w:t>
                  </w:r>
                </w:p>
              </w:tc>
              <w:tc>
                <w:tcPr>
                  <w:tcW w:w="1751" w:type="dxa"/>
                  <w:vMerge w:val="restart"/>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监测内容</w:t>
                  </w:r>
                </w:p>
              </w:tc>
              <w:tc>
                <w:tcPr>
                  <w:tcW w:w="2526" w:type="dxa"/>
                  <w:gridSpan w:val="2"/>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检测结果</w:t>
                  </w:r>
                </w:p>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15" w:hRule="atLeast"/>
                <w:jc w:val="center"/>
              </w:trPr>
              <w:tc>
                <w:tcPr>
                  <w:tcW w:w="3627"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633"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51"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204"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昼间</w:t>
                  </w:r>
                </w:p>
              </w:tc>
              <w:tc>
                <w:tcPr>
                  <w:tcW w:w="1322"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77"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厂界外北侧1m处1</w:t>
                  </w:r>
                </w:p>
              </w:tc>
              <w:tc>
                <w:tcPr>
                  <w:tcW w:w="1633"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175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77"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厂界外西侧1m处2</w:t>
                  </w:r>
                </w:p>
              </w:tc>
              <w:tc>
                <w:tcPr>
                  <w:tcW w:w="1633"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51"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1"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厂界外南侧1m处3</w:t>
                  </w:r>
                </w:p>
              </w:tc>
              <w:tc>
                <w:tcPr>
                  <w:tcW w:w="1633"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51"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48</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94"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附近居民点4</w:t>
                  </w:r>
                </w:p>
              </w:tc>
              <w:tc>
                <w:tcPr>
                  <w:tcW w:w="1633"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751"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77"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厂界外北侧1m处1</w:t>
                  </w:r>
                </w:p>
              </w:tc>
              <w:tc>
                <w:tcPr>
                  <w:tcW w:w="1633" w:type="dxa"/>
                  <w:vMerge w:val="restart"/>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2020.11.14</w:t>
                  </w:r>
                </w:p>
              </w:tc>
              <w:tc>
                <w:tcPr>
                  <w:tcW w:w="1751"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52</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77"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厂界外西侧1m处2</w:t>
                  </w:r>
                </w:p>
              </w:tc>
              <w:tc>
                <w:tcPr>
                  <w:tcW w:w="1633"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51"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51</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77"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厂界外南侧1m处3</w:t>
                  </w:r>
                </w:p>
              </w:tc>
              <w:tc>
                <w:tcPr>
                  <w:tcW w:w="1633" w:type="dxa"/>
                  <w:vMerge w:val="continue"/>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1751"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447" w:hRule="atLeast"/>
                <w:jc w:val="center"/>
              </w:trPr>
              <w:tc>
                <w:tcPr>
                  <w:tcW w:w="3627"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附近居民点4</w:t>
                  </w:r>
                </w:p>
              </w:tc>
              <w:tc>
                <w:tcPr>
                  <w:tcW w:w="1633" w:type="dxa"/>
                  <w:vMerge w:val="continue"/>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751" w:type="dxa"/>
                  <w:tcBorders>
                    <w:tl2br w:val="nil"/>
                    <w:tr2bl w:val="nil"/>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声环境噪声</w:t>
                  </w:r>
                </w:p>
              </w:tc>
              <w:tc>
                <w:tcPr>
                  <w:tcW w:w="1204"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50</w:t>
                  </w:r>
                </w:p>
              </w:tc>
              <w:tc>
                <w:tcPr>
                  <w:tcW w:w="1322" w:type="dxa"/>
                  <w:tcBorders>
                    <w:tl2br w:val="nil"/>
                    <w:tr2bl w:val="nil"/>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r>
          </w:tbl>
          <w:p>
            <w:pPr>
              <w:spacing w:line="440" w:lineRule="exact"/>
              <w:ind w:firstLine="480" w:firstLineChars="200"/>
              <w:rPr>
                <w:rFonts w:hint="eastAsia" w:cs="宋体"/>
                <w:color w:val="auto"/>
                <w:sz w:val="24"/>
                <w:szCs w:val="24"/>
                <w:highlight w:val="none"/>
              </w:rPr>
            </w:pPr>
          </w:p>
          <w:p>
            <w:pPr>
              <w:spacing w:line="440" w:lineRule="exact"/>
              <w:ind w:firstLine="480" w:firstLineChars="200"/>
              <w:rPr>
                <w:rFonts w:hint="eastAsia" w:cs="宋体"/>
                <w:color w:val="auto"/>
                <w:highlight w:val="none"/>
              </w:rPr>
            </w:pPr>
            <w:r>
              <w:rPr>
                <w:rFonts w:hint="eastAsia" w:cs="宋体"/>
                <w:color w:val="auto"/>
                <w:sz w:val="24"/>
                <w:szCs w:val="24"/>
                <w:highlight w:val="none"/>
              </w:rPr>
              <w:t>由表</w:t>
            </w:r>
            <w:r>
              <w:rPr>
                <w:color w:val="auto"/>
                <w:sz w:val="24"/>
                <w:szCs w:val="24"/>
                <w:highlight w:val="none"/>
              </w:rPr>
              <w:t>1</w:t>
            </w:r>
            <w:r>
              <w:rPr>
                <w:rFonts w:hint="eastAsia"/>
                <w:color w:val="auto"/>
                <w:sz w:val="24"/>
                <w:szCs w:val="24"/>
                <w:highlight w:val="none"/>
                <w:lang w:val="en-US" w:eastAsia="zh-CN"/>
              </w:rPr>
              <w:t>4</w:t>
            </w:r>
            <w:r>
              <w:rPr>
                <w:rFonts w:hint="eastAsia" w:cs="宋体"/>
                <w:color w:val="auto"/>
                <w:sz w:val="24"/>
                <w:szCs w:val="24"/>
                <w:highlight w:val="none"/>
              </w:rPr>
              <w:t>可知，工程所在地昼间噪声在</w:t>
            </w:r>
            <w:r>
              <w:rPr>
                <w:color w:val="auto"/>
                <w:sz w:val="24"/>
                <w:szCs w:val="24"/>
                <w:highlight w:val="none"/>
              </w:rPr>
              <w:t>4</w:t>
            </w:r>
            <w:r>
              <w:rPr>
                <w:rFonts w:hint="eastAsia"/>
                <w:color w:val="auto"/>
                <w:sz w:val="24"/>
                <w:szCs w:val="24"/>
                <w:highlight w:val="none"/>
                <w:lang w:val="en-US" w:eastAsia="zh-CN"/>
              </w:rPr>
              <w:t>6</w:t>
            </w: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~5</w:t>
            </w:r>
            <w:r>
              <w:rPr>
                <w:rFonts w:hint="eastAsia"/>
                <w:color w:val="auto"/>
                <w:sz w:val="24"/>
                <w:szCs w:val="24"/>
                <w:highlight w:val="none"/>
                <w:lang w:val="en-US" w:eastAsia="zh-CN"/>
              </w:rPr>
              <w:t>0.5</w:t>
            </w:r>
            <w:r>
              <w:rPr>
                <w:color w:val="auto"/>
                <w:sz w:val="24"/>
                <w:szCs w:val="24"/>
                <w:highlight w:val="none"/>
              </w:rPr>
              <w:t>dB(A)</w:t>
            </w:r>
            <w:r>
              <w:rPr>
                <w:rFonts w:hint="eastAsia" w:cs="宋体"/>
                <w:color w:val="auto"/>
                <w:sz w:val="24"/>
                <w:szCs w:val="24"/>
                <w:highlight w:val="none"/>
              </w:rPr>
              <w:t>之间，夜间噪声在</w:t>
            </w:r>
            <w:r>
              <w:rPr>
                <w:color w:val="auto"/>
                <w:sz w:val="24"/>
                <w:szCs w:val="24"/>
                <w:highlight w:val="none"/>
              </w:rPr>
              <w:t>4</w:t>
            </w:r>
            <w:r>
              <w:rPr>
                <w:rFonts w:hint="eastAsia"/>
                <w:color w:val="auto"/>
                <w:sz w:val="24"/>
                <w:szCs w:val="24"/>
                <w:highlight w:val="none"/>
                <w:lang w:val="en-US" w:eastAsia="zh-CN"/>
              </w:rPr>
              <w:t>0.6</w:t>
            </w:r>
            <w:r>
              <w:rPr>
                <w:color w:val="auto"/>
                <w:sz w:val="24"/>
                <w:szCs w:val="24"/>
                <w:highlight w:val="none"/>
              </w:rPr>
              <w:t>-4</w:t>
            </w:r>
            <w:r>
              <w:rPr>
                <w:rFonts w:hint="eastAsia"/>
                <w:color w:val="auto"/>
                <w:sz w:val="24"/>
                <w:szCs w:val="24"/>
                <w:highlight w:val="none"/>
                <w:lang w:val="en-US" w:eastAsia="zh-CN"/>
              </w:rPr>
              <w:t>4.9</w:t>
            </w:r>
            <w:r>
              <w:rPr>
                <w:color w:val="auto"/>
                <w:sz w:val="24"/>
                <w:szCs w:val="24"/>
                <w:highlight w:val="none"/>
              </w:rPr>
              <w:t>dB(A)</w:t>
            </w:r>
            <w:r>
              <w:rPr>
                <w:rFonts w:hint="eastAsia" w:cs="宋体"/>
                <w:color w:val="auto"/>
                <w:sz w:val="24"/>
                <w:szCs w:val="24"/>
                <w:highlight w:val="none"/>
              </w:rPr>
              <w:t>之间，区域声环境能够满足</w:t>
            </w:r>
            <w:r>
              <w:rPr>
                <w:color w:val="auto"/>
                <w:sz w:val="24"/>
                <w:szCs w:val="24"/>
                <w:highlight w:val="none"/>
              </w:rPr>
              <w:t>GB3096—2008</w:t>
            </w:r>
            <w:r>
              <w:rPr>
                <w:rFonts w:hint="eastAsia" w:cs="宋体"/>
                <w:color w:val="auto"/>
                <w:sz w:val="24"/>
                <w:szCs w:val="24"/>
                <w:highlight w:val="none"/>
              </w:rPr>
              <w:t>《声环境质量标准》</w:t>
            </w:r>
            <w:r>
              <w:rPr>
                <w:color w:val="auto"/>
                <w:sz w:val="24"/>
                <w:szCs w:val="24"/>
                <w:highlight w:val="none"/>
              </w:rPr>
              <w:t>2</w:t>
            </w:r>
            <w:r>
              <w:rPr>
                <w:rFonts w:hint="eastAsia" w:cs="宋体"/>
                <w:color w:val="auto"/>
                <w:sz w:val="24"/>
                <w:szCs w:val="24"/>
                <w:highlight w:val="none"/>
              </w:rPr>
              <w:t>类标准，区域声环境质量现状较好</w:t>
            </w:r>
            <w:r>
              <w:rPr>
                <w:rFonts w:hint="eastAsia" w:cs="宋体"/>
                <w:color w:val="auto"/>
                <w:highlight w:val="none"/>
              </w:rPr>
              <w:t>。</w:t>
            </w:r>
          </w:p>
          <w:p>
            <w:pPr>
              <w:numPr>
                <w:ilvl w:val="0"/>
                <w:numId w:val="8"/>
              </w:numPr>
              <w:spacing w:line="44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土壤环境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本项目委托</w:t>
            </w:r>
            <w:r>
              <w:rPr>
                <w:rFonts w:hint="eastAsia" w:cs="宋体"/>
                <w:color w:val="auto"/>
                <w:sz w:val="24"/>
                <w:szCs w:val="24"/>
                <w:highlight w:val="none"/>
                <w:shd w:val="clear" w:color="auto" w:fill="auto"/>
                <w:lang w:val="en-US" w:eastAsia="zh-CN"/>
              </w:rPr>
              <w:t>湖南昌旭环保科技有限公司</w:t>
            </w:r>
            <w:r>
              <w:rPr>
                <w:rFonts w:hint="eastAsia" w:ascii="Times New Roman" w:hAnsi="Times New Roman" w:eastAsia="宋体" w:cs="Times New Roman"/>
                <w:color w:val="auto"/>
                <w:sz w:val="24"/>
                <w:szCs w:val="24"/>
                <w:highlight w:val="none"/>
                <w:lang w:val="en-US" w:eastAsia="zh-CN"/>
              </w:rPr>
              <w:t>对</w:t>
            </w:r>
            <w:r>
              <w:rPr>
                <w:rFonts w:hint="eastAsia" w:eastAsia="宋体" w:cs="Times New Roman"/>
                <w:color w:val="auto"/>
                <w:sz w:val="24"/>
                <w:szCs w:val="24"/>
                <w:highlight w:val="none"/>
                <w:lang w:val="en-US" w:eastAsia="zh-CN"/>
              </w:rPr>
              <w:t>项目所在地块内</w:t>
            </w:r>
            <w:r>
              <w:rPr>
                <w:rFonts w:hint="eastAsia" w:ascii="Times New Roman" w:hAnsi="Times New Roman" w:eastAsia="宋体" w:cs="Times New Roman"/>
                <w:color w:val="auto"/>
                <w:sz w:val="24"/>
                <w:szCs w:val="24"/>
                <w:highlight w:val="none"/>
                <w:lang w:val="en-US" w:eastAsia="zh-CN"/>
              </w:rPr>
              <w:t>的土壤环境质量现状进行了一期监测，监测时间为2020年</w:t>
            </w:r>
            <w:r>
              <w:rPr>
                <w:rFonts w:hint="eastAsia"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月</w:t>
            </w:r>
            <w:r>
              <w:rPr>
                <w:rFonts w:hint="eastAsia"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日，监测点位图见附图</w:t>
            </w:r>
            <w:r>
              <w:rPr>
                <w:rFonts w:hint="eastAsia"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，监测结果见下表</w:t>
            </w:r>
            <w:r>
              <w:rPr>
                <w:rFonts w:hint="eastAsia" w:cs="Times New Roman"/>
                <w:color w:val="auto"/>
                <w:sz w:val="24"/>
                <w:szCs w:val="24"/>
                <w:highlight w:val="none"/>
                <w:lang w:val="en-US" w:eastAsia="zh-CN"/>
              </w:rPr>
              <w:t>19</w:t>
            </w:r>
            <w:r>
              <w:rPr>
                <w:rFonts w:hint="eastAsia" w:ascii="Times New Roman" w:hAnsi="Times New Roman" w:eastAsia="宋体" w:cs="Times New Roman"/>
                <w:color w:val="auto"/>
                <w:sz w:val="24"/>
                <w:szCs w:val="24"/>
                <w:highlight w:val="none"/>
                <w:lang w:val="en-US" w:eastAsia="zh-CN"/>
              </w:rPr>
              <w:t>。</w:t>
            </w:r>
          </w:p>
          <w:p>
            <w:pPr>
              <w:spacing w:line="460" w:lineRule="exact"/>
              <w:ind w:firstLine="482" w:firstLineChars="200"/>
              <w:jc w:val="center"/>
              <w:rPr>
                <w:rFonts w:hint="default"/>
                <w:lang w:val="en-US" w:eastAsia="zh-CN"/>
              </w:rPr>
            </w:pPr>
            <w:r>
              <w:rPr>
                <w:rFonts w:hint="eastAsia" w:cs="宋体"/>
                <w:b/>
                <w:bCs/>
                <w:color w:val="auto"/>
                <w:sz w:val="24"/>
                <w:szCs w:val="24"/>
                <w:highlight w:val="none"/>
                <w:lang w:val="en-US" w:eastAsia="zh-CN"/>
              </w:rPr>
              <w:t>表19土壤监测结果</w:t>
            </w:r>
          </w:p>
          <w:tbl>
            <w:tblPr>
              <w:tblStyle w:val="29"/>
              <w:tblW w:w="95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64" w:type="dxa"/>
                <w:bottom w:w="0" w:type="dxa"/>
                <w:right w:w="51" w:type="dxa"/>
              </w:tblCellMar>
            </w:tblPr>
            <w:tblGrid>
              <w:gridCol w:w="2046"/>
              <w:gridCol w:w="2340"/>
              <w:gridCol w:w="1928"/>
              <w:gridCol w:w="1775"/>
              <w:gridCol w:w="1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76" w:hRule="atLeast"/>
                <w:jc w:val="center"/>
              </w:trPr>
              <w:tc>
                <w:tcPr>
                  <w:tcW w:w="2046" w:type="dxa"/>
                  <w:vMerge w:val="restart"/>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检测日期</w:t>
                  </w:r>
                </w:p>
              </w:tc>
              <w:tc>
                <w:tcPr>
                  <w:tcW w:w="2340" w:type="dxa"/>
                  <w:vMerge w:val="restart"/>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检测项目</w:t>
                  </w:r>
                </w:p>
              </w:tc>
              <w:tc>
                <w:tcPr>
                  <w:tcW w:w="5212" w:type="dxa"/>
                  <w:gridSpan w:val="3"/>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检测结果</w:t>
                  </w:r>
                </w:p>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258" w:hRule="atLeast"/>
                <w:jc w:val="center"/>
              </w:trPr>
              <w:tc>
                <w:tcPr>
                  <w:tcW w:w="2046" w:type="dxa"/>
                  <w:vMerge w:val="continue"/>
                  <w:tcBorders>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p>
              </w:tc>
              <w:tc>
                <w:tcPr>
                  <w:tcW w:w="2340" w:type="dxa"/>
                  <w:vMerge w:val="continue"/>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1928"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厂区内T1</w:t>
                  </w:r>
                </w:p>
              </w:tc>
              <w:tc>
                <w:tcPr>
                  <w:tcW w:w="1775"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厂区内T2</w:t>
                  </w:r>
                </w:p>
              </w:tc>
              <w:tc>
                <w:tcPr>
                  <w:tcW w:w="1509" w:type="dxa"/>
                  <w:tcBorders>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厂区内T3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restart"/>
                  <w:tcBorders>
                    <w:top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2340"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1.68</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1.77</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镉</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六价铬</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铜</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35</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47</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铅</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83.6</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75.4</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汞</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0.030</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0.033</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0.029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镍</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37</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45</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四氯化碳</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氯仿</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氯甲烷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1,1-二氯乙烷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1,1-二氯乙烯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顺式-1,2-二氯乙烯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反式-1,2-二氯乙烯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4"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二氯甲烷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87"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1,1,1,2-四氯乙烷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1,1,2,2-四氯乙烷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四氯乙烯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1,1,1-三氯乙烷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252"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1,1,2-三氯乙烷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22"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三氯乙烯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1,2,3-三氯丙烷</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氯苯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1,2-二氯苯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12"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1,4-二氯苯</w:t>
                  </w:r>
                </w:p>
              </w:tc>
              <w:tc>
                <w:tcPr>
                  <w:tcW w:w="1928"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14" w:hRule="atLeast"/>
                <w:jc w:val="center"/>
              </w:trPr>
              <w:tc>
                <w:tcPr>
                  <w:tcW w:w="2046" w:type="dxa"/>
                  <w:vMerge w:val="restart"/>
                  <w:tcBorders>
                    <w:top w:val="single" w:color="auto" w:sz="12"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2020.11.13</w:t>
                  </w:r>
                </w:p>
              </w:tc>
              <w:tc>
                <w:tcPr>
                  <w:tcW w:w="2340" w:type="dxa"/>
                  <w:tcBorders>
                    <w:top w:val="single" w:color="auto" w:sz="12"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乙苯</w:t>
                  </w:r>
                </w:p>
              </w:tc>
              <w:tc>
                <w:tcPr>
                  <w:tcW w:w="1928"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12"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苯乙烯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甲苯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邻-二甲苯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间-二甲苯+对-二甲苯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硝基苯</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苯胺</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2-氯酚</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苯并(a)蒽</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苯并(a)芘</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苯并(b)荧蒽</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苯并(k)荧蒽</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䓛</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二苯并(a, h)蒽</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0"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茚并(1,2,3-c,d)芘</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64" w:type="dxa"/>
                  <w:bottom w:w="0" w:type="dxa"/>
                  <w:right w:w="51" w:type="dxa"/>
                </w:tblCellMar>
              </w:tblPrEx>
              <w:trPr>
                <w:cantSplit/>
                <w:trHeight w:val="307" w:hRule="atLeast"/>
                <w:jc w:val="center"/>
              </w:trPr>
              <w:tc>
                <w:tcPr>
                  <w:tcW w:w="2046" w:type="dxa"/>
                  <w:vMerge w:val="continue"/>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p>
              </w:tc>
              <w:tc>
                <w:tcPr>
                  <w:tcW w:w="2340" w:type="dxa"/>
                  <w:tcBorders>
                    <w:top w:val="single" w:color="auto" w:sz="4" w:space="0"/>
                    <w:bottom w:val="single" w:color="auto" w:sz="4" w:space="0"/>
                  </w:tcBorders>
                  <w:noWrap w:val="0"/>
                  <w:vAlign w:val="center"/>
                </w:tcPr>
                <w:p>
                  <w:pPr>
                    <w:spacing w:line="460" w:lineRule="exact"/>
                    <w:jc w:val="center"/>
                    <w:rPr>
                      <w:rFonts w:hint="eastAsia" w:ascii="Times New Roman" w:hAnsi="Times New Roman" w:eastAsia="宋体" w:cs="Times New Roman"/>
                      <w:bCs/>
                      <w:color w:val="auto"/>
                      <w:sz w:val="21"/>
                      <w:szCs w:val="24"/>
                      <w:highlight w:val="none"/>
                      <w:lang w:val="en-US" w:eastAsia="zh-CN"/>
                    </w:rPr>
                  </w:pPr>
                  <w:r>
                    <w:rPr>
                      <w:rFonts w:hint="eastAsia" w:ascii="Times New Roman" w:hAnsi="Times New Roman" w:eastAsia="宋体" w:cs="Times New Roman"/>
                      <w:bCs/>
                      <w:color w:val="auto"/>
                      <w:sz w:val="21"/>
                      <w:szCs w:val="24"/>
                      <w:highlight w:val="none"/>
                      <w:lang w:val="en-US" w:eastAsia="zh-CN"/>
                    </w:rPr>
                    <w:t>萘</w:t>
                  </w:r>
                </w:p>
              </w:tc>
              <w:tc>
                <w:tcPr>
                  <w:tcW w:w="1928"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775"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c>
                <w:tcPr>
                  <w:tcW w:w="1509" w:type="dxa"/>
                  <w:tcBorders>
                    <w:top w:val="single" w:color="auto" w:sz="4" w:space="0"/>
                    <w:bottom w:val="single" w:color="auto" w:sz="4" w:space="0"/>
                  </w:tcBorders>
                  <w:noWrap w:val="0"/>
                  <w:vAlign w:val="center"/>
                </w:tcPr>
                <w:p>
                  <w:pPr>
                    <w:spacing w:line="460" w:lineRule="exact"/>
                    <w:jc w:val="center"/>
                    <w:rPr>
                      <w:rFonts w:hint="default" w:ascii="Times New Roman" w:hAnsi="Times New Roman" w:eastAsia="宋体" w:cs="Times New Roman"/>
                      <w:bCs/>
                      <w:color w:val="auto"/>
                      <w:sz w:val="21"/>
                      <w:szCs w:val="24"/>
                      <w:highlight w:val="none"/>
                      <w:lang w:val="en-US" w:eastAsia="zh-CN"/>
                    </w:rPr>
                  </w:pPr>
                  <w:r>
                    <w:rPr>
                      <w:rFonts w:hint="default" w:ascii="Times New Roman" w:hAnsi="Times New Roman" w:eastAsia="宋体" w:cs="Times New Roman"/>
                      <w:bCs/>
                      <w:color w:val="auto"/>
                      <w:sz w:val="21"/>
                      <w:szCs w:val="24"/>
                      <w:highlight w:val="none"/>
                      <w:lang w:val="en-US" w:eastAsia="zh-CN"/>
                    </w:rPr>
                    <w:t>ND</w:t>
                  </w:r>
                </w:p>
              </w:tc>
            </w:tr>
          </w:tbl>
          <w:p>
            <w:pPr>
              <w:spacing w:line="440" w:lineRule="exact"/>
              <w:ind w:firstLine="480" w:firstLineChars="200"/>
              <w:rPr>
                <w:rFonts w:hint="default"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8" w:hRule="atLeast"/>
          <w:jc w:val="center"/>
        </w:trPr>
        <w:tc>
          <w:tcPr>
            <w:tcW w:w="9975" w:type="dxa"/>
            <w:gridSpan w:val="10"/>
          </w:tcPr>
          <w:p>
            <w:pPr>
              <w:pStyle w:val="24"/>
              <w:spacing w:after="0"/>
              <w:rPr>
                <w:color w:val="auto"/>
                <w:highlight w:val="none"/>
              </w:rPr>
            </w:pPr>
            <w:r>
              <w:rPr>
                <w:rFonts w:hint="eastAsia" w:cs="宋体"/>
                <w:color w:val="auto"/>
                <w:highlight w:val="none"/>
              </w:rPr>
              <w:t>主要环境保护目标（列出名单及保护级别）：</w:t>
            </w:r>
          </w:p>
          <w:p>
            <w:pPr>
              <w:spacing w:line="400" w:lineRule="exact"/>
              <w:ind w:firstLine="480" w:firstLineChars="200"/>
              <w:rPr>
                <w:color w:val="auto"/>
                <w:sz w:val="24"/>
                <w:szCs w:val="24"/>
                <w:highlight w:val="none"/>
              </w:rPr>
            </w:pPr>
            <w:r>
              <w:rPr>
                <w:rFonts w:hint="eastAsia" w:cs="宋体"/>
                <w:color w:val="auto"/>
                <w:sz w:val="24"/>
                <w:szCs w:val="24"/>
                <w:highlight w:val="none"/>
              </w:rPr>
              <w:t>本工程</w:t>
            </w:r>
            <w:r>
              <w:rPr>
                <w:rFonts w:hint="eastAsia" w:cs="宋体"/>
                <w:color w:val="auto"/>
                <w:sz w:val="24"/>
                <w:szCs w:val="24"/>
                <w:highlight w:val="none"/>
                <w:lang w:eastAsia="zh-CN"/>
              </w:rPr>
              <w:t>主要</w:t>
            </w:r>
            <w:r>
              <w:rPr>
                <w:rFonts w:hint="eastAsia" w:cs="宋体"/>
                <w:color w:val="auto"/>
                <w:sz w:val="24"/>
                <w:szCs w:val="24"/>
                <w:highlight w:val="none"/>
              </w:rPr>
              <w:t>环境保护目标位置、具体关系及保护级别见表</w:t>
            </w:r>
            <w:r>
              <w:rPr>
                <w:color w:val="auto"/>
                <w:sz w:val="24"/>
                <w:szCs w:val="24"/>
                <w:highlight w:val="none"/>
              </w:rPr>
              <w:t>1</w:t>
            </w:r>
            <w:r>
              <w:rPr>
                <w:rFonts w:hint="eastAsia"/>
                <w:color w:val="auto"/>
                <w:sz w:val="24"/>
                <w:szCs w:val="24"/>
                <w:highlight w:val="none"/>
                <w:lang w:val="en-US" w:eastAsia="zh-CN"/>
              </w:rPr>
              <w:t>5</w:t>
            </w:r>
            <w:r>
              <w:rPr>
                <w:rFonts w:hint="eastAsia" w:cs="宋体"/>
                <w:color w:val="auto"/>
                <w:sz w:val="24"/>
                <w:szCs w:val="24"/>
                <w:highlight w:val="none"/>
              </w:rPr>
              <w:t>。</w:t>
            </w:r>
          </w:p>
          <w:p>
            <w:pPr>
              <w:spacing w:line="460" w:lineRule="exact"/>
              <w:ind w:firstLine="482" w:firstLineChars="200"/>
              <w:jc w:val="center"/>
              <w:rPr>
                <w:b/>
                <w:bCs/>
                <w:color w:val="auto"/>
                <w:sz w:val="24"/>
                <w:szCs w:val="24"/>
                <w:highlight w:val="none"/>
              </w:rPr>
            </w:pPr>
            <w:r>
              <w:rPr>
                <w:rFonts w:hint="eastAsia"/>
                <w:b/>
                <w:bCs/>
                <w:color w:val="auto"/>
                <w:sz w:val="24"/>
                <w:szCs w:val="24"/>
                <w:highlight w:val="none"/>
              </w:rPr>
              <w:t>表</w:t>
            </w:r>
            <w:r>
              <w:rPr>
                <w:rFonts w:hint="eastAsia"/>
                <w:b/>
                <w:bCs/>
                <w:color w:val="auto"/>
                <w:sz w:val="24"/>
                <w:szCs w:val="24"/>
                <w:highlight w:val="none"/>
                <w:lang w:val="en-US" w:eastAsia="zh-CN"/>
              </w:rPr>
              <w:t xml:space="preserve">20 </w:t>
            </w:r>
            <w:r>
              <w:rPr>
                <w:rFonts w:hint="eastAsia"/>
                <w:b/>
                <w:bCs/>
                <w:color w:val="auto"/>
                <w:sz w:val="24"/>
                <w:szCs w:val="24"/>
                <w:highlight w:val="none"/>
              </w:rPr>
              <w:t>主要环境保护目标及保护级别</w:t>
            </w:r>
          </w:p>
          <w:tbl>
            <w:tblPr>
              <w:tblStyle w:val="29"/>
              <w:tblW w:w="9716"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3"/>
              <w:gridCol w:w="1157"/>
              <w:gridCol w:w="1746"/>
              <w:gridCol w:w="1472"/>
              <w:gridCol w:w="2374"/>
              <w:gridCol w:w="2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730" w:type="dxa"/>
                  <w:gridSpan w:val="2"/>
                  <w:tcBorders>
                    <w:top w:val="single" w:color="auto" w:sz="12" w:space="0"/>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s="宋体"/>
                      <w:color w:val="auto"/>
                      <w:sz w:val="21"/>
                      <w:szCs w:val="21"/>
                      <w:highlight w:val="none"/>
                      <w:u w:val="none"/>
                    </w:rPr>
                    <w:t>类别</w:t>
                  </w:r>
                </w:p>
              </w:tc>
              <w:tc>
                <w:tcPr>
                  <w:tcW w:w="1746"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s="宋体"/>
                      <w:color w:val="auto"/>
                      <w:sz w:val="21"/>
                      <w:szCs w:val="21"/>
                      <w:highlight w:val="none"/>
                      <w:u w:val="none"/>
                    </w:rPr>
                    <w:t>保护目标</w:t>
                  </w:r>
                </w:p>
              </w:tc>
              <w:tc>
                <w:tcPr>
                  <w:tcW w:w="147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s="宋体"/>
                      <w:color w:val="auto"/>
                      <w:sz w:val="21"/>
                      <w:szCs w:val="21"/>
                      <w:highlight w:val="none"/>
                      <w:u w:val="none"/>
                    </w:rPr>
                    <w:t>基本特点</w:t>
                  </w:r>
                </w:p>
              </w:tc>
              <w:tc>
                <w:tcPr>
                  <w:tcW w:w="2374"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none"/>
                    </w:rPr>
                  </w:pPr>
                  <w:r>
                    <w:rPr>
                      <w:rFonts w:hint="eastAsia" w:cs="宋体"/>
                      <w:color w:val="auto"/>
                      <w:sz w:val="21"/>
                      <w:szCs w:val="21"/>
                      <w:highlight w:val="none"/>
                      <w:u w:val="none"/>
                    </w:rPr>
                    <w:t>与工程的方位和距离</w:t>
                  </w:r>
                </w:p>
              </w:tc>
              <w:tc>
                <w:tcPr>
                  <w:tcW w:w="2394" w:type="dxa"/>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s="宋体"/>
                      <w:color w:val="auto"/>
                      <w:sz w:val="21"/>
                      <w:szCs w:val="21"/>
                      <w:highlight w:val="none"/>
                      <w:u w:val="none"/>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573"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污水厂</w:t>
                  </w:r>
                </w:p>
              </w:tc>
              <w:tc>
                <w:tcPr>
                  <w:tcW w:w="1157" w:type="dxa"/>
                  <w:vMerge w:val="restart"/>
                  <w:tcBorders>
                    <w:top w:val="single" w:color="auto" w:sz="12"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s="宋体"/>
                      <w:color w:val="auto"/>
                      <w:sz w:val="21"/>
                      <w:szCs w:val="21"/>
                      <w:highlight w:val="none"/>
                      <w:u w:val="none"/>
                    </w:rPr>
                    <w:t>环境空气</w:t>
                  </w:r>
                </w:p>
              </w:tc>
              <w:tc>
                <w:tcPr>
                  <w:tcW w:w="1746" w:type="dxa"/>
                  <w:tcBorders>
                    <w:top w:val="single" w:color="auto" w:sz="12"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GB" w:eastAsia="zh-CN"/>
                    </w:rPr>
                  </w:pPr>
                  <w:r>
                    <w:rPr>
                      <w:rFonts w:hint="eastAsia" w:cs="宋体"/>
                      <w:color w:val="auto"/>
                      <w:sz w:val="21"/>
                      <w:szCs w:val="21"/>
                      <w:highlight w:val="none"/>
                      <w:u w:val="none"/>
                      <w:lang w:val="en-US" w:eastAsia="zh-CN"/>
                    </w:rPr>
                    <w:t>湘滨镇</w:t>
                  </w:r>
                  <w:r>
                    <w:rPr>
                      <w:rFonts w:hint="eastAsia" w:cs="宋体"/>
                      <w:color w:val="auto"/>
                      <w:sz w:val="21"/>
                      <w:szCs w:val="21"/>
                      <w:highlight w:val="none"/>
                      <w:u w:val="none"/>
                      <w:lang w:val="en-GB"/>
                    </w:rPr>
                    <w:t>居民</w:t>
                  </w:r>
                </w:p>
              </w:tc>
              <w:tc>
                <w:tcPr>
                  <w:tcW w:w="1472"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40户，约160人</w:t>
                  </w:r>
                </w:p>
              </w:tc>
              <w:tc>
                <w:tcPr>
                  <w:tcW w:w="2374" w:type="dxa"/>
                  <w:tcBorders>
                    <w:top w:val="single" w:color="auto" w:sz="12"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pacing w:val="-20"/>
                      <w:sz w:val="21"/>
                      <w:szCs w:val="21"/>
                      <w:highlight w:val="none"/>
                      <w:u w:val="none"/>
                      <w:lang w:val="en-US" w:eastAsia="zh-CN"/>
                    </w:rPr>
                  </w:pPr>
                  <w:r>
                    <w:rPr>
                      <w:rFonts w:hint="eastAsia" w:cs="宋体"/>
                      <w:color w:val="auto"/>
                      <w:spacing w:val="-20"/>
                      <w:sz w:val="21"/>
                      <w:szCs w:val="21"/>
                      <w:highlight w:val="none"/>
                      <w:u w:val="none"/>
                      <w:lang w:val="en-US" w:eastAsia="zh-CN"/>
                    </w:rPr>
                    <w:t>厂界西侧133~536m</w:t>
                  </w:r>
                </w:p>
              </w:tc>
              <w:tc>
                <w:tcPr>
                  <w:tcW w:w="2394" w:type="dxa"/>
                  <w:vMerge w:val="restart"/>
                  <w:tcBorders>
                    <w:top w:val="single" w:color="auto" w:sz="12"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color w:val="auto"/>
                      <w:sz w:val="21"/>
                      <w:szCs w:val="21"/>
                      <w:highlight w:val="none"/>
                      <w:u w:val="none"/>
                    </w:rPr>
                    <w:t>GB3095-2012</w:t>
                  </w:r>
                  <w:r>
                    <w:rPr>
                      <w:rFonts w:hint="eastAsia" w:cs="宋体"/>
                      <w:color w:val="auto"/>
                      <w:sz w:val="21"/>
                      <w:szCs w:val="21"/>
                      <w:highlight w:val="none"/>
                      <w:u w:val="non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c>
                <w:tcPr>
                  <w:tcW w:w="115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kern w:val="2"/>
                      <w:sz w:val="21"/>
                      <w:szCs w:val="21"/>
                      <w:highlight w:val="none"/>
                      <w:u w:val="none"/>
                      <w:lang w:val="en-US" w:eastAsia="zh-CN" w:bidi="ar-SA"/>
                    </w:rPr>
                  </w:pPr>
                </w:p>
              </w:tc>
              <w:tc>
                <w:tcPr>
                  <w:tcW w:w="174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洞庭中学</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厂界西455m</w:t>
                  </w:r>
                </w:p>
              </w:tc>
              <w:tc>
                <w:tcPr>
                  <w:tcW w:w="2394"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c>
                <w:tcPr>
                  <w:tcW w:w="115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kern w:val="2"/>
                      <w:sz w:val="21"/>
                      <w:szCs w:val="21"/>
                      <w:highlight w:val="none"/>
                      <w:u w:val="none"/>
                      <w:lang w:val="en-US" w:eastAsia="zh-CN" w:bidi="ar-SA"/>
                    </w:rPr>
                  </w:pPr>
                </w:p>
              </w:tc>
              <w:tc>
                <w:tcPr>
                  <w:tcW w:w="174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none"/>
                      <w:lang w:val="en-US" w:eastAsia="zh-CN"/>
                    </w:rPr>
                  </w:pPr>
                  <w:r>
                    <w:rPr>
                      <w:rFonts w:hint="eastAsia"/>
                      <w:color w:val="auto"/>
                      <w:sz w:val="21"/>
                      <w:szCs w:val="21"/>
                      <w:highlight w:val="none"/>
                      <w:u w:val="none"/>
                      <w:lang w:val="en-US" w:eastAsia="zh-CN"/>
                    </w:rPr>
                    <w:t>杨家湾居民</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none"/>
                      <w:lang w:val="en-US" w:eastAsia="zh-CN"/>
                    </w:rPr>
                  </w:pPr>
                  <w:r>
                    <w:rPr>
                      <w:rFonts w:hint="eastAsia"/>
                      <w:color w:val="auto"/>
                      <w:sz w:val="21"/>
                      <w:szCs w:val="21"/>
                      <w:highlight w:val="none"/>
                      <w:u w:val="none"/>
                      <w:lang w:val="en-US" w:eastAsia="zh-CN"/>
                    </w:rPr>
                    <w:t>11户，约44人</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none"/>
                      <w:lang w:val="en-US" w:eastAsia="zh-CN"/>
                    </w:rPr>
                  </w:pPr>
                  <w:r>
                    <w:rPr>
                      <w:rFonts w:hint="eastAsia" w:cs="宋体"/>
                      <w:color w:val="auto"/>
                      <w:sz w:val="21"/>
                      <w:szCs w:val="21"/>
                      <w:highlight w:val="none"/>
                      <w:u w:val="none"/>
                      <w:lang w:val="en-US" w:eastAsia="zh-CN"/>
                    </w:rPr>
                    <w:t>厂界东侧284~514m</w:t>
                  </w:r>
                </w:p>
              </w:tc>
              <w:tc>
                <w:tcPr>
                  <w:tcW w:w="2394"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c>
                <w:tcPr>
                  <w:tcW w:w="1157" w:type="dxa"/>
                  <w:vMerge w:val="continue"/>
                  <w:tcBorders>
                    <w:left w:val="single" w:color="auto" w:sz="12"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Times New Roman"/>
                      <w:color w:val="auto"/>
                      <w:kern w:val="2"/>
                      <w:sz w:val="21"/>
                      <w:szCs w:val="21"/>
                      <w:highlight w:val="none"/>
                      <w:u w:val="none"/>
                      <w:lang w:val="en-US" w:eastAsia="zh-CN" w:bidi="ar-SA"/>
                    </w:rPr>
                  </w:pPr>
                </w:p>
              </w:tc>
              <w:tc>
                <w:tcPr>
                  <w:tcW w:w="1746" w:type="dxa"/>
                  <w:tcBorders>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none"/>
                      <w:lang w:val="en-US" w:eastAsia="zh-CN"/>
                    </w:rPr>
                  </w:pPr>
                  <w:r>
                    <w:rPr>
                      <w:rFonts w:hint="eastAsia"/>
                      <w:color w:val="auto"/>
                      <w:sz w:val="21"/>
                      <w:szCs w:val="21"/>
                      <w:highlight w:val="none"/>
                      <w:u w:val="none"/>
                      <w:lang w:val="en-US" w:eastAsia="zh-CN"/>
                    </w:rPr>
                    <w:t>洞庭村十组居民</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olor w:val="auto"/>
                      <w:sz w:val="21"/>
                      <w:szCs w:val="21"/>
                      <w:highlight w:val="none"/>
                      <w:u w:val="none"/>
                      <w:lang w:val="en-US" w:eastAsia="zh-CN"/>
                    </w:rPr>
                  </w:pPr>
                  <w:r>
                    <w:rPr>
                      <w:rFonts w:hint="eastAsia"/>
                      <w:color w:val="auto"/>
                      <w:sz w:val="21"/>
                      <w:szCs w:val="21"/>
                      <w:highlight w:val="none"/>
                      <w:u w:val="none"/>
                      <w:lang w:val="en-US" w:eastAsia="zh-CN"/>
                    </w:rPr>
                    <w:t>48户，约192人</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cs="宋体"/>
                      <w:color w:val="auto"/>
                      <w:sz w:val="21"/>
                      <w:szCs w:val="21"/>
                      <w:highlight w:val="none"/>
                      <w:u w:val="none"/>
                      <w:lang w:val="en-US" w:eastAsia="zh-CN"/>
                    </w:rPr>
                  </w:pPr>
                  <w:r>
                    <w:rPr>
                      <w:rFonts w:hint="eastAsia" w:cs="宋体"/>
                      <w:color w:val="auto"/>
                      <w:sz w:val="21"/>
                      <w:szCs w:val="21"/>
                      <w:highlight w:val="none"/>
                      <w:u w:val="none"/>
                      <w:lang w:val="en-US" w:eastAsia="zh-CN"/>
                    </w:rPr>
                    <w:t>厂界北侧433~558m</w:t>
                  </w:r>
                </w:p>
              </w:tc>
              <w:tc>
                <w:tcPr>
                  <w:tcW w:w="2394"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c>
                <w:tcPr>
                  <w:tcW w:w="1157" w:type="dxa"/>
                  <w:vMerge w:val="restart"/>
                  <w:tcBorders>
                    <w:top w:val="single" w:color="auto" w:sz="6"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s="宋体"/>
                      <w:color w:val="auto"/>
                      <w:sz w:val="21"/>
                      <w:szCs w:val="21"/>
                      <w:highlight w:val="none"/>
                      <w:u w:val="none"/>
                    </w:rPr>
                    <w:t>地表水</w:t>
                  </w:r>
                </w:p>
              </w:tc>
              <w:tc>
                <w:tcPr>
                  <w:tcW w:w="17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王家河</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渔业用水区</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eastAsia="zh-CN"/>
                    </w:rPr>
                  </w:pPr>
                  <w:r>
                    <w:rPr>
                      <w:rFonts w:hint="eastAsia" w:cs="宋体"/>
                      <w:color w:val="auto"/>
                      <w:spacing w:val="-12"/>
                      <w:sz w:val="21"/>
                      <w:szCs w:val="21"/>
                      <w:highlight w:val="none"/>
                      <w:u w:val="none"/>
                      <w:lang w:val="en-US" w:eastAsia="zh-CN"/>
                    </w:rPr>
                    <w:t>/</w:t>
                  </w:r>
                </w:p>
              </w:tc>
              <w:tc>
                <w:tcPr>
                  <w:tcW w:w="239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color w:val="auto"/>
                      <w:sz w:val="21"/>
                      <w:szCs w:val="21"/>
                      <w:highlight w:val="none"/>
                      <w:u w:val="none"/>
                      <w:shd w:val="clear" w:color="auto" w:fill="auto"/>
                    </w:rPr>
                    <w:t>GB3838-2002</w:t>
                  </w:r>
                  <w:r>
                    <w:rPr>
                      <w:rFonts w:hint="eastAsia" w:cs="宋体"/>
                      <w:color w:val="auto"/>
                      <w:sz w:val="21"/>
                      <w:szCs w:val="21"/>
                      <w:highlight w:val="none"/>
                      <w:u w:val="none"/>
                      <w:shd w:val="clear" w:color="auto" w:fill="auto"/>
                    </w:rPr>
                    <w:t>《地表水环境质量标准》</w:t>
                  </w:r>
                  <w:r>
                    <w:rPr>
                      <w:rFonts w:hint="eastAsia" w:cs="宋体"/>
                      <w:color w:val="auto"/>
                      <w:sz w:val="21"/>
                      <w:szCs w:val="21"/>
                      <w:highlight w:val="none"/>
                      <w:u w:val="none"/>
                      <w:shd w:val="clear" w:color="auto" w:fill="auto"/>
                      <w:lang w:eastAsia="ja-JP"/>
                    </w:rPr>
                    <w:t>Ⅲ</w:t>
                  </w:r>
                  <w:r>
                    <w:rPr>
                      <w:rFonts w:hint="eastAsia" w:cs="宋体"/>
                      <w:color w:val="auto"/>
                      <w:sz w:val="21"/>
                      <w:szCs w:val="21"/>
                      <w:highlight w:val="none"/>
                      <w:u w:val="none"/>
                      <w:shd w:val="clear" w:color="auto" w:fill="auto"/>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none"/>
                    </w:rPr>
                  </w:pPr>
                </w:p>
              </w:tc>
              <w:tc>
                <w:tcPr>
                  <w:tcW w:w="115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ascii="Times New Roman" w:hAnsi="Times New Roman" w:eastAsia="宋体" w:cs="宋体"/>
                      <w:color w:val="auto"/>
                      <w:kern w:val="2"/>
                      <w:sz w:val="21"/>
                      <w:szCs w:val="21"/>
                      <w:highlight w:val="none"/>
                      <w:u w:val="none"/>
                      <w:lang w:val="en-US" w:eastAsia="zh-CN" w:bidi="ar-SA"/>
                    </w:rPr>
                  </w:pPr>
                </w:p>
              </w:tc>
              <w:tc>
                <w:tcPr>
                  <w:tcW w:w="17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粟塘社区农田灌溉渠</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z w:val="21"/>
                      <w:szCs w:val="21"/>
                      <w:highlight w:val="none"/>
                      <w:u w:val="none"/>
                      <w:lang w:eastAsia="zh-CN"/>
                    </w:rPr>
                  </w:pPr>
                  <w:r>
                    <w:rPr>
                      <w:rFonts w:hint="eastAsia" w:cs="宋体"/>
                      <w:color w:val="auto"/>
                      <w:sz w:val="21"/>
                      <w:szCs w:val="21"/>
                      <w:highlight w:val="none"/>
                      <w:u w:val="none"/>
                      <w:lang w:eastAsia="zh-CN"/>
                    </w:rPr>
                    <w:t>灌溉</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pacing w:val="-12"/>
                      <w:sz w:val="21"/>
                      <w:szCs w:val="21"/>
                      <w:highlight w:val="none"/>
                      <w:u w:val="none"/>
                    </w:rPr>
                  </w:pPr>
                  <w:r>
                    <w:rPr>
                      <w:rFonts w:hint="eastAsia" w:cs="宋体"/>
                      <w:color w:val="auto"/>
                      <w:spacing w:val="-12"/>
                      <w:sz w:val="21"/>
                      <w:szCs w:val="21"/>
                      <w:highlight w:val="none"/>
                      <w:u w:val="none"/>
                    </w:rPr>
                    <w:t>厂界东北面15m</w:t>
                  </w:r>
                </w:p>
              </w:tc>
              <w:tc>
                <w:tcPr>
                  <w:tcW w:w="2394" w:type="dxa"/>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color w:val="auto"/>
                      <w:sz w:val="21"/>
                      <w:szCs w:val="21"/>
                      <w:highlight w:val="none"/>
                      <w:u w:val="none"/>
                    </w:rPr>
                    <w:t>《地表水环境质量标准》（GB3838-2002）IV 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c>
                <w:tcPr>
                  <w:tcW w:w="1157" w:type="dxa"/>
                  <w:tcBorders>
                    <w:top w:val="single" w:color="auto" w:sz="6" w:space="0"/>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s="宋体"/>
                      <w:color w:val="auto"/>
                      <w:sz w:val="21"/>
                      <w:szCs w:val="21"/>
                      <w:highlight w:val="none"/>
                      <w:u w:val="none"/>
                    </w:rPr>
                    <w:t>声环境</w:t>
                  </w:r>
                </w:p>
              </w:tc>
              <w:tc>
                <w:tcPr>
                  <w:tcW w:w="1746"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GB" w:eastAsia="zh-CN" w:bidi="ar-SA"/>
                    </w:rPr>
                  </w:pPr>
                  <w:r>
                    <w:rPr>
                      <w:rFonts w:hint="eastAsia" w:cs="宋体"/>
                      <w:color w:val="auto"/>
                      <w:sz w:val="21"/>
                      <w:szCs w:val="21"/>
                      <w:highlight w:val="none"/>
                      <w:u w:val="none"/>
                      <w:lang w:val="en-US" w:eastAsia="zh-CN"/>
                    </w:rPr>
                    <w:t>湘滨镇</w:t>
                  </w:r>
                  <w:r>
                    <w:rPr>
                      <w:rFonts w:hint="eastAsia" w:cs="宋体"/>
                      <w:color w:val="auto"/>
                      <w:sz w:val="21"/>
                      <w:szCs w:val="21"/>
                      <w:highlight w:val="none"/>
                      <w:u w:val="none"/>
                      <w:lang w:val="en-GB"/>
                    </w:rPr>
                    <w:t>居民</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none"/>
                      <w:lang w:val="en-US" w:eastAsia="zh-CN" w:bidi="ar-SA"/>
                    </w:rPr>
                  </w:pPr>
                  <w:r>
                    <w:rPr>
                      <w:rFonts w:hint="eastAsia" w:cs="宋体"/>
                      <w:color w:val="auto"/>
                      <w:sz w:val="21"/>
                      <w:szCs w:val="21"/>
                      <w:highlight w:val="none"/>
                      <w:u w:val="none"/>
                      <w:lang w:val="en-US" w:eastAsia="zh-CN"/>
                    </w:rPr>
                    <w:t>40户，约160人</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pacing w:val="-20"/>
                      <w:kern w:val="2"/>
                      <w:sz w:val="21"/>
                      <w:szCs w:val="21"/>
                      <w:highlight w:val="none"/>
                      <w:u w:val="none"/>
                      <w:lang w:val="en-US" w:eastAsia="zh-CN" w:bidi="ar-SA"/>
                    </w:rPr>
                  </w:pPr>
                  <w:r>
                    <w:rPr>
                      <w:rFonts w:hint="eastAsia" w:cs="宋体"/>
                      <w:color w:val="auto"/>
                      <w:spacing w:val="-20"/>
                      <w:sz w:val="21"/>
                      <w:szCs w:val="21"/>
                      <w:highlight w:val="none"/>
                      <w:u w:val="none"/>
                      <w:lang w:val="en-US" w:eastAsia="zh-CN"/>
                    </w:rPr>
                    <w:t>厂界西侧133~536m</w:t>
                  </w:r>
                </w:p>
              </w:tc>
              <w:tc>
                <w:tcPr>
                  <w:tcW w:w="2394" w:type="dxa"/>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color w:val="auto"/>
                      <w:sz w:val="21"/>
                      <w:szCs w:val="21"/>
                      <w:highlight w:val="none"/>
                      <w:u w:val="none"/>
                    </w:rPr>
                    <w:t>GB3096-2008</w:t>
                  </w:r>
                  <w:r>
                    <w:rPr>
                      <w:rFonts w:hint="eastAsia" w:cs="宋体"/>
                      <w:color w:val="auto"/>
                      <w:sz w:val="21"/>
                      <w:szCs w:val="21"/>
                      <w:highlight w:val="none"/>
                      <w:u w:val="none"/>
                    </w:rPr>
                    <w:t>《声环境质量标准》</w:t>
                  </w:r>
                  <w:r>
                    <w:rPr>
                      <w:color w:val="auto"/>
                      <w:sz w:val="21"/>
                      <w:szCs w:val="21"/>
                      <w:highlight w:val="none"/>
                      <w:u w:val="none"/>
                    </w:rPr>
                    <w:t>2</w:t>
                  </w:r>
                  <w:r>
                    <w:rPr>
                      <w:rFonts w:hint="eastAsia" w:cs="宋体"/>
                      <w:color w:val="auto"/>
                      <w:sz w:val="21"/>
                      <w:szCs w:val="21"/>
                      <w:highlight w:val="none"/>
                      <w:u w:val="non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4"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cs="宋体"/>
                      <w:color w:val="auto"/>
                      <w:sz w:val="21"/>
                      <w:szCs w:val="21"/>
                      <w:highlight w:val="none"/>
                      <w:u w:val="none"/>
                    </w:rPr>
                  </w:pPr>
                </w:p>
              </w:tc>
              <w:tc>
                <w:tcPr>
                  <w:tcW w:w="1157" w:type="dxa"/>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none"/>
                      <w:lang w:val="en-US" w:eastAsia="zh-CN" w:bidi="ar-SA"/>
                    </w:rPr>
                  </w:pPr>
                  <w:r>
                    <w:rPr>
                      <w:rFonts w:hint="eastAsia" w:cs="宋体"/>
                      <w:color w:val="auto"/>
                      <w:sz w:val="21"/>
                      <w:szCs w:val="21"/>
                      <w:highlight w:val="none"/>
                      <w:u w:val="none"/>
                    </w:rPr>
                    <w:t>生态环境</w:t>
                  </w:r>
                </w:p>
              </w:tc>
              <w:tc>
                <w:tcPr>
                  <w:tcW w:w="1746" w:type="dxa"/>
                  <w:tcBorders>
                    <w:top w:val="single" w:color="auto" w:sz="6" w:space="0"/>
                    <w:left w:val="single" w:color="auto" w:sz="6" w:space="0"/>
                    <w:bottom w:val="single" w:color="auto" w:sz="6" w:space="0"/>
                    <w:right w:val="single" w:color="auto" w:sz="6" w:space="0"/>
                  </w:tcBorders>
                  <w:vAlign w:val="center"/>
                </w:tcPr>
                <w:p>
                  <w:pPr>
                    <w:pStyle w:val="91"/>
                    <w:keepNext w:val="0"/>
                    <w:keepLines w:val="0"/>
                    <w:pageBreakBefore w:val="0"/>
                    <w:widowControl w:val="0"/>
                    <w:kinsoku/>
                    <w:wordWrap/>
                    <w:topLinePunct w:val="0"/>
                    <w:bidi w:val="0"/>
                    <w:snapToGrid/>
                    <w:spacing w:line="280" w:lineRule="atLeast"/>
                    <w:rPr>
                      <w:color w:val="auto"/>
                      <w:sz w:val="21"/>
                      <w:szCs w:val="21"/>
                      <w:highlight w:val="none"/>
                      <w:u w:val="none"/>
                    </w:rPr>
                  </w:pPr>
                  <w:r>
                    <w:rPr>
                      <w:rFonts w:hint="eastAsia"/>
                      <w:color w:val="auto"/>
                      <w:sz w:val="21"/>
                      <w:szCs w:val="21"/>
                      <w:highlight w:val="none"/>
                      <w:u w:val="none"/>
                    </w:rPr>
                    <w:t>厂界周边农田</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w:t>
                  </w:r>
                </w:p>
              </w:tc>
              <w:tc>
                <w:tcPr>
                  <w:tcW w:w="2394"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生态环境不受破坏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573"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管线</w:t>
                  </w:r>
                </w:p>
              </w:tc>
              <w:tc>
                <w:tcPr>
                  <w:tcW w:w="1157" w:type="dxa"/>
                  <w:vMerge w:val="restart"/>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s="宋体"/>
                      <w:color w:val="auto"/>
                      <w:sz w:val="21"/>
                      <w:szCs w:val="21"/>
                      <w:highlight w:val="none"/>
                      <w:u w:val="none"/>
                    </w:rPr>
                    <w:t>环境空气</w:t>
                  </w:r>
                </w:p>
              </w:tc>
              <w:tc>
                <w:tcPr>
                  <w:tcW w:w="17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GB" w:eastAsia="zh-CN" w:bidi="ar-SA"/>
                    </w:rPr>
                  </w:pPr>
                  <w:r>
                    <w:rPr>
                      <w:rFonts w:hint="eastAsia" w:cs="宋体"/>
                      <w:color w:val="auto"/>
                      <w:sz w:val="21"/>
                      <w:szCs w:val="21"/>
                      <w:highlight w:val="none"/>
                      <w:u w:val="none"/>
                      <w:lang w:val="en-US" w:eastAsia="zh-CN"/>
                    </w:rPr>
                    <w:t>湘滨镇</w:t>
                  </w:r>
                  <w:r>
                    <w:rPr>
                      <w:rFonts w:hint="eastAsia" w:cs="宋体"/>
                      <w:color w:val="auto"/>
                      <w:sz w:val="21"/>
                      <w:szCs w:val="21"/>
                      <w:highlight w:val="none"/>
                      <w:u w:val="none"/>
                      <w:lang w:val="en-GB"/>
                    </w:rPr>
                    <w:t>居民</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none"/>
                      <w:lang w:val="en-US" w:eastAsia="zh-CN" w:bidi="ar-SA"/>
                    </w:rPr>
                  </w:pPr>
                  <w:r>
                    <w:rPr>
                      <w:rFonts w:hint="eastAsia" w:cs="宋体"/>
                      <w:color w:val="auto"/>
                      <w:sz w:val="21"/>
                      <w:szCs w:val="21"/>
                      <w:highlight w:val="none"/>
                      <w:u w:val="none"/>
                      <w:lang w:val="en-US" w:eastAsia="zh-CN"/>
                    </w:rPr>
                    <w:t>40户，约160人</w:t>
                  </w:r>
                </w:p>
              </w:tc>
              <w:tc>
                <w:tcPr>
                  <w:tcW w:w="2374"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spacing w:val="-20"/>
                      <w:kern w:val="2"/>
                      <w:sz w:val="21"/>
                      <w:szCs w:val="21"/>
                      <w:highlight w:val="none"/>
                      <w:u w:val="none"/>
                      <w:lang w:val="en-US" w:eastAsia="zh-CN" w:bidi="ar-SA"/>
                    </w:rPr>
                  </w:pPr>
                  <w:r>
                    <w:rPr>
                      <w:rFonts w:hint="eastAsia" w:cs="宋体"/>
                      <w:color w:val="auto"/>
                      <w:sz w:val="21"/>
                      <w:szCs w:val="21"/>
                      <w:highlight w:val="none"/>
                      <w:u w:val="none"/>
                      <w:lang w:val="en-US" w:eastAsia="zh-CN"/>
                    </w:rPr>
                    <w:t>/</w:t>
                  </w:r>
                </w:p>
              </w:tc>
              <w:tc>
                <w:tcPr>
                  <w:tcW w:w="2394" w:type="dxa"/>
                  <w:vMerge w:val="restart"/>
                  <w:tcBorders>
                    <w:top w:val="single" w:color="auto" w:sz="6" w:space="0"/>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color w:val="auto"/>
                      <w:sz w:val="21"/>
                      <w:szCs w:val="21"/>
                      <w:highlight w:val="none"/>
                      <w:u w:val="none"/>
                    </w:rPr>
                    <w:t>GB3095-2012</w:t>
                  </w:r>
                  <w:r>
                    <w:rPr>
                      <w:rFonts w:hint="eastAsia" w:cs="宋体"/>
                      <w:color w:val="auto"/>
                      <w:sz w:val="21"/>
                      <w:szCs w:val="21"/>
                      <w:highlight w:val="none"/>
                      <w:u w:val="none"/>
                    </w:rPr>
                    <w:t>《环境空气质量标准》二级标准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15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none"/>
                      <w:lang w:val="en-US" w:eastAsia="zh-CN" w:bidi="ar-SA"/>
                    </w:rPr>
                  </w:pPr>
                </w:p>
              </w:tc>
              <w:tc>
                <w:tcPr>
                  <w:tcW w:w="17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洞庭中学</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none"/>
                      <w:lang w:val="en-US" w:eastAsia="zh-CN" w:bidi="ar-SA"/>
                    </w:rPr>
                  </w:pPr>
                  <w:r>
                    <w:rPr>
                      <w:rFonts w:hint="eastAsia" w:eastAsia="宋体" w:cs="宋体"/>
                      <w:color w:val="auto"/>
                      <w:kern w:val="2"/>
                      <w:sz w:val="21"/>
                      <w:szCs w:val="21"/>
                      <w:highlight w:val="none"/>
                      <w:u w:val="none"/>
                      <w:lang w:val="en-US" w:eastAsia="zh-CN" w:bidi="ar-SA"/>
                    </w:rPr>
                    <w:t>/</w:t>
                  </w:r>
                </w:p>
              </w:tc>
              <w:tc>
                <w:tcPr>
                  <w:tcW w:w="2394"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15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none"/>
                      <w:lang w:val="en-US" w:eastAsia="zh-CN" w:bidi="ar-SA"/>
                    </w:rPr>
                  </w:pPr>
                </w:p>
              </w:tc>
              <w:tc>
                <w:tcPr>
                  <w:tcW w:w="17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杨家湾居民</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11户，约44人</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w:t>
                  </w:r>
                </w:p>
              </w:tc>
              <w:tc>
                <w:tcPr>
                  <w:tcW w:w="2394" w:type="dxa"/>
                  <w:vMerge w:val="continue"/>
                  <w:tcBorders>
                    <w:left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157"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none"/>
                      <w:lang w:val="en-US" w:eastAsia="zh-CN" w:bidi="ar-SA"/>
                    </w:rPr>
                  </w:pPr>
                </w:p>
              </w:tc>
              <w:tc>
                <w:tcPr>
                  <w:tcW w:w="174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洞庭村十组居民</w:t>
                  </w:r>
                </w:p>
              </w:tc>
              <w:tc>
                <w:tcPr>
                  <w:tcW w:w="147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48户，约192人</w:t>
                  </w:r>
                </w:p>
              </w:tc>
              <w:tc>
                <w:tcPr>
                  <w:tcW w:w="23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w:t>
                  </w:r>
                </w:p>
              </w:tc>
              <w:tc>
                <w:tcPr>
                  <w:tcW w:w="2394" w:type="dxa"/>
                  <w:vMerge w:val="continue"/>
                  <w:tcBorders>
                    <w:left w:val="single" w:color="auto" w:sz="6" w:space="0"/>
                    <w:bottom w:val="single" w:color="auto" w:sz="6" w:space="0"/>
                    <w:right w:val="single" w:color="auto" w:sz="12" w:space="0"/>
                  </w:tcBorders>
                  <w:vAlign w:val="center"/>
                </w:tcPr>
                <w:p>
                  <w:pPr>
                    <w:keepNext w:val="0"/>
                    <w:keepLines w:val="0"/>
                    <w:pageBreakBefore w:val="0"/>
                    <w:widowControl w:val="0"/>
                    <w:kinsoku/>
                    <w:wordWrap/>
                    <w:topLinePunct w:val="0"/>
                    <w:bidi w:val="0"/>
                    <w:snapToGrid/>
                    <w:spacing w:line="280" w:lineRule="atLeast"/>
                    <w:jc w:val="center"/>
                    <w:rPr>
                      <w:rFonts w:hint="eastAsia"/>
                      <w:color w:val="auto"/>
                      <w:sz w:val="21"/>
                      <w:szCs w:val="21"/>
                      <w:highlight w:val="none"/>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p>
              </w:tc>
              <w:tc>
                <w:tcPr>
                  <w:tcW w:w="1157"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s="宋体"/>
                      <w:color w:val="auto"/>
                      <w:sz w:val="21"/>
                      <w:szCs w:val="21"/>
                      <w:highlight w:val="none"/>
                      <w:u w:val="none"/>
                    </w:rPr>
                    <w:t>声环境</w:t>
                  </w:r>
                </w:p>
              </w:tc>
              <w:tc>
                <w:tcPr>
                  <w:tcW w:w="1746"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GB" w:eastAsia="zh-CN" w:bidi="ar-SA"/>
                    </w:rPr>
                  </w:pPr>
                  <w:r>
                    <w:rPr>
                      <w:rFonts w:hint="eastAsia" w:cs="宋体"/>
                      <w:color w:val="auto"/>
                      <w:sz w:val="21"/>
                      <w:szCs w:val="21"/>
                      <w:highlight w:val="none"/>
                      <w:u w:val="none"/>
                      <w:lang w:val="en-US" w:eastAsia="zh-CN"/>
                    </w:rPr>
                    <w:t>湘滨镇</w:t>
                  </w:r>
                  <w:r>
                    <w:rPr>
                      <w:rFonts w:hint="eastAsia" w:cs="宋体"/>
                      <w:color w:val="auto"/>
                      <w:sz w:val="21"/>
                      <w:szCs w:val="21"/>
                      <w:highlight w:val="none"/>
                      <w:u w:val="none"/>
                      <w:lang w:val="en-GB"/>
                    </w:rPr>
                    <w:t>居民</w:t>
                  </w:r>
                </w:p>
              </w:tc>
              <w:tc>
                <w:tcPr>
                  <w:tcW w:w="1472"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宋体"/>
                      <w:color w:val="auto"/>
                      <w:kern w:val="2"/>
                      <w:sz w:val="21"/>
                      <w:szCs w:val="21"/>
                      <w:highlight w:val="none"/>
                      <w:u w:val="none"/>
                      <w:lang w:val="en-US" w:eastAsia="zh-CN" w:bidi="ar-SA"/>
                    </w:rPr>
                  </w:pPr>
                  <w:r>
                    <w:rPr>
                      <w:rFonts w:hint="eastAsia" w:cs="宋体"/>
                      <w:color w:val="auto"/>
                      <w:sz w:val="21"/>
                      <w:szCs w:val="21"/>
                      <w:highlight w:val="none"/>
                      <w:u w:val="none"/>
                      <w:lang w:val="en-US" w:eastAsia="zh-CN"/>
                    </w:rPr>
                    <w:t>40户，约160人</w:t>
                  </w:r>
                </w:p>
              </w:tc>
              <w:tc>
                <w:tcPr>
                  <w:tcW w:w="2374" w:type="dxa"/>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spacing w:val="-20"/>
                      <w:kern w:val="2"/>
                      <w:sz w:val="21"/>
                      <w:szCs w:val="21"/>
                      <w:highlight w:val="none"/>
                      <w:u w:val="none"/>
                      <w:lang w:val="en-US" w:eastAsia="zh-CN" w:bidi="ar-SA"/>
                    </w:rPr>
                  </w:pPr>
                  <w:r>
                    <w:rPr>
                      <w:rFonts w:hint="eastAsia" w:eastAsia="宋体" w:cs="宋体"/>
                      <w:color w:val="auto"/>
                      <w:spacing w:val="-20"/>
                      <w:kern w:val="2"/>
                      <w:sz w:val="21"/>
                      <w:szCs w:val="21"/>
                      <w:highlight w:val="none"/>
                      <w:u w:val="none"/>
                      <w:lang w:val="en-US" w:eastAsia="zh-CN" w:bidi="ar-SA"/>
                    </w:rPr>
                    <w:t>/</w:t>
                  </w:r>
                </w:p>
              </w:tc>
              <w:tc>
                <w:tcPr>
                  <w:tcW w:w="2394" w:type="dxa"/>
                  <w:vMerge w:val="restart"/>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color w:val="auto"/>
                      <w:sz w:val="21"/>
                      <w:szCs w:val="21"/>
                      <w:highlight w:val="none"/>
                      <w:u w:val="none"/>
                    </w:rPr>
                    <w:t>GB3096-2008</w:t>
                  </w:r>
                  <w:r>
                    <w:rPr>
                      <w:rFonts w:hint="eastAsia" w:cs="宋体"/>
                      <w:color w:val="auto"/>
                      <w:sz w:val="21"/>
                      <w:szCs w:val="21"/>
                      <w:highlight w:val="none"/>
                      <w:u w:val="none"/>
                    </w:rPr>
                    <w:t>《声环境质量标准》</w:t>
                  </w:r>
                  <w:r>
                    <w:rPr>
                      <w:color w:val="auto"/>
                      <w:sz w:val="21"/>
                      <w:szCs w:val="21"/>
                      <w:highlight w:val="none"/>
                      <w:u w:val="none"/>
                    </w:rPr>
                    <w:t>2</w:t>
                  </w:r>
                  <w:r>
                    <w:rPr>
                      <w:rFonts w:hint="eastAsia" w:cs="宋体"/>
                      <w:color w:val="auto"/>
                      <w:sz w:val="21"/>
                      <w:szCs w:val="21"/>
                      <w:highlight w:val="none"/>
                      <w:u w:val="none"/>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p>
              </w:tc>
              <w:tc>
                <w:tcPr>
                  <w:tcW w:w="1157" w:type="dxa"/>
                  <w:vMerge w:val="continue"/>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746"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洞庭中学</w:t>
                  </w:r>
                </w:p>
              </w:tc>
              <w:tc>
                <w:tcPr>
                  <w:tcW w:w="1472"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w:t>
                  </w:r>
                </w:p>
              </w:tc>
              <w:tc>
                <w:tcPr>
                  <w:tcW w:w="2374" w:type="dxa"/>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20"/>
                      <w:kern w:val="2"/>
                      <w:sz w:val="21"/>
                      <w:szCs w:val="21"/>
                      <w:highlight w:val="none"/>
                      <w:u w:val="none"/>
                      <w:lang w:val="en-US" w:eastAsia="zh-CN" w:bidi="ar-SA"/>
                    </w:rPr>
                  </w:pPr>
                </w:p>
              </w:tc>
              <w:tc>
                <w:tcPr>
                  <w:tcW w:w="2394" w:type="dxa"/>
                  <w:vMerge w:val="continue"/>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p>
              </w:tc>
              <w:tc>
                <w:tcPr>
                  <w:tcW w:w="1157" w:type="dxa"/>
                  <w:vMerge w:val="continue"/>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746"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杨家湾居民</w:t>
                  </w:r>
                </w:p>
              </w:tc>
              <w:tc>
                <w:tcPr>
                  <w:tcW w:w="1472"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11户，约44人</w:t>
                  </w:r>
                </w:p>
              </w:tc>
              <w:tc>
                <w:tcPr>
                  <w:tcW w:w="2374" w:type="dxa"/>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20"/>
                      <w:kern w:val="2"/>
                      <w:sz w:val="21"/>
                      <w:szCs w:val="21"/>
                      <w:highlight w:val="none"/>
                      <w:u w:val="none"/>
                      <w:lang w:val="en-US" w:eastAsia="zh-CN" w:bidi="ar-SA"/>
                    </w:rPr>
                  </w:pPr>
                </w:p>
              </w:tc>
              <w:tc>
                <w:tcPr>
                  <w:tcW w:w="2394" w:type="dxa"/>
                  <w:vMerge w:val="continue"/>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p>
              </w:tc>
              <w:tc>
                <w:tcPr>
                  <w:tcW w:w="1157" w:type="dxa"/>
                  <w:vMerge w:val="continue"/>
                  <w:vAlign w:val="center"/>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746"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洞庭村十组居民</w:t>
                  </w:r>
                </w:p>
              </w:tc>
              <w:tc>
                <w:tcPr>
                  <w:tcW w:w="1472"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48户，约192人</w:t>
                  </w:r>
                </w:p>
              </w:tc>
              <w:tc>
                <w:tcPr>
                  <w:tcW w:w="2374" w:type="dxa"/>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20"/>
                      <w:kern w:val="2"/>
                      <w:sz w:val="21"/>
                      <w:szCs w:val="21"/>
                      <w:highlight w:val="none"/>
                      <w:u w:val="none"/>
                      <w:lang w:val="en-US" w:eastAsia="zh-CN" w:bidi="ar-SA"/>
                    </w:rPr>
                  </w:pPr>
                </w:p>
              </w:tc>
              <w:tc>
                <w:tcPr>
                  <w:tcW w:w="2394" w:type="dxa"/>
                  <w:vMerge w:val="continue"/>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9" w:hRule="atLeast"/>
              </w:trPr>
              <w:tc>
                <w:tcPr>
                  <w:tcW w:w="573" w:type="dxa"/>
                  <w:vMerge w:val="continue"/>
                  <w:tcBorders>
                    <w:left w:val="single" w:color="auto" w:sz="12" w:space="0"/>
                    <w:right w:val="single" w:color="auto" w:sz="6" w:space="0"/>
                  </w:tcBorders>
                </w:tcPr>
                <w:p>
                  <w:pPr>
                    <w:keepNext w:val="0"/>
                    <w:keepLines w:val="0"/>
                    <w:pageBreakBefore w:val="0"/>
                    <w:widowControl w:val="0"/>
                    <w:kinsoku/>
                    <w:wordWrap/>
                    <w:topLinePunct w:val="0"/>
                    <w:bidi w:val="0"/>
                    <w:snapToGrid/>
                    <w:spacing w:line="280" w:lineRule="atLeast"/>
                    <w:jc w:val="center"/>
                    <w:rPr>
                      <w:rFonts w:hint="eastAsia" w:cs="宋体"/>
                      <w:color w:val="auto"/>
                      <w:sz w:val="21"/>
                      <w:szCs w:val="21"/>
                      <w:highlight w:val="none"/>
                      <w:u w:val="none"/>
                    </w:rPr>
                  </w:pPr>
                </w:p>
              </w:tc>
              <w:tc>
                <w:tcPr>
                  <w:tcW w:w="1157" w:type="dxa"/>
                  <w:vAlign w:val="top"/>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none"/>
                      <w:lang w:val="en-US" w:eastAsia="zh-CN" w:bidi="ar-SA"/>
                    </w:rPr>
                  </w:pPr>
                  <w:r>
                    <w:rPr>
                      <w:rFonts w:hint="eastAsia" w:cs="宋体"/>
                      <w:color w:val="auto"/>
                      <w:kern w:val="2"/>
                      <w:sz w:val="21"/>
                      <w:szCs w:val="21"/>
                      <w:highlight w:val="none"/>
                      <w:u w:val="none"/>
                      <w:lang w:val="en-US" w:eastAsia="zh-CN" w:bidi="ar-SA"/>
                    </w:rPr>
                    <w:t>生态环境</w:t>
                  </w:r>
                </w:p>
              </w:tc>
              <w:tc>
                <w:tcPr>
                  <w:tcW w:w="1746" w:type="dxa"/>
                  <w:vAlign w:val="center"/>
                </w:tcPr>
                <w:p>
                  <w:pPr>
                    <w:pStyle w:val="91"/>
                    <w:keepNext w:val="0"/>
                    <w:keepLines w:val="0"/>
                    <w:pageBreakBefore w:val="0"/>
                    <w:widowControl w:val="0"/>
                    <w:kinsoku/>
                    <w:wordWrap/>
                    <w:topLinePunct w:val="0"/>
                    <w:bidi w:val="0"/>
                    <w:snapToGrid/>
                    <w:spacing w:line="280" w:lineRule="atLeast"/>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eastAsia="zh-CN"/>
                    </w:rPr>
                    <w:t>污水管道沿线土地</w:t>
                  </w:r>
                </w:p>
              </w:tc>
              <w:tc>
                <w:tcPr>
                  <w:tcW w:w="1472" w:type="dxa"/>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w:t>
                  </w:r>
                </w:p>
              </w:tc>
              <w:tc>
                <w:tcPr>
                  <w:tcW w:w="2374" w:type="dxa"/>
                  <w:vAlign w:val="center"/>
                </w:tcPr>
                <w:p>
                  <w:pPr>
                    <w:keepNext w:val="0"/>
                    <w:keepLines w:val="0"/>
                    <w:pageBreakBefore w:val="0"/>
                    <w:widowControl w:val="0"/>
                    <w:kinsoku/>
                    <w:wordWrap/>
                    <w:topLinePunct w:val="0"/>
                    <w:bidi w:val="0"/>
                    <w:snapToGrid/>
                    <w:spacing w:line="280" w:lineRule="atLeast"/>
                    <w:jc w:val="center"/>
                    <w:rPr>
                      <w:rFonts w:hint="default" w:ascii="Times New Roman" w:hAnsi="Times New Roman" w:eastAsia="宋体" w:cs="宋体"/>
                      <w:color w:val="auto"/>
                      <w:kern w:val="2"/>
                      <w:sz w:val="21"/>
                      <w:szCs w:val="21"/>
                      <w:highlight w:val="none"/>
                      <w:u w:val="none"/>
                      <w:lang w:val="en-US" w:eastAsia="zh-CN" w:bidi="ar-SA"/>
                    </w:rPr>
                  </w:pPr>
                  <w:r>
                    <w:rPr>
                      <w:rFonts w:hint="eastAsia" w:eastAsia="宋体" w:cs="宋体"/>
                      <w:color w:val="auto"/>
                      <w:kern w:val="2"/>
                      <w:sz w:val="21"/>
                      <w:szCs w:val="21"/>
                      <w:highlight w:val="none"/>
                      <w:u w:val="none"/>
                      <w:lang w:val="en-US" w:eastAsia="zh-CN" w:bidi="ar-SA"/>
                    </w:rPr>
                    <w:t>/</w:t>
                  </w:r>
                </w:p>
              </w:tc>
              <w:tc>
                <w:tcPr>
                  <w:tcW w:w="0" w:type="auto"/>
                  <w:vAlign w:val="center"/>
                </w:tcPr>
                <w:p>
                  <w:pPr>
                    <w:keepNext w:val="0"/>
                    <w:keepLines w:val="0"/>
                    <w:pageBreakBefore w:val="0"/>
                    <w:widowControl w:val="0"/>
                    <w:kinsoku/>
                    <w:wordWrap/>
                    <w:topLinePunct w:val="0"/>
                    <w:bidi w:val="0"/>
                    <w:snapToGrid/>
                    <w:spacing w:line="280" w:lineRule="atLeast"/>
                    <w:jc w:val="center"/>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eastAsia="zh-CN"/>
                    </w:rPr>
                    <w:t>管道挖埋施工后尽快覆土，恢复生态</w:t>
                  </w:r>
                </w:p>
              </w:tc>
            </w:tr>
          </w:tbl>
          <w:p>
            <w:pPr>
              <w:spacing w:line="460" w:lineRule="exact"/>
              <w:rPr>
                <w:color w:val="auto"/>
                <w:spacing w:val="-20"/>
                <w:sz w:val="28"/>
                <w:szCs w:val="28"/>
                <w:highlight w:val="none"/>
              </w:rPr>
            </w:pPr>
          </w:p>
        </w:tc>
      </w:tr>
    </w:tbl>
    <w:p>
      <w:pPr>
        <w:pStyle w:val="4"/>
        <w:spacing w:before="0" w:after="0"/>
        <w:jc w:val="left"/>
        <w:rPr>
          <w:sz w:val="30"/>
          <w:szCs w:val="30"/>
        </w:rPr>
      </w:pPr>
      <w:r>
        <w:rPr>
          <w:rFonts w:hint="eastAsia"/>
          <w:sz w:val="30"/>
          <w:szCs w:val="30"/>
        </w:rPr>
        <w:t>评价适用标准</w:t>
      </w:r>
    </w:p>
    <w:tbl>
      <w:tblPr>
        <w:tblStyle w:val="29"/>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300"/>
        <w:gridCol w:w="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1" w:type="dxa"/>
          <w:trHeight w:val="3434" w:hRule="atLeast"/>
          <w:jc w:val="center"/>
        </w:trPr>
        <w:tc>
          <w:tcPr>
            <w:tcW w:w="1126" w:type="dxa"/>
            <w:vAlign w:val="center"/>
          </w:tcPr>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环</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境</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质</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量</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标</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准</w:t>
            </w:r>
          </w:p>
        </w:tc>
        <w:tc>
          <w:tcPr>
            <w:tcW w:w="8300" w:type="dxa"/>
            <w:vAlign w:val="center"/>
          </w:tcPr>
          <w:p>
            <w:pPr>
              <w:spacing w:line="600" w:lineRule="exact"/>
              <w:ind w:firstLine="480" w:firstLineChars="200"/>
              <w:jc w:val="left"/>
              <w:rPr>
                <w:color w:val="auto"/>
                <w:sz w:val="24"/>
                <w:szCs w:val="24"/>
                <w:highlight w:val="none"/>
                <w:shd w:val="clear" w:color="auto" w:fill="auto"/>
              </w:rPr>
            </w:pPr>
            <w:r>
              <w:rPr>
                <w:rFonts w:hint="eastAsia"/>
                <w:color w:val="auto"/>
                <w:sz w:val="24"/>
                <w:szCs w:val="24"/>
                <w:highlight w:val="none"/>
                <w:shd w:val="clear" w:color="auto" w:fill="auto"/>
              </w:rPr>
              <w:t>1、</w:t>
            </w:r>
            <w:r>
              <w:rPr>
                <w:rFonts w:hint="eastAsia" w:cs="宋体"/>
                <w:color w:val="auto"/>
                <w:sz w:val="24"/>
                <w:szCs w:val="24"/>
                <w:highlight w:val="none"/>
                <w:shd w:val="clear" w:color="auto" w:fill="auto"/>
              </w:rPr>
              <w:t>《地表水环境质量标准》（</w:t>
            </w:r>
            <w:r>
              <w:rPr>
                <w:color w:val="auto"/>
                <w:sz w:val="24"/>
                <w:szCs w:val="24"/>
                <w:highlight w:val="none"/>
                <w:shd w:val="clear" w:color="auto" w:fill="auto"/>
              </w:rPr>
              <w:t>GB3838</w:t>
            </w:r>
            <w:r>
              <w:rPr>
                <w:rFonts w:hint="eastAsia" w:cs="宋体"/>
                <w:color w:val="auto"/>
                <w:sz w:val="24"/>
                <w:szCs w:val="24"/>
                <w:highlight w:val="none"/>
                <w:shd w:val="clear" w:color="auto" w:fill="auto"/>
              </w:rPr>
              <w:t>－</w:t>
            </w:r>
            <w:r>
              <w:rPr>
                <w:color w:val="auto"/>
                <w:sz w:val="24"/>
                <w:szCs w:val="24"/>
                <w:highlight w:val="none"/>
                <w:shd w:val="clear" w:color="auto" w:fill="auto"/>
              </w:rPr>
              <w:t>2002</w:t>
            </w:r>
            <w:r>
              <w:rPr>
                <w:rFonts w:hint="eastAsia"/>
                <w:color w:val="auto"/>
                <w:sz w:val="24"/>
                <w:szCs w:val="24"/>
                <w:highlight w:val="none"/>
                <w:shd w:val="clear" w:color="auto" w:fill="auto"/>
              </w:rPr>
              <w:t>）</w:t>
            </w:r>
            <w:r>
              <w:rPr>
                <w:rFonts w:hint="default" w:ascii="Times New Roman" w:hAnsi="Times New Roman" w:cs="Times New Roman"/>
                <w:color w:val="auto"/>
                <w:sz w:val="24"/>
                <w:szCs w:val="24"/>
                <w:highlight w:val="none"/>
                <w:shd w:val="clear" w:color="auto" w:fill="auto"/>
                <w:lang w:eastAsia="ja-JP"/>
              </w:rPr>
              <w:t>Ⅲ</w:t>
            </w:r>
            <w:r>
              <w:rPr>
                <w:rFonts w:hint="eastAsia" w:cs="宋体"/>
                <w:color w:val="auto"/>
                <w:sz w:val="24"/>
                <w:szCs w:val="24"/>
                <w:highlight w:val="none"/>
                <w:shd w:val="clear" w:color="auto" w:fill="auto"/>
              </w:rPr>
              <w:t>类</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农田灌溉水质标准 GB 5084-2005</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旱作</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w:t>
            </w:r>
          </w:p>
          <w:p>
            <w:pPr>
              <w:spacing w:line="600" w:lineRule="exact"/>
              <w:ind w:firstLine="480" w:firstLineChars="200"/>
              <w:jc w:val="left"/>
              <w:rPr>
                <w:color w:val="auto"/>
                <w:sz w:val="24"/>
                <w:szCs w:val="24"/>
                <w:highlight w:val="none"/>
              </w:rPr>
            </w:pPr>
            <w:r>
              <w:rPr>
                <w:color w:val="auto"/>
                <w:sz w:val="24"/>
                <w:szCs w:val="24"/>
                <w:highlight w:val="none"/>
              </w:rPr>
              <w:t>2</w:t>
            </w:r>
            <w:r>
              <w:rPr>
                <w:rFonts w:hint="eastAsia" w:cs="宋体"/>
                <w:color w:val="auto"/>
                <w:sz w:val="24"/>
                <w:szCs w:val="24"/>
                <w:highlight w:val="none"/>
              </w:rPr>
              <w:t>、《环境空气质量标准》（</w:t>
            </w:r>
            <w:r>
              <w:rPr>
                <w:color w:val="auto"/>
                <w:sz w:val="24"/>
                <w:szCs w:val="24"/>
                <w:highlight w:val="none"/>
              </w:rPr>
              <w:t>GB3095</w:t>
            </w:r>
            <w:r>
              <w:rPr>
                <w:rFonts w:hint="eastAsia" w:cs="宋体"/>
                <w:color w:val="auto"/>
                <w:sz w:val="24"/>
                <w:szCs w:val="24"/>
                <w:highlight w:val="none"/>
              </w:rPr>
              <w:t>－</w:t>
            </w:r>
            <w:r>
              <w:rPr>
                <w:color w:val="auto"/>
                <w:sz w:val="24"/>
                <w:szCs w:val="24"/>
                <w:highlight w:val="none"/>
              </w:rPr>
              <w:t>2012</w:t>
            </w:r>
            <w:r>
              <w:rPr>
                <w:rFonts w:hint="eastAsia"/>
                <w:color w:val="auto"/>
                <w:sz w:val="24"/>
                <w:szCs w:val="24"/>
                <w:highlight w:val="none"/>
              </w:rPr>
              <w:t>）</w:t>
            </w:r>
            <w:r>
              <w:rPr>
                <w:rFonts w:hint="eastAsia" w:cs="宋体"/>
                <w:color w:val="auto"/>
                <w:sz w:val="24"/>
                <w:szCs w:val="24"/>
                <w:highlight w:val="none"/>
              </w:rPr>
              <w:t>二级及《工业企业设计卫生标准》（</w:t>
            </w:r>
            <w:r>
              <w:rPr>
                <w:color w:val="auto"/>
                <w:sz w:val="24"/>
                <w:szCs w:val="24"/>
                <w:highlight w:val="none"/>
              </w:rPr>
              <w:t>TJ36-79</w:t>
            </w:r>
            <w:r>
              <w:rPr>
                <w:rFonts w:hint="eastAsia"/>
                <w:color w:val="auto"/>
                <w:sz w:val="24"/>
                <w:szCs w:val="24"/>
                <w:highlight w:val="none"/>
              </w:rPr>
              <w:t>）</w:t>
            </w:r>
            <w:r>
              <w:rPr>
                <w:rFonts w:hint="eastAsia" w:cs="宋体"/>
                <w:color w:val="auto"/>
                <w:sz w:val="24"/>
                <w:szCs w:val="24"/>
                <w:highlight w:val="none"/>
              </w:rPr>
              <w:t>中</w:t>
            </w:r>
            <w:r>
              <w:rPr>
                <w:color w:val="auto"/>
                <w:sz w:val="24"/>
                <w:szCs w:val="24"/>
                <w:highlight w:val="none"/>
              </w:rPr>
              <w:t>“</w:t>
            </w:r>
            <w:r>
              <w:rPr>
                <w:rFonts w:hint="eastAsia" w:cs="宋体"/>
                <w:color w:val="auto"/>
                <w:sz w:val="24"/>
                <w:szCs w:val="24"/>
                <w:highlight w:val="none"/>
              </w:rPr>
              <w:t>居住区大气中有害物质的最高允许浓度</w:t>
            </w:r>
            <w:r>
              <w:rPr>
                <w:color w:val="auto"/>
                <w:sz w:val="24"/>
                <w:szCs w:val="24"/>
                <w:highlight w:val="none"/>
              </w:rPr>
              <w:t>”</w:t>
            </w:r>
            <w:r>
              <w:rPr>
                <w:rFonts w:hint="eastAsia" w:cs="宋体"/>
                <w:color w:val="auto"/>
                <w:sz w:val="24"/>
                <w:szCs w:val="24"/>
                <w:highlight w:val="none"/>
              </w:rPr>
              <w:t>。</w:t>
            </w:r>
          </w:p>
          <w:p>
            <w:pPr>
              <w:spacing w:line="600" w:lineRule="exact"/>
              <w:ind w:firstLine="480" w:firstLineChars="200"/>
              <w:jc w:val="left"/>
              <w:rPr>
                <w:rFonts w:hint="eastAsia" w:eastAsia="宋体" w:cs="宋体"/>
                <w:color w:val="auto"/>
                <w:sz w:val="24"/>
                <w:szCs w:val="24"/>
                <w:highlight w:val="none"/>
                <w:lang w:eastAsia="zh-CN"/>
              </w:rPr>
            </w:pPr>
            <w:r>
              <w:rPr>
                <w:color w:val="auto"/>
                <w:sz w:val="24"/>
                <w:szCs w:val="24"/>
                <w:highlight w:val="none"/>
              </w:rPr>
              <w:t>3</w:t>
            </w:r>
            <w:r>
              <w:rPr>
                <w:rFonts w:hint="eastAsia" w:cs="宋体"/>
                <w:color w:val="auto"/>
                <w:sz w:val="24"/>
                <w:szCs w:val="24"/>
                <w:highlight w:val="none"/>
              </w:rPr>
              <w:t>、《声环境质量标准》（</w:t>
            </w:r>
            <w:r>
              <w:rPr>
                <w:color w:val="auto"/>
                <w:sz w:val="24"/>
                <w:szCs w:val="24"/>
                <w:highlight w:val="none"/>
              </w:rPr>
              <w:t>GB3096</w:t>
            </w:r>
            <w:r>
              <w:rPr>
                <w:rFonts w:hint="eastAsia" w:cs="宋体"/>
                <w:color w:val="auto"/>
                <w:sz w:val="24"/>
                <w:szCs w:val="24"/>
                <w:highlight w:val="none"/>
              </w:rPr>
              <w:t>－</w:t>
            </w:r>
            <w:r>
              <w:rPr>
                <w:color w:val="auto"/>
                <w:sz w:val="24"/>
                <w:szCs w:val="24"/>
                <w:highlight w:val="none"/>
              </w:rPr>
              <w:t>2008</w:t>
            </w:r>
            <w:r>
              <w:rPr>
                <w:rFonts w:hint="eastAsia"/>
                <w:color w:val="auto"/>
                <w:sz w:val="24"/>
                <w:szCs w:val="24"/>
                <w:highlight w:val="none"/>
              </w:rPr>
              <w:t>）</w:t>
            </w: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类</w:t>
            </w:r>
            <w:r>
              <w:rPr>
                <w:rFonts w:hint="eastAsia" w:cs="宋体"/>
                <w:color w:val="auto"/>
                <w:sz w:val="24"/>
                <w:szCs w:val="24"/>
                <w:highlight w:val="none"/>
                <w:lang w:eastAsia="zh-CN"/>
              </w:rPr>
              <w:t>；</w:t>
            </w:r>
          </w:p>
          <w:p>
            <w:pPr>
              <w:spacing w:line="600" w:lineRule="exact"/>
              <w:ind w:firstLine="480" w:firstLineChars="200"/>
              <w:jc w:val="left"/>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4、</w:t>
            </w:r>
            <w:r>
              <w:rPr>
                <w:rFonts w:hint="eastAsia" w:cs="宋体"/>
                <w:color w:val="auto"/>
                <w:sz w:val="24"/>
                <w:szCs w:val="24"/>
                <w:highlight w:val="none"/>
              </w:rPr>
              <w:t>《地下水质量标准》</w:t>
            </w:r>
            <w:r>
              <w:rPr>
                <w:rFonts w:hint="eastAsia" w:cs="宋体"/>
                <w:color w:val="auto"/>
                <w:sz w:val="24"/>
                <w:szCs w:val="24"/>
                <w:highlight w:val="none"/>
                <w:lang w:val="zh-CN"/>
              </w:rPr>
              <w:t>（</w:t>
            </w:r>
            <w:r>
              <w:rPr>
                <w:rFonts w:hint="eastAsia" w:cs="宋体"/>
                <w:color w:val="auto"/>
                <w:sz w:val="24"/>
                <w:szCs w:val="24"/>
                <w:highlight w:val="none"/>
              </w:rPr>
              <w:t>GB/T 14848-</w:t>
            </w:r>
            <w:r>
              <w:rPr>
                <w:rFonts w:hint="eastAsia" w:cs="宋体"/>
                <w:color w:val="auto"/>
                <w:sz w:val="24"/>
                <w:szCs w:val="24"/>
                <w:highlight w:val="none"/>
                <w:lang w:val="en-US" w:eastAsia="zh-CN"/>
              </w:rPr>
              <w:t>2017</w:t>
            </w:r>
            <w:r>
              <w:rPr>
                <w:rFonts w:hint="eastAsia" w:cs="宋体"/>
                <w:color w:val="auto"/>
                <w:sz w:val="24"/>
                <w:szCs w:val="24"/>
                <w:highlight w:val="none"/>
                <w:lang w:val="zh-CN"/>
              </w:rPr>
              <w:t>）</w:t>
            </w:r>
            <w:r>
              <w:rPr>
                <w:rFonts w:hint="eastAsia" w:cs="宋体"/>
                <w:color w:val="auto"/>
                <w:sz w:val="24"/>
                <w:szCs w:val="24"/>
                <w:highlight w:val="none"/>
                <w:lang w:eastAsia="ja-JP"/>
              </w:rPr>
              <w:t>Ⅲ</w:t>
            </w:r>
            <w:r>
              <w:rPr>
                <w:rFonts w:hint="eastAsia" w:cs="宋体"/>
                <w:color w:val="auto"/>
                <w:sz w:val="24"/>
                <w:szCs w:val="24"/>
                <w:highlight w:val="none"/>
              </w:rPr>
              <w:t>类标准</w:t>
            </w:r>
            <w:r>
              <w:rPr>
                <w:rFonts w:hint="eastAsia"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1" w:type="dxa"/>
          <w:trHeight w:val="5458" w:hRule="atLeast"/>
          <w:jc w:val="center"/>
        </w:trPr>
        <w:tc>
          <w:tcPr>
            <w:tcW w:w="1126" w:type="dxa"/>
            <w:vAlign w:val="center"/>
          </w:tcPr>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污</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染</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物</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排</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放</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标</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准</w:t>
            </w:r>
          </w:p>
        </w:tc>
        <w:tc>
          <w:tcPr>
            <w:tcW w:w="8300" w:type="dxa"/>
          </w:tcPr>
          <w:p>
            <w:pPr>
              <w:snapToGrid w:val="0"/>
              <w:spacing w:line="440" w:lineRule="exact"/>
              <w:ind w:firstLine="480" w:firstLineChars="200"/>
              <w:rPr>
                <w:b/>
                <w:bCs/>
                <w:color w:val="auto"/>
                <w:sz w:val="24"/>
                <w:szCs w:val="24"/>
                <w:highlight w:val="none"/>
              </w:rPr>
            </w:pPr>
            <w:r>
              <w:rPr>
                <w:color w:val="auto"/>
                <w:sz w:val="24"/>
                <w:szCs w:val="24"/>
                <w:highlight w:val="none"/>
              </w:rPr>
              <w:t>1</w:t>
            </w:r>
            <w:r>
              <w:rPr>
                <w:rFonts w:hint="eastAsia" w:cs="宋体"/>
                <w:color w:val="auto"/>
                <w:sz w:val="24"/>
                <w:szCs w:val="24"/>
                <w:highlight w:val="none"/>
              </w:rPr>
              <w:t>、水污染物：污水排放执行《城镇污水处理厂污染物排放标准》（</w:t>
            </w:r>
            <w:r>
              <w:rPr>
                <w:color w:val="auto"/>
                <w:sz w:val="24"/>
                <w:szCs w:val="24"/>
                <w:highlight w:val="none"/>
              </w:rPr>
              <w:t>GB18918-2002</w:t>
            </w:r>
            <w:r>
              <w:rPr>
                <w:rFonts w:hint="eastAsia" w:cs="宋体"/>
                <w:color w:val="auto"/>
                <w:sz w:val="24"/>
                <w:szCs w:val="24"/>
                <w:highlight w:val="none"/>
              </w:rPr>
              <w:t>）一级标准（</w:t>
            </w:r>
            <w:r>
              <w:rPr>
                <w:color w:val="auto"/>
                <w:sz w:val="24"/>
                <w:szCs w:val="24"/>
                <w:highlight w:val="none"/>
              </w:rPr>
              <w:t>A</w:t>
            </w:r>
            <w:r>
              <w:rPr>
                <w:rFonts w:hint="eastAsia" w:cs="宋体"/>
                <w:color w:val="auto"/>
                <w:sz w:val="24"/>
                <w:szCs w:val="24"/>
                <w:highlight w:val="none"/>
              </w:rPr>
              <w:t>类）</w:t>
            </w:r>
            <w:r>
              <w:rPr>
                <w:rFonts w:hint="eastAsia" w:cs="宋体"/>
                <w:b/>
                <w:bCs/>
                <w:color w:val="auto"/>
                <w:sz w:val="24"/>
                <w:szCs w:val="24"/>
                <w:highlight w:val="none"/>
              </w:rPr>
              <w:t>；</w:t>
            </w:r>
          </w:p>
          <w:p>
            <w:pPr>
              <w:snapToGrid w:val="0"/>
              <w:spacing w:line="440" w:lineRule="exact"/>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、大气污染物：污水处理厂废气执行《城镇污水处理厂污染物排放标准》 (GB18918-2002)及其修改单中大气污染物排放二级标准。</w:t>
            </w:r>
          </w:p>
          <w:p>
            <w:pPr>
              <w:snapToGrid w:val="0"/>
              <w:spacing w:line="440" w:lineRule="exact"/>
              <w:ind w:firstLine="480" w:firstLineChars="200"/>
              <w:rPr>
                <w:rFonts w:cs="宋体"/>
                <w:color w:val="auto"/>
                <w:sz w:val="24"/>
                <w:szCs w:val="24"/>
                <w:highlight w:val="none"/>
              </w:rPr>
            </w:pPr>
            <w:r>
              <w:rPr>
                <w:color w:val="auto"/>
                <w:sz w:val="24"/>
                <w:szCs w:val="24"/>
                <w:highlight w:val="none"/>
              </w:rPr>
              <w:t>3</w:t>
            </w:r>
            <w:r>
              <w:rPr>
                <w:rFonts w:hint="eastAsia"/>
                <w:color w:val="auto"/>
                <w:sz w:val="24"/>
                <w:szCs w:val="24"/>
                <w:highlight w:val="none"/>
              </w:rPr>
              <w:t>、噪声：</w:t>
            </w:r>
            <w:r>
              <w:rPr>
                <w:rFonts w:hint="eastAsia" w:cs="宋体"/>
                <w:color w:val="auto"/>
                <w:sz w:val="24"/>
                <w:szCs w:val="24"/>
                <w:highlight w:val="none"/>
              </w:rPr>
              <w:t>厂界噪声执行</w:t>
            </w:r>
            <w:r>
              <w:rPr>
                <w:rFonts w:cs="宋体"/>
                <w:color w:val="auto"/>
                <w:sz w:val="24"/>
                <w:szCs w:val="24"/>
                <w:highlight w:val="none"/>
              </w:rPr>
              <w:t>GB12348-</w:t>
            </w:r>
            <w:r>
              <w:rPr>
                <w:color w:val="auto"/>
                <w:sz w:val="24"/>
                <w:szCs w:val="24"/>
                <w:highlight w:val="none"/>
              </w:rPr>
              <w:t>2008</w:t>
            </w:r>
            <w:r>
              <w:rPr>
                <w:rFonts w:hint="eastAsia"/>
                <w:color w:val="auto"/>
                <w:sz w:val="24"/>
                <w:szCs w:val="24"/>
                <w:highlight w:val="none"/>
              </w:rPr>
              <w:t>《工业企</w:t>
            </w:r>
            <w:r>
              <w:rPr>
                <w:rFonts w:hint="eastAsia" w:cs="宋体"/>
                <w:color w:val="auto"/>
                <w:sz w:val="24"/>
                <w:szCs w:val="24"/>
                <w:highlight w:val="none"/>
              </w:rPr>
              <w:t>业厂界环境噪声排放标准》，</w:t>
            </w:r>
            <w:r>
              <w:rPr>
                <w:color w:val="auto"/>
                <w:sz w:val="24"/>
                <w:szCs w:val="24"/>
                <w:highlight w:val="none"/>
              </w:rPr>
              <w:t>2</w:t>
            </w:r>
            <w:r>
              <w:rPr>
                <w:rFonts w:hint="eastAsia" w:cs="宋体"/>
                <w:color w:val="auto"/>
                <w:sz w:val="24"/>
                <w:szCs w:val="24"/>
                <w:highlight w:val="none"/>
              </w:rPr>
              <w:t>类；施工期噪声排放执行</w:t>
            </w:r>
            <w:r>
              <w:rPr>
                <w:color w:val="auto"/>
                <w:sz w:val="24"/>
                <w:szCs w:val="24"/>
                <w:highlight w:val="none"/>
              </w:rPr>
              <w:t>GB12523-2011</w:t>
            </w:r>
            <w:r>
              <w:rPr>
                <w:rFonts w:hint="eastAsia" w:cs="宋体"/>
                <w:color w:val="auto"/>
                <w:sz w:val="24"/>
                <w:szCs w:val="24"/>
                <w:highlight w:val="none"/>
              </w:rPr>
              <w:t>《建筑施工场界环境噪声排放标准》。</w:t>
            </w:r>
          </w:p>
          <w:p>
            <w:pPr>
              <w:spacing w:line="440" w:lineRule="exact"/>
              <w:ind w:firstLine="480" w:firstLineChars="200"/>
              <w:rPr>
                <w:rFonts w:hint="eastAsia" w:eastAsia="宋体" w:cs="宋体"/>
                <w:color w:val="auto"/>
                <w:sz w:val="24"/>
                <w:szCs w:val="24"/>
                <w:highlight w:val="none"/>
                <w:lang w:eastAsia="zh-CN"/>
              </w:rPr>
            </w:pPr>
            <w:r>
              <w:rPr>
                <w:color w:val="auto"/>
                <w:sz w:val="24"/>
                <w:szCs w:val="24"/>
                <w:highlight w:val="none"/>
              </w:rPr>
              <w:t>4、固体废物：</w:t>
            </w:r>
            <w:r>
              <w:rPr>
                <w:rFonts w:hint="eastAsia"/>
                <w:color w:val="auto"/>
                <w:sz w:val="24"/>
                <w:szCs w:val="24"/>
                <w:highlight w:val="none"/>
              </w:rPr>
              <w:t>污泥执行《城镇污水处理厂污染物排放标准》(GB18918-2002)及其修改单中污泥控制标准；生活垃圾执行生活垃圾焚烧污染控制标准》(GB 18485—2014)，一般工业固体废物执行《一般工业固体废物贮存、处置场污染控制标准》（GB18599-2001）及2013修改单。危险废物贮存执行《危险废物贮存污染控制标准》（GB18597-2001）及2013年修改单标准。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1" w:type="dxa"/>
          <w:trHeight w:val="2885" w:hRule="atLeast"/>
          <w:jc w:val="center"/>
        </w:trPr>
        <w:tc>
          <w:tcPr>
            <w:tcW w:w="1126" w:type="dxa"/>
            <w:vAlign w:val="center"/>
          </w:tcPr>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总</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量</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控</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制</w:t>
            </w:r>
          </w:p>
          <w:p>
            <w:pPr>
              <w:spacing w:line="240" w:lineRule="atLeast"/>
              <w:jc w:val="center"/>
              <w:rPr>
                <w:b/>
                <w:bCs/>
                <w:color w:val="auto"/>
                <w:spacing w:val="-20"/>
                <w:sz w:val="28"/>
                <w:szCs w:val="28"/>
                <w:highlight w:val="none"/>
              </w:rPr>
            </w:pPr>
            <w:r>
              <w:rPr>
                <w:rFonts w:hint="eastAsia" w:cs="宋体"/>
                <w:b/>
                <w:bCs/>
                <w:color w:val="auto"/>
                <w:spacing w:val="-20"/>
                <w:sz w:val="28"/>
                <w:szCs w:val="28"/>
                <w:highlight w:val="none"/>
              </w:rPr>
              <w:t>指</w:t>
            </w:r>
          </w:p>
          <w:p>
            <w:pPr>
              <w:spacing w:line="240" w:lineRule="atLeast"/>
              <w:jc w:val="center"/>
              <w:rPr>
                <w:rFonts w:cs="宋体"/>
                <w:b/>
                <w:bCs/>
                <w:color w:val="auto"/>
                <w:spacing w:val="-20"/>
                <w:sz w:val="28"/>
                <w:szCs w:val="28"/>
                <w:highlight w:val="none"/>
              </w:rPr>
            </w:pPr>
            <w:r>
              <w:rPr>
                <w:rFonts w:hint="eastAsia" w:cs="宋体"/>
                <w:b/>
                <w:bCs/>
                <w:color w:val="auto"/>
                <w:spacing w:val="-20"/>
                <w:sz w:val="28"/>
                <w:szCs w:val="28"/>
                <w:highlight w:val="none"/>
              </w:rPr>
              <w:t>标</w:t>
            </w:r>
          </w:p>
        </w:tc>
        <w:tc>
          <w:tcPr>
            <w:tcW w:w="8300"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rFonts w:cs="宋体"/>
                <w:color w:val="auto"/>
                <w:sz w:val="24"/>
                <w:szCs w:val="24"/>
                <w:highlight w:val="none"/>
                <w:shd w:val="clear" w:color="auto" w:fill="auto"/>
              </w:rPr>
            </w:pPr>
            <w:r>
              <w:rPr>
                <w:rFonts w:hint="eastAsia" w:cs="宋体"/>
                <w:color w:val="auto"/>
                <w:sz w:val="24"/>
                <w:szCs w:val="24"/>
                <w:highlight w:val="none"/>
              </w:rPr>
              <w:t>项目建设运营后，污水排放执行《城镇污水</w:t>
            </w:r>
            <w:r>
              <w:rPr>
                <w:rFonts w:hint="eastAsia" w:cs="宋体"/>
                <w:color w:val="auto"/>
                <w:sz w:val="24"/>
                <w:szCs w:val="24"/>
                <w:highlight w:val="none"/>
                <w:shd w:val="clear" w:color="auto" w:fill="auto"/>
              </w:rPr>
              <w:t>处理厂污染物排放标准》（GB18918-2002）表 1 中一级标准A 标准。本项目外排废水及污染物量为：废水量</w:t>
            </w:r>
            <w:r>
              <w:rPr>
                <w:rFonts w:hint="eastAsia"/>
                <w:color w:val="auto"/>
                <w:sz w:val="24"/>
                <w:szCs w:val="24"/>
                <w:highlight w:val="none"/>
                <w:shd w:val="clear" w:color="auto" w:fill="auto"/>
                <w:lang w:val="en-US" w:eastAsia="zh-CN"/>
              </w:rPr>
              <w:t>10.95</w:t>
            </w:r>
            <w:r>
              <w:rPr>
                <w:rFonts w:hint="eastAsia"/>
                <w:color w:val="auto"/>
                <w:sz w:val="24"/>
                <w:szCs w:val="24"/>
                <w:highlight w:val="none"/>
                <w:shd w:val="clear" w:color="auto" w:fill="auto"/>
              </w:rPr>
              <w:t>万</w:t>
            </w:r>
            <w:r>
              <w:rPr>
                <w:color w:val="auto"/>
                <w:sz w:val="24"/>
                <w:szCs w:val="24"/>
                <w:highlight w:val="none"/>
                <w:shd w:val="clear" w:color="auto" w:fill="auto"/>
              </w:rPr>
              <w:t>m</w:t>
            </w:r>
            <w:r>
              <w:rPr>
                <w:color w:val="auto"/>
                <w:sz w:val="24"/>
                <w:szCs w:val="24"/>
                <w:highlight w:val="none"/>
                <w:shd w:val="clear" w:color="auto" w:fill="auto"/>
                <w:vertAlign w:val="superscript"/>
              </w:rPr>
              <w:t>3</w:t>
            </w:r>
            <w:r>
              <w:rPr>
                <w:color w:val="auto"/>
                <w:sz w:val="24"/>
                <w:szCs w:val="24"/>
                <w:highlight w:val="none"/>
                <w:shd w:val="clear" w:color="auto" w:fill="auto"/>
              </w:rPr>
              <w:t>/a</w:t>
            </w:r>
            <w:r>
              <w:rPr>
                <w:rFonts w:hint="eastAsia" w:cs="宋体"/>
                <w:color w:val="auto"/>
                <w:sz w:val="24"/>
                <w:szCs w:val="24"/>
                <w:highlight w:val="none"/>
                <w:shd w:val="clear" w:color="auto" w:fill="auto"/>
              </w:rPr>
              <w:t>，</w:t>
            </w:r>
            <w:r>
              <w:rPr>
                <w:color w:val="auto"/>
                <w:sz w:val="24"/>
                <w:szCs w:val="24"/>
                <w:highlight w:val="none"/>
                <w:shd w:val="clear" w:color="auto" w:fill="auto"/>
              </w:rPr>
              <w:t>COD</w:t>
            </w:r>
            <w:r>
              <w:rPr>
                <w:rFonts w:hint="eastAsia"/>
                <w:color w:val="auto"/>
                <w:sz w:val="24"/>
                <w:szCs w:val="24"/>
                <w:highlight w:val="none"/>
                <w:shd w:val="clear" w:color="auto" w:fill="auto"/>
                <w:lang w:val="en-US" w:eastAsia="zh-CN"/>
              </w:rPr>
              <w:t>5.475</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BOD</w:t>
            </w:r>
            <w:r>
              <w:rPr>
                <w:color w:val="auto"/>
                <w:sz w:val="24"/>
                <w:szCs w:val="24"/>
                <w:highlight w:val="none"/>
                <w:shd w:val="clear" w:color="auto" w:fill="auto"/>
                <w:vertAlign w:val="subscript"/>
              </w:rPr>
              <w:t xml:space="preserve">5 </w:t>
            </w:r>
            <w:r>
              <w:rPr>
                <w:rFonts w:hint="eastAsia"/>
                <w:color w:val="auto"/>
                <w:sz w:val="24"/>
                <w:szCs w:val="24"/>
                <w:highlight w:val="none"/>
                <w:shd w:val="clear" w:color="auto" w:fill="auto"/>
                <w:vertAlign w:val="baseline"/>
                <w:lang w:val="en-US" w:eastAsia="zh-CN"/>
              </w:rPr>
              <w:t>1.095</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NH</w:t>
            </w:r>
            <w:r>
              <w:rPr>
                <w:color w:val="auto"/>
                <w:sz w:val="24"/>
                <w:szCs w:val="24"/>
                <w:highlight w:val="none"/>
                <w:shd w:val="clear" w:color="auto" w:fill="auto"/>
                <w:vertAlign w:val="subscript"/>
              </w:rPr>
              <w:t>3</w:t>
            </w:r>
            <w:r>
              <w:rPr>
                <w:color w:val="auto"/>
                <w:sz w:val="24"/>
                <w:szCs w:val="24"/>
                <w:highlight w:val="none"/>
                <w:shd w:val="clear" w:color="auto" w:fill="auto"/>
              </w:rPr>
              <w:t>-N</w:t>
            </w:r>
            <w:r>
              <w:rPr>
                <w:rFonts w:hint="eastAsia"/>
                <w:color w:val="auto"/>
                <w:sz w:val="24"/>
                <w:szCs w:val="24"/>
                <w:highlight w:val="none"/>
                <w:shd w:val="clear" w:color="auto" w:fill="auto"/>
                <w:lang w:val="en-US" w:eastAsia="zh-CN"/>
              </w:rPr>
              <w:t>0.548</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SS</w:t>
            </w:r>
            <w:r>
              <w:rPr>
                <w:rFonts w:hint="eastAsia"/>
                <w:color w:val="auto"/>
                <w:sz w:val="24"/>
                <w:szCs w:val="24"/>
                <w:highlight w:val="none"/>
                <w:shd w:val="clear" w:color="auto" w:fill="auto"/>
                <w:lang w:val="en-US" w:eastAsia="zh-CN"/>
              </w:rPr>
              <w:t>1.095</w:t>
            </w:r>
            <w:r>
              <w:rPr>
                <w:color w:val="auto"/>
                <w:sz w:val="24"/>
                <w:szCs w:val="24"/>
                <w:highlight w:val="none"/>
                <w:shd w:val="clear" w:color="auto" w:fill="auto"/>
              </w:rPr>
              <w:t>t/a</w:t>
            </w:r>
            <w:r>
              <w:rPr>
                <w:rFonts w:hint="eastAsia" w:cs="宋体"/>
                <w:color w:val="auto"/>
                <w:sz w:val="24"/>
                <w:szCs w:val="24"/>
                <w:highlight w:val="none"/>
                <w:shd w:val="clear" w:color="auto" w:fill="auto"/>
              </w:rPr>
              <w:t>，</w:t>
            </w:r>
            <w:r>
              <w:rPr>
                <w:color w:val="auto"/>
                <w:sz w:val="24"/>
                <w:szCs w:val="24"/>
                <w:highlight w:val="none"/>
                <w:shd w:val="clear" w:color="auto" w:fill="auto"/>
              </w:rPr>
              <w:t>TP</w:t>
            </w:r>
            <w:r>
              <w:rPr>
                <w:rFonts w:hint="eastAsia"/>
                <w:color w:val="auto"/>
                <w:sz w:val="24"/>
                <w:szCs w:val="24"/>
                <w:highlight w:val="none"/>
                <w:shd w:val="clear" w:color="auto" w:fill="auto"/>
              </w:rPr>
              <w:t>0.073</w:t>
            </w:r>
            <w:r>
              <w:rPr>
                <w:color w:val="auto"/>
                <w:sz w:val="24"/>
                <w:szCs w:val="24"/>
                <w:highlight w:val="none"/>
                <w:shd w:val="clear" w:color="auto" w:fill="auto"/>
              </w:rPr>
              <w:t>t/a</w:t>
            </w:r>
            <w:r>
              <w:rPr>
                <w:rFonts w:hint="eastAsia" w:cs="宋体"/>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60" w:lineRule="exact"/>
              <w:ind w:firstLine="482"/>
              <w:jc w:val="left"/>
              <w:textAlignment w:val="auto"/>
              <w:rPr>
                <w:color w:val="auto"/>
                <w:sz w:val="24"/>
                <w:szCs w:val="24"/>
                <w:highlight w:val="none"/>
              </w:rPr>
            </w:pPr>
            <w:r>
              <w:rPr>
                <w:rFonts w:hint="eastAsia" w:cs="宋体"/>
                <w:color w:val="auto"/>
                <w:sz w:val="24"/>
                <w:szCs w:val="24"/>
                <w:highlight w:val="none"/>
                <w:shd w:val="clear" w:color="auto" w:fill="auto"/>
                <w:lang w:val="en-US" w:eastAsia="zh-CN"/>
              </w:rPr>
              <w:t>本项目为环保工程，是减排项目，无需申请总量。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8" w:hRule="atLeast"/>
          <w:jc w:val="center"/>
        </w:trPr>
        <w:tc>
          <w:tcPr>
            <w:tcW w:w="9667" w:type="dxa"/>
            <w:gridSpan w:val="3"/>
          </w:tcPr>
          <w:p>
            <w:pPr>
              <w:pStyle w:val="46"/>
              <w:tabs>
                <w:tab w:val="clear" w:pos="8820"/>
              </w:tabs>
              <w:spacing w:line="460" w:lineRule="exact"/>
              <w:rPr>
                <w:b/>
                <w:bCs/>
                <w:color w:val="auto"/>
                <w:highlight w:val="none"/>
              </w:rPr>
            </w:pPr>
          </w:p>
          <w:tbl>
            <w:tblPr>
              <w:tblStyle w:val="29"/>
              <w:tblW w:w="945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69" w:hRule="atLeast"/>
              </w:trPr>
              <w:tc>
                <w:tcPr>
                  <w:tcW w:w="9458" w:type="dxa"/>
                  <w:tcBorders>
                    <w:top w:val="single" w:color="auto" w:sz="4" w:space="0"/>
                    <w:left w:val="single" w:color="auto" w:sz="4" w:space="0"/>
                    <w:bottom w:val="single" w:color="auto" w:sz="4" w:space="0"/>
                    <w:right w:val="single" w:color="auto" w:sz="4" w:space="0"/>
                  </w:tcBorders>
                </w:tcPr>
                <w:p>
                  <w:pPr>
                    <w:tabs>
                      <w:tab w:val="left" w:pos="6521"/>
                    </w:tabs>
                    <w:spacing w:line="440" w:lineRule="exact"/>
                    <w:jc w:val="center"/>
                    <w:rPr>
                      <w:b/>
                      <w:bCs/>
                      <w:color w:val="auto"/>
                      <w:sz w:val="28"/>
                      <w:szCs w:val="28"/>
                      <w:highlight w:val="none"/>
                    </w:rPr>
                  </w:pPr>
                  <w:r>
                    <w:rPr>
                      <w:rFonts w:hint="eastAsia" w:cs="宋体"/>
                      <w:b/>
                      <w:bCs/>
                      <w:color w:val="auto"/>
                      <w:sz w:val="28"/>
                      <w:szCs w:val="28"/>
                      <w:highlight w:val="none"/>
                    </w:rPr>
                    <w:t>环境质量标准</w:t>
                  </w:r>
                </w:p>
                <w:tbl>
                  <w:tblPr>
                    <w:tblStyle w:val="29"/>
                    <w:tblW w:w="915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039"/>
                    <w:gridCol w:w="256"/>
                    <w:gridCol w:w="783"/>
                    <w:gridCol w:w="1039"/>
                    <w:gridCol w:w="435"/>
                    <w:gridCol w:w="604"/>
                    <w:gridCol w:w="1039"/>
                    <w:gridCol w:w="103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pStyle w:val="46"/>
                          <w:snapToGrid w:val="0"/>
                          <w:spacing w:before="60" w:after="60"/>
                          <w:rPr>
                            <w:color w:val="auto"/>
                            <w:spacing w:val="-10"/>
                            <w:sz w:val="21"/>
                            <w:szCs w:val="21"/>
                            <w:highlight w:val="none"/>
                          </w:rPr>
                        </w:pPr>
                        <w:r>
                          <w:rPr>
                            <w:rFonts w:hint="eastAsia" w:cs="宋体"/>
                            <w:color w:val="auto"/>
                            <w:spacing w:val="-10"/>
                            <w:sz w:val="21"/>
                            <w:szCs w:val="21"/>
                            <w:highlight w:val="none"/>
                          </w:rPr>
                          <w:t>《环境空气质量标准》</w:t>
                        </w:r>
                        <w:r>
                          <w:rPr>
                            <w:rFonts w:hint="eastAsia" w:cs="宋体"/>
                            <w:color w:val="auto"/>
                            <w:spacing w:val="-4"/>
                            <w:sz w:val="21"/>
                            <w:szCs w:val="21"/>
                            <w:highlight w:val="none"/>
                          </w:rPr>
                          <w:t>（GB3095－2012）</w:t>
                        </w:r>
                        <w:r>
                          <w:rPr>
                            <w:rFonts w:hint="eastAsia" w:cs="宋体"/>
                            <w:color w:val="auto"/>
                            <w:spacing w:val="-10"/>
                            <w:sz w:val="21"/>
                            <w:szCs w:val="21"/>
                            <w:highlight w:val="none"/>
                          </w:rPr>
                          <w:t>二级</w:t>
                        </w:r>
                      </w:p>
                    </w:tc>
                    <w:tc>
                      <w:tcPr>
                        <w:tcW w:w="129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6"/>
                          <w:snapToGrid w:val="0"/>
                          <w:spacing w:before="60" w:after="60"/>
                          <w:jc w:val="center"/>
                          <w:rPr>
                            <w:color w:val="auto"/>
                            <w:spacing w:val="-10"/>
                            <w:sz w:val="21"/>
                            <w:szCs w:val="21"/>
                            <w:highlight w:val="none"/>
                            <w:lang w:val="en-GB"/>
                          </w:rPr>
                        </w:pPr>
                        <w:r>
                          <w:rPr>
                            <w:rFonts w:hint="eastAsia" w:cs="宋体"/>
                            <w:color w:val="auto"/>
                            <w:spacing w:val="-10"/>
                            <w:sz w:val="21"/>
                            <w:szCs w:val="21"/>
                            <w:highlight w:val="none"/>
                          </w:rPr>
                          <w:t>污染物</w:t>
                        </w:r>
                      </w:p>
                      <w:p>
                        <w:pPr>
                          <w:pStyle w:val="46"/>
                          <w:snapToGrid w:val="0"/>
                          <w:spacing w:before="60" w:after="60"/>
                          <w:jc w:val="center"/>
                          <w:rPr>
                            <w:color w:val="auto"/>
                            <w:spacing w:val="-10"/>
                            <w:sz w:val="21"/>
                            <w:szCs w:val="21"/>
                            <w:highlight w:val="none"/>
                          </w:rPr>
                        </w:pPr>
                        <w:r>
                          <w:rPr>
                            <w:rFonts w:hint="eastAsia" w:cs="宋体"/>
                            <w:color w:val="auto"/>
                            <w:spacing w:val="-10"/>
                            <w:sz w:val="21"/>
                            <w:szCs w:val="21"/>
                            <w:highlight w:val="none"/>
                          </w:rPr>
                          <w:t>名称</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60" w:after="60"/>
                          <w:jc w:val="center"/>
                          <w:rPr>
                            <w:color w:val="auto"/>
                            <w:spacing w:val="-10"/>
                            <w:sz w:val="21"/>
                            <w:szCs w:val="21"/>
                            <w:highlight w:val="none"/>
                          </w:rPr>
                        </w:pPr>
                        <w:r>
                          <w:rPr>
                            <w:rFonts w:hint="eastAsia" w:cs="宋体"/>
                            <w:color w:val="auto"/>
                            <w:spacing w:val="-10"/>
                            <w:sz w:val="21"/>
                            <w:szCs w:val="21"/>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rFonts w:hint="eastAsia" w:cs="宋体"/>
                            <w:color w:val="auto"/>
                            <w:spacing w:val="-10"/>
                            <w:sz w:val="21"/>
                            <w:szCs w:val="21"/>
                            <w:highlight w:val="none"/>
                          </w:rPr>
                          <w:t>日平均</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rFonts w:hint="eastAsia" w:cs="宋体"/>
                            <w:color w:val="auto"/>
                            <w:spacing w:val="-10"/>
                            <w:sz w:val="21"/>
                            <w:szCs w:val="21"/>
                            <w:highlight w:val="none"/>
                          </w:rPr>
                          <w:t>年平均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vertAlign w:val="subscript"/>
                          </w:rPr>
                        </w:pPr>
                        <w:r>
                          <w:rPr>
                            <w:color w:val="auto"/>
                            <w:spacing w:val="-10"/>
                            <w:sz w:val="21"/>
                            <w:szCs w:val="21"/>
                            <w:highlight w:val="none"/>
                          </w:rPr>
                          <w:t>SO</w:t>
                        </w:r>
                        <w:r>
                          <w:rPr>
                            <w:color w:val="auto"/>
                            <w:spacing w:val="-10"/>
                            <w:sz w:val="21"/>
                            <w:szCs w:val="21"/>
                            <w:highlight w:val="none"/>
                            <w:vertAlign w:val="subscript"/>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0.15</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0.06</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vertAlign w:val="subscript"/>
                          </w:rPr>
                        </w:pPr>
                        <w:r>
                          <w:rPr>
                            <w:color w:val="auto"/>
                            <w:spacing w:val="-10"/>
                            <w:sz w:val="21"/>
                            <w:szCs w:val="21"/>
                            <w:highlight w:val="none"/>
                          </w:rPr>
                          <w:t>NO</w:t>
                        </w:r>
                        <w:r>
                          <w:rPr>
                            <w:color w:val="auto"/>
                            <w:spacing w:val="-10"/>
                            <w:sz w:val="21"/>
                            <w:szCs w:val="21"/>
                            <w:highlight w:val="none"/>
                            <w:vertAlign w:val="subscript"/>
                          </w:rPr>
                          <w:t>2</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0.08</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0.04</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vertAlign w:val="subscript"/>
                          </w:rPr>
                        </w:pPr>
                        <w:r>
                          <w:rPr>
                            <w:color w:val="auto"/>
                            <w:spacing w:val="-10"/>
                            <w:sz w:val="21"/>
                            <w:szCs w:val="21"/>
                            <w:highlight w:val="none"/>
                          </w:rPr>
                          <w:t>PM</w:t>
                        </w:r>
                        <w:r>
                          <w:rPr>
                            <w:color w:val="auto"/>
                            <w:spacing w:val="-10"/>
                            <w:sz w:val="21"/>
                            <w:szCs w:val="21"/>
                            <w:highlight w:val="none"/>
                            <w:vertAlign w:val="subscript"/>
                          </w:rPr>
                          <w:t>10</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0.15</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0.10</w:t>
                        </w:r>
                        <w:r>
                          <w:rPr>
                            <w:rFonts w:eastAsia="黑体"/>
                            <w:color w:val="auto"/>
                            <w:spacing w:val="-10"/>
                            <w:sz w:val="21"/>
                            <w:szCs w:val="21"/>
                            <w:highlight w:val="none"/>
                          </w:rPr>
                          <w:t>mg/Nm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r>
                          <w:rPr>
                            <w:color w:val="auto"/>
                            <w:spacing w:val="-10"/>
                            <w:sz w:val="21"/>
                            <w:szCs w:val="21"/>
                            <w:highlight w:val="none"/>
                          </w:rPr>
                          <w:t>TJ36-79</w:t>
                        </w:r>
                        <w:r>
                          <w:rPr>
                            <w:rFonts w:hint="eastAsia" w:cs="宋体"/>
                            <w:color w:val="auto"/>
                            <w:spacing w:val="-10"/>
                            <w:sz w:val="21"/>
                            <w:szCs w:val="21"/>
                            <w:highlight w:val="none"/>
                          </w:rPr>
                          <w:t>《工业企业设计卫生标准》中</w:t>
                        </w:r>
                        <w:r>
                          <w:rPr>
                            <w:color w:val="auto"/>
                            <w:spacing w:val="-10"/>
                            <w:sz w:val="21"/>
                            <w:szCs w:val="21"/>
                            <w:highlight w:val="none"/>
                          </w:rPr>
                          <w:t>“</w:t>
                        </w:r>
                        <w:r>
                          <w:rPr>
                            <w:rFonts w:hint="eastAsia" w:cs="宋体"/>
                            <w:color w:val="auto"/>
                            <w:spacing w:val="-10"/>
                            <w:sz w:val="21"/>
                            <w:szCs w:val="21"/>
                            <w:highlight w:val="none"/>
                          </w:rPr>
                          <w:t>居住区大气中有害物质的最高允许浓度一次浓度限值</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rFonts w:hint="eastAsia" w:cs="宋体"/>
                            <w:color w:val="auto"/>
                            <w:spacing w:val="-10"/>
                            <w:sz w:val="21"/>
                            <w:szCs w:val="21"/>
                            <w:highlight w:val="none"/>
                          </w:rPr>
                          <w:t>最高允许浓度一次浓度限值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H</w:t>
                        </w:r>
                        <w:r>
                          <w:rPr>
                            <w:color w:val="auto"/>
                            <w:spacing w:val="-10"/>
                            <w:sz w:val="21"/>
                            <w:szCs w:val="21"/>
                            <w:highlight w:val="none"/>
                            <w:vertAlign w:val="subscript"/>
                          </w:rPr>
                          <w:t>2</w:t>
                        </w:r>
                        <w:r>
                          <w:rPr>
                            <w:color w:val="auto"/>
                            <w:spacing w:val="-10"/>
                            <w:sz w:val="21"/>
                            <w:szCs w:val="21"/>
                            <w:highlight w:val="none"/>
                          </w:rPr>
                          <w:t>S</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0.01mg</w:t>
                        </w:r>
                        <w:r>
                          <w:rPr>
                            <w:rFonts w:eastAsia="黑体"/>
                            <w:color w:val="auto"/>
                            <w:spacing w:val="-10"/>
                            <w:sz w:val="21"/>
                            <w:szCs w:val="21"/>
                            <w:highlight w:val="none"/>
                          </w:rPr>
                          <w:t>/Nm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10"/>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NH</w:t>
                        </w:r>
                        <w:r>
                          <w:rPr>
                            <w:color w:val="auto"/>
                            <w:spacing w:val="-10"/>
                            <w:sz w:val="21"/>
                            <w:szCs w:val="21"/>
                            <w:highlight w:val="none"/>
                            <w:vertAlign w:val="subscript"/>
                          </w:rPr>
                          <w:t>3</w:t>
                        </w:r>
                      </w:p>
                    </w:tc>
                    <w:tc>
                      <w:tcPr>
                        <w:tcW w:w="5981" w:type="dxa"/>
                        <w:gridSpan w:val="7"/>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0.20 mg</w:t>
                        </w:r>
                        <w:r>
                          <w:rPr>
                            <w:rFonts w:eastAsia="黑体"/>
                            <w:color w:val="auto"/>
                            <w:spacing w:val="-10"/>
                            <w:sz w:val="21"/>
                            <w:szCs w:val="21"/>
                            <w:highlight w:val="none"/>
                          </w:rPr>
                          <w:t>/Nm</w:t>
                        </w:r>
                        <w:r>
                          <w:rPr>
                            <w:rFonts w:eastAsia="黑体"/>
                            <w:color w:val="auto"/>
                            <w:spacing w:val="-10"/>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876" w:type="dxa"/>
                        <w:vMerge w:val="restart"/>
                        <w:tcBorders>
                          <w:top w:val="single" w:color="auto" w:sz="4" w:space="0"/>
                          <w:left w:val="single" w:color="auto" w:sz="4" w:space="0"/>
                          <w:bottom w:val="single" w:color="auto" w:sz="4" w:space="0"/>
                          <w:right w:val="single" w:color="auto" w:sz="4" w:space="0"/>
                        </w:tcBorders>
                        <w:vAlign w:val="center"/>
                      </w:tcPr>
                      <w:p>
                        <w:pPr>
                          <w:pStyle w:val="46"/>
                          <w:snapToGrid w:val="0"/>
                          <w:spacing w:before="60" w:after="60"/>
                          <w:rPr>
                            <w:color w:val="auto"/>
                            <w:spacing w:val="-4"/>
                            <w:sz w:val="21"/>
                            <w:szCs w:val="21"/>
                            <w:highlight w:val="none"/>
                          </w:rPr>
                        </w:pPr>
                        <w:r>
                          <w:rPr>
                            <w:rFonts w:hint="eastAsia" w:cs="宋体"/>
                            <w:color w:val="auto"/>
                            <w:spacing w:val="-4"/>
                            <w:sz w:val="21"/>
                            <w:szCs w:val="21"/>
                            <w:highlight w:val="none"/>
                          </w:rPr>
                          <w:t>《声环境质量标准》（GB3096－2008）2类</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snapToGrid w:val="0"/>
                          <w:spacing w:before="60" w:after="60"/>
                          <w:jc w:val="center"/>
                          <w:rPr>
                            <w:color w:val="auto"/>
                            <w:sz w:val="21"/>
                            <w:szCs w:val="21"/>
                            <w:highlight w:val="none"/>
                          </w:rPr>
                        </w:pPr>
                        <w:r>
                          <w:rPr>
                            <w:rFonts w:hint="eastAsia" w:cs="宋体"/>
                            <w:color w:val="auto"/>
                            <w:sz w:val="21"/>
                            <w:szCs w:val="21"/>
                            <w:highlight w:val="none"/>
                          </w:rPr>
                          <w:t>类别</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rPr>
                          <w:t>昼间</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pacing w:val="-4"/>
                            <w:sz w:val="21"/>
                            <w:szCs w:val="21"/>
                            <w:highlight w:val="none"/>
                          </w:rPr>
                        </w:pPr>
                      </w:p>
                    </w:tc>
                    <w:tc>
                      <w:tcPr>
                        <w:tcW w:w="1295"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color w:val="auto"/>
                            <w:sz w:val="21"/>
                            <w:szCs w:val="21"/>
                            <w:highlight w:val="none"/>
                          </w:rPr>
                          <w:t>2</w:t>
                        </w:r>
                        <w:r>
                          <w:rPr>
                            <w:rFonts w:hint="eastAsia" w:cs="宋体"/>
                            <w:color w:val="auto"/>
                            <w:sz w:val="21"/>
                            <w:szCs w:val="21"/>
                            <w:highlight w:val="none"/>
                          </w:rPr>
                          <w:t>类</w:t>
                        </w:r>
                      </w:p>
                    </w:tc>
                    <w:tc>
                      <w:tcPr>
                        <w:tcW w:w="2257" w:type="dxa"/>
                        <w:gridSpan w:val="3"/>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color w:val="auto"/>
                            <w:sz w:val="21"/>
                            <w:szCs w:val="21"/>
                            <w:highlight w:val="none"/>
                          </w:rPr>
                          <w:t>60</w:t>
                        </w:r>
                        <w:r>
                          <w:rPr>
                            <w:rFonts w:eastAsia="黑体"/>
                            <w:color w:val="auto"/>
                            <w:sz w:val="21"/>
                            <w:szCs w:val="21"/>
                            <w:highlight w:val="none"/>
                          </w:rPr>
                          <w:t xml:space="preserve"> dB(A)</w:t>
                        </w:r>
                      </w:p>
                    </w:tc>
                    <w:tc>
                      <w:tcPr>
                        <w:tcW w:w="3724" w:type="dxa"/>
                        <w:gridSpan w:val="4"/>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color w:val="auto"/>
                            <w:sz w:val="21"/>
                            <w:szCs w:val="21"/>
                            <w:highlight w:val="none"/>
                          </w:rPr>
                          <w:t>50</w:t>
                        </w:r>
                        <w:r>
                          <w:rPr>
                            <w:rFonts w:eastAsia="黑体"/>
                            <w:color w:val="auto"/>
                            <w:sz w:val="21"/>
                            <w:szCs w:val="21"/>
                            <w:highlight w:val="none"/>
                          </w:rPr>
                          <w:t xml:space="preserve">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top w:val="single" w:color="auto" w:sz="4" w:space="0"/>
                          <w:left w:val="single" w:color="auto" w:sz="4" w:space="0"/>
                          <w:right w:val="single" w:color="auto" w:sz="4" w:space="0"/>
                        </w:tcBorders>
                        <w:vAlign w:val="center"/>
                      </w:tcPr>
                      <w:p>
                        <w:pPr>
                          <w:pStyle w:val="46"/>
                          <w:tabs>
                            <w:tab w:val="left" w:pos="420"/>
                          </w:tabs>
                          <w:snapToGrid w:val="0"/>
                          <w:spacing w:before="60" w:after="60"/>
                          <w:rPr>
                            <w:color w:val="auto"/>
                            <w:sz w:val="21"/>
                            <w:szCs w:val="21"/>
                            <w:highlight w:val="none"/>
                          </w:rPr>
                        </w:pPr>
                        <w:r>
                          <w:rPr>
                            <w:rFonts w:hint="eastAsia" w:cs="宋体"/>
                            <w:color w:val="auto"/>
                            <w:sz w:val="21"/>
                            <w:szCs w:val="21"/>
                            <w:highlight w:val="none"/>
                            <w:shd w:val="clear" w:color="auto" w:fill="auto"/>
                          </w:rPr>
                          <w:t>《地表水环境质量标准》</w:t>
                        </w:r>
                        <w:r>
                          <w:rPr>
                            <w:rFonts w:hint="eastAsia" w:cs="宋体"/>
                            <w:color w:val="auto"/>
                            <w:spacing w:val="-10"/>
                            <w:sz w:val="21"/>
                            <w:szCs w:val="21"/>
                            <w:highlight w:val="none"/>
                            <w:shd w:val="clear" w:color="auto" w:fill="auto"/>
                          </w:rPr>
                          <w:t>（GB3838－2002）</w:t>
                        </w:r>
                        <w:r>
                          <w:rPr>
                            <w:rFonts w:hint="eastAsia" w:cs="宋体"/>
                            <w:color w:val="auto"/>
                            <w:sz w:val="21"/>
                            <w:szCs w:val="21"/>
                            <w:highlight w:val="none"/>
                            <w:shd w:val="clear" w:color="auto" w:fill="auto"/>
                            <w:lang w:eastAsia="ja-JP"/>
                          </w:rPr>
                          <w:t>Ⅲ</w:t>
                        </w:r>
                        <w:r>
                          <w:rPr>
                            <w:rFonts w:hint="eastAsia" w:cs="宋体"/>
                            <w:color w:val="auto"/>
                            <w:spacing w:val="-10"/>
                            <w:sz w:val="21"/>
                            <w:szCs w:val="21"/>
                            <w:highlight w:val="none"/>
                            <w:shd w:val="clear" w:color="auto" w:fill="auto"/>
                          </w:rPr>
                          <w:t>类</w:t>
                        </w:r>
                      </w:p>
                    </w:tc>
                    <w:tc>
                      <w:tcPr>
                        <w:tcW w:w="7276" w:type="dxa"/>
                        <w:gridSpan w:val="9"/>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tcPr>
                      <w:p>
                        <w:pPr>
                          <w:pStyle w:val="46"/>
                          <w:tabs>
                            <w:tab w:val="left" w:pos="420"/>
                          </w:tabs>
                          <w:snapToGrid w:val="0"/>
                          <w:spacing w:before="60" w:after="60"/>
                          <w:jc w:val="center"/>
                          <w:rPr>
                            <w:color w:val="auto"/>
                            <w:sz w:val="21"/>
                            <w:szCs w:val="21"/>
                            <w:highlight w:val="none"/>
                          </w:rPr>
                        </w:pPr>
                        <w:r>
                          <w:rPr>
                            <w:rFonts w:hint="eastAsia"/>
                            <w:color w:val="auto"/>
                            <w:sz w:val="21"/>
                            <w:szCs w:val="21"/>
                            <w:highlight w:val="none"/>
                          </w:rPr>
                          <w:t>类别</w:t>
                        </w:r>
                      </w:p>
                    </w:tc>
                    <w:tc>
                      <w:tcPr>
                        <w:tcW w:w="1039" w:type="dxa"/>
                        <w:gridSpan w:val="2"/>
                        <w:tcBorders>
                          <w:top w:val="single" w:color="auto" w:sz="4" w:space="0"/>
                          <w:left w:val="single" w:color="auto" w:sz="4" w:space="0"/>
                          <w:bottom w:val="single" w:color="auto" w:sz="4" w:space="0"/>
                          <w:right w:val="single" w:color="auto" w:sz="4" w:space="0"/>
                        </w:tcBorders>
                      </w:tcPr>
                      <w:p>
                        <w:pPr>
                          <w:pStyle w:val="46"/>
                          <w:tabs>
                            <w:tab w:val="left" w:pos="420"/>
                          </w:tabs>
                          <w:snapToGrid w:val="0"/>
                          <w:spacing w:before="60" w:after="60"/>
                          <w:jc w:val="center"/>
                          <w:rPr>
                            <w:color w:val="auto"/>
                            <w:sz w:val="21"/>
                            <w:szCs w:val="21"/>
                            <w:highlight w:val="none"/>
                          </w:rPr>
                        </w:pPr>
                        <w:r>
                          <w:rPr>
                            <w:color w:val="auto"/>
                            <w:sz w:val="21"/>
                            <w:szCs w:val="21"/>
                            <w:highlight w:val="none"/>
                          </w:rPr>
                          <w:t>pH</w:t>
                        </w:r>
                      </w:p>
                    </w:tc>
                    <w:tc>
                      <w:tcPr>
                        <w:tcW w:w="1039" w:type="dxa"/>
                        <w:tcBorders>
                          <w:top w:val="single" w:color="auto" w:sz="4" w:space="0"/>
                          <w:left w:val="single" w:color="auto" w:sz="4" w:space="0"/>
                          <w:bottom w:val="single" w:color="auto" w:sz="4" w:space="0"/>
                          <w:right w:val="single" w:color="auto" w:sz="4" w:space="0"/>
                        </w:tcBorders>
                      </w:tcPr>
                      <w:p>
                        <w:pPr>
                          <w:pStyle w:val="46"/>
                          <w:tabs>
                            <w:tab w:val="left" w:pos="420"/>
                          </w:tabs>
                          <w:snapToGrid w:val="0"/>
                          <w:spacing w:before="60" w:after="60"/>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1039" w:type="dxa"/>
                        <w:gridSpan w:val="2"/>
                        <w:tcBorders>
                          <w:top w:val="single" w:color="auto" w:sz="4" w:space="0"/>
                          <w:left w:val="single" w:color="auto" w:sz="4" w:space="0"/>
                          <w:bottom w:val="single" w:color="auto" w:sz="4" w:space="0"/>
                          <w:right w:val="single" w:color="auto" w:sz="4" w:space="0"/>
                        </w:tcBorders>
                      </w:tcPr>
                      <w:p>
                        <w:pPr>
                          <w:pStyle w:val="46"/>
                          <w:tabs>
                            <w:tab w:val="left" w:pos="420"/>
                          </w:tabs>
                          <w:snapToGrid w:val="0"/>
                          <w:spacing w:before="60" w:after="60"/>
                          <w:jc w:val="center"/>
                          <w:rPr>
                            <w:color w:val="auto"/>
                            <w:sz w:val="21"/>
                            <w:szCs w:val="21"/>
                            <w:highlight w:val="none"/>
                          </w:rPr>
                        </w:pPr>
                        <w:r>
                          <w:rPr>
                            <w:color w:val="auto"/>
                            <w:sz w:val="21"/>
                            <w:szCs w:val="21"/>
                            <w:highlight w:val="none"/>
                          </w:rPr>
                          <w:t>COD</w:t>
                        </w:r>
                      </w:p>
                    </w:tc>
                    <w:tc>
                      <w:tcPr>
                        <w:tcW w:w="1039" w:type="dxa"/>
                        <w:tcBorders>
                          <w:top w:val="single" w:color="auto" w:sz="4" w:space="0"/>
                          <w:left w:val="single" w:color="auto" w:sz="4" w:space="0"/>
                          <w:bottom w:val="single" w:color="auto" w:sz="4" w:space="0"/>
                          <w:right w:val="single" w:color="auto" w:sz="6" w:space="0"/>
                        </w:tcBorders>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rPr>
                          <w:t>氨氮</w:t>
                        </w:r>
                      </w:p>
                    </w:tc>
                    <w:tc>
                      <w:tcPr>
                        <w:tcW w:w="1039" w:type="dxa"/>
                        <w:tcBorders>
                          <w:top w:val="single" w:color="auto" w:sz="4" w:space="0"/>
                          <w:left w:val="single" w:color="auto" w:sz="6" w:space="0"/>
                          <w:bottom w:val="single" w:color="auto" w:sz="4" w:space="0"/>
                          <w:right w:val="single" w:color="auto" w:sz="4" w:space="0"/>
                        </w:tcBorders>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rPr>
                          <w:t>总磷</w:t>
                        </w:r>
                      </w:p>
                    </w:tc>
                    <w:tc>
                      <w:tcPr>
                        <w:tcW w:w="1042" w:type="dxa"/>
                        <w:tcBorders>
                          <w:top w:val="single" w:color="auto" w:sz="4" w:space="0"/>
                          <w:left w:val="single" w:color="auto" w:sz="4" w:space="0"/>
                          <w:bottom w:val="single" w:color="auto" w:sz="4" w:space="0"/>
                          <w:right w:val="single" w:color="auto" w:sz="4" w:space="0"/>
                        </w:tcBorders>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right w:val="single" w:color="auto" w:sz="4" w:space="0"/>
                        </w:tcBorders>
                        <w:vAlign w:val="center"/>
                      </w:tcPr>
                      <w:p>
                        <w:pPr>
                          <w:widowControl/>
                          <w:jc w:val="left"/>
                          <w:rPr>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rFonts w:hint="eastAsia" w:cs="宋体"/>
                            <w:color w:val="auto"/>
                            <w:sz w:val="21"/>
                            <w:szCs w:val="21"/>
                            <w:highlight w:val="none"/>
                            <w:lang w:eastAsia="ja-JP"/>
                          </w:rPr>
                          <w:t>Ⅲ</w:t>
                        </w:r>
                        <w:r>
                          <w:rPr>
                            <w:rFonts w:hint="eastAsia" w:cs="宋体"/>
                            <w:color w:val="auto"/>
                            <w:sz w:val="21"/>
                            <w:szCs w:val="21"/>
                            <w:highlight w:val="none"/>
                          </w:rPr>
                          <w:t>类</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color w:val="auto"/>
                            <w:sz w:val="21"/>
                            <w:szCs w:val="21"/>
                            <w:highlight w:val="none"/>
                          </w:rPr>
                          <w:t>6~9</w:t>
                        </w:r>
                      </w:p>
                    </w:tc>
                    <w:tc>
                      <w:tcPr>
                        <w:tcW w:w="1039" w:type="dxa"/>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 xml:space="preserve"> </w:t>
                        </w:r>
                        <w:r>
                          <w:rPr>
                            <w:color w:val="auto"/>
                            <w:sz w:val="21"/>
                            <w:szCs w:val="21"/>
                            <w:highlight w:val="none"/>
                          </w:rPr>
                          <w:t>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rFonts w:hint="eastAsia"/>
                            <w:color w:val="auto"/>
                            <w:sz w:val="21"/>
                            <w:szCs w:val="21"/>
                            <w:highlight w:val="none"/>
                            <w:lang w:val="en-US" w:eastAsia="zh-CN"/>
                          </w:rPr>
                          <w:t>2</w:t>
                        </w:r>
                        <w:r>
                          <w:rPr>
                            <w:color w:val="auto"/>
                            <w:sz w:val="21"/>
                            <w:szCs w:val="21"/>
                            <w:highlight w:val="none"/>
                          </w:rPr>
                          <w:t>0</w:t>
                        </w:r>
                        <w:r>
                          <w:rPr>
                            <w:rFonts w:hint="eastAsia"/>
                            <w:color w:val="auto"/>
                            <w:sz w:val="21"/>
                            <w:szCs w:val="21"/>
                            <w:highlight w:val="none"/>
                          </w:rPr>
                          <w:t xml:space="preserve"> </w:t>
                        </w:r>
                        <w:r>
                          <w:rPr>
                            <w:color w:val="auto"/>
                            <w:sz w:val="21"/>
                            <w:szCs w:val="21"/>
                            <w:highlight w:val="none"/>
                          </w:rPr>
                          <w:t>mg/L</w:t>
                        </w:r>
                      </w:p>
                    </w:tc>
                    <w:tc>
                      <w:tcPr>
                        <w:tcW w:w="1039" w:type="dxa"/>
                        <w:tcBorders>
                          <w:top w:val="single" w:color="auto" w:sz="4" w:space="0"/>
                          <w:left w:val="single" w:color="auto" w:sz="4" w:space="0"/>
                          <w:bottom w:val="single" w:color="auto" w:sz="4" w:space="0"/>
                          <w:right w:val="single" w:color="auto" w:sz="6" w:space="0"/>
                        </w:tcBorders>
                        <w:vAlign w:val="center"/>
                      </w:tcPr>
                      <w:p>
                        <w:pPr>
                          <w:pStyle w:val="46"/>
                          <w:tabs>
                            <w:tab w:val="left" w:pos="420"/>
                          </w:tabs>
                          <w:snapToGrid w:val="0"/>
                          <w:spacing w:before="60" w:after="60"/>
                          <w:jc w:val="center"/>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.0 mg/ L</w:t>
                        </w:r>
                      </w:p>
                    </w:tc>
                    <w:tc>
                      <w:tcPr>
                        <w:tcW w:w="1039" w:type="dxa"/>
                        <w:tcBorders>
                          <w:top w:val="single" w:color="auto" w:sz="4" w:space="0"/>
                          <w:left w:val="single" w:color="auto" w:sz="6" w:space="0"/>
                          <w:bottom w:val="single" w:color="auto" w:sz="4" w:space="0"/>
                          <w:right w:val="single" w:color="auto" w:sz="4" w:space="0"/>
                        </w:tcBorders>
                        <w:vAlign w:val="center"/>
                      </w:tcPr>
                      <w:p>
                        <w:pPr>
                          <w:pStyle w:val="46"/>
                          <w:tabs>
                            <w:tab w:val="left" w:pos="420"/>
                          </w:tabs>
                          <w:snapToGrid w:val="0"/>
                          <w:spacing w:before="60" w:after="60"/>
                          <w:jc w:val="center"/>
                          <w:rPr>
                            <w:color w:val="auto"/>
                            <w:sz w:val="21"/>
                            <w:szCs w:val="21"/>
                            <w:highlight w:val="none"/>
                          </w:rPr>
                        </w:pPr>
                        <w:r>
                          <w:rPr>
                            <w:color w:val="auto"/>
                            <w:sz w:val="21"/>
                            <w:szCs w:val="21"/>
                            <w:highlight w:val="none"/>
                          </w:rPr>
                          <w:t>0.</w:t>
                        </w:r>
                        <w:r>
                          <w:rPr>
                            <w:rFonts w:hint="eastAsia"/>
                            <w:color w:val="auto"/>
                            <w:sz w:val="21"/>
                            <w:szCs w:val="21"/>
                            <w:highlight w:val="none"/>
                            <w:lang w:val="en-US" w:eastAsia="zh-CN"/>
                          </w:rPr>
                          <w:t>2</w:t>
                        </w:r>
                        <w:r>
                          <w:rPr>
                            <w:color w:val="auto"/>
                            <w:sz w:val="21"/>
                            <w:szCs w:val="21"/>
                            <w:highlight w:val="none"/>
                          </w:rPr>
                          <w:t>mg/L</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.0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restart"/>
                        <w:tcBorders>
                          <w:left w:val="single" w:color="auto" w:sz="4" w:space="0"/>
                          <w:right w:val="single" w:color="auto" w:sz="4" w:space="0"/>
                        </w:tcBorders>
                        <w:vAlign w:val="center"/>
                      </w:tcPr>
                      <w:p>
                        <w:pPr>
                          <w:widowControl/>
                          <w:jc w:val="left"/>
                          <w:rPr>
                            <w:color w:val="auto"/>
                            <w:sz w:val="21"/>
                            <w:szCs w:val="21"/>
                            <w:highlight w:val="none"/>
                          </w:rPr>
                        </w:pPr>
                        <w:r>
                          <w:rPr>
                            <w:rFonts w:hint="eastAsia" w:cs="宋体"/>
                            <w:color w:val="auto"/>
                            <w:spacing w:val="-10"/>
                            <w:sz w:val="21"/>
                            <w:szCs w:val="21"/>
                            <w:highlight w:val="none"/>
                            <w:shd w:val="clear" w:color="auto" w:fill="auto"/>
                            <w:lang w:eastAsia="zh-CN"/>
                          </w:rPr>
                          <w:t>农田灌溉水质标准 GB 5084-2005</w:t>
                        </w:r>
                        <w:r>
                          <w:rPr>
                            <w:rFonts w:hint="eastAsia" w:cs="宋体"/>
                            <w:color w:val="auto"/>
                            <w:spacing w:val="-10"/>
                            <w:sz w:val="21"/>
                            <w:szCs w:val="21"/>
                            <w:highlight w:val="none"/>
                            <w:shd w:val="clear" w:color="auto" w:fill="auto"/>
                            <w:lang w:val="en-US" w:eastAsia="zh-CN"/>
                          </w:rPr>
                          <w:t xml:space="preserve"> （旱作</w:t>
                        </w:r>
                      </w:p>
                    </w:tc>
                    <w:tc>
                      <w:tcPr>
                        <w:tcW w:w="1039" w:type="dxa"/>
                        <w:tcBorders>
                          <w:top w:val="single" w:color="auto" w:sz="4" w:space="0"/>
                          <w:left w:val="single" w:color="auto" w:sz="4" w:space="0"/>
                          <w:bottom w:val="single" w:color="auto" w:sz="4" w:space="0"/>
                          <w:right w:val="single" w:color="auto" w:sz="4" w:space="0"/>
                        </w:tcBorders>
                        <w:vAlign w:val="top"/>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ja-JP" w:bidi="ar-SA"/>
                          </w:rPr>
                        </w:pPr>
                        <w:r>
                          <w:rPr>
                            <w:rFonts w:hint="eastAsia"/>
                            <w:color w:val="auto"/>
                            <w:sz w:val="21"/>
                            <w:szCs w:val="21"/>
                            <w:highlight w:val="none"/>
                          </w:rPr>
                          <w:t>类别</w:t>
                        </w:r>
                      </w:p>
                    </w:tc>
                    <w:tc>
                      <w:tcPr>
                        <w:tcW w:w="1039" w:type="dxa"/>
                        <w:gridSpan w:val="2"/>
                        <w:tcBorders>
                          <w:top w:val="single" w:color="auto" w:sz="4" w:space="0"/>
                          <w:left w:val="single" w:color="auto" w:sz="4" w:space="0"/>
                          <w:bottom w:val="single" w:color="auto" w:sz="4" w:space="0"/>
                          <w:right w:val="single" w:color="auto" w:sz="4" w:space="0"/>
                        </w:tcBorders>
                        <w:vAlign w:val="top"/>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pH</w:t>
                        </w:r>
                      </w:p>
                    </w:tc>
                    <w:tc>
                      <w:tcPr>
                        <w:tcW w:w="1039" w:type="dxa"/>
                        <w:tcBorders>
                          <w:top w:val="single" w:color="auto" w:sz="4" w:space="0"/>
                          <w:left w:val="single" w:color="auto" w:sz="4" w:space="0"/>
                          <w:bottom w:val="single" w:color="auto" w:sz="4" w:space="0"/>
                          <w:right w:val="single" w:color="auto" w:sz="4" w:space="0"/>
                        </w:tcBorders>
                        <w:vAlign w:val="top"/>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BOD</w:t>
                        </w:r>
                        <w:r>
                          <w:rPr>
                            <w:color w:val="auto"/>
                            <w:sz w:val="21"/>
                            <w:szCs w:val="21"/>
                            <w:highlight w:val="none"/>
                            <w:vertAlign w:val="subscript"/>
                          </w:rPr>
                          <w:t>5</w:t>
                        </w:r>
                      </w:p>
                    </w:tc>
                    <w:tc>
                      <w:tcPr>
                        <w:tcW w:w="1039" w:type="dxa"/>
                        <w:gridSpan w:val="2"/>
                        <w:tcBorders>
                          <w:top w:val="single" w:color="auto" w:sz="4" w:space="0"/>
                          <w:left w:val="single" w:color="auto" w:sz="4" w:space="0"/>
                          <w:bottom w:val="single" w:color="auto" w:sz="4" w:space="0"/>
                          <w:right w:val="single" w:color="auto" w:sz="4" w:space="0"/>
                        </w:tcBorders>
                        <w:vAlign w:val="top"/>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COD</w:t>
                        </w:r>
                      </w:p>
                    </w:tc>
                    <w:tc>
                      <w:tcPr>
                        <w:tcW w:w="1039" w:type="dxa"/>
                        <w:tcBorders>
                          <w:top w:val="single" w:color="auto" w:sz="4" w:space="0"/>
                          <w:left w:val="single" w:color="auto" w:sz="4" w:space="0"/>
                          <w:bottom w:val="single" w:color="auto" w:sz="4" w:space="0"/>
                          <w:right w:val="single" w:color="auto" w:sz="6" w:space="0"/>
                        </w:tcBorders>
                        <w:vAlign w:val="center"/>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SS</w:t>
                        </w:r>
                      </w:p>
                    </w:tc>
                    <w:tc>
                      <w:tcPr>
                        <w:tcW w:w="2081" w:type="dxa"/>
                        <w:gridSpan w:val="2"/>
                        <w:tcBorders>
                          <w:top w:val="single" w:color="auto" w:sz="4" w:space="0"/>
                          <w:left w:val="single" w:color="auto" w:sz="6" w:space="0"/>
                          <w:bottom w:val="single" w:color="auto" w:sz="4" w:space="0"/>
                          <w:right w:val="single" w:color="auto" w:sz="4" w:space="0"/>
                        </w:tcBorders>
                        <w:vAlign w:val="center"/>
                      </w:tcPr>
                      <w:p>
                        <w:pPr>
                          <w:widowControl/>
                          <w:jc w:val="center"/>
                          <w:rPr>
                            <w:rFonts w:hint="eastAsia"/>
                            <w:color w:val="auto"/>
                            <w:sz w:val="21"/>
                            <w:szCs w:val="21"/>
                            <w:highlight w:val="none"/>
                            <w:lang w:val="en-US" w:eastAsia="zh-CN"/>
                          </w:rPr>
                        </w:pPr>
                        <w:r>
                          <w:rPr>
                            <w:rFonts w:hint="eastAsia"/>
                            <w:color w:val="auto"/>
                            <w:sz w:val="21"/>
                            <w:szCs w:val="21"/>
                            <w:highlight w:val="none"/>
                            <w:lang w:val="en-US" w:eastAsia="zh-CN"/>
                          </w:rPr>
                          <w:t>粪大肠菌群数/（个/100mL）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6" w:type="dxa"/>
                        <w:vMerge w:val="continue"/>
                        <w:tcBorders>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ja-JP" w:bidi="ar-SA"/>
                          </w:rPr>
                        </w:pPr>
                        <w:r>
                          <w:rPr>
                            <w:rFonts w:hint="eastAsia" w:cs="宋体"/>
                            <w:color w:val="auto"/>
                            <w:spacing w:val="-10"/>
                            <w:sz w:val="21"/>
                            <w:szCs w:val="21"/>
                            <w:highlight w:val="none"/>
                            <w:shd w:val="clear" w:color="auto" w:fill="auto"/>
                            <w:lang w:val="en-US" w:eastAsia="zh-CN"/>
                          </w:rPr>
                          <w:t>旱作</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6~9</w:t>
                        </w:r>
                      </w:p>
                    </w:tc>
                    <w:tc>
                      <w:tcPr>
                        <w:tcW w:w="1039" w:type="dxa"/>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100mg/L</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200mg/L</w:t>
                        </w:r>
                      </w:p>
                    </w:tc>
                    <w:tc>
                      <w:tcPr>
                        <w:tcW w:w="1039" w:type="dxa"/>
                        <w:tcBorders>
                          <w:top w:val="single" w:color="auto" w:sz="4" w:space="0"/>
                          <w:left w:val="single" w:color="auto" w:sz="4" w:space="0"/>
                          <w:bottom w:val="single" w:color="auto" w:sz="4" w:space="0"/>
                          <w:right w:val="single" w:color="auto" w:sz="6" w:space="0"/>
                        </w:tcBorders>
                        <w:vAlign w:val="center"/>
                      </w:tcPr>
                      <w:p>
                        <w:pPr>
                          <w:pStyle w:val="46"/>
                          <w:tabs>
                            <w:tab w:val="left" w:pos="420"/>
                          </w:tabs>
                          <w:snapToGrid w:val="0"/>
                          <w:spacing w:before="60" w:after="6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100mg/L</w:t>
                        </w:r>
                      </w:p>
                    </w:tc>
                    <w:tc>
                      <w:tcPr>
                        <w:tcW w:w="2081" w:type="dxa"/>
                        <w:gridSpan w:val="2"/>
                        <w:tcBorders>
                          <w:top w:val="single" w:color="auto" w:sz="4" w:space="0"/>
                          <w:left w:val="single" w:color="auto" w:sz="6" w:space="0"/>
                          <w:bottom w:val="single" w:color="auto" w:sz="4" w:space="0"/>
                          <w:right w:val="single" w:color="auto" w:sz="4" w:space="0"/>
                        </w:tcBorders>
                        <w:vAlign w:val="center"/>
                      </w:tcPr>
                      <w:p>
                        <w:pPr>
                          <w:widowControl/>
                          <w:jc w:val="center"/>
                          <w:rPr>
                            <w:rFonts w:hint="eastAsia"/>
                            <w:color w:val="auto"/>
                            <w:sz w:val="21"/>
                            <w:szCs w:val="21"/>
                            <w:highlight w:val="none"/>
                            <w:lang w:val="en-US" w:eastAsia="zh-CN"/>
                          </w:rPr>
                        </w:pPr>
                        <w:r>
                          <w:rPr>
                            <w:rFonts w:hint="eastAsia"/>
                            <w:color w:val="auto"/>
                            <w:sz w:val="21"/>
                            <w:szCs w:val="21"/>
                            <w:highlight w:val="none"/>
                            <w:lang w:val="en-US" w:eastAsia="zh-CN"/>
                          </w:rPr>
                          <w:t>4000</w:t>
                        </w:r>
                      </w:p>
                    </w:tc>
                  </w:tr>
                </w:tbl>
                <w:p>
                  <w:pPr>
                    <w:pStyle w:val="46"/>
                    <w:tabs>
                      <w:tab w:val="left" w:pos="420"/>
                    </w:tabs>
                    <w:spacing w:line="440" w:lineRule="exact"/>
                    <w:ind w:firstLine="601"/>
                    <w:jc w:val="center"/>
                    <w:rPr>
                      <w:b/>
                      <w:bCs/>
                      <w:color w:val="auto"/>
                      <w:sz w:val="28"/>
                      <w:szCs w:val="28"/>
                      <w:highlight w:val="none"/>
                    </w:rPr>
                  </w:pPr>
                  <w:r>
                    <w:rPr>
                      <w:rFonts w:hint="eastAsia" w:cs="宋体"/>
                      <w:b/>
                      <w:bCs/>
                      <w:color w:val="auto"/>
                      <w:sz w:val="28"/>
                      <w:szCs w:val="28"/>
                      <w:highlight w:val="none"/>
                    </w:rPr>
                    <w:t>污染物排放标准</w:t>
                  </w:r>
                </w:p>
                <w:tbl>
                  <w:tblPr>
                    <w:tblStyle w:val="2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0"/>
                    <w:gridCol w:w="684"/>
                    <w:gridCol w:w="320"/>
                    <w:gridCol w:w="1004"/>
                    <w:gridCol w:w="822"/>
                    <w:gridCol w:w="182"/>
                    <w:gridCol w:w="1004"/>
                    <w:gridCol w:w="100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pStyle w:val="10"/>
                          <w:spacing w:before="0"/>
                          <w:jc w:val="center"/>
                          <w:rPr>
                            <w:color w:val="auto"/>
                            <w:highlight w:val="none"/>
                          </w:rPr>
                        </w:pPr>
                        <w:r>
                          <w:rPr>
                            <w:rFonts w:hint="eastAsia" w:ascii="Times New Roman" w:hAnsi="Times New Roman" w:eastAsia="宋体" w:cs="宋体"/>
                            <w:color w:val="auto"/>
                            <w:kern w:val="2"/>
                            <w:sz w:val="21"/>
                            <w:szCs w:val="21"/>
                            <w:highlight w:val="none"/>
                          </w:rPr>
                          <w:t>《城镇污水处理厂污染物排放标准》（</w:t>
                        </w:r>
                        <w:r>
                          <w:rPr>
                            <w:rFonts w:ascii="Times New Roman" w:hAnsi="Times New Roman" w:eastAsia="宋体" w:cs="Times New Roman"/>
                            <w:color w:val="auto"/>
                            <w:kern w:val="2"/>
                            <w:sz w:val="21"/>
                            <w:szCs w:val="21"/>
                            <w:highlight w:val="none"/>
                          </w:rPr>
                          <w:t>GB18918-2002</w:t>
                        </w:r>
                        <w:r>
                          <w:rPr>
                            <w:rFonts w:hint="eastAsia" w:ascii="Times New Roman" w:hAnsi="Times New Roman" w:eastAsia="宋体" w:cs="宋体"/>
                            <w:color w:val="auto"/>
                            <w:kern w:val="2"/>
                            <w:sz w:val="21"/>
                            <w:szCs w:val="21"/>
                            <w:highlight w:val="none"/>
                          </w:rPr>
                          <w:t>）一级标准（</w:t>
                        </w:r>
                        <w:r>
                          <w:rPr>
                            <w:rFonts w:ascii="Times New Roman" w:hAnsi="Times New Roman" w:eastAsia="宋体" w:cs="Times New Roman"/>
                            <w:color w:val="auto"/>
                            <w:kern w:val="2"/>
                            <w:sz w:val="21"/>
                            <w:szCs w:val="21"/>
                            <w:highlight w:val="none"/>
                          </w:rPr>
                          <w:t>A</w:t>
                        </w:r>
                        <w:r>
                          <w:rPr>
                            <w:rFonts w:hint="eastAsia" w:ascii="Times New Roman" w:hAnsi="Times New Roman" w:eastAsia="宋体" w:cs="宋体"/>
                            <w:color w:val="auto"/>
                            <w:kern w:val="2"/>
                            <w:sz w:val="21"/>
                            <w:szCs w:val="21"/>
                            <w:highlight w:val="none"/>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spacing w:val="-20"/>
                            <w:kern w:val="2"/>
                            <w:sz w:val="21"/>
                            <w:szCs w:val="21"/>
                            <w:highlight w:val="none"/>
                          </w:rPr>
                        </w:pPr>
                        <w:r>
                          <w:rPr>
                            <w:rFonts w:hint="eastAsia" w:ascii="Times New Roman" w:hAnsi="Times New Roman" w:eastAsia="宋体" w:cs="宋体"/>
                            <w:color w:val="auto"/>
                            <w:kern w:val="2"/>
                            <w:sz w:val="21"/>
                            <w:szCs w:val="21"/>
                            <w:highlight w:val="none"/>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pH</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COD</w:t>
                        </w:r>
                      </w:p>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spacing w:val="-20"/>
                            <w:kern w:val="2"/>
                            <w:sz w:val="21"/>
                            <w:szCs w:val="21"/>
                            <w:highlight w:val="none"/>
                          </w:rPr>
                          <w:t>(mg/L)</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BOD</w:t>
                        </w:r>
                        <w:r>
                          <w:rPr>
                            <w:rFonts w:ascii="Times New Roman" w:hAnsi="Times New Roman" w:eastAsia="宋体" w:cs="Times New Roman"/>
                            <w:color w:val="auto"/>
                            <w:kern w:val="2"/>
                            <w:sz w:val="21"/>
                            <w:szCs w:val="21"/>
                            <w:highlight w:val="none"/>
                            <w:vertAlign w:val="subscript"/>
                          </w:rPr>
                          <w:t>5</w:t>
                        </w:r>
                      </w:p>
                      <w:p>
                        <w:pPr>
                          <w:ind w:firstLine="255" w:firstLineChars="150"/>
                          <w:rPr>
                            <w:color w:val="auto"/>
                            <w:sz w:val="21"/>
                            <w:szCs w:val="21"/>
                            <w:highlight w:val="none"/>
                          </w:rPr>
                        </w:pPr>
                        <w:r>
                          <w:rPr>
                            <w:color w:val="auto"/>
                            <w:spacing w:val="-20"/>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SS</w:t>
                        </w:r>
                      </w:p>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spacing w:val="-20"/>
                            <w:kern w:val="2"/>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NH</w:t>
                        </w:r>
                        <w:r>
                          <w:rPr>
                            <w:rFonts w:ascii="Times New Roman" w:hAnsi="Times New Roman" w:eastAsia="宋体" w:cs="Times New Roman"/>
                            <w:color w:val="auto"/>
                            <w:kern w:val="2"/>
                            <w:sz w:val="21"/>
                            <w:szCs w:val="21"/>
                            <w:highlight w:val="none"/>
                            <w:vertAlign w:val="subscript"/>
                          </w:rPr>
                          <w:t>3</w:t>
                        </w:r>
                        <w:r>
                          <w:rPr>
                            <w:rFonts w:ascii="Times New Roman" w:hAnsi="Times New Roman" w:eastAsia="宋体" w:cs="Times New Roman"/>
                            <w:color w:val="auto"/>
                            <w:kern w:val="2"/>
                            <w:sz w:val="21"/>
                            <w:szCs w:val="21"/>
                            <w:highlight w:val="none"/>
                          </w:rPr>
                          <w:t>-N</w:t>
                        </w:r>
                      </w:p>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spacing w:val="-20"/>
                            <w:kern w:val="2"/>
                            <w:sz w:val="21"/>
                            <w:szCs w:val="21"/>
                            <w:highlight w:val="none"/>
                          </w:rPr>
                          <w:t>(mg/L)</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TP</w:t>
                        </w:r>
                      </w:p>
                      <w:p>
                        <w:pPr>
                          <w:pStyle w:val="10"/>
                          <w:spacing w:before="0"/>
                          <w:jc w:val="center"/>
                          <w:rPr>
                            <w:snapToGrid w:val="0"/>
                            <w:color w:val="auto"/>
                            <w:kern w:val="24"/>
                            <w:sz w:val="21"/>
                            <w:szCs w:val="21"/>
                            <w:highlight w:val="none"/>
                          </w:rPr>
                        </w:pPr>
                        <w:r>
                          <w:rPr>
                            <w:rFonts w:ascii="Times New Roman" w:hAnsi="Times New Roman" w:eastAsia="宋体" w:cs="Times New Roman"/>
                            <w:color w:val="auto"/>
                            <w:spacing w:val="-20"/>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6-9</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50</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10</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10</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lang w:val="en-GB"/>
                          </w:rPr>
                          <w:t>5</w:t>
                        </w:r>
                        <w:r>
                          <w:rPr>
                            <w:rFonts w:hint="eastAsia" w:ascii="Times New Roman" w:hAnsi="Times New Roman" w:eastAsia="宋体" w:cs="宋体"/>
                            <w:color w:val="auto"/>
                            <w:kern w:val="2"/>
                            <w:sz w:val="21"/>
                            <w:szCs w:val="21"/>
                            <w:highlight w:val="none"/>
                            <w:lang w:val="en-GB"/>
                          </w:rPr>
                          <w:t>（</w:t>
                        </w:r>
                        <w:r>
                          <w:rPr>
                            <w:rFonts w:ascii="Times New Roman" w:hAnsi="Times New Roman" w:eastAsia="宋体" w:cs="Times New Roman"/>
                            <w:color w:val="auto"/>
                            <w:kern w:val="2"/>
                            <w:sz w:val="21"/>
                            <w:szCs w:val="21"/>
                            <w:highlight w:val="none"/>
                            <w:lang w:val="en-GB"/>
                          </w:rPr>
                          <w:t>8</w:t>
                        </w:r>
                        <w:r>
                          <w:rPr>
                            <w:rFonts w:hint="eastAsia" w:ascii="Times New Roman" w:hAnsi="Times New Roman" w:eastAsia="宋体" w:cs="宋体"/>
                            <w:color w:val="auto"/>
                            <w:kern w:val="2"/>
                            <w:sz w:val="21"/>
                            <w:szCs w:val="21"/>
                            <w:highlight w:val="none"/>
                            <w:lang w:val="en-GB"/>
                          </w:rPr>
                          <w:t>）</w:t>
                        </w:r>
                      </w:p>
                    </w:tc>
                    <w:tc>
                      <w:tcPr>
                        <w:tcW w:w="100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jc w:val="left"/>
                          <w:rPr>
                            <w:color w:val="auto"/>
                            <w:kern w:val="24"/>
                            <w:sz w:val="21"/>
                            <w:szCs w:val="21"/>
                            <w:highlight w:val="none"/>
                          </w:rPr>
                        </w:pPr>
                        <w:r>
                          <w:rPr>
                            <w:rFonts w:hint="eastAsia" w:cs="宋体"/>
                            <w:color w:val="auto"/>
                            <w:sz w:val="21"/>
                            <w:szCs w:val="21"/>
                            <w:highlight w:val="none"/>
                          </w:rPr>
                          <w:t>《城镇污水处理厂污染物排放标准》（</w:t>
                        </w:r>
                        <w:r>
                          <w:rPr>
                            <w:color w:val="auto"/>
                            <w:sz w:val="21"/>
                            <w:szCs w:val="21"/>
                            <w:highlight w:val="none"/>
                          </w:rPr>
                          <w:t>GB18918-2002</w:t>
                        </w:r>
                        <w:r>
                          <w:rPr>
                            <w:rFonts w:hint="eastAsia" w:cs="宋体"/>
                            <w:color w:val="auto"/>
                            <w:sz w:val="21"/>
                            <w:szCs w:val="21"/>
                            <w:highlight w:val="none"/>
                          </w:rPr>
                          <w:t>）</w:t>
                        </w:r>
                        <w:r>
                          <w:rPr>
                            <w:rFonts w:hint="eastAsia" w:cs="宋体"/>
                            <w:color w:val="auto"/>
                            <w:sz w:val="21"/>
                            <w:szCs w:val="21"/>
                            <w:highlight w:val="none"/>
                            <w:lang w:val="en-GB"/>
                          </w:rPr>
                          <w:t>厂界废气排放最高允许浓度二级标准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hint="eastAsia" w:ascii="Times New Roman" w:hAnsi="Times New Roman" w:eastAsia="宋体" w:cs="宋体"/>
                            <w:color w:val="auto"/>
                            <w:kern w:val="2"/>
                            <w:sz w:val="21"/>
                            <w:szCs w:val="21"/>
                            <w:highlight w:val="none"/>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H</w:t>
                        </w:r>
                        <w:r>
                          <w:rPr>
                            <w:color w:val="auto"/>
                            <w:spacing w:val="-10"/>
                            <w:sz w:val="21"/>
                            <w:szCs w:val="21"/>
                            <w:highlight w:val="none"/>
                            <w:vertAlign w:val="subscript"/>
                          </w:rPr>
                          <w:t>2</w:t>
                        </w:r>
                        <w:r>
                          <w:rPr>
                            <w:color w:val="auto"/>
                            <w:spacing w:val="-10"/>
                            <w:sz w:val="21"/>
                            <w:szCs w:val="21"/>
                            <w:highlight w:val="none"/>
                          </w:rPr>
                          <w:t>S</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lang w:val="en-GB"/>
                          </w:rPr>
                          <w:t>0.06</w:t>
                        </w:r>
                        <w:r>
                          <w:rPr>
                            <w:rFonts w:ascii="Times New Roman" w:hAnsi="Times New Roman" w:cs="Times New Roman"/>
                            <w:color w:val="auto"/>
                            <w:spacing w:val="-10"/>
                            <w:kern w:val="2"/>
                            <w:sz w:val="21"/>
                            <w:szCs w:val="21"/>
                            <w:highlight w:val="none"/>
                          </w:rPr>
                          <w:t xml:space="preserve"> mg/Nm</w:t>
                        </w:r>
                        <w:r>
                          <w:rPr>
                            <w:rFonts w:ascii="Times New Roman" w:hAnsi="Times New Roman" w:cs="Times New Roman"/>
                            <w:color w:val="auto"/>
                            <w:spacing w:val="-10"/>
                            <w:kern w:val="2"/>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46"/>
                          <w:tabs>
                            <w:tab w:val="left" w:pos="420"/>
                          </w:tabs>
                          <w:snapToGrid w:val="0"/>
                          <w:spacing w:before="60" w:after="60"/>
                          <w:jc w:val="center"/>
                          <w:rPr>
                            <w:color w:val="auto"/>
                            <w:spacing w:val="-10"/>
                            <w:sz w:val="21"/>
                            <w:szCs w:val="21"/>
                            <w:highlight w:val="none"/>
                          </w:rPr>
                        </w:pPr>
                        <w:r>
                          <w:rPr>
                            <w:color w:val="auto"/>
                            <w:spacing w:val="-10"/>
                            <w:sz w:val="21"/>
                            <w:szCs w:val="21"/>
                            <w:highlight w:val="none"/>
                          </w:rPr>
                          <w:t>NH</w:t>
                        </w:r>
                        <w:r>
                          <w:rPr>
                            <w:color w:val="auto"/>
                            <w:spacing w:val="-10"/>
                            <w:sz w:val="21"/>
                            <w:szCs w:val="21"/>
                            <w:highlight w:val="none"/>
                            <w:vertAlign w:val="subscript"/>
                          </w:rPr>
                          <w:t>3</w:t>
                        </w:r>
                      </w:p>
                    </w:tc>
                    <w:tc>
                      <w:tcPr>
                        <w:tcW w:w="5340" w:type="dxa"/>
                        <w:gridSpan w:val="7"/>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ascii="Times New Roman" w:hAnsi="Times New Roman" w:eastAsia="宋体" w:cs="Times New Roman"/>
                            <w:color w:val="auto"/>
                            <w:kern w:val="2"/>
                            <w:sz w:val="21"/>
                            <w:szCs w:val="21"/>
                            <w:highlight w:val="none"/>
                            <w:lang w:val="en-GB"/>
                          </w:rPr>
                          <w:t>1.5</w:t>
                        </w:r>
                        <w:r>
                          <w:rPr>
                            <w:rFonts w:ascii="Times New Roman" w:hAnsi="Times New Roman" w:cs="Times New Roman"/>
                            <w:color w:val="auto"/>
                            <w:spacing w:val="-10"/>
                            <w:kern w:val="2"/>
                            <w:sz w:val="21"/>
                            <w:szCs w:val="21"/>
                            <w:highlight w:val="none"/>
                          </w:rPr>
                          <w:t xml:space="preserve"> mg/Nm</w:t>
                        </w:r>
                        <w:r>
                          <w:rPr>
                            <w:rFonts w:ascii="Times New Roman" w:hAnsi="Times New Roman" w:cs="Times New Roman"/>
                            <w:color w:val="auto"/>
                            <w:spacing w:val="-10"/>
                            <w:kern w:val="2"/>
                            <w:sz w:val="21"/>
                            <w:szCs w:val="21"/>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GB 12348—2008</w:t>
                        </w:r>
                        <w:r>
                          <w:rPr>
                            <w:rFonts w:hint="eastAsia" w:ascii="Times New Roman" w:hAnsi="Times New Roman" w:eastAsia="宋体" w:cs="宋体"/>
                            <w:color w:val="auto"/>
                            <w:kern w:val="2"/>
                            <w:sz w:val="21"/>
                            <w:szCs w:val="21"/>
                            <w:highlight w:val="none"/>
                          </w:rPr>
                          <w:t>《工业企业厂界环境噪声排放标准》，</w:t>
                        </w:r>
                        <w:r>
                          <w:rPr>
                            <w:rFonts w:ascii="Times New Roman" w:hAnsi="Times New Roman" w:eastAsia="宋体" w:cs="Times New Roman"/>
                            <w:color w:val="auto"/>
                            <w:kern w:val="2"/>
                            <w:sz w:val="21"/>
                            <w:szCs w:val="21"/>
                            <w:highlight w:val="none"/>
                          </w:rPr>
                          <w:t>2</w:t>
                        </w:r>
                        <w:r>
                          <w:rPr>
                            <w:rFonts w:hint="eastAsia" w:ascii="Times New Roman" w:hAnsi="Times New Roman" w:eastAsia="宋体" w:cs="宋体"/>
                            <w:color w:val="auto"/>
                            <w:kern w:val="2"/>
                            <w:sz w:val="21"/>
                            <w:szCs w:val="21"/>
                            <w:highlight w:val="none"/>
                          </w:rPr>
                          <w:t>类</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lang w:val="en-GB"/>
                          </w:rPr>
                        </w:pPr>
                        <w:r>
                          <w:rPr>
                            <w:rFonts w:hint="eastAsia" w:ascii="Times New Roman" w:hAnsi="Times New Roman" w:eastAsia="宋体" w:cs="宋体"/>
                            <w:color w:val="auto"/>
                            <w:kern w:val="2"/>
                            <w:sz w:val="21"/>
                            <w:szCs w:val="21"/>
                            <w:highlight w:val="none"/>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类别</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2</w:t>
                        </w:r>
                        <w:r>
                          <w:rPr>
                            <w:rFonts w:hint="eastAsia" w:ascii="Times New Roman" w:hAnsi="Times New Roman" w:eastAsia="宋体" w:cs="宋体"/>
                            <w:color w:val="auto"/>
                            <w:kern w:val="2"/>
                            <w:sz w:val="21"/>
                            <w:szCs w:val="21"/>
                            <w:highlight w:val="none"/>
                          </w:rPr>
                          <w:t>类</w:t>
                        </w:r>
                      </w:p>
                    </w:tc>
                    <w:tc>
                      <w:tcPr>
                        <w:tcW w:w="2146" w:type="dxa"/>
                        <w:gridSpan w:val="3"/>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60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jc w:val="center"/>
                    </w:trPr>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r>
                          <w:rPr>
                            <w:color w:val="auto"/>
                            <w:kern w:val="24"/>
                            <w:sz w:val="21"/>
                            <w:szCs w:val="21"/>
                            <w:highlight w:val="none"/>
                          </w:rPr>
                          <w:t>GB12523-2011</w:t>
                        </w:r>
                        <w:r>
                          <w:rPr>
                            <w:rFonts w:hint="eastAsia" w:cs="宋体"/>
                            <w:color w:val="auto"/>
                            <w:kern w:val="24"/>
                            <w:sz w:val="21"/>
                            <w:szCs w:val="21"/>
                            <w:highlight w:val="none"/>
                          </w:rPr>
                          <w:t>《建筑施工场界环境噪声排放标准》</w:t>
                        </w:r>
                      </w:p>
                    </w:tc>
                    <w:tc>
                      <w:tcPr>
                        <w:tcW w:w="6024" w:type="dxa"/>
                        <w:gridSpan w:val="8"/>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昼间</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hint="eastAsia" w:ascii="Times New Roman" w:hAnsi="Times New Roman" w:eastAsia="宋体" w:cs="宋体"/>
                            <w:color w:val="auto"/>
                            <w:kern w:val="2"/>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24"/>
                            <w:sz w:val="21"/>
                            <w:szCs w:val="21"/>
                            <w:highlight w:val="none"/>
                          </w:rPr>
                        </w:pPr>
                      </w:p>
                    </w:tc>
                    <w:tc>
                      <w:tcPr>
                        <w:tcW w:w="2830"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70 dB(A)</w:t>
                        </w:r>
                      </w:p>
                    </w:tc>
                    <w:tc>
                      <w:tcPr>
                        <w:tcW w:w="3194" w:type="dxa"/>
                        <w:gridSpan w:val="4"/>
                        <w:tcBorders>
                          <w:top w:val="single" w:color="auto" w:sz="4" w:space="0"/>
                          <w:left w:val="single" w:color="auto" w:sz="4" w:space="0"/>
                          <w:bottom w:val="single" w:color="auto" w:sz="4" w:space="0"/>
                          <w:right w:val="single" w:color="auto" w:sz="4" w:space="0"/>
                        </w:tcBorders>
                        <w:vAlign w:val="center"/>
                      </w:tcPr>
                      <w:p>
                        <w:pPr>
                          <w:pStyle w:val="10"/>
                          <w:spacing w:before="0"/>
                          <w:jc w:val="center"/>
                          <w:rPr>
                            <w:rFonts w:ascii="Times New Roman" w:hAnsi="Times New Roman" w:eastAsia="宋体" w:cs="Times New Roman"/>
                            <w:color w:val="auto"/>
                            <w:kern w:val="2"/>
                            <w:sz w:val="21"/>
                            <w:szCs w:val="21"/>
                            <w:highlight w:val="none"/>
                          </w:rPr>
                        </w:pPr>
                        <w:r>
                          <w:rPr>
                            <w:rFonts w:ascii="Times New Roman" w:hAnsi="Times New Roman" w:eastAsia="宋体" w:cs="Times New Roman"/>
                            <w:color w:val="auto"/>
                            <w:kern w:val="2"/>
                            <w:sz w:val="21"/>
                            <w:szCs w:val="21"/>
                            <w:highlight w:val="none"/>
                          </w:rPr>
                          <w:t>55dB(A)</w:t>
                        </w:r>
                      </w:p>
                    </w:tc>
                  </w:tr>
                </w:tbl>
                <w:p>
                  <w:pPr>
                    <w:pStyle w:val="46"/>
                    <w:tabs>
                      <w:tab w:val="clear" w:pos="8820"/>
                    </w:tabs>
                    <w:spacing w:line="460" w:lineRule="exact"/>
                    <w:rPr>
                      <w:b/>
                      <w:bCs/>
                      <w:color w:val="auto"/>
                      <w:highlight w:val="none"/>
                    </w:rPr>
                  </w:pPr>
                </w:p>
              </w:tc>
            </w:tr>
          </w:tbl>
          <w:p>
            <w:pPr>
              <w:pStyle w:val="46"/>
              <w:tabs>
                <w:tab w:val="clear" w:pos="8820"/>
              </w:tabs>
              <w:spacing w:line="460" w:lineRule="exact"/>
              <w:rPr>
                <w:b/>
                <w:bCs/>
                <w:color w:val="auto"/>
                <w:highlight w:val="none"/>
              </w:rPr>
            </w:pPr>
          </w:p>
        </w:tc>
      </w:tr>
    </w:tbl>
    <w:p>
      <w:pPr>
        <w:pStyle w:val="4"/>
        <w:spacing w:before="0" w:after="0"/>
        <w:jc w:val="left"/>
        <w:rPr>
          <w:sz w:val="30"/>
          <w:szCs w:val="30"/>
        </w:rPr>
      </w:pPr>
      <w:r>
        <w:rPr>
          <w:rFonts w:hint="eastAsia"/>
          <w:sz w:val="30"/>
          <w:szCs w:val="30"/>
        </w:rPr>
        <w:t>建设项目工程分析</w:t>
      </w:r>
    </w:p>
    <w:tbl>
      <w:tblPr>
        <w:tblStyle w:val="2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1" w:hRule="atLeast"/>
          <w:jc w:val="center"/>
        </w:trPr>
        <w:tc>
          <w:tcPr>
            <w:tcW w:w="9250" w:type="dxa"/>
          </w:tcPr>
          <w:p>
            <w:pPr>
              <w:pStyle w:val="2"/>
              <w:spacing w:before="3" w:line="364" w:lineRule="auto"/>
              <w:ind w:right="343"/>
              <w:rPr>
                <w:rFonts w:eastAsia="宋体" w:cs="宋体"/>
                <w:color w:val="auto"/>
                <w:spacing w:val="0"/>
                <w:sz w:val="24"/>
                <w:szCs w:val="24"/>
              </w:rPr>
            </w:pPr>
            <w:r>
              <w:rPr>
                <w:rFonts w:hint="eastAsia" w:eastAsia="宋体" w:cs="宋体"/>
                <w:color w:val="auto"/>
                <w:spacing w:val="0"/>
                <w:sz w:val="24"/>
                <w:szCs w:val="24"/>
              </w:rPr>
              <w:t>工艺流程简述（图示）：</w:t>
            </w:r>
          </w:p>
          <w:p>
            <w:pPr>
              <w:pStyle w:val="2"/>
              <w:spacing w:before="3" w:line="364" w:lineRule="auto"/>
              <w:ind w:right="343" w:firstLine="480"/>
              <w:rPr>
                <w:rFonts w:eastAsia="宋体" w:cs="宋体"/>
                <w:color w:val="auto"/>
                <w:spacing w:val="0"/>
                <w:sz w:val="24"/>
                <w:szCs w:val="24"/>
              </w:rPr>
            </w:pPr>
            <w:r>
              <w:rPr>
                <w:rFonts w:hint="eastAsia" w:eastAsia="宋体" w:cs="宋体"/>
                <w:color w:val="auto"/>
                <w:spacing w:val="0"/>
                <w:sz w:val="24"/>
                <w:szCs w:val="24"/>
              </w:rPr>
              <w:t>施工期：</w:t>
            </w:r>
          </w:p>
          <w:p>
            <w:pPr>
              <w:jc w:val="center"/>
              <w:rPr>
                <w:b/>
                <w:color w:val="auto"/>
                <w:sz w:val="24"/>
                <w:szCs w:val="36"/>
              </w:rPr>
            </w:pPr>
            <w:r>
              <w:rPr>
                <w:b/>
                <w:color w:val="auto"/>
                <w:sz w:val="24"/>
                <w:szCs w:val="36"/>
              </w:rPr>
              <w:drawing>
                <wp:anchor distT="0" distB="0" distL="0" distR="0" simplePos="0" relativeHeight="251652096" behindDoc="0" locked="0" layoutInCell="1" allowOverlap="1">
                  <wp:simplePos x="0" y="0"/>
                  <wp:positionH relativeFrom="page">
                    <wp:posOffset>389890</wp:posOffset>
                  </wp:positionH>
                  <wp:positionV relativeFrom="paragraph">
                    <wp:posOffset>153670</wp:posOffset>
                  </wp:positionV>
                  <wp:extent cx="4991735" cy="2350135"/>
                  <wp:effectExtent l="0" t="0" r="1841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rcRect t="-4480" b="-5625"/>
                          <a:stretch>
                            <a:fillRect/>
                          </a:stretch>
                        </pic:blipFill>
                        <pic:spPr>
                          <a:xfrm>
                            <a:off x="0" y="0"/>
                            <a:ext cx="4991735" cy="2350135"/>
                          </a:xfrm>
                          <a:prstGeom prst="rect">
                            <a:avLst/>
                          </a:prstGeom>
                        </pic:spPr>
                      </pic:pic>
                    </a:graphicData>
                  </a:graphic>
                </wp:anchor>
              </w:drawing>
            </w:r>
            <w:r>
              <w:rPr>
                <w:rFonts w:hint="eastAsia"/>
                <w:b/>
                <w:color w:val="auto"/>
                <w:sz w:val="24"/>
                <w:szCs w:val="36"/>
              </w:rPr>
              <w:t xml:space="preserve">图1 </w:t>
            </w:r>
            <w:r>
              <w:rPr>
                <w:b/>
                <w:color w:val="auto"/>
                <w:sz w:val="24"/>
                <w:szCs w:val="36"/>
              </w:rPr>
              <w:t>污水处理厂工程施工期工艺流程及产污环节图</w:t>
            </w:r>
          </w:p>
          <w:p>
            <w:pPr>
              <w:jc w:val="center"/>
              <w:rPr>
                <w:b/>
                <w:color w:val="auto"/>
                <w:sz w:val="24"/>
                <w:szCs w:val="36"/>
              </w:rPr>
            </w:pPr>
          </w:p>
          <w:p>
            <w:pPr>
              <w:spacing w:before="84"/>
              <w:ind w:left="2368"/>
              <w:jc w:val="left"/>
              <w:rPr>
                <w:b/>
                <w:color w:val="auto"/>
                <w:sz w:val="21"/>
              </w:rPr>
            </w:pPr>
            <w:r>
              <w:rPr>
                <w:color w:val="auto"/>
              </w:rPr>
              <mc:AlternateContent>
                <mc:Choice Requires="wpg">
                  <w:drawing>
                    <wp:anchor distT="0" distB="0" distL="114300" distR="114300" simplePos="0" relativeHeight="16384" behindDoc="0" locked="0" layoutInCell="1" allowOverlap="1">
                      <wp:simplePos x="0" y="0"/>
                      <wp:positionH relativeFrom="page">
                        <wp:posOffset>199390</wp:posOffset>
                      </wp:positionH>
                      <wp:positionV relativeFrom="paragraph">
                        <wp:posOffset>226695</wp:posOffset>
                      </wp:positionV>
                      <wp:extent cx="5627370" cy="1534795"/>
                      <wp:effectExtent l="0" t="0" r="11430" b="8255"/>
                      <wp:wrapTopAndBottom/>
                      <wp:docPr id="39" name="组合 39"/>
                      <wp:cNvGraphicFramePr/>
                      <a:graphic xmlns:a="http://schemas.openxmlformats.org/drawingml/2006/main">
                        <a:graphicData uri="http://schemas.microsoft.com/office/word/2010/wordprocessingGroup">
                          <wpg:wgp>
                            <wpg:cNvGrpSpPr/>
                            <wpg:grpSpPr>
                              <a:xfrm>
                                <a:off x="1168400" y="5241290"/>
                                <a:ext cx="5627370" cy="1534724"/>
                                <a:chOff x="1522" y="295"/>
                                <a:chExt cx="8862" cy="2175"/>
                              </a:xfrm>
                              <a:effectLst/>
                            </wpg:grpSpPr>
                            <wps:wsp>
                              <wps:cNvPr id="7" name="任意多边形 7"/>
                              <wps:cNvSpPr/>
                              <wps:spPr>
                                <a:xfrm>
                                  <a:off x="1522" y="1203"/>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9" name="任意多边形 9"/>
                              <wps:cNvSpPr/>
                              <wps:spPr>
                                <a:xfrm>
                                  <a:off x="3314"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0" name="任意多边形 10"/>
                              <wps:cNvSpPr/>
                              <wps:spPr>
                                <a:xfrm>
                                  <a:off x="2960" y="1375"/>
                                  <a:ext cx="398" cy="80"/>
                                </a:xfrm>
                                <a:custGeom>
                                  <a:avLst/>
                                  <a:gdLst/>
                                  <a:ahLst/>
                                  <a:cxnLst/>
                                  <a:pathLst>
                                    <a:path w="398" h="80">
                                      <a:moveTo>
                                        <a:pt x="298" y="40"/>
                                      </a:moveTo>
                                      <a:lnTo>
                                        <a:pt x="198" y="0"/>
                                      </a:lnTo>
                                      <a:lnTo>
                                        <a:pt x="323" y="25"/>
                                      </a:lnTo>
                                      <a:lnTo>
                                        <a:pt x="298" y="25"/>
                                      </a:lnTo>
                                      <a:lnTo>
                                        <a:pt x="298" y="40"/>
                                      </a:lnTo>
                                      <a:close/>
                                      <a:moveTo>
                                        <a:pt x="260" y="55"/>
                                      </a:moveTo>
                                      <a:lnTo>
                                        <a:pt x="0" y="55"/>
                                      </a:lnTo>
                                      <a:lnTo>
                                        <a:pt x="0" y="25"/>
                                      </a:lnTo>
                                      <a:lnTo>
                                        <a:pt x="260" y="25"/>
                                      </a:lnTo>
                                      <a:lnTo>
                                        <a:pt x="298" y="40"/>
                                      </a:lnTo>
                                      <a:lnTo>
                                        <a:pt x="260"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1" name="任意多边形 11"/>
                              <wps:cNvSpPr/>
                              <wps:spPr>
                                <a:xfrm>
                                  <a:off x="5106" y="1203"/>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2" name="任意多边形 12"/>
                              <wps:cNvSpPr/>
                              <wps:spPr>
                                <a:xfrm>
                                  <a:off x="4721"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4" name="任意多边形 14"/>
                              <wps:cNvSpPr/>
                              <wps:spPr>
                                <a:xfrm>
                                  <a:off x="6901" y="1201"/>
                                  <a:ext cx="1421" cy="487"/>
                                </a:xfrm>
                                <a:custGeom>
                                  <a:avLst/>
                                  <a:gdLst/>
                                  <a:ahLst/>
                                  <a:cxnLst/>
                                  <a:pathLst>
                                    <a:path w="1421" h="487">
                                      <a:moveTo>
                                        <a:pt x="1421" y="487"/>
                                      </a:moveTo>
                                      <a:lnTo>
                                        <a:pt x="0" y="487"/>
                                      </a:lnTo>
                                      <a:lnTo>
                                        <a:pt x="0" y="0"/>
                                      </a:lnTo>
                                      <a:lnTo>
                                        <a:pt x="1421" y="0"/>
                                      </a:lnTo>
                                      <a:lnTo>
                                        <a:pt x="1421" y="15"/>
                                      </a:lnTo>
                                      <a:lnTo>
                                        <a:pt x="30" y="15"/>
                                      </a:lnTo>
                                      <a:lnTo>
                                        <a:pt x="15" y="30"/>
                                      </a:lnTo>
                                      <a:lnTo>
                                        <a:pt x="30" y="30"/>
                                      </a:lnTo>
                                      <a:lnTo>
                                        <a:pt x="30" y="457"/>
                                      </a:lnTo>
                                      <a:lnTo>
                                        <a:pt x="15" y="457"/>
                                      </a:lnTo>
                                      <a:lnTo>
                                        <a:pt x="30" y="472"/>
                                      </a:lnTo>
                                      <a:lnTo>
                                        <a:pt x="1421" y="472"/>
                                      </a:lnTo>
                                      <a:lnTo>
                                        <a:pt x="1421" y="487"/>
                                      </a:lnTo>
                                      <a:close/>
                                      <a:moveTo>
                                        <a:pt x="30" y="30"/>
                                      </a:moveTo>
                                      <a:lnTo>
                                        <a:pt x="15" y="30"/>
                                      </a:lnTo>
                                      <a:lnTo>
                                        <a:pt x="30" y="15"/>
                                      </a:lnTo>
                                      <a:lnTo>
                                        <a:pt x="30" y="30"/>
                                      </a:lnTo>
                                      <a:close/>
                                      <a:moveTo>
                                        <a:pt x="1391" y="30"/>
                                      </a:moveTo>
                                      <a:lnTo>
                                        <a:pt x="30" y="30"/>
                                      </a:lnTo>
                                      <a:lnTo>
                                        <a:pt x="30" y="15"/>
                                      </a:lnTo>
                                      <a:lnTo>
                                        <a:pt x="1391" y="15"/>
                                      </a:lnTo>
                                      <a:lnTo>
                                        <a:pt x="1391" y="30"/>
                                      </a:lnTo>
                                      <a:close/>
                                      <a:moveTo>
                                        <a:pt x="1391" y="472"/>
                                      </a:moveTo>
                                      <a:lnTo>
                                        <a:pt x="1391" y="15"/>
                                      </a:lnTo>
                                      <a:lnTo>
                                        <a:pt x="1406" y="30"/>
                                      </a:lnTo>
                                      <a:lnTo>
                                        <a:pt x="1421" y="30"/>
                                      </a:lnTo>
                                      <a:lnTo>
                                        <a:pt x="1421" y="457"/>
                                      </a:lnTo>
                                      <a:lnTo>
                                        <a:pt x="1406" y="457"/>
                                      </a:lnTo>
                                      <a:lnTo>
                                        <a:pt x="1391" y="472"/>
                                      </a:lnTo>
                                      <a:close/>
                                      <a:moveTo>
                                        <a:pt x="1421" y="30"/>
                                      </a:moveTo>
                                      <a:lnTo>
                                        <a:pt x="1406" y="30"/>
                                      </a:lnTo>
                                      <a:lnTo>
                                        <a:pt x="1391" y="15"/>
                                      </a:lnTo>
                                      <a:lnTo>
                                        <a:pt x="1421" y="15"/>
                                      </a:lnTo>
                                      <a:lnTo>
                                        <a:pt x="1421" y="30"/>
                                      </a:lnTo>
                                      <a:close/>
                                      <a:moveTo>
                                        <a:pt x="30" y="472"/>
                                      </a:moveTo>
                                      <a:lnTo>
                                        <a:pt x="15" y="457"/>
                                      </a:lnTo>
                                      <a:lnTo>
                                        <a:pt x="30" y="457"/>
                                      </a:lnTo>
                                      <a:lnTo>
                                        <a:pt x="30" y="472"/>
                                      </a:lnTo>
                                      <a:close/>
                                      <a:moveTo>
                                        <a:pt x="1391" y="472"/>
                                      </a:moveTo>
                                      <a:lnTo>
                                        <a:pt x="30" y="472"/>
                                      </a:lnTo>
                                      <a:lnTo>
                                        <a:pt x="30" y="457"/>
                                      </a:lnTo>
                                      <a:lnTo>
                                        <a:pt x="1391" y="457"/>
                                      </a:lnTo>
                                      <a:lnTo>
                                        <a:pt x="1391" y="472"/>
                                      </a:lnTo>
                                      <a:close/>
                                      <a:moveTo>
                                        <a:pt x="1421" y="472"/>
                                      </a:moveTo>
                                      <a:lnTo>
                                        <a:pt x="1391" y="472"/>
                                      </a:lnTo>
                                      <a:lnTo>
                                        <a:pt x="1406" y="457"/>
                                      </a:lnTo>
                                      <a:lnTo>
                                        <a:pt x="1421" y="457"/>
                                      </a:lnTo>
                                      <a:lnTo>
                                        <a:pt x="1421" y="472"/>
                                      </a:lnTo>
                                      <a:close/>
                                    </a:path>
                                  </a:pathLst>
                                </a:custGeom>
                                <a:solidFill>
                                  <a:srgbClr val="000000"/>
                                </a:solidFill>
                                <a:ln w="9525">
                                  <a:noFill/>
                                </a:ln>
                                <a:effectLst/>
                              </wps:spPr>
                              <wps:bodyPr vert="horz" anchor="t" upright="1"/>
                            </wps:wsp>
                            <wps:wsp>
                              <wps:cNvPr id="15" name="任意多边形 15"/>
                              <wps:cNvSpPr/>
                              <wps:spPr>
                                <a:xfrm>
                                  <a:off x="6513" y="1332"/>
                                  <a:ext cx="398" cy="80"/>
                                </a:xfrm>
                                <a:custGeom>
                                  <a:avLst/>
                                  <a:gdLst/>
                                  <a:ahLst/>
                                  <a:cxnLst/>
                                  <a:pathLst>
                                    <a:path w="398" h="80">
                                      <a:moveTo>
                                        <a:pt x="298" y="40"/>
                                      </a:moveTo>
                                      <a:lnTo>
                                        <a:pt x="198" y="0"/>
                                      </a:lnTo>
                                      <a:lnTo>
                                        <a:pt x="323" y="25"/>
                                      </a:lnTo>
                                      <a:lnTo>
                                        <a:pt x="298" y="25"/>
                                      </a:lnTo>
                                      <a:lnTo>
                                        <a:pt x="298" y="40"/>
                                      </a:lnTo>
                                      <a:close/>
                                      <a:moveTo>
                                        <a:pt x="261" y="55"/>
                                      </a:moveTo>
                                      <a:lnTo>
                                        <a:pt x="0" y="55"/>
                                      </a:lnTo>
                                      <a:lnTo>
                                        <a:pt x="0" y="25"/>
                                      </a:lnTo>
                                      <a:lnTo>
                                        <a:pt x="261" y="25"/>
                                      </a:lnTo>
                                      <a:lnTo>
                                        <a:pt x="298" y="40"/>
                                      </a:lnTo>
                                      <a:lnTo>
                                        <a:pt x="261" y="55"/>
                                      </a:lnTo>
                                      <a:close/>
                                      <a:moveTo>
                                        <a:pt x="323" y="55"/>
                                      </a:moveTo>
                                      <a:lnTo>
                                        <a:pt x="298" y="55"/>
                                      </a:lnTo>
                                      <a:lnTo>
                                        <a:pt x="298" y="25"/>
                                      </a:lnTo>
                                      <a:lnTo>
                                        <a:pt x="323" y="25"/>
                                      </a:lnTo>
                                      <a:lnTo>
                                        <a:pt x="398" y="40"/>
                                      </a:lnTo>
                                      <a:lnTo>
                                        <a:pt x="323" y="55"/>
                                      </a:lnTo>
                                      <a:close/>
                                      <a:moveTo>
                                        <a:pt x="198" y="80"/>
                                      </a:moveTo>
                                      <a:lnTo>
                                        <a:pt x="298" y="40"/>
                                      </a:lnTo>
                                      <a:lnTo>
                                        <a:pt x="298" y="55"/>
                                      </a:lnTo>
                                      <a:lnTo>
                                        <a:pt x="323" y="55"/>
                                      </a:lnTo>
                                      <a:lnTo>
                                        <a:pt x="198" y="80"/>
                                      </a:lnTo>
                                      <a:close/>
                                    </a:path>
                                  </a:pathLst>
                                </a:custGeom>
                                <a:solidFill>
                                  <a:srgbClr val="000000"/>
                                </a:solidFill>
                                <a:ln w="9525">
                                  <a:noFill/>
                                </a:ln>
                                <a:effectLst/>
                              </wps:spPr>
                              <wps:bodyPr vert="horz" anchor="t" upright="1"/>
                            </wps:wsp>
                            <wps:wsp>
                              <wps:cNvPr id="16" name="任意多边形 16"/>
                              <wps:cNvSpPr/>
                              <wps:spPr>
                                <a:xfrm>
                                  <a:off x="8888" y="120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7" name="任意多边形 17"/>
                              <wps:cNvSpPr/>
                              <wps:spPr>
                                <a:xfrm>
                                  <a:off x="8307" y="1330"/>
                                  <a:ext cx="597" cy="80"/>
                                </a:xfrm>
                                <a:custGeom>
                                  <a:avLst/>
                                  <a:gdLst/>
                                  <a:ahLst/>
                                  <a:cxnLst/>
                                  <a:pathLst>
                                    <a:path w="597" h="80">
                                      <a:moveTo>
                                        <a:pt x="497" y="40"/>
                                      </a:moveTo>
                                      <a:lnTo>
                                        <a:pt x="397" y="0"/>
                                      </a:lnTo>
                                      <a:lnTo>
                                        <a:pt x="522" y="25"/>
                                      </a:lnTo>
                                      <a:lnTo>
                                        <a:pt x="497" y="25"/>
                                      </a:lnTo>
                                      <a:lnTo>
                                        <a:pt x="497" y="40"/>
                                      </a:lnTo>
                                      <a:close/>
                                      <a:moveTo>
                                        <a:pt x="459" y="55"/>
                                      </a:moveTo>
                                      <a:lnTo>
                                        <a:pt x="0" y="55"/>
                                      </a:lnTo>
                                      <a:lnTo>
                                        <a:pt x="0" y="25"/>
                                      </a:lnTo>
                                      <a:lnTo>
                                        <a:pt x="459" y="25"/>
                                      </a:lnTo>
                                      <a:lnTo>
                                        <a:pt x="497" y="40"/>
                                      </a:lnTo>
                                      <a:lnTo>
                                        <a:pt x="459" y="55"/>
                                      </a:lnTo>
                                      <a:close/>
                                      <a:moveTo>
                                        <a:pt x="522" y="55"/>
                                      </a:moveTo>
                                      <a:lnTo>
                                        <a:pt x="497" y="55"/>
                                      </a:lnTo>
                                      <a:lnTo>
                                        <a:pt x="497" y="25"/>
                                      </a:lnTo>
                                      <a:lnTo>
                                        <a:pt x="522" y="25"/>
                                      </a:lnTo>
                                      <a:lnTo>
                                        <a:pt x="597" y="40"/>
                                      </a:lnTo>
                                      <a:lnTo>
                                        <a:pt x="522" y="55"/>
                                      </a:lnTo>
                                      <a:close/>
                                      <a:moveTo>
                                        <a:pt x="397" y="80"/>
                                      </a:moveTo>
                                      <a:lnTo>
                                        <a:pt x="497" y="40"/>
                                      </a:lnTo>
                                      <a:lnTo>
                                        <a:pt x="497" y="55"/>
                                      </a:lnTo>
                                      <a:lnTo>
                                        <a:pt x="522" y="55"/>
                                      </a:lnTo>
                                      <a:lnTo>
                                        <a:pt x="397" y="80"/>
                                      </a:lnTo>
                                      <a:close/>
                                    </a:path>
                                  </a:pathLst>
                                </a:custGeom>
                                <a:solidFill>
                                  <a:srgbClr val="000000"/>
                                </a:solidFill>
                                <a:ln w="9525">
                                  <a:noFill/>
                                </a:ln>
                                <a:effectLst/>
                              </wps:spPr>
                              <wps:bodyPr vert="horz" anchor="t" upright="1"/>
                            </wps:wsp>
                            <wps:wsp>
                              <wps:cNvPr id="18" name="任意多边形 18"/>
                              <wps:cNvSpPr/>
                              <wps:spPr>
                                <a:xfrm>
                                  <a:off x="8960" y="1985"/>
                                  <a:ext cx="1424" cy="485"/>
                                </a:xfrm>
                                <a:custGeom>
                                  <a:avLst/>
                                  <a:gdLst/>
                                  <a:ahLst/>
                                  <a:cxnLst/>
                                  <a:pathLst>
                                    <a:path w="1424" h="485">
                                      <a:moveTo>
                                        <a:pt x="1424" y="485"/>
                                      </a:moveTo>
                                      <a:lnTo>
                                        <a:pt x="0" y="485"/>
                                      </a:lnTo>
                                      <a:lnTo>
                                        <a:pt x="0" y="0"/>
                                      </a:lnTo>
                                      <a:lnTo>
                                        <a:pt x="1424" y="0"/>
                                      </a:lnTo>
                                      <a:lnTo>
                                        <a:pt x="1424" y="15"/>
                                      </a:lnTo>
                                      <a:lnTo>
                                        <a:pt x="30" y="15"/>
                                      </a:lnTo>
                                      <a:lnTo>
                                        <a:pt x="15" y="30"/>
                                      </a:lnTo>
                                      <a:lnTo>
                                        <a:pt x="30" y="30"/>
                                      </a:lnTo>
                                      <a:lnTo>
                                        <a:pt x="30" y="455"/>
                                      </a:lnTo>
                                      <a:lnTo>
                                        <a:pt x="15" y="455"/>
                                      </a:lnTo>
                                      <a:lnTo>
                                        <a:pt x="30" y="470"/>
                                      </a:lnTo>
                                      <a:lnTo>
                                        <a:pt x="1424" y="470"/>
                                      </a:lnTo>
                                      <a:lnTo>
                                        <a:pt x="1424" y="485"/>
                                      </a:lnTo>
                                      <a:close/>
                                      <a:moveTo>
                                        <a:pt x="30" y="30"/>
                                      </a:moveTo>
                                      <a:lnTo>
                                        <a:pt x="15" y="30"/>
                                      </a:lnTo>
                                      <a:lnTo>
                                        <a:pt x="30" y="15"/>
                                      </a:lnTo>
                                      <a:lnTo>
                                        <a:pt x="30" y="30"/>
                                      </a:lnTo>
                                      <a:close/>
                                      <a:moveTo>
                                        <a:pt x="1394" y="30"/>
                                      </a:moveTo>
                                      <a:lnTo>
                                        <a:pt x="30" y="30"/>
                                      </a:lnTo>
                                      <a:lnTo>
                                        <a:pt x="30" y="15"/>
                                      </a:lnTo>
                                      <a:lnTo>
                                        <a:pt x="1394" y="15"/>
                                      </a:lnTo>
                                      <a:lnTo>
                                        <a:pt x="1394" y="30"/>
                                      </a:lnTo>
                                      <a:close/>
                                      <a:moveTo>
                                        <a:pt x="1394" y="470"/>
                                      </a:moveTo>
                                      <a:lnTo>
                                        <a:pt x="1394" y="15"/>
                                      </a:lnTo>
                                      <a:lnTo>
                                        <a:pt x="1409" y="30"/>
                                      </a:lnTo>
                                      <a:lnTo>
                                        <a:pt x="1424" y="30"/>
                                      </a:lnTo>
                                      <a:lnTo>
                                        <a:pt x="1424" y="455"/>
                                      </a:lnTo>
                                      <a:lnTo>
                                        <a:pt x="1409" y="455"/>
                                      </a:lnTo>
                                      <a:lnTo>
                                        <a:pt x="1394" y="470"/>
                                      </a:lnTo>
                                      <a:close/>
                                      <a:moveTo>
                                        <a:pt x="1424" y="30"/>
                                      </a:moveTo>
                                      <a:lnTo>
                                        <a:pt x="1409" y="30"/>
                                      </a:lnTo>
                                      <a:lnTo>
                                        <a:pt x="1394" y="15"/>
                                      </a:lnTo>
                                      <a:lnTo>
                                        <a:pt x="1424" y="15"/>
                                      </a:lnTo>
                                      <a:lnTo>
                                        <a:pt x="1424" y="30"/>
                                      </a:lnTo>
                                      <a:close/>
                                      <a:moveTo>
                                        <a:pt x="30" y="470"/>
                                      </a:moveTo>
                                      <a:lnTo>
                                        <a:pt x="15" y="455"/>
                                      </a:lnTo>
                                      <a:lnTo>
                                        <a:pt x="30" y="455"/>
                                      </a:lnTo>
                                      <a:lnTo>
                                        <a:pt x="30" y="470"/>
                                      </a:lnTo>
                                      <a:close/>
                                      <a:moveTo>
                                        <a:pt x="1394" y="470"/>
                                      </a:moveTo>
                                      <a:lnTo>
                                        <a:pt x="30" y="470"/>
                                      </a:lnTo>
                                      <a:lnTo>
                                        <a:pt x="30" y="455"/>
                                      </a:lnTo>
                                      <a:lnTo>
                                        <a:pt x="1394" y="455"/>
                                      </a:lnTo>
                                      <a:lnTo>
                                        <a:pt x="1394" y="470"/>
                                      </a:lnTo>
                                      <a:close/>
                                      <a:moveTo>
                                        <a:pt x="1424" y="470"/>
                                      </a:moveTo>
                                      <a:lnTo>
                                        <a:pt x="1394" y="470"/>
                                      </a:lnTo>
                                      <a:lnTo>
                                        <a:pt x="1409" y="455"/>
                                      </a:lnTo>
                                      <a:lnTo>
                                        <a:pt x="1424" y="455"/>
                                      </a:lnTo>
                                      <a:lnTo>
                                        <a:pt x="1424" y="470"/>
                                      </a:lnTo>
                                      <a:close/>
                                    </a:path>
                                  </a:pathLst>
                                </a:custGeom>
                                <a:solidFill>
                                  <a:srgbClr val="000000"/>
                                </a:solidFill>
                                <a:ln w="9525">
                                  <a:noFill/>
                                </a:ln>
                                <a:effectLst/>
                              </wps:spPr>
                              <wps:bodyPr vert="horz" anchor="t" upright="1"/>
                            </wps:wsp>
                            <wps:wsp>
                              <wps:cNvPr id="19" name="任意多边形 19"/>
                              <wps:cNvSpPr/>
                              <wps:spPr>
                                <a:xfrm>
                                  <a:off x="9460" y="1669"/>
                                  <a:ext cx="80" cy="303"/>
                                </a:xfrm>
                                <a:custGeom>
                                  <a:avLst/>
                                  <a:gdLst/>
                                  <a:ahLst/>
                                  <a:cxnLst/>
                                  <a:pathLst>
                                    <a:path w="80" h="303">
                                      <a:moveTo>
                                        <a:pt x="40" y="203"/>
                                      </a:moveTo>
                                      <a:lnTo>
                                        <a:pt x="25" y="166"/>
                                      </a:lnTo>
                                      <a:lnTo>
                                        <a:pt x="25" y="0"/>
                                      </a:lnTo>
                                      <a:lnTo>
                                        <a:pt x="55" y="0"/>
                                      </a:lnTo>
                                      <a:lnTo>
                                        <a:pt x="55" y="166"/>
                                      </a:lnTo>
                                      <a:lnTo>
                                        <a:pt x="40" y="203"/>
                                      </a:lnTo>
                                      <a:close/>
                                      <a:moveTo>
                                        <a:pt x="40" y="303"/>
                                      </a:moveTo>
                                      <a:lnTo>
                                        <a:pt x="0" y="103"/>
                                      </a:lnTo>
                                      <a:lnTo>
                                        <a:pt x="25" y="166"/>
                                      </a:lnTo>
                                      <a:lnTo>
                                        <a:pt x="25" y="203"/>
                                      </a:lnTo>
                                      <a:lnTo>
                                        <a:pt x="60" y="203"/>
                                      </a:lnTo>
                                      <a:lnTo>
                                        <a:pt x="40" y="303"/>
                                      </a:lnTo>
                                      <a:close/>
                                      <a:moveTo>
                                        <a:pt x="60" y="203"/>
                                      </a:moveTo>
                                      <a:lnTo>
                                        <a:pt x="55" y="203"/>
                                      </a:lnTo>
                                      <a:lnTo>
                                        <a:pt x="55" y="166"/>
                                      </a:lnTo>
                                      <a:lnTo>
                                        <a:pt x="80" y="103"/>
                                      </a:lnTo>
                                      <a:lnTo>
                                        <a:pt x="60" y="203"/>
                                      </a:lnTo>
                                      <a:close/>
                                      <a:moveTo>
                                        <a:pt x="40" y="203"/>
                                      </a:moveTo>
                                      <a:lnTo>
                                        <a:pt x="25" y="203"/>
                                      </a:lnTo>
                                      <a:lnTo>
                                        <a:pt x="25" y="166"/>
                                      </a:lnTo>
                                      <a:lnTo>
                                        <a:pt x="40" y="203"/>
                                      </a:lnTo>
                                      <a:close/>
                                      <a:moveTo>
                                        <a:pt x="55" y="203"/>
                                      </a:moveTo>
                                      <a:lnTo>
                                        <a:pt x="40" y="203"/>
                                      </a:lnTo>
                                      <a:lnTo>
                                        <a:pt x="55" y="166"/>
                                      </a:lnTo>
                                      <a:lnTo>
                                        <a:pt x="55" y="203"/>
                                      </a:lnTo>
                                      <a:close/>
                                    </a:path>
                                  </a:pathLst>
                                </a:custGeom>
                                <a:solidFill>
                                  <a:srgbClr val="000000"/>
                                </a:solidFill>
                                <a:ln w="9525">
                                  <a:noFill/>
                                </a:ln>
                                <a:effectLst/>
                              </wps:spPr>
                              <wps:bodyPr vert="horz" anchor="t" upright="1"/>
                            </wps:wsp>
                            <pic:pic xmlns:pic="http://schemas.openxmlformats.org/drawingml/2006/picture">
                              <pic:nvPicPr>
                                <pic:cNvPr id="20" name="图片 46"/>
                                <pic:cNvPicPr>
                                  <a:picLocks noChangeAspect="1"/>
                                </pic:cNvPicPr>
                              </pic:nvPicPr>
                              <pic:blipFill>
                                <a:blip r:embed="rId10"/>
                                <a:stretch>
                                  <a:fillRect/>
                                </a:stretch>
                              </pic:blipFill>
                              <pic:spPr>
                                <a:xfrm>
                                  <a:off x="2057" y="901"/>
                                  <a:ext cx="120" cy="315"/>
                                </a:xfrm>
                                <a:prstGeom prst="rect">
                                  <a:avLst/>
                                </a:prstGeom>
                                <a:noFill/>
                                <a:ln w="9525">
                                  <a:noFill/>
                                </a:ln>
                                <a:effectLst/>
                              </pic:spPr>
                            </pic:pic>
                            <wps:wsp>
                              <wps:cNvPr id="21" name="矩形 21"/>
                              <wps:cNvSpPr/>
                              <wps:spPr>
                                <a:xfrm>
                                  <a:off x="2001" y="295"/>
                                  <a:ext cx="581" cy="632"/>
                                </a:xfrm>
                                <a:prstGeom prst="rect">
                                  <a:avLst/>
                                </a:prstGeom>
                                <a:solidFill>
                                  <a:srgbClr val="FFFFFF"/>
                                </a:solidFill>
                                <a:ln w="9525">
                                  <a:noFill/>
                                </a:ln>
                                <a:effectLst/>
                              </wps:spPr>
                              <wps:bodyPr vert="horz" anchor="t" upright="1"/>
                            </wps:wsp>
                            <pic:pic xmlns:pic="http://schemas.openxmlformats.org/drawingml/2006/picture">
                              <pic:nvPicPr>
                                <pic:cNvPr id="22" name="图片 48"/>
                                <pic:cNvPicPr>
                                  <a:picLocks noChangeAspect="1"/>
                                </pic:cNvPicPr>
                              </pic:nvPicPr>
                              <pic:blipFill>
                                <a:blip r:embed="rId10"/>
                                <a:stretch>
                                  <a:fillRect/>
                                </a:stretch>
                              </pic:blipFill>
                              <pic:spPr>
                                <a:xfrm>
                                  <a:off x="3685" y="901"/>
                                  <a:ext cx="120" cy="315"/>
                                </a:xfrm>
                                <a:prstGeom prst="rect">
                                  <a:avLst/>
                                </a:prstGeom>
                                <a:noFill/>
                                <a:ln w="9525">
                                  <a:noFill/>
                                </a:ln>
                                <a:effectLst/>
                              </pic:spPr>
                            </pic:pic>
                            <wps:wsp>
                              <wps:cNvPr id="23" name="矩形 23"/>
                              <wps:cNvSpPr/>
                              <wps:spPr>
                                <a:xfrm>
                                  <a:off x="3636" y="295"/>
                                  <a:ext cx="1066" cy="632"/>
                                </a:xfrm>
                                <a:prstGeom prst="rect">
                                  <a:avLst/>
                                </a:prstGeom>
                                <a:solidFill>
                                  <a:srgbClr val="FFFFFF"/>
                                </a:solidFill>
                                <a:ln w="9525">
                                  <a:noFill/>
                                </a:ln>
                                <a:effectLst/>
                              </wps:spPr>
                              <wps:bodyPr vert="horz" anchor="t" upright="1"/>
                            </wps:wsp>
                            <pic:pic xmlns:pic="http://schemas.openxmlformats.org/drawingml/2006/picture">
                              <pic:nvPicPr>
                                <pic:cNvPr id="24" name="图片 50"/>
                                <pic:cNvPicPr>
                                  <a:picLocks noChangeAspect="1"/>
                                </pic:cNvPicPr>
                              </pic:nvPicPr>
                              <pic:blipFill>
                                <a:blip r:embed="rId10"/>
                                <a:stretch>
                                  <a:fillRect/>
                                </a:stretch>
                              </pic:blipFill>
                              <pic:spPr>
                                <a:xfrm>
                                  <a:off x="4033" y="901"/>
                                  <a:ext cx="120" cy="315"/>
                                </a:xfrm>
                                <a:prstGeom prst="rect">
                                  <a:avLst/>
                                </a:prstGeom>
                                <a:noFill/>
                                <a:ln w="9525">
                                  <a:noFill/>
                                </a:ln>
                                <a:effectLst/>
                              </pic:spPr>
                            </pic:pic>
                            <pic:pic xmlns:pic="http://schemas.openxmlformats.org/drawingml/2006/picture">
                              <pic:nvPicPr>
                                <pic:cNvPr id="25" name="图片 51"/>
                                <pic:cNvPicPr>
                                  <a:picLocks noChangeAspect="1"/>
                                </pic:cNvPicPr>
                              </pic:nvPicPr>
                              <pic:blipFill>
                                <a:blip r:embed="rId10"/>
                                <a:stretch>
                                  <a:fillRect/>
                                </a:stretch>
                              </pic:blipFill>
                              <pic:spPr>
                                <a:xfrm>
                                  <a:off x="9261" y="901"/>
                                  <a:ext cx="120" cy="315"/>
                                </a:xfrm>
                                <a:prstGeom prst="rect">
                                  <a:avLst/>
                                </a:prstGeom>
                                <a:noFill/>
                                <a:ln w="9525">
                                  <a:noFill/>
                                </a:ln>
                                <a:effectLst/>
                              </pic:spPr>
                            </pic:pic>
                            <pic:pic xmlns:pic="http://schemas.openxmlformats.org/drawingml/2006/picture">
                              <pic:nvPicPr>
                                <pic:cNvPr id="27" name="图片 52"/>
                                <pic:cNvPicPr>
                                  <a:picLocks noChangeAspect="1"/>
                                </pic:cNvPicPr>
                              </pic:nvPicPr>
                              <pic:blipFill>
                                <a:blip r:embed="rId10"/>
                                <a:stretch>
                                  <a:fillRect/>
                                </a:stretch>
                              </pic:blipFill>
                              <pic:spPr>
                                <a:xfrm>
                                  <a:off x="2291" y="901"/>
                                  <a:ext cx="120" cy="315"/>
                                </a:xfrm>
                                <a:prstGeom prst="rect">
                                  <a:avLst/>
                                </a:prstGeom>
                                <a:noFill/>
                                <a:ln w="9525">
                                  <a:noFill/>
                                </a:ln>
                                <a:effectLst/>
                              </pic:spPr>
                            </pic:pic>
                            <pic:pic xmlns:pic="http://schemas.openxmlformats.org/drawingml/2006/picture">
                              <pic:nvPicPr>
                                <pic:cNvPr id="28" name="图片 53"/>
                                <pic:cNvPicPr>
                                  <a:picLocks noChangeAspect="1"/>
                                </pic:cNvPicPr>
                              </pic:nvPicPr>
                              <pic:blipFill>
                                <a:blip r:embed="rId10"/>
                                <a:stretch>
                                  <a:fillRect/>
                                </a:stretch>
                              </pic:blipFill>
                              <pic:spPr>
                                <a:xfrm>
                                  <a:off x="9493" y="901"/>
                                  <a:ext cx="120" cy="315"/>
                                </a:xfrm>
                                <a:prstGeom prst="rect">
                                  <a:avLst/>
                                </a:prstGeom>
                                <a:noFill/>
                                <a:ln w="9525">
                                  <a:noFill/>
                                </a:ln>
                                <a:effectLst/>
                              </pic:spPr>
                            </pic:pic>
                            <wps:wsp>
                              <wps:cNvPr id="29" name="文本框 29"/>
                              <wps:cNvSpPr txBox="1"/>
                              <wps:spPr>
                                <a:xfrm>
                                  <a:off x="2030" y="32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0" name="文本框 30"/>
                              <wps:cNvSpPr txBox="1"/>
                              <wps:spPr>
                                <a:xfrm>
                                  <a:off x="3748" y="325"/>
                                  <a:ext cx="861" cy="469"/>
                                </a:xfrm>
                                <a:prstGeom prst="rect">
                                  <a:avLst/>
                                </a:prstGeom>
                                <a:noFill/>
                                <a:ln w="9525">
                                  <a:noFill/>
                                </a:ln>
                                <a:effectLst/>
                              </wps:spPr>
                              <wps:txbx>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wps:txbx>
                              <wps:bodyPr vert="horz" lIns="0" tIns="0" rIns="0" bIns="0" anchor="t" upright="1"/>
                            </wps:wsp>
                            <wps:wsp>
                              <wps:cNvPr id="31" name="文本框 31"/>
                              <wps:cNvSpPr txBox="1"/>
                              <wps:spPr>
                                <a:xfrm>
                                  <a:off x="9297" y="345"/>
                                  <a:ext cx="544" cy="469"/>
                                </a:xfrm>
                                <a:prstGeom prst="rect">
                                  <a:avLst/>
                                </a:prstGeom>
                                <a:noFill/>
                                <a:ln w="9525">
                                  <a:noFill/>
                                </a:ln>
                                <a:effectLst/>
                              </wps:spPr>
                              <wps:txbx>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wps:txbx>
                              <wps:bodyPr vert="horz" lIns="0" tIns="0" rIns="0" bIns="0" anchor="t" upright="1"/>
                            </wps:wsp>
                            <wps:wsp>
                              <wps:cNvPr id="32" name="文本框 32"/>
                              <wps:cNvSpPr txBox="1"/>
                              <wps:spPr>
                                <a:xfrm>
                                  <a:off x="1797" y="1310"/>
                                  <a:ext cx="858" cy="316"/>
                                </a:xfrm>
                                <a:prstGeom prst="rect">
                                  <a:avLst/>
                                </a:prstGeom>
                                <a:noFill/>
                                <a:ln w="9525">
                                  <a:noFill/>
                                </a:ln>
                                <a:effectLst/>
                              </wps:spPr>
                              <wps:txbx>
                                <w:txbxContent>
                                  <w:p>
                                    <w:pPr>
                                      <w:spacing w:before="0" w:line="209" w:lineRule="exact"/>
                                      <w:ind w:left="0" w:right="0" w:firstLine="0"/>
                                      <w:jc w:val="left"/>
                                      <w:rPr>
                                        <w:sz w:val="21"/>
                                      </w:rPr>
                                    </w:pPr>
                                    <w:r>
                                      <w:rPr>
                                        <w:sz w:val="21"/>
                                      </w:rPr>
                                      <w:t>地面清理</w:t>
                                    </w:r>
                                  </w:p>
                                </w:txbxContent>
                              </wps:txbx>
                              <wps:bodyPr vert="horz" lIns="0" tIns="0" rIns="0" bIns="0" anchor="t" upright="1"/>
                            </wps:wsp>
                            <wps:wsp>
                              <wps:cNvPr id="33" name="文本框 33"/>
                              <wps:cNvSpPr txBox="1"/>
                              <wps:spPr>
                                <a:xfrm>
                                  <a:off x="3786" y="1309"/>
                                  <a:ext cx="438" cy="276"/>
                                </a:xfrm>
                                <a:prstGeom prst="rect">
                                  <a:avLst/>
                                </a:prstGeom>
                                <a:noFill/>
                                <a:ln w="9525">
                                  <a:noFill/>
                                </a:ln>
                                <a:effectLst/>
                              </wps:spPr>
                              <wps:txbx>
                                <w:txbxContent>
                                  <w:p>
                                    <w:pPr>
                                      <w:spacing w:before="0" w:line="209" w:lineRule="exact"/>
                                      <w:ind w:left="0" w:right="0" w:firstLine="0"/>
                                      <w:jc w:val="left"/>
                                      <w:rPr>
                                        <w:sz w:val="21"/>
                                      </w:rPr>
                                    </w:pPr>
                                    <w:r>
                                      <w:rPr>
                                        <w:sz w:val="21"/>
                                      </w:rPr>
                                      <w:t>开挖</w:t>
                                    </w:r>
                                  </w:p>
                                </w:txbxContent>
                              </wps:txbx>
                              <wps:bodyPr vert="horz" lIns="0" tIns="0" rIns="0" bIns="0" anchor="t" upright="1"/>
                            </wps:wsp>
                            <wps:wsp>
                              <wps:cNvPr id="34" name="文本框 34"/>
                              <wps:cNvSpPr txBox="1"/>
                              <wps:spPr>
                                <a:xfrm>
                                  <a:off x="5397" y="1336"/>
                                  <a:ext cx="858" cy="276"/>
                                </a:xfrm>
                                <a:prstGeom prst="rect">
                                  <a:avLst/>
                                </a:prstGeom>
                                <a:noFill/>
                                <a:ln w="9525">
                                  <a:noFill/>
                                </a:ln>
                                <a:effectLst/>
                              </wps:spPr>
                              <wps:txbx>
                                <w:txbxContent>
                                  <w:p>
                                    <w:pPr>
                                      <w:spacing w:before="0" w:line="209" w:lineRule="exact"/>
                                      <w:ind w:left="0" w:right="0" w:firstLine="0"/>
                                      <w:jc w:val="left"/>
                                      <w:rPr>
                                        <w:sz w:val="21"/>
                                      </w:rPr>
                                    </w:pPr>
                                    <w:r>
                                      <w:rPr>
                                        <w:sz w:val="21"/>
                                      </w:rPr>
                                      <w:t>现场围护</w:t>
                                    </w:r>
                                  </w:p>
                                </w:txbxContent>
                              </wps:txbx>
                              <wps:bodyPr vert="horz" lIns="0" tIns="0" rIns="0" bIns="0" anchor="t" upright="1"/>
                            </wps:wsp>
                            <wps:wsp>
                              <wps:cNvPr id="35" name="文本框 35"/>
                              <wps:cNvSpPr txBox="1"/>
                              <wps:spPr>
                                <a:xfrm>
                                  <a:off x="7160" y="1350"/>
                                  <a:ext cx="858" cy="249"/>
                                </a:xfrm>
                                <a:prstGeom prst="rect">
                                  <a:avLst/>
                                </a:prstGeom>
                                <a:noFill/>
                                <a:ln w="9525">
                                  <a:noFill/>
                                </a:ln>
                                <a:effectLst/>
                              </wps:spPr>
                              <wps:txbx>
                                <w:txbxContent>
                                  <w:p>
                                    <w:pPr>
                                      <w:spacing w:before="0" w:line="209" w:lineRule="exact"/>
                                      <w:ind w:left="0" w:right="0" w:firstLine="0"/>
                                      <w:jc w:val="left"/>
                                      <w:rPr>
                                        <w:sz w:val="21"/>
                                      </w:rPr>
                                    </w:pPr>
                                    <w:r>
                                      <w:rPr>
                                        <w:sz w:val="21"/>
                                      </w:rPr>
                                      <w:t>管道铺设</w:t>
                                    </w:r>
                                  </w:p>
                                </w:txbxContent>
                              </wps:txbx>
                              <wps:bodyPr vert="horz" lIns="0" tIns="0" rIns="0" bIns="0" anchor="t" upright="1"/>
                            </wps:wsp>
                            <wps:wsp>
                              <wps:cNvPr id="36" name="文本框 36"/>
                              <wps:cNvSpPr txBox="1"/>
                              <wps:spPr>
                                <a:xfrm>
                                  <a:off x="9180" y="1339"/>
                                  <a:ext cx="858" cy="262"/>
                                </a:xfrm>
                                <a:prstGeom prst="rect">
                                  <a:avLst/>
                                </a:prstGeom>
                                <a:noFill/>
                                <a:ln w="9525">
                                  <a:noFill/>
                                </a:ln>
                                <a:effectLst/>
                              </wps:spPr>
                              <wps:txbx>
                                <w:txbxContent>
                                  <w:p>
                                    <w:pPr>
                                      <w:spacing w:before="0" w:line="209" w:lineRule="exact"/>
                                      <w:ind w:left="0" w:right="0" w:firstLine="0"/>
                                      <w:jc w:val="left"/>
                                      <w:rPr>
                                        <w:sz w:val="21"/>
                                      </w:rPr>
                                    </w:pPr>
                                    <w:r>
                                      <w:rPr>
                                        <w:sz w:val="21"/>
                                      </w:rPr>
                                      <w:t>回填土方</w:t>
                                    </w:r>
                                  </w:p>
                                </w:txbxContent>
                              </wps:txbx>
                              <wps:bodyPr vert="horz" lIns="0" tIns="0" rIns="0" bIns="0" anchor="t" upright="1"/>
                            </wps:wsp>
                            <wps:wsp>
                              <wps:cNvPr id="37" name="文本框 37"/>
                              <wps:cNvSpPr txBox="1"/>
                              <wps:spPr>
                                <a:xfrm>
                                  <a:off x="9252" y="2091"/>
                                  <a:ext cx="858" cy="276"/>
                                </a:xfrm>
                                <a:prstGeom prst="rect">
                                  <a:avLst/>
                                </a:prstGeom>
                                <a:noFill/>
                                <a:ln w="9525">
                                  <a:noFill/>
                                </a:ln>
                                <a:effectLst/>
                              </wps:spPr>
                              <wps:txbx>
                                <w:txbxContent>
                                  <w:p>
                                    <w:pPr>
                                      <w:spacing w:before="0" w:line="209" w:lineRule="exact"/>
                                      <w:ind w:left="0" w:right="0" w:firstLine="0"/>
                                      <w:jc w:val="left"/>
                                      <w:rPr>
                                        <w:sz w:val="21"/>
                                      </w:rPr>
                                    </w:pPr>
                                    <w:r>
                                      <w:rPr>
                                        <w:sz w:val="21"/>
                                      </w:rPr>
                                      <w:t>表面整理</w:t>
                                    </w:r>
                                  </w:p>
                                </w:txbxContent>
                              </wps:txbx>
                              <wps:bodyPr vert="horz" lIns="0" tIns="0" rIns="0" bIns="0" anchor="t" upright="1"/>
                            </wps:wsp>
                          </wpg:wgp>
                        </a:graphicData>
                      </a:graphic>
                    </wp:anchor>
                  </w:drawing>
                </mc:Choice>
                <mc:Fallback>
                  <w:pict>
                    <v:group id="_x0000_s1026" o:spid="_x0000_s1026" o:spt="203" style="position:absolute;left:0pt;margin-left:15.7pt;margin-top:17.85pt;height:120.85pt;width:443.1pt;mso-position-horizontal-relative:page;mso-wrap-distance-bottom:0pt;mso-wrap-distance-top:0pt;z-index:16384;mso-width-relative:page;mso-height-relative:page;" coordorigin="1522,295" coordsize="8862,2175" o:gfxdata="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">
                      <o:lock v:ext="edit" aspectratio="f"/>
                      <v:shape id="_x0000_s1026" o:spid="_x0000_s1026" o:spt="100" style="position:absolute;left:1522;top:1203;height:487;width:1421;" fillcolor="#000000" filled="t" stroked="f" coordsize="1421,487" o:gfxdata="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fw2UrsAAADa&#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3314;top:1203;height:485;width:1424;" fillcolor="#000000" filled="t" stroked="f" coordsize="1424,485" o:gfxdata="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5nCUvQAA&#10;ANo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2960;top:1375;height:80;width:398;" fillcolor="#000000" filled="t" stroked="f" coordsize="398,80" o:gfxdata="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dV74A&#10;AADbAAAADwAAAAAAAAABACAAAAAiAAAAZHJzL2Rvd25yZXYueG1sUEsBAhQAFAAAAAgAh07iQDMv&#10;BZ47AAAAOQAAABAAAAAAAAAAAQAgAAAADQEAAGRycy9zaGFwZXhtbC54bWxQSwUGAAAAAAYABgBb&#10;AQAAtwMAAAAA&#10;" path="m298,40l198,0,323,25,298,25,298,40xm260,55l0,55,0,25,260,25,298,40,260,55xm323,55l298,55,298,25,323,25,398,40,323,55xm198,80l298,40,298,55,323,55,198,80xe">
                        <v:fill on="t" focussize="0,0"/>
                        <v:stroke on="f"/>
                        <v:imagedata o:title=""/>
                        <o:lock v:ext="edit" aspectratio="f"/>
                      </v:shape>
                      <v:shape id="_x0000_s1026" o:spid="_x0000_s1026" o:spt="100" style="position:absolute;left:5106;top:1203;height:485;width:1424;" fillcolor="#000000" filled="t" stroked="f" coordsize="1424,485" o:gfxdata="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N29vQAA&#10;ANsAAAAPAAAAAAAAAAEAIAAAACIAAABkcnMvZG93bnJldi54bWxQSwECFAAUAAAACACHTuJAMy8F&#10;njsAAAA5AAAAEAAAAAAAAAABACAAAAAMAQAAZHJzL3NoYXBleG1sLnhtbFBLBQYAAAAABgAGAFsB&#10;AAC2Aw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4721;top:1332;height:80;width:398;" fillcolor="#000000" filled="t" stroked="f" coordsize="398,80" o:gfxdata="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N5ru8AAAA&#10;2wAAAA8AAAAAAAAAAQAgAAAAIgAAAGRycy9kb3ducmV2LnhtbFBLAQIUABQAAAAIAIdO4kAzLwWe&#10;OwAAADkAAAAQAAAAAAAAAAEAIAAAAAsBAABkcnMvc2hhcGV4bWwueG1sUEsFBgAAAAAGAAYAWwEA&#10;ALUDA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6901;top:1201;height:487;width:1421;" fillcolor="#000000" filled="t" stroked="f" coordsize="1421,487" o:gfxdata="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lAbsAAADb&#10;AAAADwAAAAAAAAABACAAAAAiAAAAZHJzL2Rvd25yZXYueG1sUEsBAhQAFAAAAAgAh07iQDMvBZ47&#10;AAAAOQAAABAAAAAAAAAAAQAgAAAACgEAAGRycy9zaGFwZXhtbC54bWxQSwUGAAAAAAYABgBbAQAA&#10;tAMAAAAA&#10;" path="m1421,487l0,487,0,0,1421,0,1421,15,30,15,15,30,30,30,30,457,15,457,30,472,1421,472,1421,487xm30,30l15,30,30,15,30,30xm1391,30l30,30,30,15,1391,15,1391,30xm1391,472l1391,15,1406,30,1421,30,1421,457,1406,457,1391,472xm1421,30l1406,30,1391,15,1421,15,1421,30xm30,472l15,457,30,457,30,472xm1391,472l30,472,30,457,1391,457,1391,472xm1421,472l1391,472,1406,457,1421,457,1421,472xe">
                        <v:fill on="t" focussize="0,0"/>
                        <v:stroke on="f"/>
                        <v:imagedata o:title=""/>
                        <o:lock v:ext="edit" aspectratio="f"/>
                      </v:shape>
                      <v:shape id="_x0000_s1026" o:spid="_x0000_s1026" o:spt="100" style="position:absolute;left:6513;top:1332;height:80;width:398;" fillcolor="#000000" filled="t" stroked="f" coordsize="398,80" o:gfxdata="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pH7PvQAA&#10;ANsAAAAPAAAAAAAAAAEAIAAAACIAAABkcnMvZG93bnJldi54bWxQSwECFAAUAAAACACHTuJAMy8F&#10;njsAAAA5AAAAEAAAAAAAAAABACAAAAAMAQAAZHJzL3NoYXBleG1sLnhtbFBLBQYAAAAABgAGAFsB&#10;AAC2AwAAAAA=&#10;" path="m298,40l198,0,323,25,298,25,298,40xm261,55l0,55,0,25,261,25,298,40,261,55xm323,55l298,55,298,25,323,25,398,40,323,55xm198,80l298,40,298,55,323,55,198,80xe">
                        <v:fill on="t" focussize="0,0"/>
                        <v:stroke on="f"/>
                        <v:imagedata o:title=""/>
                        <o:lock v:ext="edit" aspectratio="f"/>
                      </v:shape>
                      <v:shape id="_x0000_s1026" o:spid="_x0000_s1026" o:spt="100" style="position:absolute;left:8888;top:1205;height:485;width:1424;" fillcolor="#000000" filled="t" stroked="f" coordsize="1424,485" o:gfxdata="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FRcm5AAAA2wAA&#10;AA8AAAAAAAAAAQAgAAAAIgAAAGRycy9kb3ducmV2LnhtbFBLAQIUABQAAAAIAIdO4kAzLwWeOwAA&#10;ADkAAAAQAAAAAAAAAAEAIAAAAAgBAABkcnMvc2hhcGV4bWwueG1sUEsFBgAAAAAGAAYAWwEAALID&#10;A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8307;top:1330;height:80;width:597;" fillcolor="#000000" filled="t" stroked="f" coordsize="597,80" o:gfxdata="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rkFL4A&#10;AADbAAAADwAAAAAAAAABACAAAAAiAAAAZHJzL2Rvd25yZXYueG1sUEsBAhQAFAAAAAgAh07iQDMv&#10;BZ47AAAAOQAAABAAAAAAAAAAAQAgAAAADQEAAGRycy9zaGFwZXhtbC54bWxQSwUGAAAAAAYABgBb&#10;AQAAtwMAAAAA&#10;" path="m497,40l397,0,522,25,497,25,497,40xm459,55l0,55,0,25,459,25,497,40,459,55xm522,55l497,55,497,25,522,25,597,40,522,55xm397,80l497,40,497,55,522,55,397,80xe">
                        <v:fill on="t" focussize="0,0"/>
                        <v:stroke on="f"/>
                        <v:imagedata o:title=""/>
                        <o:lock v:ext="edit" aspectratio="f"/>
                      </v:shape>
                      <v:shape id="_x0000_s1026" o:spid="_x0000_s1026" o:spt="100" style="position:absolute;left:8960;top:1985;height:485;width:1424;" fillcolor="#000000" filled="t" stroked="f" coordsize="1424,485" o:gfxdata="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Z0IL4A&#10;AADbAAAADwAAAAAAAAABACAAAAAiAAAAZHJzL2Rvd25yZXYueG1sUEsBAhQAFAAAAAgAh07iQDMv&#10;BZ47AAAAOQAAABAAAAAAAAAAAQAgAAAADQEAAGRycy9zaGFwZXhtbC54bWxQSwUGAAAAAAYABgBb&#10;AQAAtwMAAAAA&#10;" path="m1424,485l0,485,0,0,1424,0,1424,15,30,15,15,30,30,30,30,455,15,455,30,470,1424,470,1424,485xm30,30l15,30,30,15,30,30xm1394,30l30,30,30,15,1394,15,1394,30xm1394,470l1394,15,1409,30,1424,30,1424,455,1409,455,1394,470xm1424,30l1409,30,1394,15,1424,15,1424,30xm30,470l15,455,30,455,30,470xm1394,470l30,470,30,455,1394,455,1394,470xm1424,470l1394,470,1409,455,1424,455,1424,470xe">
                        <v:fill on="t" focussize="0,0"/>
                        <v:stroke on="f"/>
                        <v:imagedata o:title=""/>
                        <o:lock v:ext="edit" aspectratio="f"/>
                      </v:shape>
                      <v:shape id="_x0000_s1026" o:spid="_x0000_s1026" o:spt="100" style="position:absolute;left:9460;top:1669;height:303;width:80;" fillcolor="#000000" filled="t" stroked="f" coordsize="80,303" o:gfxdata="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RgxAtwAAANsAAAAP&#10;AAAAAAAAAAEAIAAAACIAAABkcnMvZG93bnJldi54bWxQSwECFAAUAAAACACHTuJAMy8FnjsAAAA5&#10;AAAAEAAAAAAAAAABACAAAAAGAQAAZHJzL3NoYXBleG1sLnhtbFBLBQYAAAAABgAGAFsBAACwAwAA&#10;AAA=&#10;" path="m40,203l25,166,25,0,55,0,55,166,40,203xm40,303l0,103,25,166,25,203,60,203,40,303xm60,203l55,203,55,166,80,103,60,203xm40,203l25,203,25,166,40,203xm55,203l40,203,55,166,55,203xe">
                        <v:fill on="t" focussize="0,0"/>
                        <v:stroke on="f"/>
                        <v:imagedata o:title=""/>
                        <o:lock v:ext="edit" aspectratio="f"/>
                      </v:shape>
                      <v:shape id="图片 46" o:spid="_x0000_s1026" o:spt="75" type="#_x0000_t75" style="position:absolute;left:2057;top:901;height:315;width:120;" filled="f" o:preferrelative="t" stroked="f" coordsize="21600,21600" o:gfxdata="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vMLS8AAAA&#10;2wAAAA8AAAAAAAAAAQAgAAAAIgAAAGRycy9kb3ducmV2LnhtbFBLAQIUABQAAAAIAIdO4kAzLwWe&#10;OwAAADkAAAAQAAAAAAAAAAEAIAAAAAsBAABkcnMvc2hhcGV4bWwueG1sUEsFBgAAAAAGAAYAWwEA&#10;ALUDAAAAAA==&#10;">
                        <v:fill on="f" focussize="0,0"/>
                        <v:stroke on="f"/>
                        <v:imagedata r:id="rId10" o:title=""/>
                        <o:lock v:ext="edit" aspectratio="t"/>
                      </v:shape>
                      <v:rect id="_x0000_s1026" o:spid="_x0000_s1026" o:spt="1" style="position:absolute;left:2001;top:295;height:632;width:581;"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图片 48" o:spid="_x0000_s1026" o:spt="75" type="#_x0000_t75" style="position:absolute;left:3685;top:901;height:315;width:120;" filled="f" o:preferrelative="t" stroked="f" coordsize="21600,21600" o:gfxdata="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xC1i/&#10;AAAA2wAAAA8AAAAAAAAAAQAgAAAAIgAAAGRycy9kb3ducmV2LnhtbFBLAQIUABQAAAAIAIdO4kAz&#10;LwWeOwAAADkAAAAQAAAAAAAAAAEAIAAAAA4BAABkcnMvc2hhcGV4bWwueG1sUEsFBgAAAAAGAAYA&#10;WwEAALgDAAAAAA==&#10;">
                        <v:fill on="f" focussize="0,0"/>
                        <v:stroke on="f"/>
                        <v:imagedata r:id="rId10" o:title=""/>
                        <o:lock v:ext="edit" aspectratio="t"/>
                      </v:shape>
                      <v:rect id="_x0000_s1026" o:spid="_x0000_s1026" o:spt="1" style="position:absolute;left:3636;top:295;height:632;width:1066;" fillcolor="#FFFFFF" filled="t" stroked="f" coordsize="21600,21600" o:gfxdata="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lnOO8AAAA&#10;2wAAAA8AAAAAAAAAAQAgAAAAIgAAAGRycy9kb3ducmV2LnhtbFBLAQIUABQAAAAIAIdO4kAzLwWe&#10;OwAAADkAAAAQAAAAAAAAAAEAIAAAAAsBAABkcnMvc2hhcGV4bWwueG1sUEsFBgAAAAAGAAYAWwEA&#10;ALUDAAAAAA==&#10;">
                        <v:fill on="t" focussize="0,0"/>
                        <v:stroke on="f"/>
                        <v:imagedata o:title=""/>
                        <o:lock v:ext="edit" aspectratio="f"/>
                      </v:rect>
                      <v:shape id="图片 50" o:spid="_x0000_s1026" o:spt="75" type="#_x0000_t75" style="position:absolute;left:4033;top:901;height:315;width:120;" filled="f" o:preferrelative="t" stroked="f" coordsize="21600,21600" o:gfxdata="UEsDBAoAAAAAAIdO4kAAAAAAAAAAAAAAAAAEAAAAZHJzL1BLAwQUAAAACACHTuJAOBQ2t8AAAADb&#10;AAAADwAAAGRycy9kb3ducmV2LnhtbEWPT2sCMRTE7wW/Q3hCL0UTlyK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FDa3&#10;wAAAANsAAAAPAAAAAAAAAAEAIAAAACIAAABkcnMvZG93bnJldi54bWxQSwECFAAUAAAACACHTuJA&#10;My8FnjsAAAA5AAAAEAAAAAAAAAABACAAAAAPAQAAZHJzL3NoYXBleG1sLnhtbFBLBQYAAAAABgAG&#10;AFsBAAC5AwAAAAA=&#10;">
                        <v:fill on="f" focussize="0,0"/>
                        <v:stroke on="f"/>
                        <v:imagedata r:id="rId10" o:title=""/>
                        <o:lock v:ext="edit" aspectratio="t"/>
                      </v:shape>
                      <v:shape id="图片 51" o:spid="_x0000_s1026" o:spt="75" type="#_x0000_t75" style="position:absolute;left:9261;top:901;height:315;width:120;" filled="f" o:preferrelative="t" stroked="f" coordsize="21600,21600" o:gfxdata="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WJMs&#10;wAAAANsAAAAPAAAAAAAAAAEAIAAAACIAAABkcnMvZG93bnJldi54bWxQSwECFAAUAAAACACHTuJA&#10;My8FnjsAAAA5AAAAEAAAAAAAAAABACAAAAAPAQAAZHJzL3NoYXBleG1sLnhtbFBLBQYAAAAABgAG&#10;AFsBAAC5AwAAAAA=&#10;">
                        <v:fill on="f" focussize="0,0"/>
                        <v:stroke on="f"/>
                        <v:imagedata r:id="rId10" o:title=""/>
                        <o:lock v:ext="edit" aspectratio="t"/>
                      </v:shape>
                      <v:shape id="图片 52" o:spid="_x0000_s1026" o:spt="75" type="#_x0000_t75" style="position:absolute;left:2291;top:901;height:315;width:120;" filled="f" o:preferrelative="t" stroked="f" coordsize="21600,21600" o:gfxdata="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xqjA&#10;wAAAANsAAAAPAAAAAAAAAAEAIAAAACIAAABkcnMvZG93bnJldi54bWxQSwECFAAUAAAACACHTuJA&#10;My8FnjsAAAA5AAAAEAAAAAAAAAABACAAAAAPAQAAZHJzL3NoYXBleG1sLnhtbFBLBQYAAAAABgAG&#10;AFsBAAC5AwAAAAA=&#10;">
                        <v:fill on="f" focussize="0,0"/>
                        <v:stroke on="f"/>
                        <v:imagedata r:id="rId10" o:title=""/>
                        <o:lock v:ext="edit" aspectratio="t"/>
                      </v:shape>
                      <v:shape id="图片 53" o:spid="_x0000_s1026" o:spt="75" type="#_x0000_t75" style="position:absolute;left:9493;top:901;height:315;width:120;" filled="f" o:preferrelative="t" stroked="f" coordsize="21600,21600" o:gfxdata="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ZPLK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_x0000_s1026" o:spid="_x0000_s1026" o:spt="202" type="#_x0000_t202" style="position:absolute;left:2030;top:325;height:469;width:54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3748;top:325;height:469;width:861;"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噪 扬</w:t>
                              </w:r>
                            </w:p>
                            <w:p>
                              <w:pPr>
                                <w:spacing w:before="0" w:line="234" w:lineRule="exact"/>
                                <w:ind w:left="0" w:right="0" w:firstLine="0"/>
                                <w:jc w:val="left"/>
                                <w:rPr>
                                  <w:sz w:val="21"/>
                                </w:rPr>
                              </w:pPr>
                              <w:r>
                                <w:rPr>
                                  <w:sz w:val="21"/>
                                </w:rPr>
                                <w:t>废 声 尘</w:t>
                              </w:r>
                            </w:p>
                          </w:txbxContent>
                        </v:textbox>
                      </v:shape>
                      <v:shape id="_x0000_s1026" o:spid="_x0000_s1026" o:spt="202" type="#_x0000_t202" style="position:absolute;left:9297;top:345;height:469;width:544;"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4" w:lineRule="exact"/>
                                <w:ind w:left="0" w:right="0" w:firstLine="0"/>
                                <w:jc w:val="left"/>
                                <w:rPr>
                                  <w:sz w:val="21"/>
                                </w:rPr>
                              </w:pPr>
                              <w:r>
                                <w:rPr>
                                  <w:sz w:val="21"/>
                                </w:rPr>
                                <w:t>固 扬</w:t>
                              </w:r>
                            </w:p>
                            <w:p>
                              <w:pPr>
                                <w:spacing w:before="0" w:line="234" w:lineRule="exact"/>
                                <w:ind w:left="0" w:right="0" w:firstLine="0"/>
                                <w:jc w:val="left"/>
                                <w:rPr>
                                  <w:sz w:val="21"/>
                                </w:rPr>
                              </w:pPr>
                              <w:r>
                                <w:rPr>
                                  <w:sz w:val="21"/>
                                </w:rPr>
                                <w:t>废 尘</w:t>
                              </w:r>
                            </w:p>
                          </w:txbxContent>
                        </v:textbox>
                      </v:shape>
                      <v:shape id="_x0000_s1026" o:spid="_x0000_s1026" o:spt="202" type="#_x0000_t202" style="position:absolute;left:1797;top:1310;height:316;width:85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地面清理</w:t>
                              </w:r>
                            </w:p>
                          </w:txbxContent>
                        </v:textbox>
                      </v:shape>
                      <v:shape id="_x0000_s1026" o:spid="_x0000_s1026" o:spt="202" type="#_x0000_t202" style="position:absolute;left:3786;top:1309;height:276;width:438;"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开挖</w:t>
                              </w:r>
                            </w:p>
                          </w:txbxContent>
                        </v:textbox>
                      </v:shape>
                      <v:shape id="_x0000_s1026" o:spid="_x0000_s1026" o:spt="202" type="#_x0000_t202" style="position:absolute;left:5397;top:1336;height:276;width:85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现场围护</w:t>
                              </w:r>
                            </w:p>
                          </w:txbxContent>
                        </v:textbox>
                      </v:shape>
                      <v:shape id="_x0000_s1026" o:spid="_x0000_s1026" o:spt="202" type="#_x0000_t202" style="position:absolute;left:7160;top:1350;height:249;width:85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管道铺设</w:t>
                              </w:r>
                            </w:p>
                          </w:txbxContent>
                        </v:textbox>
                      </v:shape>
                      <v:shape id="_x0000_s1026" o:spid="_x0000_s1026" o:spt="202" type="#_x0000_t202" style="position:absolute;left:9180;top:1339;height:262;width:85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09" w:lineRule="exact"/>
                                <w:ind w:left="0" w:right="0" w:firstLine="0"/>
                                <w:jc w:val="left"/>
                                <w:rPr>
                                  <w:sz w:val="21"/>
                                </w:rPr>
                              </w:pPr>
                              <w:r>
                                <w:rPr>
                                  <w:sz w:val="21"/>
                                </w:rPr>
                                <w:t>回填土方</w:t>
                              </w:r>
                            </w:p>
                          </w:txbxContent>
                        </v:textbox>
                      </v:shape>
                      <v:shape id="_x0000_s1026" o:spid="_x0000_s1026" o:spt="202" type="#_x0000_t202" style="position:absolute;left:9252;top:2091;height:276;width:858;"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0" w:right="0" w:firstLine="0"/>
                                <w:jc w:val="left"/>
                                <w:rPr>
                                  <w:sz w:val="21"/>
                                </w:rPr>
                              </w:pPr>
                              <w:r>
                                <w:rPr>
                                  <w:sz w:val="21"/>
                                </w:rPr>
                                <w:t>表面整理</w:t>
                              </w:r>
                            </w:p>
                          </w:txbxContent>
                        </v:textbox>
                      </v:shape>
                      <w10:wrap type="topAndBottom"/>
                    </v:group>
                  </w:pict>
                </mc:Fallback>
              </mc:AlternateContent>
            </w:r>
          </w:p>
          <w:p>
            <w:pPr>
              <w:spacing w:line="460" w:lineRule="exact"/>
              <w:jc w:val="center"/>
              <w:rPr>
                <w:b/>
                <w:color w:val="auto"/>
                <w:sz w:val="24"/>
                <w:szCs w:val="36"/>
              </w:rPr>
            </w:pPr>
            <w:r>
              <w:rPr>
                <w:b/>
                <w:color w:val="auto"/>
                <w:spacing w:val="-26"/>
                <w:sz w:val="24"/>
                <w:szCs w:val="36"/>
              </w:rPr>
              <w:t xml:space="preserve">图 </w:t>
            </w:r>
            <w:r>
              <w:rPr>
                <w:rFonts w:eastAsia="Times New Roman"/>
                <w:b/>
                <w:color w:val="auto"/>
                <w:sz w:val="24"/>
                <w:szCs w:val="36"/>
              </w:rPr>
              <w:t>2</w:t>
            </w:r>
            <w:r>
              <w:rPr>
                <w:rFonts w:eastAsia="Times New Roman"/>
                <w:b/>
                <w:color w:val="auto"/>
                <w:spacing w:val="50"/>
                <w:sz w:val="24"/>
                <w:szCs w:val="36"/>
              </w:rPr>
              <w:t xml:space="preserve"> </w:t>
            </w:r>
            <w:r>
              <w:rPr>
                <w:b/>
                <w:color w:val="auto"/>
                <w:sz w:val="24"/>
                <w:szCs w:val="36"/>
              </w:rPr>
              <w:t>管网施工流程示意图</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施工工艺简述：</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施工主要分为管道沟开挖工程、管道工程、回填工程、路面恢复、试压生产等几大部分。</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①管道沟土方开挖采用机械开挖与人工清理相结合的方式，回填土堆放在沟边，采用边铺边回填的施工工艺。为避免影响城市交通运行，本工程采用分段施工。</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②管道基础采用砂垫层基础或砼基础。</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③管道铺设工程采用机械化施工方案。</w:t>
            </w:r>
          </w:p>
          <w:p>
            <w:pPr>
              <w:pStyle w:val="2"/>
              <w:spacing w:line="460" w:lineRule="exact"/>
              <w:ind w:firstLine="480" w:firstLineChars="200"/>
              <w:rPr>
                <w:rFonts w:eastAsia="宋体" w:cs="宋体"/>
                <w:color w:val="auto"/>
                <w:spacing w:val="0"/>
                <w:sz w:val="24"/>
                <w:szCs w:val="24"/>
              </w:rPr>
            </w:pPr>
            <w:r>
              <w:rPr>
                <w:rFonts w:hint="eastAsia" w:eastAsia="宋体" w:cs="宋体"/>
                <w:color w:val="auto"/>
                <w:spacing w:val="0"/>
                <w:sz w:val="24"/>
                <w:szCs w:val="24"/>
              </w:rPr>
              <w:t>④管道起点埋深 1.7～3.5m。</w:t>
            </w:r>
          </w:p>
          <w:p>
            <w:pPr>
              <w:spacing w:line="460" w:lineRule="exact"/>
              <w:ind w:firstLine="480" w:firstLineChars="200"/>
              <w:rPr>
                <w:rFonts w:cs="宋体"/>
                <w:color w:val="auto"/>
                <w:sz w:val="24"/>
                <w:szCs w:val="24"/>
              </w:rPr>
            </w:pPr>
            <w:r>
              <w:rPr>
                <w:rFonts w:hint="eastAsia" w:cs="宋体"/>
                <w:color w:val="auto"/>
                <w:sz w:val="24"/>
                <w:szCs w:val="24"/>
              </w:rPr>
              <w:t>运营期：</w:t>
            </w:r>
          </w:p>
          <w:p>
            <w:pPr>
              <w:spacing w:line="460" w:lineRule="exact"/>
              <w:ind w:firstLine="480" w:firstLineChars="200"/>
              <w:rPr>
                <w:color w:val="auto"/>
                <w:sz w:val="24"/>
                <w:szCs w:val="24"/>
              </w:rPr>
            </w:pPr>
            <w:r>
              <w:rPr>
                <w:rFonts w:hint="eastAsia" w:cs="宋体"/>
                <w:color w:val="auto"/>
                <w:sz w:val="24"/>
                <w:szCs w:val="24"/>
              </w:rPr>
              <w:t>一、污水处理厂工艺流程</w:t>
            </w:r>
          </w:p>
          <w:p>
            <w:pPr>
              <w:spacing w:line="460" w:lineRule="exact"/>
              <w:ind w:firstLine="480" w:firstLineChars="200"/>
              <w:jc w:val="left"/>
              <w:rPr>
                <w:rFonts w:hint="eastAsia" w:cs="宋体"/>
                <w:color w:val="auto"/>
                <w:sz w:val="24"/>
                <w:szCs w:val="24"/>
                <w:u w:val="single"/>
                <w:shd w:val="clear" w:color="auto" w:fill="auto"/>
              </w:rPr>
            </w:pPr>
            <w:r>
              <w:rPr>
                <w:rFonts w:hint="eastAsia" w:cs="宋体"/>
                <w:color w:val="auto"/>
                <w:sz w:val="24"/>
                <w:szCs w:val="24"/>
                <w:u w:val="single"/>
              </w:rPr>
              <w:t>根据</w:t>
            </w:r>
            <w:r>
              <w:rPr>
                <w:rFonts w:hint="eastAsia" w:cs="宋体"/>
                <w:color w:val="auto"/>
                <w:sz w:val="24"/>
                <w:szCs w:val="24"/>
                <w:u w:val="single"/>
                <w:lang w:val="en-US" w:eastAsia="zh-CN"/>
              </w:rPr>
              <w:t>湘阴县湘滨镇</w:t>
            </w:r>
            <w:r>
              <w:rPr>
                <w:rFonts w:hint="eastAsia" w:cs="宋体"/>
                <w:color w:val="auto"/>
                <w:sz w:val="24"/>
                <w:szCs w:val="24"/>
                <w:u w:val="single"/>
              </w:rPr>
              <w:t>污水处理厂</w:t>
            </w:r>
            <w:r>
              <w:rPr>
                <w:rFonts w:hint="eastAsia" w:cs="宋体"/>
                <w:color w:val="auto"/>
                <w:sz w:val="24"/>
                <w:szCs w:val="24"/>
                <w:u w:val="single"/>
                <w:lang w:val="en-US" w:eastAsia="zh-CN"/>
              </w:rPr>
              <w:t>可行性研究报告</w:t>
            </w:r>
            <w:r>
              <w:rPr>
                <w:rFonts w:hint="eastAsia" w:cs="宋体"/>
                <w:color w:val="auto"/>
                <w:sz w:val="24"/>
                <w:szCs w:val="24"/>
                <w:u w:val="single"/>
              </w:rPr>
              <w:t>对进水水质、工艺设计、厂区工艺布置等方面</w:t>
            </w:r>
            <w:r>
              <w:rPr>
                <w:rFonts w:hint="eastAsia" w:cs="宋体"/>
                <w:color w:val="auto"/>
                <w:sz w:val="24"/>
                <w:szCs w:val="24"/>
                <w:u w:val="single"/>
                <w:lang w:val="en-US" w:eastAsia="zh-CN"/>
              </w:rPr>
              <w:t>描述</w:t>
            </w:r>
            <w:r>
              <w:rPr>
                <w:rFonts w:hint="eastAsia" w:cs="宋体"/>
                <w:color w:val="auto"/>
                <w:sz w:val="24"/>
                <w:szCs w:val="24"/>
                <w:u w:val="single"/>
              </w:rPr>
              <w:t>，</w:t>
            </w:r>
            <w:r>
              <w:rPr>
                <w:rFonts w:hint="eastAsia" w:cs="宋体"/>
                <w:color w:val="auto"/>
                <w:sz w:val="24"/>
                <w:szCs w:val="24"/>
                <w:u w:val="single"/>
                <w:lang w:val="en-US" w:eastAsia="zh-CN"/>
              </w:rPr>
              <w:t>污水处理厂近期工程</w:t>
            </w:r>
            <w:r>
              <w:rPr>
                <w:rFonts w:hint="eastAsia" w:cs="宋体"/>
                <w:color w:val="auto"/>
                <w:sz w:val="24"/>
                <w:szCs w:val="24"/>
                <w:u w:val="single"/>
              </w:rPr>
              <w:t>选择的污水处理</w:t>
            </w:r>
            <w:r>
              <w:rPr>
                <w:rFonts w:hint="eastAsia" w:cs="宋体"/>
                <w:color w:val="auto"/>
                <w:sz w:val="24"/>
                <w:szCs w:val="24"/>
                <w:u w:val="single"/>
                <w:shd w:val="clear" w:color="auto" w:fill="auto"/>
              </w:rPr>
              <w:t>工艺</w:t>
            </w:r>
            <w:r>
              <w:rPr>
                <w:rFonts w:hint="eastAsia" w:cs="宋体"/>
                <w:color w:val="auto"/>
                <w:sz w:val="24"/>
                <w:szCs w:val="24"/>
                <w:u w:val="single"/>
                <w:shd w:val="clear" w:color="auto" w:fill="auto"/>
                <w:lang w:val="en-US" w:eastAsia="zh-CN"/>
              </w:rPr>
              <w:t>为</w:t>
            </w:r>
            <w:r>
              <w:rPr>
                <w:rFonts w:hint="eastAsia" w:cs="宋体"/>
                <w:color w:val="auto"/>
                <w:sz w:val="24"/>
                <w:szCs w:val="24"/>
                <w:u w:val="single"/>
                <w:shd w:val="clear" w:color="auto" w:fill="auto"/>
              </w:rPr>
              <w:t>“进水→</w:t>
            </w:r>
            <w:r>
              <w:rPr>
                <w:rFonts w:hint="eastAsia" w:cs="宋体"/>
                <w:color w:val="auto"/>
                <w:sz w:val="24"/>
                <w:szCs w:val="24"/>
                <w:u w:val="single"/>
                <w:shd w:val="clear" w:color="auto" w:fill="auto"/>
                <w:lang w:val="en-US" w:eastAsia="zh-CN"/>
              </w:rPr>
              <w:t>格栅渠</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调节池</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一体化设备（A2O+过滤）</w:t>
            </w:r>
            <w:r>
              <w:rPr>
                <w:rFonts w:hint="eastAsia" w:cs="宋体"/>
                <w:color w:val="auto"/>
                <w:sz w:val="24"/>
                <w:szCs w:val="24"/>
                <w:u w:val="single"/>
                <w:shd w:val="clear" w:color="auto" w:fill="auto"/>
              </w:rPr>
              <w:t>→紫外消毒→</w:t>
            </w:r>
            <w:r>
              <w:rPr>
                <w:rFonts w:hint="eastAsia" w:cs="宋体"/>
                <w:color w:val="auto"/>
                <w:sz w:val="24"/>
                <w:szCs w:val="24"/>
                <w:u w:val="single"/>
                <w:shd w:val="clear" w:color="auto" w:fill="auto"/>
                <w:lang w:val="en-US" w:eastAsia="zh-CN"/>
              </w:rPr>
              <w:t>计量槽</w:t>
            </w:r>
            <w:r>
              <w:rPr>
                <w:rFonts w:hint="eastAsia" w:cs="宋体"/>
                <w:color w:val="auto"/>
                <w:sz w:val="24"/>
                <w:szCs w:val="24"/>
                <w:u w:val="single"/>
                <w:shd w:val="clear" w:color="auto" w:fill="auto"/>
              </w:rPr>
              <w:t>→</w:t>
            </w:r>
            <w:r>
              <w:rPr>
                <w:rFonts w:hint="eastAsia" w:cs="宋体"/>
                <w:color w:val="auto"/>
                <w:sz w:val="24"/>
                <w:szCs w:val="24"/>
                <w:u w:val="single"/>
                <w:shd w:val="clear" w:color="auto" w:fill="auto"/>
                <w:lang w:val="en-US" w:eastAsia="zh-CN"/>
              </w:rPr>
              <w:t>达标外排</w:t>
            </w:r>
            <w:r>
              <w:rPr>
                <w:rFonts w:hint="eastAsia" w:cs="宋体"/>
                <w:color w:val="auto"/>
                <w:sz w:val="24"/>
                <w:szCs w:val="24"/>
                <w:u w:val="single"/>
                <w:shd w:val="clear" w:color="auto" w:fill="auto"/>
              </w:rPr>
              <w:t>”。</w:t>
            </w:r>
          </w:p>
          <w:p>
            <w:pPr>
              <w:spacing w:line="460" w:lineRule="exact"/>
              <w:ind w:firstLine="480" w:firstLineChars="200"/>
              <w:jc w:val="left"/>
            </w:pPr>
            <w:r>
              <w:rPr>
                <w:rFonts w:hint="eastAsia" w:cs="宋体"/>
                <w:color w:val="auto"/>
                <w:sz w:val="24"/>
                <w:szCs w:val="24"/>
              </w:rPr>
              <w:t>具体工艺流程分析如下：</w:t>
            </w:r>
          </w:p>
          <w:p>
            <w:pPr>
              <w:jc w:val="center"/>
              <w:rPr>
                <w:color w:val="auto"/>
                <w:sz w:val="21"/>
                <w:szCs w:val="21"/>
              </w:rPr>
            </w:pPr>
            <w:r>
              <w:rPr>
                <w:color w:val="auto"/>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1807845</wp:posOffset>
                      </wp:positionV>
                      <wp:extent cx="828675" cy="939800"/>
                      <wp:effectExtent l="4445" t="4445" r="5080" b="8255"/>
                      <wp:wrapNone/>
                      <wp:docPr id="65" name="矩形 121"/>
                      <wp:cNvGraphicFramePr/>
                      <a:graphic xmlns:a="http://schemas.openxmlformats.org/drawingml/2006/main">
                        <a:graphicData uri="http://schemas.microsoft.com/office/word/2010/wordprocessingShape">
                          <wps:wsp>
                            <wps:cNvSpPr>
                              <a:spLocks noChangeArrowheads="1"/>
                            </wps:cNvSpPr>
                            <wps:spPr bwMode="auto">
                              <a:xfrm>
                                <a:off x="0" y="0"/>
                                <a:ext cx="828675" cy="939800"/>
                              </a:xfrm>
                              <a:prstGeom prst="rect">
                                <a:avLst/>
                              </a:prstGeom>
                              <a:solidFill>
                                <a:srgbClr val="FFFFFF"/>
                              </a:solidFill>
                              <a:ln w="9525">
                                <a:solidFill>
                                  <a:srgbClr val="000000"/>
                                </a:solidFill>
                                <a:miter lim="800000"/>
                              </a:ln>
                              <a:effectLst/>
                            </wps:spPr>
                            <wps:txbx>
                              <w:txbxContent>
                                <w:p>
                                  <w:pPr>
                                    <w:snapToGrid w:val="0"/>
                                    <w:spacing w:line="320" w:lineRule="exact"/>
                                    <w:rPr>
                                      <w:sz w:val="21"/>
                                      <w:szCs w:val="21"/>
                                    </w:rPr>
                                  </w:pPr>
                                  <w:r>
                                    <w:rPr>
                                      <w:rFonts w:hint="eastAsia" w:cs="宋体"/>
                                      <w:sz w:val="21"/>
                                      <w:szCs w:val="21"/>
                                    </w:rPr>
                                    <w:t xml:space="preserve">废气  </w:t>
                                  </w:r>
                                  <w:r>
                                    <w:rPr>
                                      <w:sz w:val="21"/>
                                      <w:szCs w:val="21"/>
                                    </w:rPr>
                                    <w:drawing>
                                      <wp:inline distT="0" distB="0" distL="0" distR="0">
                                        <wp:extent cx="125730" cy="125730"/>
                                        <wp:effectExtent l="0" t="0" r="7620" b="7620"/>
                                        <wp:docPr id="2" name="图片 516"/>
                                        <wp:cNvGraphicFramePr/>
                                        <a:graphic xmlns:a="http://schemas.openxmlformats.org/drawingml/2006/main">
                                          <a:graphicData uri="http://schemas.openxmlformats.org/drawingml/2006/picture">
                                            <pic:pic xmlns:pic="http://schemas.openxmlformats.org/drawingml/2006/picture">
                                              <pic:nvPicPr>
                                                <pic:cNvPr id="2" name="图片 5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5730" cy="125730"/>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废水  </w:t>
                                  </w:r>
                                  <w:r>
                                    <w:rPr>
                                      <w:sz w:val="21"/>
                                      <w:szCs w:val="21"/>
                                    </w:rPr>
                                    <w:drawing>
                                      <wp:inline distT="0" distB="0" distL="0" distR="0">
                                        <wp:extent cx="144145" cy="144145"/>
                                        <wp:effectExtent l="0" t="0" r="8255" b="8255"/>
                                        <wp:docPr id="4" name="图片 521"/>
                                        <wp:cNvGraphicFramePr/>
                                        <a:graphic xmlns:a="http://schemas.openxmlformats.org/drawingml/2006/main">
                                          <a:graphicData uri="http://schemas.openxmlformats.org/drawingml/2006/picture">
                                            <pic:pic xmlns:pic="http://schemas.openxmlformats.org/drawingml/2006/picture">
                                              <pic:nvPicPr>
                                                <pic:cNvPr id="4" name="图片 5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固废  </w:t>
                                  </w:r>
                                  <w:r>
                                    <w:rPr>
                                      <w:sz w:val="21"/>
                                      <w:szCs w:val="21"/>
                                    </w:rPr>
                                    <w:drawing>
                                      <wp:inline distT="0" distB="0" distL="0" distR="0">
                                        <wp:extent cx="144145" cy="144145"/>
                                        <wp:effectExtent l="0" t="0" r="8255" b="8255"/>
                                        <wp:docPr id="6" name="图片 518"/>
                                        <wp:cNvGraphicFramePr/>
                                        <a:graphic xmlns:a="http://schemas.openxmlformats.org/drawingml/2006/main">
                                          <a:graphicData uri="http://schemas.openxmlformats.org/drawingml/2006/picture">
                                            <pic:pic xmlns:pic="http://schemas.openxmlformats.org/drawingml/2006/picture">
                                              <pic:nvPicPr>
                                                <pic:cNvPr id="6" name="图片 51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pPr>
                                  <w:r>
                                    <w:rPr>
                                      <w:rFonts w:hint="eastAsia" w:cs="宋体"/>
                                      <w:sz w:val="21"/>
                                      <w:szCs w:val="21"/>
                                    </w:rPr>
                                    <w:t xml:space="preserve">噪声  </w:t>
                                  </w:r>
                                  <w:r>
                                    <w:drawing>
                                      <wp:inline distT="0" distB="0" distL="0" distR="0">
                                        <wp:extent cx="159385" cy="138430"/>
                                        <wp:effectExtent l="0" t="0" r="0" b="0"/>
                                        <wp:docPr id="8"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9385" cy="138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矩形 121" o:spid="_x0000_s1026" o:spt="1" style="position:absolute;left:0pt;margin-left:5.3pt;margin-top:142.35pt;height:74pt;width:65.25pt;z-index:251663360;mso-width-relative:page;mso-height-relative:page;" fillcolor="#FFFFFF" filled="t" stroked="t" coordsize="21600,21600" o:gfxdata="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6G24dgAAAAKAQAADwAAAAAAAAABACAAAAAiAAAA&#10;ZHJzL2Rvd25yZXYueG1sUEsBAhQAFAAAAAgAh07iQBkW4DlAAgAAigQAAA4AAAAAAAAAAQAgAAAA&#10;JwEAAGRycy9lMm9Eb2MueG1sUEsFBgAAAAAGAAYAWQEAANkFAAAAAA==&#10;">
                      <v:fill on="t" focussize="0,0"/>
                      <v:stroke color="#000000" miterlimit="8" joinstyle="miter"/>
                      <v:imagedata o:title=""/>
                      <o:lock v:ext="edit" aspectratio="f"/>
                      <v:textbox>
                        <w:txbxContent>
                          <w:p>
                            <w:pPr>
                              <w:snapToGrid w:val="0"/>
                              <w:spacing w:line="320" w:lineRule="exact"/>
                              <w:rPr>
                                <w:sz w:val="21"/>
                                <w:szCs w:val="21"/>
                              </w:rPr>
                            </w:pPr>
                            <w:r>
                              <w:rPr>
                                <w:rFonts w:hint="eastAsia" w:cs="宋体"/>
                                <w:sz w:val="21"/>
                                <w:szCs w:val="21"/>
                              </w:rPr>
                              <w:t xml:space="preserve">废气  </w:t>
                            </w:r>
                            <w:r>
                              <w:rPr>
                                <w:sz w:val="21"/>
                                <w:szCs w:val="21"/>
                              </w:rPr>
                              <w:drawing>
                                <wp:inline distT="0" distB="0" distL="0" distR="0">
                                  <wp:extent cx="125730" cy="125730"/>
                                  <wp:effectExtent l="0" t="0" r="7620" b="7620"/>
                                  <wp:docPr id="2" name="图片 516"/>
                                  <wp:cNvGraphicFramePr/>
                                  <a:graphic xmlns:a="http://schemas.openxmlformats.org/drawingml/2006/main">
                                    <a:graphicData uri="http://schemas.openxmlformats.org/drawingml/2006/picture">
                                      <pic:pic xmlns:pic="http://schemas.openxmlformats.org/drawingml/2006/picture">
                                        <pic:nvPicPr>
                                          <pic:cNvPr id="2" name="图片 51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5730" cy="125730"/>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废水  </w:t>
                            </w:r>
                            <w:r>
                              <w:rPr>
                                <w:sz w:val="21"/>
                                <w:szCs w:val="21"/>
                              </w:rPr>
                              <w:drawing>
                                <wp:inline distT="0" distB="0" distL="0" distR="0">
                                  <wp:extent cx="144145" cy="144145"/>
                                  <wp:effectExtent l="0" t="0" r="8255" b="8255"/>
                                  <wp:docPr id="4" name="图片 521"/>
                                  <wp:cNvGraphicFramePr/>
                                  <a:graphic xmlns:a="http://schemas.openxmlformats.org/drawingml/2006/main">
                                    <a:graphicData uri="http://schemas.openxmlformats.org/drawingml/2006/picture">
                                      <pic:pic xmlns:pic="http://schemas.openxmlformats.org/drawingml/2006/picture">
                                        <pic:nvPicPr>
                                          <pic:cNvPr id="4" name="图片 5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rPr>
                                <w:sz w:val="21"/>
                                <w:szCs w:val="21"/>
                              </w:rPr>
                            </w:pPr>
                            <w:r>
                              <w:rPr>
                                <w:rFonts w:hint="eastAsia" w:cs="宋体"/>
                                <w:sz w:val="21"/>
                                <w:szCs w:val="21"/>
                              </w:rPr>
                              <w:t xml:space="preserve">固废  </w:t>
                            </w:r>
                            <w:r>
                              <w:rPr>
                                <w:sz w:val="21"/>
                                <w:szCs w:val="21"/>
                              </w:rPr>
                              <w:drawing>
                                <wp:inline distT="0" distB="0" distL="0" distR="0">
                                  <wp:extent cx="144145" cy="144145"/>
                                  <wp:effectExtent l="0" t="0" r="8255" b="8255"/>
                                  <wp:docPr id="6" name="图片 518"/>
                                  <wp:cNvGraphicFramePr/>
                                  <a:graphic xmlns:a="http://schemas.openxmlformats.org/drawingml/2006/main">
                                    <a:graphicData uri="http://schemas.openxmlformats.org/drawingml/2006/picture">
                                      <pic:pic xmlns:pic="http://schemas.openxmlformats.org/drawingml/2006/picture">
                                        <pic:nvPicPr>
                                          <pic:cNvPr id="6" name="图片 51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145" cy="144145"/>
                                          </a:xfrm>
                                          <a:prstGeom prst="rect">
                                            <a:avLst/>
                                          </a:prstGeom>
                                          <a:noFill/>
                                          <a:ln>
                                            <a:noFill/>
                                          </a:ln>
                                        </pic:spPr>
                                      </pic:pic>
                                    </a:graphicData>
                                  </a:graphic>
                                </wp:inline>
                              </w:drawing>
                            </w:r>
                          </w:p>
                          <w:p>
                            <w:pPr>
                              <w:snapToGrid w:val="0"/>
                              <w:spacing w:line="320" w:lineRule="exact"/>
                            </w:pPr>
                            <w:r>
                              <w:rPr>
                                <w:rFonts w:hint="eastAsia" w:cs="宋体"/>
                                <w:sz w:val="21"/>
                                <w:szCs w:val="21"/>
                              </w:rPr>
                              <w:t xml:space="preserve">噪声  </w:t>
                            </w:r>
                            <w:r>
                              <w:drawing>
                                <wp:inline distT="0" distB="0" distL="0" distR="0">
                                  <wp:extent cx="159385" cy="138430"/>
                                  <wp:effectExtent l="0" t="0" r="0" b="0"/>
                                  <wp:docPr id="8"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9385" cy="138430"/>
                                          </a:xfrm>
                                          <a:prstGeom prst="rect">
                                            <a:avLst/>
                                          </a:prstGeom>
                                          <a:noFill/>
                                          <a:ln>
                                            <a:noFill/>
                                          </a:ln>
                                        </pic:spPr>
                                      </pic:pic>
                                    </a:graphicData>
                                  </a:graphic>
                                </wp:inline>
                              </w:drawing>
                            </w:r>
                          </w:p>
                        </w:txbxContent>
                      </v:textbox>
                    </v:rect>
                  </w:pict>
                </mc:Fallback>
              </mc:AlternateContent>
            </w:r>
            <w:r>
              <w:rPr>
                <w:color w:val="auto"/>
              </w:rPr>
              <w:drawing>
                <wp:inline distT="0" distB="0" distL="114300" distR="114300">
                  <wp:extent cx="5220335" cy="2571750"/>
                  <wp:effectExtent l="0" t="0" r="18415" b="0"/>
                  <wp:docPr id="13" name="图片 13" descr="污水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污水工艺流程"/>
                          <pic:cNvPicPr>
                            <a:picLocks noChangeAspect="1"/>
                          </pic:cNvPicPr>
                        </pic:nvPicPr>
                        <pic:blipFill>
                          <a:blip r:embed="rId15"/>
                          <a:stretch>
                            <a:fillRect/>
                          </a:stretch>
                        </pic:blipFill>
                        <pic:spPr>
                          <a:xfrm>
                            <a:off x="0" y="0"/>
                            <a:ext cx="5220335" cy="2571750"/>
                          </a:xfrm>
                          <a:prstGeom prst="rect">
                            <a:avLst/>
                          </a:prstGeom>
                        </pic:spPr>
                      </pic:pic>
                    </a:graphicData>
                  </a:graphic>
                </wp:inline>
              </w:drawing>
            </w:r>
          </w:p>
          <w:p>
            <w:pPr>
              <w:ind w:firstLine="482" w:firstLineChars="200"/>
              <w:jc w:val="left"/>
              <w:rPr>
                <w:b/>
                <w:bCs/>
                <w:color w:val="auto"/>
                <w:sz w:val="24"/>
                <w:szCs w:val="24"/>
              </w:rPr>
            </w:pPr>
          </w:p>
          <w:p>
            <w:pPr>
              <w:spacing w:line="480" w:lineRule="exact"/>
              <w:ind w:firstLine="2650" w:firstLineChars="1100"/>
              <w:jc w:val="left"/>
              <w:rPr>
                <w:b/>
                <w:bCs/>
                <w:color w:val="auto"/>
                <w:sz w:val="24"/>
                <w:szCs w:val="24"/>
              </w:rPr>
            </w:pPr>
            <w:r>
              <w:rPr>
                <w:rFonts w:hint="eastAsia" w:cs="宋体"/>
                <w:b/>
                <w:bCs/>
                <w:color w:val="auto"/>
                <w:sz w:val="24"/>
                <w:szCs w:val="24"/>
              </w:rPr>
              <w:t>图</w:t>
            </w:r>
            <w:r>
              <w:rPr>
                <w:rFonts w:hint="eastAsia"/>
                <w:b/>
                <w:bCs/>
                <w:color w:val="auto"/>
                <w:sz w:val="24"/>
                <w:szCs w:val="24"/>
              </w:rPr>
              <w:t>3</w:t>
            </w:r>
            <w:r>
              <w:rPr>
                <w:b/>
                <w:bCs/>
                <w:color w:val="auto"/>
                <w:sz w:val="24"/>
                <w:szCs w:val="24"/>
              </w:rPr>
              <w:t xml:space="preserve"> </w:t>
            </w:r>
            <w:r>
              <w:rPr>
                <w:rFonts w:hint="eastAsia" w:cs="宋体"/>
                <w:b/>
                <w:bCs/>
                <w:color w:val="auto"/>
                <w:sz w:val="24"/>
                <w:szCs w:val="24"/>
              </w:rPr>
              <w:t>项目污水处理工艺流程图及产污节点图</w:t>
            </w:r>
          </w:p>
          <w:p>
            <w:pPr>
              <w:spacing w:line="480" w:lineRule="exact"/>
              <w:ind w:firstLine="482" w:firstLineChars="200"/>
              <w:rPr>
                <w:b/>
                <w:bCs/>
                <w:color w:val="auto"/>
                <w:sz w:val="24"/>
                <w:szCs w:val="24"/>
              </w:rPr>
            </w:pPr>
            <w:r>
              <w:rPr>
                <w:rFonts w:hint="eastAsia" w:cs="宋体"/>
                <w:b/>
                <w:bCs/>
                <w:color w:val="auto"/>
                <w:sz w:val="24"/>
                <w:szCs w:val="24"/>
              </w:rPr>
              <w:t>1、</w:t>
            </w:r>
            <w:r>
              <w:rPr>
                <w:rFonts w:hint="eastAsia" w:cs="宋体"/>
                <w:b/>
                <w:bCs/>
                <w:color w:val="auto"/>
                <w:sz w:val="24"/>
                <w:szCs w:val="24"/>
                <w:lang w:val="en-US" w:eastAsia="zh-CN"/>
              </w:rPr>
              <w:t>总体工艺路线选择</w:t>
            </w:r>
          </w:p>
          <w:p>
            <w:pPr>
              <w:pStyle w:val="2"/>
              <w:spacing w:line="460" w:lineRule="exact"/>
              <w:ind w:firstLine="480" w:firstLineChars="200"/>
              <w:rPr>
                <w:rFonts w:hint="eastAsia" w:eastAsia="宋体" w:cs="宋体"/>
                <w:color w:val="auto"/>
                <w:spacing w:val="0"/>
                <w:sz w:val="24"/>
                <w:szCs w:val="24"/>
                <w:shd w:val="clear" w:color="auto" w:fill="auto"/>
              </w:rPr>
            </w:pPr>
            <w:r>
              <w:rPr>
                <w:rFonts w:hint="eastAsia" w:eastAsia="宋体" w:cs="宋体"/>
                <w:color w:val="auto"/>
                <w:spacing w:val="0"/>
                <w:sz w:val="24"/>
                <w:szCs w:val="24"/>
                <w:shd w:val="clear" w:color="auto" w:fill="auto"/>
              </w:rPr>
              <w:t>服务范围内的污水经市政污水管网收集后通过进水总管进入厂内，经格栅</w:t>
            </w:r>
            <w:r>
              <w:rPr>
                <w:rFonts w:hint="eastAsia" w:eastAsia="宋体" w:cs="宋体"/>
                <w:color w:val="auto"/>
                <w:spacing w:val="0"/>
                <w:sz w:val="24"/>
                <w:szCs w:val="24"/>
                <w:shd w:val="clear" w:color="auto" w:fill="auto"/>
                <w:lang w:val="en-US" w:eastAsia="zh-CN"/>
              </w:rPr>
              <w:t>槽</w:t>
            </w:r>
            <w:r>
              <w:rPr>
                <w:rFonts w:hint="eastAsia" w:eastAsia="宋体" w:cs="宋体"/>
                <w:color w:val="auto"/>
                <w:spacing w:val="0"/>
                <w:sz w:val="24"/>
                <w:szCs w:val="24"/>
                <w:shd w:val="clear" w:color="auto" w:fill="auto"/>
              </w:rPr>
              <w:t>去除污水中较大的漂浮物后进入</w:t>
            </w:r>
            <w:r>
              <w:rPr>
                <w:rFonts w:hint="eastAsia" w:eastAsia="宋体" w:cs="宋体"/>
                <w:color w:val="auto"/>
                <w:spacing w:val="0"/>
                <w:sz w:val="24"/>
                <w:szCs w:val="24"/>
                <w:shd w:val="clear" w:color="auto" w:fill="auto"/>
                <w:lang w:val="en-US" w:eastAsia="zh-CN"/>
              </w:rPr>
              <w:t>调节池</w:t>
            </w:r>
            <w:r>
              <w:rPr>
                <w:rFonts w:hint="eastAsia" w:eastAsia="宋体" w:cs="宋体"/>
                <w:color w:val="auto"/>
                <w:spacing w:val="0"/>
                <w:sz w:val="24"/>
                <w:szCs w:val="24"/>
                <w:shd w:val="clear" w:color="auto" w:fill="auto"/>
              </w:rPr>
              <w:t>，以去除比较小的漂浮物和砂粒，砂粒经砂水分离器分离后外运。</w:t>
            </w:r>
          </w:p>
          <w:p>
            <w:pPr>
              <w:pStyle w:val="2"/>
              <w:spacing w:line="460" w:lineRule="exact"/>
              <w:ind w:firstLine="480" w:firstLineChars="200"/>
              <w:rPr>
                <w:rFonts w:hint="eastAsia" w:eastAsia="宋体" w:cs="宋体"/>
                <w:color w:val="auto"/>
                <w:spacing w:val="0"/>
                <w:sz w:val="24"/>
                <w:szCs w:val="24"/>
                <w:shd w:val="clear" w:color="auto" w:fill="auto"/>
              </w:rPr>
            </w:pPr>
            <w:r>
              <w:rPr>
                <w:rFonts w:hint="eastAsia" w:eastAsia="宋体" w:cs="宋体"/>
                <w:color w:val="auto"/>
                <w:spacing w:val="0"/>
                <w:sz w:val="24"/>
                <w:szCs w:val="24"/>
                <w:shd w:val="clear" w:color="auto" w:fill="auto"/>
                <w:lang w:val="en-US" w:eastAsia="zh-CN"/>
              </w:rPr>
              <w:t>污水通过厌氧、缺氧、好氧区</w:t>
            </w:r>
            <w:r>
              <w:rPr>
                <w:rFonts w:hint="eastAsia" w:eastAsia="宋体" w:cs="宋体"/>
                <w:color w:val="auto"/>
                <w:spacing w:val="0"/>
                <w:sz w:val="24"/>
                <w:szCs w:val="24"/>
                <w:shd w:val="clear" w:color="auto" w:fill="auto"/>
              </w:rPr>
              <w:t>，同时具有去除有机物、</w:t>
            </w:r>
            <w:r>
              <w:rPr>
                <w:rFonts w:hint="eastAsia" w:eastAsia="宋体" w:cs="宋体"/>
                <w:color w:val="auto"/>
                <w:spacing w:val="0"/>
                <w:sz w:val="24"/>
                <w:szCs w:val="24"/>
                <w:shd w:val="clear" w:color="auto" w:fill="auto"/>
                <w:lang w:val="en-US" w:eastAsia="zh-CN"/>
              </w:rPr>
              <w:t>以及进行</w:t>
            </w:r>
            <w:r>
              <w:rPr>
                <w:rFonts w:hint="eastAsia" w:eastAsia="宋体" w:cs="宋体"/>
                <w:color w:val="auto"/>
                <w:spacing w:val="0"/>
                <w:sz w:val="24"/>
                <w:szCs w:val="24"/>
                <w:shd w:val="clear" w:color="auto" w:fill="auto"/>
              </w:rPr>
              <w:t>脱氮除磷。</w:t>
            </w:r>
            <w:r>
              <w:rPr>
                <w:rFonts w:hint="eastAsia" w:ascii="Times New Roman" w:hAnsi="Times New Roman" w:eastAsia="宋体" w:cs="宋体"/>
                <w:color w:val="auto"/>
                <w:sz w:val="24"/>
                <w:szCs w:val="24"/>
                <w:shd w:val="clear" w:color="auto" w:fill="auto"/>
                <w:lang w:val="en-US" w:eastAsia="zh-CN" w:bidi="ar-SA"/>
              </w:rPr>
              <w:t>二沉池出水投加</w:t>
            </w:r>
            <w:r>
              <w:rPr>
                <w:rFonts w:hint="default" w:ascii="Times New Roman" w:hAnsi="Times New Roman" w:eastAsia="宋体" w:cs="宋体"/>
                <w:color w:val="auto"/>
                <w:sz w:val="24"/>
                <w:szCs w:val="24"/>
                <w:shd w:val="clear" w:color="auto" w:fill="auto"/>
                <w:lang w:val="en-US" w:eastAsia="zh-CN" w:bidi="ar-SA"/>
              </w:rPr>
              <w:t>PAC</w:t>
            </w:r>
            <w:r>
              <w:rPr>
                <w:rFonts w:hint="eastAsia" w:eastAsia="宋体" w:cs="宋体"/>
                <w:color w:val="auto"/>
                <w:sz w:val="24"/>
                <w:szCs w:val="24"/>
                <w:shd w:val="clear" w:color="auto" w:fill="auto"/>
                <w:lang w:val="en-US" w:eastAsia="zh-CN" w:bidi="ar-SA"/>
              </w:rPr>
              <w:t>，</w:t>
            </w:r>
            <w:r>
              <w:rPr>
                <w:rFonts w:hint="eastAsia" w:eastAsia="宋体" w:cs="宋体"/>
                <w:color w:val="auto"/>
                <w:spacing w:val="0"/>
                <w:sz w:val="24"/>
                <w:szCs w:val="24"/>
                <w:shd w:val="clear" w:color="auto" w:fill="auto"/>
              </w:rPr>
              <w:t>并通过软性固定填料过滤模块过滤，确保出水水质达标排放。最终出水在经过紫外线消毒后，经</w:t>
            </w:r>
            <w:r>
              <w:rPr>
                <w:rFonts w:hint="eastAsia" w:eastAsia="宋体" w:cs="宋体"/>
                <w:color w:val="auto"/>
                <w:spacing w:val="0"/>
                <w:sz w:val="24"/>
                <w:szCs w:val="24"/>
                <w:shd w:val="clear" w:color="auto" w:fill="auto"/>
                <w:lang w:val="en-US" w:eastAsia="zh-CN"/>
              </w:rPr>
              <w:t>计量槽</w:t>
            </w:r>
            <w:r>
              <w:rPr>
                <w:rFonts w:hint="eastAsia" w:eastAsia="宋体" w:cs="宋体"/>
                <w:color w:val="auto"/>
                <w:spacing w:val="0"/>
                <w:sz w:val="24"/>
                <w:szCs w:val="24"/>
                <w:shd w:val="clear" w:color="auto" w:fill="auto"/>
              </w:rPr>
              <w:t>排至水体。</w:t>
            </w:r>
          </w:p>
          <w:p>
            <w:pPr>
              <w:adjustRightInd w:val="0"/>
              <w:snapToGrid w:val="0"/>
              <w:spacing w:line="480" w:lineRule="exact"/>
              <w:ind w:firstLine="482" w:firstLineChars="200"/>
              <w:rPr>
                <w:rFonts w:cs="宋体"/>
                <w:b/>
                <w:bCs/>
                <w:color w:val="auto"/>
                <w:sz w:val="24"/>
                <w:szCs w:val="24"/>
                <w:shd w:val="clear" w:color="FFFFFF" w:fill="D9D9D9"/>
              </w:rPr>
            </w:pPr>
            <w:r>
              <w:rPr>
                <w:rFonts w:hint="eastAsia" w:cs="宋体"/>
                <w:b/>
                <w:bCs/>
                <w:color w:val="auto"/>
                <w:sz w:val="24"/>
                <w:szCs w:val="24"/>
              </w:rPr>
              <w:t>2</w:t>
            </w:r>
            <w:r>
              <w:rPr>
                <w:rFonts w:hint="eastAsia" w:cs="宋体"/>
                <w:b/>
                <w:bCs/>
                <w:color w:val="auto"/>
                <w:sz w:val="24"/>
                <w:szCs w:val="24"/>
                <w:shd w:val="clear" w:color="auto" w:fill="auto"/>
              </w:rPr>
              <w:t>、工艺论证</w:t>
            </w:r>
          </w:p>
          <w:p>
            <w:pPr>
              <w:adjustRightInd w:val="0"/>
              <w:snapToGrid w:val="0"/>
              <w:spacing w:line="460" w:lineRule="exact"/>
              <w:ind w:firstLine="480" w:firstLineChars="200"/>
              <w:rPr>
                <w:rFonts w:cs="宋体"/>
                <w:color w:val="auto"/>
                <w:sz w:val="24"/>
                <w:szCs w:val="24"/>
              </w:rPr>
            </w:pPr>
            <w:r>
              <w:rPr>
                <w:rFonts w:hint="eastAsia" w:cs="宋体"/>
                <w:color w:val="auto"/>
                <w:sz w:val="24"/>
                <w:szCs w:val="24"/>
              </w:rPr>
              <w:t>（1）</w:t>
            </w:r>
            <w:r>
              <w:rPr>
                <w:rFonts w:cs="宋体"/>
                <w:color w:val="auto"/>
                <w:sz w:val="24"/>
                <w:szCs w:val="24"/>
              </w:rPr>
              <w:t>污水可生化性分析</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污水生物处理是以污水中所含污染物作为营养源，利用微生物的代谢作用使 污染物被降解，污水得以净化的一种最经济实用同时也是首选的污水处理工艺。 而对污水可生化性的判断是污水处理工艺选择的前提。</w:t>
            </w:r>
          </w:p>
          <w:p>
            <w:pPr>
              <w:numPr>
                <w:ilvl w:val="0"/>
                <w:numId w:val="4"/>
              </w:numPr>
              <w:adjustRightInd w:val="0"/>
              <w:snapToGrid w:val="0"/>
              <w:spacing w:line="480" w:lineRule="exact"/>
              <w:ind w:left="480" w:leftChars="160" w:firstLine="0" w:firstLineChars="0"/>
              <w:rPr>
                <w:rFonts w:hint="eastAsia" w:cs="宋体"/>
                <w:color w:val="auto"/>
                <w:sz w:val="24"/>
                <w:szCs w:val="24"/>
              </w:rPr>
            </w:pPr>
            <w:r>
              <w:rPr>
                <w:rFonts w:hint="eastAsia" w:cs="宋体"/>
                <w:color w:val="auto"/>
                <w:sz w:val="24"/>
                <w:szCs w:val="24"/>
              </w:rPr>
              <w:t xml:space="preserve">BOD5/CODCr比值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BOD5 和 CODCr 是污水生物处理过程中常用的两个水质指</w:t>
            </w:r>
            <w:r>
              <w:rPr>
                <w:rFonts w:hint="eastAsia" w:cs="宋体"/>
                <w:color w:val="auto"/>
                <w:sz w:val="24"/>
                <w:szCs w:val="24"/>
                <w:lang w:eastAsia="zh-CN"/>
              </w:rPr>
              <w:t>，</w:t>
            </w:r>
            <w:r>
              <w:rPr>
                <w:rFonts w:hint="eastAsia" w:cs="宋体"/>
                <w:color w:val="auto"/>
                <w:sz w:val="24"/>
                <w:szCs w:val="24"/>
              </w:rPr>
              <w:t>采用BOD5/COD 比值评价污水的可生化性是广泛采用的一种最为简易的传统方法。一般情况下，BOD5/COD 值越大，说明污水可生物处理性越好。目前国内外多按照 下表中所列的数据来评价污水的可生物降解性能</w:t>
            </w:r>
          </w:p>
          <w:p>
            <w:pPr>
              <w:spacing w:line="460" w:lineRule="exact"/>
              <w:ind w:firstLine="482" w:firstLineChars="200"/>
              <w:jc w:val="center"/>
              <w:rPr>
                <w:rFonts w:hint="default"/>
                <w:b/>
                <w:bCs/>
                <w:color w:val="auto"/>
                <w:sz w:val="24"/>
                <w:szCs w:val="24"/>
                <w:highlight w:val="none"/>
                <w:lang w:val="en-US" w:eastAsia="zh-CN"/>
              </w:rPr>
            </w:pPr>
            <w:r>
              <w:rPr>
                <w:rFonts w:hint="eastAsia"/>
                <w:b/>
                <w:bCs/>
                <w:color w:val="auto"/>
                <w:sz w:val="24"/>
                <w:szCs w:val="24"/>
                <w:highlight w:val="none"/>
                <w:lang w:val="en-US" w:eastAsia="zh-CN"/>
              </w:rPr>
              <w:t>表 可生化性判断表</w:t>
            </w:r>
          </w:p>
          <w:tbl>
            <w:tblPr>
              <w:tblStyle w:val="29"/>
              <w:tblW w:w="8457" w:type="dxa"/>
              <w:tblInd w:w="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485"/>
              <w:gridCol w:w="2025"/>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75" w:type="dxa"/>
                  <w:tcBorders>
                    <w:top w:val="single" w:color="auto" w:sz="8" w:space="0"/>
                    <w:left w:val="single" w:color="auto" w:sz="12"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BOD5/COD</w:t>
                  </w:r>
                </w:p>
              </w:tc>
              <w:tc>
                <w:tcPr>
                  <w:tcW w:w="148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＞0.45</w:t>
                  </w:r>
                </w:p>
              </w:tc>
              <w:tc>
                <w:tcPr>
                  <w:tcW w:w="2025"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0.3～0.45</w:t>
                  </w:r>
                </w:p>
              </w:tc>
              <w:tc>
                <w:tcPr>
                  <w:tcW w:w="183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color w:val="auto"/>
                      <w:spacing w:val="-20"/>
                      <w:sz w:val="21"/>
                      <w:szCs w:val="21"/>
                      <w:highlight w:val="none"/>
                      <w:u w:val="none"/>
                    </w:rPr>
                  </w:pPr>
                  <w:r>
                    <w:rPr>
                      <w:rFonts w:hint="eastAsia"/>
                      <w:color w:val="auto"/>
                      <w:spacing w:val="-20"/>
                      <w:sz w:val="21"/>
                      <w:szCs w:val="21"/>
                      <w:highlight w:val="none"/>
                      <w:u w:val="none"/>
                    </w:rPr>
                    <w:t>0.3～0.25</w:t>
                  </w:r>
                </w:p>
              </w:tc>
              <w:tc>
                <w:tcPr>
                  <w:tcW w:w="184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color w:val="auto"/>
                      <w:sz w:val="21"/>
                      <w:szCs w:val="21"/>
                      <w:highlight w:val="none"/>
                      <w:u w:val="none"/>
                    </w:rPr>
                  </w:pPr>
                  <w:r>
                    <w:rPr>
                      <w:rFonts w:hint="eastAsia"/>
                      <w:color w:val="auto"/>
                      <w:sz w:val="21"/>
                      <w:szCs w:val="21"/>
                      <w:highlight w:val="none"/>
                      <w:u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27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可生化性</w:t>
                  </w:r>
                </w:p>
              </w:tc>
              <w:tc>
                <w:tcPr>
                  <w:tcW w:w="148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olor w:val="auto"/>
                      <w:sz w:val="21"/>
                      <w:szCs w:val="21"/>
                      <w:highlight w:val="none"/>
                      <w:u w:val="none"/>
                      <w:lang w:val="en-US" w:eastAsia="zh-CN"/>
                    </w:rPr>
                  </w:pPr>
                  <w:r>
                    <w:rPr>
                      <w:rFonts w:hint="eastAsia"/>
                      <w:color w:val="auto"/>
                      <w:sz w:val="21"/>
                      <w:szCs w:val="21"/>
                      <w:highlight w:val="none"/>
                      <w:u w:val="none"/>
                      <w:lang w:val="en-US" w:eastAsia="zh-CN"/>
                    </w:rPr>
                    <w:t>好</w:t>
                  </w:r>
                </w:p>
              </w:tc>
              <w:tc>
                <w:tcPr>
                  <w:tcW w:w="2025"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s="宋体"/>
                      <w:color w:val="auto"/>
                      <w:sz w:val="21"/>
                      <w:szCs w:val="21"/>
                      <w:highlight w:val="none"/>
                      <w:u w:val="none"/>
                      <w:lang w:val="en-US" w:eastAsia="zh-CN"/>
                    </w:rPr>
                  </w:pPr>
                  <w:r>
                    <w:rPr>
                      <w:rFonts w:hint="eastAsia" w:cs="宋体"/>
                      <w:color w:val="auto"/>
                      <w:sz w:val="21"/>
                      <w:szCs w:val="21"/>
                      <w:highlight w:val="none"/>
                      <w:u w:val="none"/>
                      <w:lang w:val="en-US" w:eastAsia="zh-CN"/>
                    </w:rPr>
                    <w:t>较好</w:t>
                  </w:r>
                </w:p>
              </w:tc>
              <w:tc>
                <w:tcPr>
                  <w:tcW w:w="1830"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topLinePunct w:val="0"/>
                    <w:bidi w:val="0"/>
                    <w:snapToGrid/>
                    <w:spacing w:line="280" w:lineRule="atLeast"/>
                    <w:jc w:val="center"/>
                    <w:rPr>
                      <w:rFonts w:hint="eastAsia" w:eastAsia="宋体" w:cs="宋体"/>
                      <w:color w:val="auto"/>
                      <w:spacing w:val="-12"/>
                      <w:sz w:val="21"/>
                      <w:szCs w:val="21"/>
                      <w:highlight w:val="none"/>
                      <w:u w:val="none"/>
                      <w:lang w:val="en-US" w:eastAsia="zh-CN"/>
                    </w:rPr>
                  </w:pPr>
                  <w:r>
                    <w:rPr>
                      <w:rFonts w:hint="eastAsia" w:cs="宋体"/>
                      <w:color w:val="auto"/>
                      <w:spacing w:val="-12"/>
                      <w:sz w:val="21"/>
                      <w:szCs w:val="21"/>
                      <w:highlight w:val="none"/>
                      <w:u w:val="none"/>
                      <w:lang w:val="en-US" w:eastAsia="zh-CN"/>
                    </w:rPr>
                    <w:t>较难</w:t>
                  </w:r>
                </w:p>
              </w:tc>
              <w:tc>
                <w:tcPr>
                  <w:tcW w:w="1842"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topLinePunct w:val="0"/>
                    <w:bidi w:val="0"/>
                    <w:snapToGrid/>
                    <w:spacing w:line="280" w:lineRule="atLeast"/>
                    <w:jc w:val="center"/>
                    <w:rPr>
                      <w:rFonts w:hint="default" w:eastAsia="宋体"/>
                      <w:color w:val="auto"/>
                      <w:sz w:val="21"/>
                      <w:szCs w:val="21"/>
                      <w:highlight w:val="none"/>
                      <w:u w:val="none"/>
                      <w:lang w:val="en-US" w:eastAsia="zh-CN"/>
                    </w:rPr>
                  </w:pPr>
                  <w:r>
                    <w:rPr>
                      <w:rFonts w:hint="eastAsia"/>
                      <w:color w:val="auto"/>
                      <w:sz w:val="21"/>
                      <w:szCs w:val="21"/>
                      <w:highlight w:val="none"/>
                      <w:u w:val="none"/>
                      <w:lang w:val="en-US" w:eastAsia="zh-CN"/>
                    </w:rPr>
                    <w:t>不宜生化</w:t>
                  </w:r>
                </w:p>
              </w:tc>
            </w:tr>
          </w:tbl>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本工程污水处理厂设计进水水质 COD=220mg/L，BOD5=125mg/L，污水中 BOD5/COD=0.57，从污水可生化性考虑，水质属于生物降解性能好的范畴。</w:t>
            </w:r>
          </w:p>
          <w:p>
            <w:pPr>
              <w:numPr>
                <w:ilvl w:val="0"/>
                <w:numId w:val="4"/>
              </w:numPr>
              <w:adjustRightInd w:val="0"/>
              <w:snapToGrid w:val="0"/>
              <w:spacing w:line="480" w:lineRule="exact"/>
              <w:ind w:left="480" w:leftChars="160" w:firstLine="0" w:firstLineChars="0"/>
              <w:rPr>
                <w:rFonts w:hint="eastAsia" w:cs="宋体"/>
                <w:color w:val="auto"/>
                <w:sz w:val="24"/>
                <w:szCs w:val="24"/>
              </w:rPr>
            </w:pPr>
            <w:r>
              <w:rPr>
                <w:rFonts w:hint="eastAsia" w:cs="宋体"/>
                <w:color w:val="auto"/>
                <w:sz w:val="24"/>
                <w:szCs w:val="24"/>
              </w:rPr>
              <w:t xml:space="preserve">碳氮比(BOD5/ TN)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C/N 比值是判别能否有效脱氮的重要指标。从理论上讲，C/N≥2.86 就能进行 脱氮，但一般认为 C／N≥3.0 才能进行有效脱氮。 碳氮比是鉴别能否采用生物除磷脱氮工艺的主要指标。反硝化过程必须在碳 源足够的条件下才能够彻底地完成。本工程 TN 为 40mg/l，BOD5/TN=3.13≥3.0， 可以满足脱氮的要求。</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4</w:t>
            </w:r>
            <w:r>
              <w:rPr>
                <w:rFonts w:hint="eastAsia" w:cs="宋体"/>
                <w:color w:val="auto"/>
                <w:sz w:val="24"/>
                <w:szCs w:val="24"/>
                <w:lang w:eastAsia="zh-CN"/>
              </w:rPr>
              <w:t>）</w:t>
            </w:r>
            <w:r>
              <w:rPr>
                <w:rFonts w:hint="eastAsia" w:cs="宋体"/>
                <w:color w:val="auto"/>
                <w:sz w:val="24"/>
                <w:szCs w:val="24"/>
              </w:rPr>
              <w:t xml:space="preserve">碳磷比(BOD5/ TP)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该指标是鉴别能否生物除磷的主要指标。生物除磷是活性污泥中除磷菌在厌 氧条件下分解细胞内的聚磷酸盐同时产生 ATP，并利用 ATP 将废水中的脂肪酸等有机物摄入细胞，以PHB（聚-β-羟基丁酸）及糖原等有机颗粒的形式贮存于细胞内，同时随着聚磷酸盐的分解，释放磷；一旦进入好氧环境，除磷菌又可利用聚-β-羟基丁酸氧化分解所释放的能量来超量摄取废水中的磷，并把所摄取的磷合成聚磷酸盐而贮存于细胞内，经沉淀分离，把富含磷的剩余污泥排出系统，达到生物除磷的目的。进水中的 BOD5 是作为营养物供除磷菌活动的基质，故 BOD5／TP 是衡量能否达到除磷的重要指标，一般认为该值要大于 20，比值越大，生物除磷效果越明显。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本工程进水水质中 BOD5/TP=41.67&gt;20，生物除磷方法可得到较为满意的除磷效果。</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（2）污水处理工艺</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活性污泥法是使用时间最长的污水处理工艺，其技术发展很快，类型较多。 常规的活性污泥法工艺对去除氨氮和磷的功能较差。根据上述进出水水质分析，污水处理工艺应选择具有生物除磷和硝化及部分反硝化功能的活性污泥法，在技 术上较为合理。从国内外污水处理技术的发展来看，A2/O 工艺、改良型氧化沟 工艺、CASS 工艺等诸多工艺不仅具有去除有机污染物的功能，而且还具有不同 程度的脱氮除磷效果，此外针对于乡镇污水处理厂规模小的特点，在传统曝气生 物处理工艺的基础上结合生物膜处理方法，发展出生物接触氧化等工艺。</w:t>
            </w:r>
          </w:p>
          <w:p>
            <w:pPr>
              <w:numPr>
                <w:ilvl w:val="0"/>
                <w:numId w:val="9"/>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改良型 A2/O 法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A2/O 法工艺是一种典型的脱氮除磷工艺，其生物反应池由厌氧、缺氧、好 氧三段组成，其典型工艺流程详图 6.1，这是一种推流式的前置反硝化型 BNR 工 艺，其特点是厌氧、缺氧、好氧三段功能明确，界线分明，可以根据进水条件和 出水要求，人为的创造和控制三段的时空比例和运转条件。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常规生物脱氮除磷工艺呈厌氧、缺氧、好氧的布置形式。该布置在理论上基 于这样一种人事，即：聚磷微生物有效释磷水平的充分与否，对于提高系统的除 磷能力具有极端重要的意义，厌氧区在前可以使聚磷微生物优先获得碳源并得以 充分释磷。废水进入曝气的好氧区，聚磷菌除了可吸收、利用废水中残留的可生 物降解有机物外，主要分解体内贮存的 PHB，放出的能量可供本身生长繁殖， 此外还可主动吸收周围环境中的溶磷，并以磷酸盐的形式在体内贮存起来。排放 的剩余污泥中，由于含有大量能过量积贮磷酸盐的聚磷菌，污泥中磷含量高，因 此可较一般的好氧活性污泥系统大大提高了磷的去除效果。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A2/O 工艺在系统上是简单的同步除磷脱氮工艺，总停留时间小于其他同类 工艺，在厌氧（缺氧）、好氧交替运行的条件下可抑制丝状菌繁殖，克服污泥膨 胀，SVI 值一般小于 100，有利于处理污水与污泥的分离，运行中在厌氧与缺氧 段内只需要轻缓搅拌，运行费用低，由于厌氧、缺氧和好氧三个区严格分隔，有 利于不同微生物菌群的繁殖生长，因此脱氮除磷效果非常好。同时，该工艺采用 底部曝气方式能提高曝气效率，降低能耗。目前该工艺在国内外使用较为广泛。 传统 A2/O 法污水在流经三个不同功能分区的过程中，在不同微生物菌群作 用下，使污水中的有机物、氮和磷得到去除。其流程简图见图 6.1。</w:t>
            </w:r>
          </w:p>
          <w:p>
            <w:pPr>
              <w:pStyle w:val="6"/>
            </w:pPr>
            <w:r>
              <w:drawing>
                <wp:inline distT="0" distB="0" distL="114300" distR="114300">
                  <wp:extent cx="5095875" cy="12763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095875" cy="1276350"/>
                          </a:xfrm>
                          <a:prstGeom prst="rect">
                            <a:avLst/>
                          </a:prstGeom>
                          <a:noFill/>
                          <a:ln>
                            <a:noFill/>
                          </a:ln>
                        </pic:spPr>
                      </pic:pic>
                    </a:graphicData>
                  </a:graphic>
                </wp:inline>
              </w:drawing>
            </w:r>
          </w:p>
          <w:p>
            <w:pPr>
              <w:numPr>
                <w:ilvl w:val="0"/>
                <w:numId w:val="0"/>
              </w:numPr>
              <w:adjustRightInd w:val="0"/>
              <w:snapToGrid w:val="0"/>
              <w:spacing w:line="480" w:lineRule="exact"/>
              <w:ind w:firstLine="482" w:firstLineChars="200"/>
              <w:jc w:val="center"/>
              <w:rPr>
                <w:rFonts w:hint="eastAsia" w:cs="宋体"/>
                <w:color w:val="auto"/>
                <w:sz w:val="24"/>
                <w:szCs w:val="24"/>
              </w:rPr>
            </w:pPr>
            <w:r>
              <w:rPr>
                <w:rFonts w:hint="eastAsia" w:cs="宋体"/>
                <w:b/>
                <w:bCs/>
                <w:color w:val="auto"/>
                <w:sz w:val="24"/>
                <w:szCs w:val="24"/>
                <w:lang w:val="en-US" w:eastAsia="zh-CN"/>
              </w:rPr>
              <w:t>图4 工艺</w:t>
            </w:r>
            <w:r>
              <w:rPr>
                <w:rFonts w:hint="eastAsia" w:cs="宋体"/>
                <w:b/>
                <w:bCs/>
                <w:color w:val="auto"/>
                <w:sz w:val="24"/>
                <w:szCs w:val="24"/>
              </w:rPr>
              <w:t>流程简图</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本工艺在系统上是最简单地同步除磷脱氮工艺，总水力停留时间小于其它同 类工艺，由于厌氧、缺氧和好氧三个区严格分开，有利于不同微生物菌群的繁殖 生长，因此脱氮除磷效果较好。同时厌氧、缺氧和好氧交替运行可抑制丝状菌繁 殖，克服污泥膨胀，有利于污水与污泥的分离。而且运行中厌氧和缺氧段内只需 轻缓搅拌，运行费用低。目前，该法在国内外使用较为广泛。 </w:t>
            </w:r>
          </w:p>
          <w:p>
            <w:pPr>
              <w:numPr>
                <w:ilvl w:val="0"/>
                <w:numId w:val="0"/>
              </w:num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由于乡镇污水处理设施一般而言规模很小，相比于规模较大的城市污水处理 厂运用的 AAO 生化处理工艺，小规模的乡镇污水处理设施采用 AAO 工艺需要 更多的考虑污水量小且变化系数大、水质波动大的特点，因此衍生了诸多的改良 工艺，例如在生化池内挂弹性填料、悬浮填料或投加复合粉末载体，以提高混合 液污泥浓度，在同一生化处理段构建悬浮生长和固定附载生长微生物“双泥”共生 的流化床系统；并在后端增加浓缩分离单元、复合粉末载体回收单元，通过载体 回收，在“双泥法”的基础上实现“双泥龄”，系统污泥浓度高、耐冲击负荷能力更 强，水力停留时间短，并且能够同步提高脱氮除磷效果，形成更适合乡镇污水处 理的 A2/O 集成化改良工艺</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cs="宋体"/>
                <w:color w:val="auto"/>
                <w:sz w:val="24"/>
                <w:szCs w:val="24"/>
              </w:rPr>
              <w:t>氧化沟工艺一般占地面积较大，容易造成流速不均及污泥沉积问题，不适用 于乡镇级别的小型污水处理厂；CASS 工艺自控要求高，管理难度大，且水头损失较大。</w:t>
            </w:r>
            <w:r>
              <w:rPr>
                <w:rFonts w:hint="eastAsia" w:ascii="Times New Roman" w:hAnsi="Times New Roman" w:eastAsia="宋体" w:cs="宋体"/>
                <w:b w:val="0"/>
                <w:bCs w:val="0"/>
                <w:color w:val="auto"/>
                <w:kern w:val="2"/>
                <w:sz w:val="24"/>
                <w:szCs w:val="24"/>
                <w:lang w:val="en-US" w:eastAsia="zh-CN" w:bidi="ar-SA"/>
              </w:rPr>
              <w:t>A2O 工艺在占地、施工难度、工程投资、操作 维护管理以及抗污染物冲洗负荷能力等多方面都有优势。并且 A2O 工艺具有很多成熟运转经验与实例，</w:t>
            </w:r>
            <w:r>
              <w:rPr>
                <w:rFonts w:hint="eastAsia" w:cs="宋体"/>
                <w:b w:val="0"/>
                <w:bCs w:val="0"/>
                <w:color w:val="auto"/>
                <w:kern w:val="2"/>
                <w:sz w:val="24"/>
                <w:szCs w:val="24"/>
                <w:lang w:val="en-US" w:eastAsia="zh-CN" w:bidi="ar-SA"/>
              </w:rPr>
              <w:t>因此本工程更适用</w:t>
            </w:r>
            <w:r>
              <w:rPr>
                <w:rFonts w:hint="eastAsia" w:ascii="Times New Roman" w:hAnsi="Times New Roman" w:eastAsia="宋体" w:cs="宋体"/>
                <w:b w:val="0"/>
                <w:bCs w:val="0"/>
                <w:color w:val="auto"/>
                <w:kern w:val="2"/>
                <w:sz w:val="24"/>
                <w:szCs w:val="24"/>
                <w:lang w:val="en-US" w:eastAsia="zh-CN" w:bidi="ar-SA"/>
              </w:rPr>
              <w:t xml:space="preserve"> A2O 污水处理工艺。</w:t>
            </w:r>
          </w:p>
          <w:p>
            <w:pPr>
              <w:adjustRightInd w:val="0"/>
              <w:snapToGrid w:val="0"/>
              <w:spacing w:line="480" w:lineRule="exact"/>
              <w:ind w:firstLine="482" w:firstLineChars="200"/>
              <w:rPr>
                <w:rFonts w:hint="default" w:cs="宋体"/>
                <w:b/>
                <w:bCs/>
                <w:color w:val="auto"/>
                <w:sz w:val="24"/>
                <w:szCs w:val="24"/>
                <w:lang w:val="en-US" w:eastAsia="zh-CN"/>
              </w:rPr>
            </w:pPr>
            <w:r>
              <w:rPr>
                <w:rFonts w:hint="eastAsia" w:cs="宋体"/>
                <w:b/>
                <w:bCs/>
                <w:color w:val="auto"/>
                <w:sz w:val="24"/>
                <w:szCs w:val="24"/>
                <w:lang w:val="en-US" w:eastAsia="zh-CN"/>
              </w:rPr>
              <w:t>6.2.5 深度处理工艺方案</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流程说明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软性固定填料过滤模块主要流程：过滤+反冲洗</w:t>
            </w:r>
          </w:p>
          <w:p>
            <w:pPr>
              <w:jc w:val="center"/>
            </w:pPr>
            <w:r>
              <w:drawing>
                <wp:inline distT="0" distB="0" distL="114300" distR="114300">
                  <wp:extent cx="5510530" cy="2494915"/>
                  <wp:effectExtent l="0" t="0" r="1397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rcRect l="3578" b="10907"/>
                          <a:stretch>
                            <a:fillRect/>
                          </a:stretch>
                        </pic:blipFill>
                        <pic:spPr>
                          <a:xfrm>
                            <a:off x="0" y="0"/>
                            <a:ext cx="5510530" cy="2494915"/>
                          </a:xfrm>
                          <a:prstGeom prst="rect">
                            <a:avLst/>
                          </a:prstGeom>
                          <a:noFill/>
                          <a:ln>
                            <a:noFill/>
                          </a:ln>
                        </pic:spPr>
                      </pic:pic>
                    </a:graphicData>
                  </a:graphic>
                </wp:inline>
              </w:drawing>
            </w:r>
          </w:p>
          <w:p>
            <w:pPr>
              <w:jc w:val="center"/>
              <w:rPr>
                <w:rFonts w:hint="eastAsia"/>
              </w:rPr>
            </w:pPr>
            <w:r>
              <w:rPr>
                <w:rFonts w:hint="eastAsia" w:cs="宋体"/>
                <w:b/>
                <w:bCs/>
                <w:color w:val="auto"/>
                <w:sz w:val="24"/>
                <w:szCs w:val="24"/>
                <w:lang w:val="en-US" w:eastAsia="zh-CN"/>
              </w:rPr>
              <w:t xml:space="preserve">图5 </w:t>
            </w:r>
            <w:r>
              <w:rPr>
                <w:rFonts w:hint="eastAsia" w:cs="宋体"/>
                <w:b/>
                <w:bCs/>
                <w:color w:val="auto"/>
                <w:sz w:val="24"/>
                <w:szCs w:val="24"/>
              </w:rPr>
              <w:t>软性固定填料过滤模块</w:t>
            </w:r>
          </w:p>
          <w:p>
            <w:pPr>
              <w:numPr>
                <w:ilvl w:val="0"/>
                <w:numId w:val="1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过滤：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软性固定填料固定在填料挡板层中，沉淀后的出水进入软性固定填料过滤模 块中，依靠重力自上而下穿过填料层，SS 被软性固定填料吸附截留下来，清水 则通过软性固定填料从下方流入清水池，从而实现过滤作用，清水池水经消毒后 达标排放。 </w:t>
            </w:r>
          </w:p>
          <w:p>
            <w:pPr>
              <w:numPr>
                <w:ilvl w:val="0"/>
                <w:numId w:val="10"/>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反冲洗：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通过控制气洗反冲洗和利用气提排放反洗水形成的清水池与软性固定填料 反应器的水位差实现气水双重反冲洗，软性填料通过气体的挤压，以及填料之间 的碰撞，使填料上附着物的剥离清洁程度达到最佳的效果，完成泥水混合物与填 料的分离（清洗），反冲洗水则通过气提回流至调节池。反冲洗时间根据具体项 目实际情况设定。</w:t>
            </w:r>
          </w:p>
          <w:p>
            <w:pPr>
              <w:numPr>
                <w:ilvl w:val="0"/>
                <w:numId w:val="9"/>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主要组成部分 </w:t>
            </w:r>
          </w:p>
          <w:p>
            <w:pPr>
              <w:numPr>
                <w:ilvl w:val="0"/>
                <w:numId w:val="11"/>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软性固定填料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采用日本进口的高效能软性固定填料,主要优势：亲水性好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APG 填料相比其它类的海绵体填料，经特殊的配比和成分改变，使得填料 比重接近于水的比重，且其亲水性较好；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比表面积大：相比于普通海绵的填料，除了肋条状结构，遇水后还会形成膜 状结构，其比表面积大(＞3000m</w:t>
            </w:r>
            <w:r>
              <w:rPr>
                <w:rFonts w:hint="eastAsia" w:cs="宋体"/>
                <w:color w:val="auto"/>
                <w:sz w:val="24"/>
                <w:szCs w:val="24"/>
                <w:lang w:val="en-US" w:eastAsia="zh-CN"/>
              </w:rPr>
              <w:t>2</w:t>
            </w:r>
            <w:r>
              <w:rPr>
                <w:rFonts w:hint="eastAsia" w:cs="宋体"/>
                <w:color w:val="auto"/>
                <w:sz w:val="24"/>
                <w:szCs w:val="24"/>
              </w:rPr>
              <w:t>/m</w:t>
            </w:r>
            <w:r>
              <w:rPr>
                <w:rFonts w:hint="eastAsia" w:cs="宋体"/>
                <w:color w:val="auto"/>
                <w:sz w:val="24"/>
                <w:szCs w:val="24"/>
                <w:lang w:val="en-US" w:eastAsia="zh-CN"/>
              </w:rPr>
              <w:t>3</w:t>
            </w:r>
            <w:r>
              <w:rPr>
                <w:rFonts w:hint="eastAsia" w:cs="宋体"/>
                <w:color w:val="auto"/>
                <w:sz w:val="24"/>
                <w:szCs w:val="24"/>
              </w:rPr>
              <w:t xml:space="preserve">)，附着的微生物种类多、浓度高，泥龄 并不受系统总的 HRT 的影响。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流动性好：APG 载体为柔软体，亲水性好。在曝气条件下，APG 悬浮载 体与活性污泥充分混合均匀，流动时的声音极轻。同时悬浮载体对气泡具有切割和阻挡作用，也可以大幅提高传氧效率； 产泥率低：填料内外的溶氧梯度营造的好氧-缺氧环境，环境的不同造成其 微生物的多样化程度，表面聚结着好氧微生物，填料内部聚集兼性厌氧菌及绝对 厌氧菌，载体内外部活性污泥为主体的细菌被楯纤虫、纤毛虫等原生动物捕食； 原生动物轮虫、颤蚯蚓等被后生动物捕食，形成了食物链关系。最大限度利用 APG 填料内外形成的细菌-原生动物-后生动物的食物链捕食作用达到污泥减量；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使用寿命长：生物量递增海绵体”悬浮填料 24 小时磨损试验后证实有着 极好的耐磨性，有着极长的使用寿命。与 PE 填料相比聚氨酯为轻质材料与池壁 接触噪声小，不损坏池壁；</w:t>
            </w:r>
          </w:p>
          <w:p>
            <w:pPr>
              <w:numPr>
                <w:ilvl w:val="0"/>
                <w:numId w:val="11"/>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气泵（与好氧区共用）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气泵采用日本富士净化气泵，主要材质：PP，与好氧区共用，主要用于曝气 反洗与气提反洗水。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气泵优势：</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 耐久性：内部上升温度控制在 30℃以内，减少温度所带来的零部件等的损 耗，增加产品使用年限。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耗能低：与回转式风机相比节能 38%；与同类产品相比，能耗低，一年可比 其它产家的气泵节省 30%的电费。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低噪音：气泵噪音 50dB 远低于回转式风机 75dB。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日本制造：从开发、设计、生产等都在日本本国进行。</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易于维护：所有消耗部件均可更换，成本较低</w:t>
            </w:r>
          </w:p>
          <w:p>
            <w:pPr>
              <w:numPr>
                <w:ilvl w:val="0"/>
                <w:numId w:val="11"/>
              </w:numPr>
              <w:adjustRightInd w:val="0"/>
              <w:snapToGrid w:val="0"/>
              <w:spacing w:line="480" w:lineRule="exact"/>
              <w:ind w:left="0" w:leftChars="0" w:firstLine="480" w:firstLineChars="200"/>
              <w:rPr>
                <w:rFonts w:hint="eastAsia" w:cs="宋体"/>
                <w:color w:val="auto"/>
                <w:sz w:val="24"/>
                <w:szCs w:val="24"/>
              </w:rPr>
            </w:pPr>
            <w:r>
              <w:rPr>
                <w:rFonts w:hint="eastAsia" w:cs="宋体"/>
                <w:color w:val="auto"/>
                <w:sz w:val="24"/>
                <w:szCs w:val="24"/>
              </w:rPr>
              <w:t xml:space="preserve">软性固定填料过滤优势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工艺流程简单易操作，无需过滤泵与反洗泵，与好氧区共用风机或气泵，靠 重力自流过滤，曝气反洗，反洗水通过气提排放，流程简单可靠，且水力停留时 间缩短,从工艺源头上实现节能； </w:t>
            </w:r>
          </w:p>
          <w:p>
            <w:pPr>
              <w:numPr>
                <w:ilvl w:val="0"/>
                <w:numId w:val="0"/>
              </w:num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软性固定填料过滤单元除可以保证出水 SS 稳定控制在 10mg/L 以下，还可 以使 COD、总氮、总磷分别下降 5.5mg/L、0.38mg/L、0.09mg/L。</w:t>
            </w:r>
          </w:p>
          <w:p>
            <w:pPr>
              <w:numPr>
                <w:ilvl w:val="0"/>
                <w:numId w:val="0"/>
              </w:num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本工程选择软性固定填料过滤模块过滤，可以和一体化设备组装在一起，占地面积小，运行维护简单</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（3）污泥处置</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污水处理过程会产生大量的剩余污泥，污泥中含有细菌.病原微生物.寄生虫 卵.重金属离子等有毒物质和氮.磷.钾等有用物质，需要及时处理和处置，以达到变害为利，综合利用和保护环境的目的。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室外排水设计规范》规定：城市污水处理厂污泥处置方法的选定，首先应考虑用作农田肥料。目前我国城市污水处理厂污泥的最终处置大都为经无害化处理后堆放或用于农田，国外许多国家对污泥处理采用较多的是焚烧.填埋.堆肥和投海等。</w:t>
            </w:r>
          </w:p>
          <w:p>
            <w:pPr>
              <w:spacing w:line="460" w:lineRule="exact"/>
              <w:ind w:firstLine="480" w:firstLineChars="200"/>
              <w:rPr>
                <w:rFonts w:hint="default" w:eastAsia="宋体" w:cs="宋体"/>
                <w:color w:val="auto"/>
                <w:sz w:val="24"/>
                <w:szCs w:val="24"/>
                <w:u w:val="single"/>
                <w:lang w:val="en-US" w:eastAsia="zh-CN"/>
              </w:rPr>
            </w:pPr>
            <w:r>
              <w:rPr>
                <w:rFonts w:hint="eastAsia" w:cs="宋体"/>
                <w:color w:val="auto"/>
                <w:sz w:val="24"/>
                <w:szCs w:val="24"/>
                <w:u w:val="single"/>
                <w:lang w:val="en-US" w:eastAsia="zh-CN"/>
              </w:rPr>
              <w:t>本项目规模较小，产生的污泥量少，因此本项目设置两台污泥车，分别为东区一台，西区一台，污泥车容量约5m</w:t>
            </w:r>
            <w:r>
              <w:rPr>
                <w:rFonts w:hint="eastAsia" w:cs="宋体"/>
                <w:color w:val="auto"/>
                <w:sz w:val="24"/>
                <w:szCs w:val="24"/>
                <w:u w:val="single"/>
                <w:vertAlign w:val="superscript"/>
                <w:lang w:val="en-US" w:eastAsia="zh-CN"/>
              </w:rPr>
              <w:t>3</w:t>
            </w:r>
            <w:r>
              <w:rPr>
                <w:rFonts w:hint="eastAsia" w:cs="宋体"/>
                <w:color w:val="auto"/>
                <w:sz w:val="24"/>
                <w:szCs w:val="24"/>
                <w:u w:val="single"/>
                <w:lang w:val="en-US" w:eastAsia="zh-CN"/>
              </w:rPr>
              <w:t>,污泥暂时存放在污泥池，</w:t>
            </w:r>
            <w:r>
              <w:rPr>
                <w:rFonts w:hint="eastAsia" w:ascii="Times New Roman" w:hAnsi="Times New Roman" w:cs="Times New Roman"/>
                <w:color w:val="auto"/>
                <w:sz w:val="24"/>
                <w:szCs w:val="24"/>
                <w:u w:val="single"/>
                <w:lang w:eastAsia="zh-CN"/>
              </w:rPr>
              <w:t>定期输送至南湖洲镇污水处理厂进行脱水，然后运至砖厂制砖。</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（4）出水消毒</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 xml:space="preserve">根据《城镇污水处理厂污染物排放标准》（GB18918-2002）一级 A 标准的 规定，污水处理厂出水粪大肠菌群数不得超过 1000 个/L，为了有效地防止水媒 性传染病对人们的危害，降低水源的总大肠菌群数，对污水处理厂出水进行消毒 是十分必要的。 </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1、消毒方法概述</w:t>
            </w:r>
          </w:p>
          <w:p>
            <w:pPr>
              <w:adjustRightInd w:val="0"/>
              <w:snapToGrid w:val="0"/>
              <w:spacing w:line="480" w:lineRule="exact"/>
              <w:ind w:firstLine="480" w:firstLineChars="200"/>
              <w:rPr>
                <w:rFonts w:hint="eastAsia" w:cs="宋体"/>
                <w:color w:val="auto"/>
                <w:sz w:val="24"/>
                <w:szCs w:val="24"/>
              </w:rPr>
            </w:pPr>
            <w:r>
              <w:rPr>
                <w:rFonts w:hint="eastAsia" w:cs="宋体"/>
                <w:color w:val="auto"/>
                <w:sz w:val="24"/>
                <w:szCs w:val="24"/>
              </w:rPr>
              <w:t>常用的消毒方法有加氯法、氧化法和紫外线消毒法等。</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①液氯</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加氯法主要是投加液氯或氯化合物。投加液氯是迄今为止最常用的方法，其 特点是成本低、工艺成熟、效果稳定可靠。由于加氯法一般要求不少于 30min 的接触时间，接触池容积较大；氯气是剧毒危险品，存储氯气的钢瓶属高压容器， 有潜在威胁，需要按安全规定兴建氯库和加氯间；液氯消毒将生成有害的有机氯 化物，以往污水液氯消毒往往是应急措施，只是季节性或疫病流行时使用。 含氯化合物包括次氯酸钠、漂白粉和二氧化氯等。其特点与液氯相似，但危 险性小，对环境影响较小，但使用不便，运行成本较高。</w:t>
            </w:r>
          </w:p>
          <w:p>
            <w:pPr>
              <w:adjustRightInd w:val="0"/>
              <w:snapToGrid w:val="0"/>
              <w:spacing w:line="480" w:lineRule="exact"/>
              <w:ind w:firstLine="480" w:firstLineChars="200"/>
              <w:rPr>
                <w:rFonts w:hint="eastAsia" w:eastAsia="宋体" w:cs="宋体"/>
                <w:color w:val="auto"/>
                <w:sz w:val="24"/>
                <w:szCs w:val="24"/>
                <w:lang w:eastAsia="zh-CN"/>
              </w:rPr>
            </w:pPr>
            <w:r>
              <w:rPr>
                <w:rFonts w:hint="eastAsia" w:cs="宋体"/>
                <w:color w:val="auto"/>
                <w:sz w:val="24"/>
                <w:szCs w:val="24"/>
              </w:rPr>
              <w:t>②</w:t>
            </w:r>
            <w:r>
              <w:rPr>
                <w:rFonts w:hint="eastAsia" w:cs="宋体"/>
                <w:color w:val="auto"/>
                <w:sz w:val="24"/>
                <w:szCs w:val="24"/>
                <w:lang w:val="en-US" w:eastAsia="zh-CN"/>
              </w:rPr>
              <w:t>氧化法</w:t>
            </w:r>
          </w:p>
          <w:p>
            <w:pPr>
              <w:adjustRightInd w:val="0"/>
              <w:snapToGrid w:val="0"/>
              <w:spacing w:line="480" w:lineRule="exact"/>
              <w:ind w:firstLine="480" w:firstLineChars="200"/>
              <w:rPr>
                <w:rFonts w:hint="eastAsia" w:eastAsia="宋体" w:cs="宋体"/>
                <w:color w:val="auto"/>
                <w:sz w:val="24"/>
                <w:szCs w:val="24"/>
                <w:lang w:val="en-US" w:eastAsia="zh-CN"/>
              </w:rPr>
            </w:pPr>
            <w:r>
              <w:rPr>
                <w:rFonts w:hint="eastAsia" w:cs="宋体"/>
                <w:color w:val="auto"/>
                <w:sz w:val="24"/>
                <w:szCs w:val="24"/>
              </w:rPr>
              <w:t>氧化剂可以作为二级处理出水的消毒剂，最常用的是臭氧。臭氧消毒杀菌彻 底可靠，危险性较小，对环境基本上无副作用，接触时间比加氯法小。缺点是基 建投资大，运行成本高</w:t>
            </w:r>
            <w:r>
              <w:rPr>
                <w:rFonts w:hint="eastAsia" w:cs="宋体"/>
                <w:color w:val="auto"/>
                <w:sz w:val="24"/>
                <w:szCs w:val="24"/>
                <w:lang w:eastAsia="zh-CN"/>
              </w:rPr>
              <w:t>。</w:t>
            </w:r>
          </w:p>
          <w:p>
            <w:pPr>
              <w:adjustRightInd w:val="0"/>
              <w:snapToGrid w:val="0"/>
              <w:spacing w:line="480" w:lineRule="exact"/>
              <w:ind w:firstLine="480" w:firstLineChars="200"/>
              <w:rPr>
                <w:rFonts w:cs="宋体"/>
                <w:color w:val="auto"/>
                <w:sz w:val="24"/>
                <w:szCs w:val="24"/>
              </w:rPr>
            </w:pPr>
            <w:r>
              <w:rPr>
                <w:rFonts w:hint="eastAsia" w:cs="宋体"/>
                <w:color w:val="auto"/>
                <w:sz w:val="24"/>
                <w:szCs w:val="24"/>
              </w:rPr>
              <w:t>③紫外线</w:t>
            </w:r>
          </w:p>
          <w:p>
            <w:pPr>
              <w:adjustRightInd w:val="0"/>
              <w:snapToGrid w:val="0"/>
              <w:spacing w:line="480" w:lineRule="exact"/>
              <w:ind w:firstLine="480" w:firstLineChars="200"/>
              <w:rPr>
                <w:rFonts w:hint="eastAsia" w:cs="宋体"/>
                <w:color w:val="auto"/>
                <w:sz w:val="24"/>
                <w:szCs w:val="24"/>
                <w:lang w:eastAsia="zh-CN"/>
              </w:rPr>
            </w:pPr>
            <w:r>
              <w:rPr>
                <w:rFonts w:hint="eastAsia" w:cs="宋体"/>
                <w:color w:val="auto"/>
                <w:sz w:val="24"/>
                <w:szCs w:val="24"/>
              </w:rPr>
              <w:t>紫外线是近十多年来发展得最快的一种方法。紫外线消毒的主要优点是灭菌 效率高，作用时间短，危险性小，无二次污染等。因其消毒时间短，不需建造较 大的接触池，建消毒渠即可，运行费用较低，管理维修简单（自动清洗）。缺点 是一次设备投资较高，灯管寿命较短，一般小于 10000 小时，抗悬浮固体干扰的 能力差，对水中 SS 浓度有严格要求</w:t>
            </w:r>
            <w:r>
              <w:rPr>
                <w:rFonts w:hint="eastAsia" w:cs="宋体"/>
                <w:color w:val="auto"/>
                <w:sz w:val="24"/>
                <w:szCs w:val="24"/>
                <w:lang w:eastAsia="zh-CN"/>
              </w:rPr>
              <w:t>。</w:t>
            </w:r>
          </w:p>
          <w:p>
            <w:pPr>
              <w:adjustRightInd w:val="0"/>
              <w:snapToGrid w:val="0"/>
              <w:spacing w:line="480" w:lineRule="exact"/>
              <w:ind w:firstLine="480" w:firstLineChars="200"/>
              <w:rPr>
                <w:rFonts w:hint="eastAsia" w:ascii="Times New Roman" w:hAnsi="Times New Roman" w:eastAsia="宋体" w:cs="宋体"/>
                <w:b w:val="0"/>
                <w:bCs w:val="0"/>
                <w:color w:val="auto"/>
                <w:kern w:val="2"/>
                <w:sz w:val="24"/>
                <w:szCs w:val="24"/>
                <w:lang w:val="en-US" w:eastAsia="zh-CN" w:bidi="ar-SA"/>
              </w:rPr>
            </w:pPr>
            <w:r>
              <w:rPr>
                <w:rFonts w:hint="eastAsia" w:ascii="Times New Roman" w:hAnsi="Times New Roman" w:eastAsia="宋体" w:cs="宋体"/>
                <w:b w:val="0"/>
                <w:bCs w:val="0"/>
                <w:color w:val="auto"/>
                <w:kern w:val="2"/>
                <w:sz w:val="24"/>
                <w:szCs w:val="24"/>
                <w:lang w:val="en-US" w:eastAsia="zh-CN" w:bidi="ar-SA"/>
              </w:rPr>
              <w:t>综合考虑用于污水消毒的适用性、工程应用的成熟性、安全性、可靠性，操作运转的简单易行以及处理费用的经济性等因素，本工程尾水</w:t>
            </w:r>
            <w:r>
              <w:rPr>
                <w:rFonts w:hint="eastAsia" w:cs="宋体"/>
                <w:b w:val="0"/>
                <w:bCs w:val="0"/>
                <w:color w:val="auto"/>
                <w:kern w:val="2"/>
                <w:sz w:val="24"/>
                <w:szCs w:val="24"/>
                <w:lang w:val="en-US" w:eastAsia="zh-CN" w:bidi="ar-SA"/>
              </w:rPr>
              <w:t>采用紫外线消毒。</w:t>
            </w:r>
          </w:p>
          <w:p>
            <w:pPr>
              <w:adjustRightInd w:val="0"/>
              <w:snapToGrid w:val="0"/>
              <w:spacing w:line="48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（5）恶臭处理方案</w:t>
            </w:r>
          </w:p>
          <w:p>
            <w:pPr>
              <w:adjustRightInd w:val="0"/>
              <w:snapToGrid w:val="0"/>
              <w:spacing w:line="460" w:lineRule="exact"/>
              <w:ind w:firstLine="480" w:firstLineChars="200"/>
              <w:rPr>
                <w:b/>
                <w:bCs/>
                <w:color w:val="auto"/>
                <w:sz w:val="24"/>
                <w:szCs w:val="24"/>
              </w:rPr>
            </w:pPr>
            <w:r>
              <w:rPr>
                <w:rFonts w:hint="eastAsia" w:cs="宋体"/>
                <w:color w:val="auto"/>
                <w:sz w:val="24"/>
                <w:szCs w:val="24"/>
                <w:u w:val="single"/>
                <w:shd w:val="clear" w:color="auto" w:fill="auto"/>
              </w:rPr>
              <w:t>污水处理厂在运行过程中污水处理系统和污泥处理系统都会产生臭气。项目恶臭污染物主要产生于格栅、调节池、生物池、污泥池等。目前，污水处理厂除臭方法主要有</w:t>
            </w:r>
            <w:r>
              <w:rPr>
                <w:rFonts w:hint="eastAsia" w:cs="宋体"/>
                <w:color w:val="auto"/>
                <w:sz w:val="24"/>
                <w:szCs w:val="24"/>
                <w:u w:val="single"/>
                <w:shd w:val="clear" w:color="auto" w:fill="auto"/>
                <w:lang w:val="en-US" w:eastAsia="zh-CN"/>
              </w:rPr>
              <w:t>对一体化设备加盖，</w:t>
            </w:r>
            <w:r>
              <w:rPr>
                <w:rFonts w:hint="eastAsia" w:cs="宋体"/>
                <w:color w:val="auto"/>
                <w:sz w:val="24"/>
                <w:szCs w:val="24"/>
                <w:u w:val="single"/>
                <w:shd w:val="clear" w:color="auto" w:fill="auto"/>
              </w:rPr>
              <w:t>生物滤池、</w:t>
            </w:r>
            <w:r>
              <w:rPr>
                <w:rFonts w:hint="eastAsia" w:cs="宋体"/>
                <w:color w:val="auto"/>
                <w:sz w:val="24"/>
                <w:szCs w:val="24"/>
                <w:u w:val="single"/>
                <w:shd w:val="clear" w:color="auto" w:fill="auto"/>
                <w:lang w:val="en-US" w:eastAsia="zh-CN"/>
              </w:rPr>
              <w:t>绿化</w:t>
            </w:r>
            <w:r>
              <w:rPr>
                <w:rFonts w:hint="eastAsia" w:cs="宋体"/>
                <w:color w:val="auto"/>
                <w:sz w:val="24"/>
                <w:szCs w:val="24"/>
                <w:u w:val="single"/>
                <w:shd w:val="clear" w:color="auto" w:fill="auto"/>
              </w:rPr>
              <w:t>等处理方法。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8" w:hRule="atLeast"/>
          <w:jc w:val="center"/>
        </w:trPr>
        <w:tc>
          <w:tcPr>
            <w:tcW w:w="9250" w:type="dxa"/>
          </w:tcPr>
          <w:p>
            <w:pPr>
              <w:rPr>
                <w:b/>
                <w:bCs/>
                <w:color w:val="auto"/>
                <w:sz w:val="28"/>
                <w:szCs w:val="28"/>
              </w:rPr>
            </w:pPr>
            <w:r>
              <w:rPr>
                <w:rFonts w:hint="eastAsia" w:cs="宋体"/>
                <w:b/>
                <w:bCs/>
                <w:color w:val="auto"/>
                <w:sz w:val="28"/>
                <w:szCs w:val="28"/>
              </w:rPr>
              <w:t>主要污染工序：</w:t>
            </w:r>
          </w:p>
          <w:p>
            <w:pPr>
              <w:spacing w:line="440" w:lineRule="exact"/>
              <w:ind w:firstLine="476"/>
              <w:rPr>
                <w:color w:val="auto"/>
                <w:sz w:val="24"/>
                <w:szCs w:val="24"/>
              </w:rPr>
            </w:pPr>
            <w:r>
              <w:rPr>
                <w:rFonts w:hint="eastAsia" w:cs="宋体"/>
                <w:b/>
                <w:bCs/>
                <w:color w:val="auto"/>
                <w:sz w:val="24"/>
                <w:szCs w:val="24"/>
              </w:rPr>
              <w:t>一、施工期污染源分析</w:t>
            </w:r>
          </w:p>
          <w:p>
            <w:pPr>
              <w:spacing w:line="460" w:lineRule="exact"/>
              <w:ind w:firstLine="480" w:firstLineChars="200"/>
              <w:rPr>
                <w:rFonts w:cs="宋体"/>
                <w:color w:val="auto"/>
                <w:sz w:val="24"/>
                <w:szCs w:val="24"/>
              </w:rPr>
            </w:pPr>
            <w:r>
              <w:rPr>
                <w:rFonts w:hint="eastAsia" w:cs="宋体"/>
                <w:color w:val="auto"/>
                <w:sz w:val="24"/>
                <w:szCs w:val="24"/>
              </w:rPr>
              <w:t>1、污水管道工程</w:t>
            </w:r>
          </w:p>
          <w:p>
            <w:pPr>
              <w:spacing w:line="460" w:lineRule="exact"/>
              <w:ind w:firstLine="480" w:firstLineChars="200"/>
              <w:rPr>
                <w:rFonts w:cs="宋体"/>
                <w:color w:val="auto"/>
                <w:sz w:val="24"/>
                <w:szCs w:val="24"/>
              </w:rPr>
            </w:pPr>
            <w:r>
              <w:rPr>
                <w:rFonts w:hint="eastAsia" w:cs="宋体"/>
                <w:color w:val="auto"/>
                <w:sz w:val="24"/>
                <w:szCs w:val="24"/>
              </w:rPr>
              <w:t>（1）废气</w:t>
            </w:r>
          </w:p>
          <w:p>
            <w:pPr>
              <w:spacing w:line="460" w:lineRule="exact"/>
              <w:ind w:firstLine="480" w:firstLineChars="200"/>
              <w:rPr>
                <w:rFonts w:cs="宋体"/>
                <w:color w:val="auto"/>
                <w:sz w:val="24"/>
                <w:szCs w:val="24"/>
              </w:rPr>
            </w:pPr>
            <w:r>
              <w:rPr>
                <w:rFonts w:hint="eastAsia" w:cs="宋体"/>
                <w:color w:val="auto"/>
                <w:sz w:val="24"/>
                <w:szCs w:val="24"/>
              </w:rPr>
              <w:t>施工期对环境空气的影响来源主要是施工扬尘和燃油尾气。</w:t>
            </w:r>
          </w:p>
          <w:p>
            <w:pPr>
              <w:spacing w:line="460" w:lineRule="exact"/>
              <w:ind w:firstLine="480" w:firstLineChars="200"/>
              <w:rPr>
                <w:rFonts w:cs="宋体"/>
                <w:color w:val="auto"/>
                <w:sz w:val="24"/>
                <w:szCs w:val="24"/>
              </w:rPr>
            </w:pPr>
            <w:r>
              <w:rPr>
                <w:rFonts w:hint="eastAsia" w:cs="宋体"/>
                <w:color w:val="auto"/>
                <w:sz w:val="24"/>
                <w:szCs w:val="24"/>
              </w:rPr>
              <w:t>①施工扬尘：开挖土石方、基础施工时，土方挖掘扬尘及现场堆放物料扬尘；建筑材料（白灰、水泥、砂石、砖等）现场搬运及堆放扬尘；施工垃圾的清理及堆放扬尘； 运输车辆行驶所造成的道路扬尘等。施工各阶段均有不同程度的扬尘产生。</w:t>
            </w:r>
          </w:p>
          <w:p>
            <w:pPr>
              <w:spacing w:line="460" w:lineRule="exact"/>
              <w:ind w:firstLine="480" w:firstLineChars="200"/>
              <w:rPr>
                <w:rFonts w:cs="宋体"/>
                <w:color w:val="auto"/>
                <w:sz w:val="24"/>
                <w:szCs w:val="24"/>
              </w:rPr>
            </w:pPr>
            <w:r>
              <w:rPr>
                <w:rFonts w:hint="eastAsia" w:cs="宋体"/>
                <w:color w:val="auto"/>
                <w:sz w:val="24"/>
                <w:szCs w:val="24"/>
              </w:rPr>
              <w:t>②燃油尾气：项目施工期间燃油机械设备较多，且一般采用轻燃油作为动力。使用柴油的大型施工运输车辆如自卸车、载重汽车等作业时会产生一些尾气。</w:t>
            </w:r>
          </w:p>
          <w:p>
            <w:pPr>
              <w:spacing w:line="460" w:lineRule="exact"/>
              <w:ind w:firstLine="480" w:firstLineChars="200"/>
              <w:rPr>
                <w:rFonts w:cs="宋体"/>
                <w:color w:val="auto"/>
                <w:sz w:val="24"/>
                <w:szCs w:val="24"/>
              </w:rPr>
            </w:pPr>
            <w:r>
              <w:rPr>
                <w:rFonts w:hint="eastAsia" w:cs="宋体"/>
                <w:color w:val="auto"/>
                <w:sz w:val="24"/>
                <w:szCs w:val="24"/>
              </w:rPr>
              <w:t>（2）废水</w:t>
            </w:r>
          </w:p>
          <w:p>
            <w:pPr>
              <w:spacing w:line="460" w:lineRule="exact"/>
              <w:ind w:firstLine="480" w:firstLineChars="200"/>
              <w:rPr>
                <w:rFonts w:cs="宋体"/>
                <w:color w:val="auto"/>
                <w:sz w:val="24"/>
                <w:szCs w:val="24"/>
              </w:rPr>
            </w:pPr>
            <w:r>
              <w:rPr>
                <w:rFonts w:hint="eastAsia" w:cs="宋体"/>
                <w:color w:val="auto"/>
                <w:sz w:val="24"/>
                <w:szCs w:val="24"/>
              </w:rPr>
              <w:t>①生活污水</w:t>
            </w:r>
          </w:p>
          <w:p>
            <w:pPr>
              <w:spacing w:line="460" w:lineRule="exact"/>
              <w:ind w:firstLine="480" w:firstLineChars="200"/>
              <w:rPr>
                <w:rFonts w:cs="宋体"/>
                <w:color w:val="auto"/>
                <w:sz w:val="24"/>
                <w:szCs w:val="24"/>
              </w:rPr>
            </w:pPr>
            <w:r>
              <w:rPr>
                <w:rFonts w:hint="eastAsia" w:cs="宋体"/>
                <w:color w:val="auto"/>
                <w:sz w:val="24"/>
                <w:szCs w:val="24"/>
              </w:rPr>
              <w:t>施工人员的活动会产生少量的生活污</w:t>
            </w:r>
            <w:r>
              <w:rPr>
                <w:rFonts w:hint="eastAsia" w:cs="宋体"/>
                <w:color w:val="auto"/>
                <w:sz w:val="24"/>
                <w:szCs w:val="24"/>
                <w:shd w:val="clear" w:color="auto" w:fill="auto"/>
              </w:rPr>
              <w:t>水，高峰期施工人员按</w:t>
            </w:r>
            <w:r>
              <w:rPr>
                <w:rFonts w:hint="eastAsia" w:cs="宋体"/>
                <w:color w:val="auto"/>
                <w:sz w:val="24"/>
                <w:szCs w:val="24"/>
                <w:shd w:val="clear" w:color="auto" w:fill="auto"/>
                <w:lang w:val="en-US" w:eastAsia="zh-CN"/>
              </w:rPr>
              <w:t>10</w:t>
            </w:r>
            <w:r>
              <w:rPr>
                <w:rFonts w:hint="eastAsia" w:cs="宋体"/>
                <w:color w:val="auto"/>
                <w:sz w:val="24"/>
                <w:szCs w:val="24"/>
                <w:shd w:val="clear" w:color="auto" w:fill="auto"/>
              </w:rPr>
              <w:t>人计，施工人员均不在施工场地食宿，生活用水量日定额按50L/人计，废水排放系数取0.8，施工期生活污水排放总量约 0.</w:t>
            </w:r>
            <w:r>
              <w:rPr>
                <w:rFonts w:hint="eastAsia" w:cs="宋体"/>
                <w:color w:val="auto"/>
                <w:sz w:val="24"/>
                <w:szCs w:val="24"/>
                <w:shd w:val="clear" w:color="auto" w:fill="auto"/>
                <w:lang w:val="en-US" w:eastAsia="zh-CN"/>
              </w:rPr>
              <w:t>4</w:t>
            </w:r>
            <w:r>
              <w:rPr>
                <w:rFonts w:hint="eastAsia" w:cs="宋体"/>
                <w:color w:val="auto"/>
                <w:sz w:val="24"/>
                <w:szCs w:val="24"/>
                <w:shd w:val="clear" w:color="auto" w:fill="auto"/>
              </w:rPr>
              <w:t>m</w:t>
            </w:r>
            <w:r>
              <w:rPr>
                <w:rFonts w:hint="eastAsia" w:cs="宋体"/>
                <w:color w:val="auto"/>
                <w:sz w:val="24"/>
                <w:szCs w:val="24"/>
                <w:shd w:val="clear" w:color="auto" w:fill="auto"/>
                <w:vertAlign w:val="superscript"/>
              </w:rPr>
              <w:t>3</w:t>
            </w:r>
            <w:r>
              <w:rPr>
                <w:rFonts w:hint="eastAsia" w:cs="宋体"/>
                <w:color w:val="auto"/>
                <w:sz w:val="24"/>
                <w:szCs w:val="24"/>
                <w:shd w:val="clear" w:color="auto" w:fill="auto"/>
              </w:rPr>
              <w:t>/d。根据以往相似工</w:t>
            </w:r>
            <w:r>
              <w:rPr>
                <w:rFonts w:hint="eastAsia" w:cs="宋体"/>
                <w:color w:val="auto"/>
                <w:sz w:val="24"/>
                <w:szCs w:val="24"/>
              </w:rPr>
              <w:t>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施工过程中加强管理，施工作业场地内的生活污水严禁排入附近水体中。</w:t>
            </w:r>
          </w:p>
          <w:p>
            <w:pPr>
              <w:spacing w:line="460" w:lineRule="exact"/>
              <w:ind w:firstLine="480" w:firstLineChars="200"/>
              <w:rPr>
                <w:rFonts w:cs="宋体"/>
                <w:color w:val="auto"/>
                <w:sz w:val="24"/>
                <w:szCs w:val="24"/>
              </w:rPr>
            </w:pPr>
            <w:r>
              <w:rPr>
                <w:rFonts w:hint="eastAsia" w:cs="宋体"/>
                <w:color w:val="auto"/>
                <w:sz w:val="24"/>
                <w:szCs w:val="24"/>
              </w:rPr>
              <w:t>②施工废水</w:t>
            </w:r>
          </w:p>
          <w:p>
            <w:pPr>
              <w:spacing w:line="460" w:lineRule="exact"/>
              <w:ind w:firstLine="480" w:firstLineChars="200"/>
              <w:rPr>
                <w:rFonts w:cs="宋体"/>
                <w:color w:val="auto"/>
                <w:sz w:val="24"/>
                <w:szCs w:val="24"/>
              </w:rPr>
            </w:pPr>
            <w:r>
              <w:rPr>
                <w:rFonts w:hint="eastAsia" w:cs="宋体"/>
                <w:color w:val="auto"/>
                <w:sz w:val="24"/>
                <w:szCs w:val="24"/>
              </w:rPr>
              <w:t>施工废水主要为开挖基础时排出的泥浆水，以及冲洗机械和车辆产生的泥浆水。施工废水中污染物成份相对比较简单，通过隔油池后进行沉淀，可用于场地降尘洒水，不外排。</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③管网试压废水</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管网铺设过程中，</w:t>
            </w:r>
            <w:r>
              <w:rPr>
                <w:color w:val="auto"/>
                <w:sz w:val="24"/>
                <w:shd w:val="clear" w:color="auto" w:fill="auto"/>
              </w:rPr>
              <w:t>根据《给排水管道工程施工及验收规范》（GB50268-2008）及室外排水管道闭水试验的相关方法和要求，闭水试验按井段数量抽验1/3，预计闭水试验用水量为</w:t>
            </w:r>
            <w:r>
              <w:rPr>
                <w:rFonts w:hint="eastAsia"/>
                <w:color w:val="auto"/>
                <w:sz w:val="24"/>
                <w:shd w:val="clear" w:color="auto" w:fill="auto"/>
                <w:lang w:val="en-US" w:eastAsia="zh-CN"/>
              </w:rPr>
              <w:t>562.48</w:t>
            </w:r>
            <w:r>
              <w:rPr>
                <w:color w:val="auto"/>
                <w:sz w:val="24"/>
                <w:shd w:val="clear" w:color="auto" w:fill="auto"/>
              </w:rPr>
              <w:t>m</w:t>
            </w:r>
            <w:r>
              <w:rPr>
                <w:color w:val="auto"/>
                <w:sz w:val="24"/>
                <w:shd w:val="clear" w:color="auto" w:fill="auto"/>
                <w:vertAlign w:val="superscript"/>
              </w:rPr>
              <w:t>3</w:t>
            </w:r>
            <w:r>
              <w:rPr>
                <w:rFonts w:hint="eastAsia"/>
                <w:color w:val="auto"/>
                <w:sz w:val="24"/>
                <w:shd w:val="clear" w:color="auto" w:fill="auto"/>
              </w:rPr>
              <w:t>，</w:t>
            </w:r>
            <w:r>
              <w:rPr>
                <w:rFonts w:hint="eastAsia" w:cs="宋体"/>
                <w:color w:val="auto"/>
                <w:sz w:val="24"/>
                <w:szCs w:val="24"/>
                <w:shd w:val="clear" w:color="auto" w:fill="auto"/>
              </w:rPr>
              <w:t>试压废水中污染物较少，</w:t>
            </w:r>
            <w:r>
              <w:rPr>
                <w:color w:val="auto"/>
                <w:sz w:val="24"/>
                <w:shd w:val="clear" w:color="auto" w:fill="auto"/>
              </w:rPr>
              <w:t>主要是SS，</w:t>
            </w:r>
            <w:r>
              <w:rPr>
                <w:rFonts w:hint="eastAsia"/>
                <w:color w:val="auto"/>
                <w:sz w:val="24"/>
                <w:shd w:val="clear" w:color="auto" w:fill="auto"/>
              </w:rPr>
              <w:t>试压完成后用作场地洒水或</w:t>
            </w:r>
            <w:r>
              <w:rPr>
                <w:rFonts w:hint="eastAsia" w:cs="宋体"/>
                <w:color w:val="auto"/>
                <w:sz w:val="24"/>
                <w:szCs w:val="24"/>
                <w:shd w:val="clear" w:color="auto" w:fill="auto"/>
              </w:rPr>
              <w:t>经沉淀后外排。</w:t>
            </w:r>
          </w:p>
          <w:p>
            <w:pPr>
              <w:spacing w:line="460" w:lineRule="exact"/>
              <w:ind w:firstLine="480" w:firstLineChars="200"/>
              <w:rPr>
                <w:rFonts w:cs="宋体"/>
                <w:color w:val="auto"/>
                <w:sz w:val="24"/>
                <w:szCs w:val="24"/>
              </w:rPr>
            </w:pPr>
            <w:r>
              <w:rPr>
                <w:rFonts w:hint="eastAsia" w:cs="宋体"/>
                <w:color w:val="auto"/>
                <w:sz w:val="24"/>
                <w:szCs w:val="24"/>
              </w:rPr>
              <w:t>（3）噪声</w:t>
            </w:r>
          </w:p>
          <w:p>
            <w:pPr>
              <w:spacing w:line="460" w:lineRule="exact"/>
              <w:ind w:firstLine="480" w:firstLineChars="200"/>
              <w:rPr>
                <w:rFonts w:cs="宋体"/>
                <w:color w:val="auto"/>
                <w:sz w:val="24"/>
                <w:szCs w:val="24"/>
              </w:rPr>
            </w:pPr>
            <w:r>
              <w:rPr>
                <w:rFonts w:hint="eastAsia" w:cs="宋体"/>
                <w:color w:val="auto"/>
                <w:sz w:val="24"/>
                <w:szCs w:val="24"/>
              </w:rPr>
              <w:t>施工噪声具有阶段性、临时性和不固定性，不同的施工设备产生的噪声不同，施工噪声叠加值在 89~107dB（A）左右，管线的铺设路线比较分散，且施工机械产生的噪声是无规律的，所以噪声影响面比较广。</w:t>
            </w:r>
          </w:p>
          <w:p>
            <w:pPr>
              <w:spacing w:line="460" w:lineRule="exact"/>
              <w:ind w:firstLine="480" w:firstLineChars="200"/>
              <w:rPr>
                <w:rFonts w:cs="宋体"/>
                <w:color w:val="auto"/>
                <w:sz w:val="24"/>
                <w:szCs w:val="24"/>
              </w:rPr>
            </w:pPr>
            <w:r>
              <w:rPr>
                <w:rFonts w:hint="eastAsia" w:cs="宋体"/>
                <w:color w:val="auto"/>
                <w:sz w:val="24"/>
                <w:szCs w:val="24"/>
              </w:rPr>
              <w:t>（4）固体废弃物</w:t>
            </w:r>
          </w:p>
          <w:p>
            <w:pPr>
              <w:spacing w:line="460" w:lineRule="exact"/>
              <w:ind w:firstLine="480" w:firstLineChars="200"/>
              <w:rPr>
                <w:rFonts w:cs="宋体"/>
                <w:color w:val="auto"/>
                <w:sz w:val="24"/>
                <w:szCs w:val="24"/>
              </w:rPr>
            </w:pPr>
            <w:r>
              <w:rPr>
                <w:rFonts w:hint="eastAsia" w:cs="宋体"/>
                <w:color w:val="auto"/>
                <w:sz w:val="24"/>
                <w:szCs w:val="24"/>
              </w:rPr>
              <w:t>管线施工过程产生的固体废弃物主要包括施工废料、土石方。</w:t>
            </w:r>
          </w:p>
          <w:p>
            <w:pPr>
              <w:spacing w:line="460" w:lineRule="exact"/>
              <w:ind w:firstLine="480" w:firstLineChars="200"/>
              <w:rPr>
                <w:rFonts w:cs="宋体"/>
                <w:color w:val="auto"/>
                <w:sz w:val="24"/>
                <w:szCs w:val="24"/>
              </w:rPr>
            </w:pPr>
            <w:r>
              <w:rPr>
                <w:rFonts w:hint="eastAsia" w:cs="宋体"/>
                <w:color w:val="auto"/>
                <w:sz w:val="24"/>
                <w:szCs w:val="24"/>
              </w:rPr>
              <w:t>施工废料主要包括焊接作业中产生废焊条、少量焊缝防腐采用的热收缩套零头及施工过程中产生的废混凝土、废钢筋、废泥沙等。管线施工产生的废弃焊头、废零头，不得直接丢弃，应在每个焊接作业点配备铁桶或纸箱，废弃物直接放入容器中结束后集中回收处置。施工过程产生的废包装物等，应及时收集，可再生利用的进行回收利用；其它无回收利用价值的垃圾要定时清运，妥善处理，以免影响施工和环境卫生。</w:t>
            </w:r>
          </w:p>
          <w:p>
            <w:pPr>
              <w:spacing w:line="460" w:lineRule="exact"/>
              <w:ind w:firstLine="480" w:firstLineChars="200"/>
              <w:rPr>
                <w:rFonts w:cs="宋体"/>
                <w:color w:val="auto"/>
                <w:sz w:val="24"/>
                <w:szCs w:val="24"/>
              </w:rPr>
            </w:pPr>
            <w:r>
              <w:rPr>
                <w:rFonts w:hint="eastAsia" w:cs="宋体"/>
                <w:color w:val="auto"/>
                <w:sz w:val="24"/>
                <w:szCs w:val="24"/>
              </w:rPr>
              <w:t>管线开挖有少量土石方由城市渣土管理部门运往指定位置处理。</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施工高峰期施工人员约</w:t>
            </w:r>
            <w:r>
              <w:rPr>
                <w:rFonts w:hint="eastAsia" w:cs="宋体"/>
                <w:color w:val="auto"/>
                <w:sz w:val="24"/>
                <w:szCs w:val="24"/>
                <w:shd w:val="clear" w:color="auto" w:fill="auto"/>
                <w:lang w:val="en-US" w:eastAsia="zh-CN"/>
              </w:rPr>
              <w:t>10</w:t>
            </w:r>
            <w:r>
              <w:rPr>
                <w:rFonts w:hint="eastAsia" w:cs="宋体"/>
                <w:color w:val="auto"/>
                <w:sz w:val="24"/>
                <w:szCs w:val="24"/>
                <w:shd w:val="clear" w:color="auto" w:fill="auto"/>
              </w:rPr>
              <w:t>人，生活垃圾按0.5kg/人•d计，产生量约为</w:t>
            </w:r>
            <w:r>
              <w:rPr>
                <w:rFonts w:hint="eastAsia" w:cs="宋体"/>
                <w:color w:val="auto"/>
                <w:sz w:val="24"/>
                <w:szCs w:val="24"/>
                <w:shd w:val="clear" w:color="auto" w:fill="auto"/>
                <w:lang w:val="en-US" w:eastAsia="zh-CN"/>
              </w:rPr>
              <w:t>5</w:t>
            </w:r>
            <w:r>
              <w:rPr>
                <w:rFonts w:hint="eastAsia" w:cs="宋体"/>
                <w:color w:val="auto"/>
                <w:sz w:val="24"/>
                <w:szCs w:val="24"/>
                <w:shd w:val="clear" w:color="auto" w:fill="auto"/>
              </w:rPr>
              <w:t>kg/d。生活垃圾经统一收集后，由环卫部门清运处理。</w:t>
            </w:r>
          </w:p>
          <w:p>
            <w:pPr>
              <w:spacing w:line="460" w:lineRule="exact"/>
              <w:ind w:firstLine="480" w:firstLineChars="200"/>
              <w:rPr>
                <w:rFonts w:cs="宋体"/>
                <w:color w:val="auto"/>
                <w:sz w:val="24"/>
                <w:szCs w:val="24"/>
              </w:rPr>
            </w:pPr>
            <w:r>
              <w:rPr>
                <w:rFonts w:hint="eastAsia" w:cs="宋体"/>
                <w:color w:val="auto"/>
                <w:sz w:val="24"/>
                <w:szCs w:val="24"/>
              </w:rPr>
              <w:t>2、污水处理厂工程</w:t>
            </w:r>
          </w:p>
          <w:p>
            <w:pPr>
              <w:spacing w:line="460" w:lineRule="exact"/>
              <w:ind w:firstLine="480" w:firstLineChars="200"/>
              <w:rPr>
                <w:rFonts w:cs="宋体"/>
                <w:color w:val="auto"/>
                <w:sz w:val="24"/>
                <w:szCs w:val="24"/>
              </w:rPr>
            </w:pPr>
            <w:r>
              <w:rPr>
                <w:rFonts w:hint="eastAsia" w:cs="宋体"/>
                <w:color w:val="auto"/>
                <w:sz w:val="24"/>
                <w:szCs w:val="24"/>
              </w:rPr>
              <w:t>（1）废气</w:t>
            </w:r>
          </w:p>
          <w:p>
            <w:pPr>
              <w:spacing w:line="460" w:lineRule="exact"/>
              <w:ind w:firstLine="480" w:firstLineChars="200"/>
              <w:rPr>
                <w:rFonts w:cs="宋体"/>
                <w:color w:val="auto"/>
                <w:sz w:val="24"/>
                <w:szCs w:val="24"/>
              </w:rPr>
            </w:pPr>
            <w:r>
              <w:rPr>
                <w:rFonts w:hint="eastAsia" w:cs="宋体"/>
                <w:color w:val="auto"/>
                <w:sz w:val="24"/>
                <w:szCs w:val="24"/>
              </w:rPr>
              <w:t>本项目建设期废气主要包括施工扬尘及施工机械和运输车辆燃油排放的尾气。施工扬尘的主要来源有：土方挖掘扬尘及现场堆放物料扬尘；建筑材料（白灰、水泥、砂石、砖等）现场搬运及堆放扬尘；施工垃圾的清理及堆放扬尘；运输车辆行驶所造成的道路扬尘等。</w:t>
            </w:r>
          </w:p>
          <w:p>
            <w:pPr>
              <w:spacing w:line="460" w:lineRule="exact"/>
              <w:ind w:firstLine="480" w:firstLineChars="200"/>
              <w:rPr>
                <w:rFonts w:cs="宋体"/>
                <w:color w:val="auto"/>
                <w:sz w:val="24"/>
                <w:szCs w:val="24"/>
              </w:rPr>
            </w:pPr>
            <w:r>
              <w:rPr>
                <w:rFonts w:hint="eastAsia" w:cs="宋体"/>
                <w:color w:val="auto"/>
                <w:sz w:val="24"/>
                <w:szCs w:val="24"/>
              </w:rPr>
              <w:t>（2）废水</w:t>
            </w:r>
          </w:p>
          <w:p>
            <w:pPr>
              <w:spacing w:line="460" w:lineRule="exact"/>
              <w:ind w:firstLine="480" w:firstLineChars="200"/>
              <w:rPr>
                <w:rFonts w:cs="宋体"/>
                <w:color w:val="auto"/>
                <w:sz w:val="24"/>
                <w:szCs w:val="24"/>
              </w:rPr>
            </w:pPr>
            <w:r>
              <w:rPr>
                <w:rFonts w:hint="eastAsia" w:cs="宋体"/>
                <w:color w:val="auto"/>
                <w:sz w:val="24"/>
                <w:szCs w:val="24"/>
              </w:rPr>
              <w:t>施工期产生的废水主要为施工过程中产生的废水及施工人员产生的生活污水。</w:t>
            </w:r>
          </w:p>
          <w:p>
            <w:pPr>
              <w:spacing w:line="460" w:lineRule="exact"/>
              <w:ind w:firstLine="480" w:firstLineChars="200"/>
              <w:rPr>
                <w:rFonts w:cs="宋体"/>
                <w:color w:val="auto"/>
                <w:sz w:val="24"/>
                <w:szCs w:val="24"/>
              </w:rPr>
            </w:pPr>
            <w:r>
              <w:rPr>
                <w:rFonts w:hint="eastAsia" w:cs="宋体"/>
                <w:color w:val="auto"/>
                <w:sz w:val="24"/>
                <w:szCs w:val="24"/>
              </w:rPr>
              <w:t>施工废水主要为</w:t>
            </w:r>
            <w:r>
              <w:rPr>
                <w:rFonts w:hint="eastAsia" w:cs="宋体"/>
                <w:color w:val="auto"/>
                <w:sz w:val="24"/>
                <w:szCs w:val="24"/>
                <w:lang w:eastAsia="zh-CN"/>
              </w:rPr>
              <w:t>运输车辆</w:t>
            </w:r>
            <w:r>
              <w:rPr>
                <w:rFonts w:hint="eastAsia" w:cs="宋体"/>
                <w:color w:val="auto"/>
                <w:sz w:val="24"/>
                <w:szCs w:val="24"/>
              </w:rPr>
              <w:t>、施工机械的清洗等产生的废水。施工废水中污染物成份相对比较简单，其中悬浮物浓度较高，约为200mg/L，其它污染物浓度较低，且废水排放量少，通过隔油池后进进入沉淀池沉淀，污染物 SS 浓度约为 80mg/L，可用于场地降尘洒水，不外排。</w:t>
            </w:r>
          </w:p>
          <w:p>
            <w:pPr>
              <w:spacing w:line="460" w:lineRule="exact"/>
              <w:ind w:firstLine="480" w:firstLineChars="200"/>
              <w:rPr>
                <w:rFonts w:cs="宋体"/>
                <w:color w:val="auto"/>
                <w:sz w:val="24"/>
                <w:szCs w:val="24"/>
              </w:rPr>
            </w:pPr>
            <w:r>
              <w:rPr>
                <w:rFonts w:hint="eastAsia" w:cs="宋体"/>
                <w:color w:val="auto"/>
                <w:sz w:val="24"/>
                <w:szCs w:val="24"/>
              </w:rPr>
              <w:t>本项目污水处理厂工程施工期民工人数约</w:t>
            </w:r>
            <w:r>
              <w:rPr>
                <w:rFonts w:hint="eastAsia" w:cs="宋体"/>
                <w:color w:val="auto"/>
                <w:sz w:val="24"/>
                <w:szCs w:val="24"/>
                <w:lang w:val="en-US" w:eastAsia="zh-CN"/>
              </w:rPr>
              <w:t>5</w:t>
            </w:r>
            <w:r>
              <w:rPr>
                <w:rFonts w:hint="eastAsia" w:cs="宋体"/>
                <w:color w:val="auto"/>
                <w:sz w:val="24"/>
                <w:szCs w:val="24"/>
              </w:rPr>
              <w:t>人。施工人员均为附近居民，不在厂区内食宿，用水定额按 50L/人.天计，则施工期用水量为 0.5m</w:t>
            </w:r>
            <w:r>
              <w:rPr>
                <w:rFonts w:hint="eastAsia" w:cs="宋体"/>
                <w:color w:val="auto"/>
                <w:sz w:val="24"/>
                <w:szCs w:val="24"/>
                <w:vertAlign w:val="superscript"/>
              </w:rPr>
              <w:t>3</w:t>
            </w:r>
            <w:r>
              <w:rPr>
                <w:rFonts w:hint="eastAsia" w:cs="宋体"/>
                <w:color w:val="auto"/>
                <w:sz w:val="24"/>
                <w:szCs w:val="24"/>
              </w:rPr>
              <w:t>/d，废水排放系数取 0.8，则生活污水产生量为 0.</w:t>
            </w:r>
            <w:r>
              <w:rPr>
                <w:rFonts w:hint="eastAsia" w:cs="宋体"/>
                <w:color w:val="auto"/>
                <w:sz w:val="24"/>
                <w:szCs w:val="24"/>
                <w:lang w:val="en-US" w:eastAsia="zh-CN"/>
              </w:rPr>
              <w:t>2</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w:t>
            </w:r>
            <w:r>
              <w:rPr>
                <w:rFonts w:hint="eastAsia" w:cs="宋体"/>
                <w:color w:val="auto"/>
                <w:sz w:val="24"/>
                <w:szCs w:val="24"/>
                <w:shd w:val="clear" w:color="auto" w:fill="auto"/>
              </w:rPr>
              <w:t>生活污水中污染物较简单，主要成份为 CODcr、NH3-N 等，污染物浓度较低，CODcr 一般为200～250mg/L，NH</w:t>
            </w:r>
            <w:r>
              <w:rPr>
                <w:rFonts w:hint="eastAsia" w:cs="宋体"/>
                <w:color w:val="auto"/>
                <w:sz w:val="24"/>
                <w:szCs w:val="24"/>
                <w:shd w:val="clear" w:color="auto" w:fill="auto"/>
                <w:vertAlign w:val="subscript"/>
              </w:rPr>
              <w:t>3</w:t>
            </w:r>
            <w:r>
              <w:rPr>
                <w:rFonts w:hint="eastAsia" w:cs="宋体"/>
                <w:color w:val="auto"/>
                <w:sz w:val="24"/>
                <w:szCs w:val="24"/>
                <w:shd w:val="clear" w:color="auto" w:fill="auto"/>
              </w:rPr>
              <w:t>-N一般为 15～25mg/L 左右。</w:t>
            </w:r>
          </w:p>
          <w:p>
            <w:pPr>
              <w:spacing w:line="460" w:lineRule="exact"/>
              <w:ind w:firstLine="480" w:firstLineChars="200"/>
              <w:rPr>
                <w:rFonts w:cs="宋体"/>
                <w:color w:val="auto"/>
                <w:sz w:val="24"/>
                <w:szCs w:val="24"/>
              </w:rPr>
            </w:pPr>
            <w:r>
              <w:rPr>
                <w:rFonts w:hint="eastAsia" w:cs="宋体"/>
                <w:color w:val="auto"/>
                <w:sz w:val="24"/>
                <w:szCs w:val="24"/>
              </w:rPr>
              <w:t>（3）噪声</w:t>
            </w:r>
          </w:p>
          <w:p>
            <w:pPr>
              <w:spacing w:line="460" w:lineRule="exact"/>
              <w:ind w:firstLine="480" w:firstLineChars="200"/>
              <w:rPr>
                <w:rFonts w:cs="宋体"/>
                <w:color w:val="auto"/>
                <w:sz w:val="24"/>
                <w:szCs w:val="24"/>
              </w:rPr>
            </w:pPr>
            <w:r>
              <w:rPr>
                <w:rFonts w:hint="eastAsia" w:cs="宋体"/>
                <w:color w:val="auto"/>
                <w:sz w:val="24"/>
                <w:szCs w:val="24"/>
              </w:rPr>
              <w:t>施工期的噪声污染主要是施工机械和运输车辆的噪声，噪声强度在 80～105dB(A)。</w:t>
            </w:r>
          </w:p>
          <w:p>
            <w:pPr>
              <w:spacing w:line="460" w:lineRule="exact"/>
              <w:ind w:firstLine="480" w:firstLineChars="200"/>
              <w:rPr>
                <w:rFonts w:cs="宋体"/>
                <w:color w:val="auto"/>
                <w:sz w:val="24"/>
                <w:szCs w:val="24"/>
              </w:rPr>
            </w:pPr>
            <w:r>
              <w:rPr>
                <w:rFonts w:hint="eastAsia" w:cs="宋体"/>
                <w:color w:val="auto"/>
                <w:sz w:val="24"/>
                <w:szCs w:val="24"/>
              </w:rPr>
              <w:t>各主要噪声源源强见表</w:t>
            </w:r>
            <w:r>
              <w:rPr>
                <w:rFonts w:hint="eastAsia" w:cs="宋体"/>
                <w:color w:val="auto"/>
                <w:sz w:val="24"/>
                <w:szCs w:val="24"/>
                <w:lang w:val="en-US" w:eastAsia="zh-CN"/>
              </w:rPr>
              <w:t>21</w:t>
            </w:r>
            <w:r>
              <w:rPr>
                <w:rFonts w:hint="eastAsia" w:cs="宋体"/>
                <w:color w:val="auto"/>
                <w:sz w:val="24"/>
                <w:szCs w:val="24"/>
              </w:rPr>
              <w:t>。</w:t>
            </w:r>
          </w:p>
          <w:p>
            <w:pPr>
              <w:spacing w:line="460" w:lineRule="exact"/>
              <w:ind w:firstLine="482" w:firstLineChars="200"/>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21</w:t>
            </w:r>
            <w:r>
              <w:rPr>
                <w:rFonts w:hint="eastAsia" w:cs="宋体"/>
                <w:b/>
                <w:bCs/>
                <w:color w:val="auto"/>
                <w:sz w:val="24"/>
                <w:szCs w:val="24"/>
              </w:rPr>
              <w:tab/>
            </w:r>
            <w:r>
              <w:rPr>
                <w:rFonts w:hint="eastAsia" w:cs="宋体"/>
                <w:b/>
                <w:bCs/>
                <w:color w:val="auto"/>
                <w:sz w:val="24"/>
                <w:szCs w:val="24"/>
              </w:rPr>
              <w:t>施工期主要噪声源源强及特征</w:t>
            </w:r>
            <w:r>
              <w:rPr>
                <w:rFonts w:hint="eastAsia" w:cs="宋体"/>
                <w:b/>
                <w:bCs/>
                <w:color w:val="auto"/>
                <w:sz w:val="24"/>
                <w:szCs w:val="24"/>
              </w:rPr>
              <w:tab/>
            </w:r>
            <w:r>
              <w:rPr>
                <w:rFonts w:hint="eastAsia" w:cs="宋体"/>
                <w:b/>
                <w:bCs/>
                <w:color w:val="auto"/>
                <w:sz w:val="24"/>
                <w:szCs w:val="24"/>
              </w:rPr>
              <w:t>单位：dB（A）</w:t>
            </w:r>
          </w:p>
          <w:tbl>
            <w:tblPr>
              <w:tblStyle w:val="29"/>
              <w:tblW w:w="86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45"/>
              <w:gridCol w:w="3053"/>
              <w:gridCol w:w="30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nil"/>
                  </w:tcBorders>
                  <w:vAlign w:val="center"/>
                </w:tcPr>
                <w:p>
                  <w:pPr>
                    <w:pStyle w:val="107"/>
                    <w:jc w:val="center"/>
                    <w:rPr>
                      <w:color w:val="auto"/>
                      <w:sz w:val="21"/>
                    </w:rPr>
                  </w:pPr>
                  <w:r>
                    <w:rPr>
                      <w:color w:val="auto"/>
                      <w:sz w:val="21"/>
                    </w:rPr>
                    <w:t>设备名称</w:t>
                  </w:r>
                </w:p>
              </w:tc>
              <w:tc>
                <w:tcPr>
                  <w:tcW w:w="3053" w:type="dxa"/>
                  <w:vAlign w:val="center"/>
                </w:tcPr>
                <w:p>
                  <w:pPr>
                    <w:pStyle w:val="107"/>
                    <w:jc w:val="center"/>
                    <w:rPr>
                      <w:rFonts w:ascii="Times New Roman" w:eastAsia="Times New Roman"/>
                      <w:color w:val="auto"/>
                      <w:sz w:val="21"/>
                    </w:rPr>
                  </w:pPr>
                  <w:r>
                    <w:rPr>
                      <w:color w:val="auto"/>
                      <w:sz w:val="21"/>
                    </w:rPr>
                    <w:t xml:space="preserve">噪声级 </w:t>
                  </w:r>
                  <w:r>
                    <w:rPr>
                      <w:rFonts w:ascii="Times New Roman" w:eastAsia="Times New Roman"/>
                      <w:color w:val="auto"/>
                      <w:sz w:val="21"/>
                    </w:rPr>
                    <w:t>dB(A)</w:t>
                  </w:r>
                </w:p>
              </w:tc>
              <w:tc>
                <w:tcPr>
                  <w:tcW w:w="3022" w:type="dxa"/>
                  <w:tcBorders>
                    <w:right w:val="nil"/>
                  </w:tcBorders>
                  <w:vAlign w:val="center"/>
                </w:tcPr>
                <w:p>
                  <w:pPr>
                    <w:pStyle w:val="107"/>
                    <w:jc w:val="center"/>
                    <w:rPr>
                      <w:color w:val="auto"/>
                      <w:sz w:val="21"/>
                    </w:rPr>
                  </w:pPr>
                  <w:r>
                    <w:rPr>
                      <w:color w:val="auto"/>
                      <w:sz w:val="21"/>
                    </w:rPr>
                    <w:t>施工期声源性质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nil"/>
                  </w:tcBorders>
                  <w:vAlign w:val="center"/>
                </w:tcPr>
                <w:p>
                  <w:pPr>
                    <w:pStyle w:val="107"/>
                    <w:jc w:val="center"/>
                    <w:rPr>
                      <w:color w:val="auto"/>
                      <w:sz w:val="21"/>
                    </w:rPr>
                  </w:pPr>
                  <w:r>
                    <w:rPr>
                      <w:color w:val="auto"/>
                      <w:sz w:val="21"/>
                    </w:rPr>
                    <w:t>推土机</w:t>
                  </w:r>
                </w:p>
              </w:tc>
              <w:tc>
                <w:tcPr>
                  <w:tcW w:w="3053" w:type="dxa"/>
                  <w:vAlign w:val="center"/>
                </w:tcPr>
                <w:p>
                  <w:pPr>
                    <w:pStyle w:val="107"/>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96</w:t>
                  </w:r>
                </w:p>
              </w:tc>
              <w:tc>
                <w:tcPr>
                  <w:tcW w:w="3022" w:type="dxa"/>
                  <w:tcBorders>
                    <w:right w:val="nil"/>
                  </w:tcBorders>
                  <w:vAlign w:val="center"/>
                </w:tcPr>
                <w:p>
                  <w:pPr>
                    <w:pStyle w:val="107"/>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nil"/>
                  </w:tcBorders>
                  <w:vAlign w:val="center"/>
                </w:tcPr>
                <w:p>
                  <w:pPr>
                    <w:pStyle w:val="107"/>
                    <w:spacing w:line="268" w:lineRule="exact"/>
                    <w:jc w:val="center"/>
                    <w:rPr>
                      <w:color w:val="auto"/>
                      <w:sz w:val="21"/>
                    </w:rPr>
                  </w:pPr>
                  <w:r>
                    <w:rPr>
                      <w:color w:val="auto"/>
                      <w:sz w:val="21"/>
                    </w:rPr>
                    <w:t>挖掘机</w:t>
                  </w:r>
                </w:p>
              </w:tc>
              <w:tc>
                <w:tcPr>
                  <w:tcW w:w="3053" w:type="dxa"/>
                  <w:vAlign w:val="center"/>
                </w:tcPr>
                <w:p>
                  <w:pPr>
                    <w:pStyle w:val="107"/>
                    <w:spacing w:line="268" w:lineRule="exact"/>
                    <w:jc w:val="center"/>
                    <w:rPr>
                      <w:rFonts w:ascii="Times New Roman" w:eastAsia="Times New Roman"/>
                      <w:color w:val="auto"/>
                      <w:sz w:val="21"/>
                    </w:rPr>
                  </w:pPr>
                  <w:r>
                    <w:rPr>
                      <w:rFonts w:ascii="Times New Roman" w:eastAsia="Times New Roman"/>
                      <w:color w:val="auto"/>
                      <w:sz w:val="21"/>
                    </w:rPr>
                    <w:t>90</w:t>
                  </w:r>
                  <w:r>
                    <w:rPr>
                      <w:color w:val="auto"/>
                      <w:sz w:val="21"/>
                    </w:rPr>
                    <w:t>～</w:t>
                  </w:r>
                  <w:r>
                    <w:rPr>
                      <w:rFonts w:ascii="Times New Roman" w:eastAsia="Times New Roman"/>
                      <w:color w:val="auto"/>
                      <w:sz w:val="21"/>
                    </w:rPr>
                    <w:t>95</w:t>
                  </w:r>
                </w:p>
              </w:tc>
              <w:tc>
                <w:tcPr>
                  <w:tcW w:w="3022" w:type="dxa"/>
                  <w:tcBorders>
                    <w:right w:val="nil"/>
                  </w:tcBorders>
                  <w:vAlign w:val="center"/>
                </w:tcPr>
                <w:p>
                  <w:pPr>
                    <w:pStyle w:val="107"/>
                    <w:spacing w:line="268" w:lineRule="exact"/>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nil"/>
                  </w:tcBorders>
                  <w:vAlign w:val="center"/>
                </w:tcPr>
                <w:p>
                  <w:pPr>
                    <w:pStyle w:val="107"/>
                    <w:jc w:val="center"/>
                    <w:rPr>
                      <w:color w:val="auto"/>
                      <w:sz w:val="21"/>
                    </w:rPr>
                  </w:pPr>
                  <w:r>
                    <w:rPr>
                      <w:color w:val="auto"/>
                      <w:sz w:val="21"/>
                    </w:rPr>
                    <w:t>电钻、电锯</w:t>
                  </w:r>
                </w:p>
              </w:tc>
              <w:tc>
                <w:tcPr>
                  <w:tcW w:w="3053" w:type="dxa"/>
                  <w:vAlign w:val="center"/>
                </w:tcPr>
                <w:p>
                  <w:pPr>
                    <w:pStyle w:val="107"/>
                    <w:jc w:val="center"/>
                    <w:rPr>
                      <w:rFonts w:ascii="Times New Roman" w:eastAsia="Times New Roman"/>
                      <w:color w:val="auto"/>
                      <w:sz w:val="21"/>
                    </w:rPr>
                  </w:pPr>
                  <w:r>
                    <w:rPr>
                      <w:rFonts w:ascii="Times New Roman" w:eastAsia="Times New Roman"/>
                      <w:color w:val="auto"/>
                      <w:sz w:val="21"/>
                    </w:rPr>
                    <w:t>90</w:t>
                  </w:r>
                  <w:r>
                    <w:rPr>
                      <w:color w:val="auto"/>
                      <w:sz w:val="21"/>
                    </w:rPr>
                    <w:t>～</w:t>
                  </w:r>
                  <w:r>
                    <w:rPr>
                      <w:rFonts w:ascii="Times New Roman" w:eastAsia="Times New Roman"/>
                      <w:color w:val="auto"/>
                      <w:sz w:val="21"/>
                    </w:rPr>
                    <w:t>105</w:t>
                  </w:r>
                </w:p>
              </w:tc>
              <w:tc>
                <w:tcPr>
                  <w:tcW w:w="3022" w:type="dxa"/>
                  <w:tcBorders>
                    <w:right w:val="nil"/>
                  </w:tcBorders>
                  <w:vAlign w:val="center"/>
                </w:tcPr>
                <w:p>
                  <w:pPr>
                    <w:pStyle w:val="107"/>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jc w:val="center"/>
              </w:trPr>
              <w:tc>
                <w:tcPr>
                  <w:tcW w:w="2545" w:type="dxa"/>
                  <w:tcBorders>
                    <w:left w:val="nil"/>
                  </w:tcBorders>
                  <w:vAlign w:val="center"/>
                </w:tcPr>
                <w:p>
                  <w:pPr>
                    <w:pStyle w:val="107"/>
                    <w:jc w:val="center"/>
                    <w:rPr>
                      <w:color w:val="auto"/>
                      <w:sz w:val="21"/>
                    </w:rPr>
                  </w:pPr>
                  <w:r>
                    <w:rPr>
                      <w:color w:val="auto"/>
                      <w:sz w:val="21"/>
                    </w:rPr>
                    <w:t>塔吊</w:t>
                  </w:r>
                </w:p>
              </w:tc>
              <w:tc>
                <w:tcPr>
                  <w:tcW w:w="3053" w:type="dxa"/>
                  <w:vAlign w:val="center"/>
                </w:tcPr>
                <w:p>
                  <w:pPr>
                    <w:pStyle w:val="107"/>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85</w:t>
                  </w:r>
                </w:p>
              </w:tc>
              <w:tc>
                <w:tcPr>
                  <w:tcW w:w="3022" w:type="dxa"/>
                  <w:tcBorders>
                    <w:right w:val="nil"/>
                  </w:tcBorders>
                  <w:vAlign w:val="center"/>
                </w:tcPr>
                <w:p>
                  <w:pPr>
                    <w:pStyle w:val="107"/>
                    <w:jc w:val="center"/>
                    <w:rPr>
                      <w:color w:val="auto"/>
                      <w:sz w:val="21"/>
                    </w:rPr>
                  </w:pPr>
                  <w:r>
                    <w:rPr>
                      <w:color w:val="auto"/>
                      <w:sz w:val="21"/>
                    </w:rPr>
                    <w:t>间歇性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2545" w:type="dxa"/>
                  <w:tcBorders>
                    <w:left w:val="nil"/>
                  </w:tcBorders>
                  <w:vAlign w:val="center"/>
                </w:tcPr>
                <w:p>
                  <w:pPr>
                    <w:pStyle w:val="107"/>
                    <w:spacing w:before="1"/>
                    <w:jc w:val="center"/>
                    <w:rPr>
                      <w:color w:val="auto"/>
                      <w:sz w:val="21"/>
                    </w:rPr>
                  </w:pPr>
                  <w:r>
                    <w:rPr>
                      <w:color w:val="auto"/>
                      <w:sz w:val="21"/>
                    </w:rPr>
                    <w:t>运输车辆</w:t>
                  </w:r>
                </w:p>
              </w:tc>
              <w:tc>
                <w:tcPr>
                  <w:tcW w:w="3053" w:type="dxa"/>
                  <w:vAlign w:val="center"/>
                </w:tcPr>
                <w:p>
                  <w:pPr>
                    <w:pStyle w:val="107"/>
                    <w:spacing w:before="1"/>
                    <w:jc w:val="center"/>
                    <w:rPr>
                      <w:rFonts w:ascii="Times New Roman" w:eastAsia="Times New Roman"/>
                      <w:color w:val="auto"/>
                      <w:sz w:val="21"/>
                    </w:rPr>
                  </w:pPr>
                  <w:r>
                    <w:rPr>
                      <w:rFonts w:ascii="Times New Roman" w:eastAsia="Times New Roman"/>
                      <w:color w:val="auto"/>
                      <w:sz w:val="21"/>
                    </w:rPr>
                    <w:t>80</w:t>
                  </w:r>
                  <w:r>
                    <w:rPr>
                      <w:color w:val="auto"/>
                      <w:sz w:val="21"/>
                    </w:rPr>
                    <w:t>～</w:t>
                  </w:r>
                  <w:r>
                    <w:rPr>
                      <w:rFonts w:ascii="Times New Roman" w:eastAsia="Times New Roman"/>
                      <w:color w:val="auto"/>
                      <w:sz w:val="21"/>
                    </w:rPr>
                    <w:t>85</w:t>
                  </w:r>
                </w:p>
              </w:tc>
              <w:tc>
                <w:tcPr>
                  <w:tcW w:w="3022" w:type="dxa"/>
                  <w:tcBorders>
                    <w:right w:val="nil"/>
                  </w:tcBorders>
                  <w:vAlign w:val="center"/>
                </w:tcPr>
                <w:p>
                  <w:pPr>
                    <w:pStyle w:val="107"/>
                    <w:spacing w:before="1"/>
                    <w:jc w:val="center"/>
                    <w:rPr>
                      <w:color w:val="auto"/>
                      <w:sz w:val="21"/>
                    </w:rPr>
                  </w:pPr>
                  <w:r>
                    <w:rPr>
                      <w:color w:val="auto"/>
                      <w:sz w:val="21"/>
                    </w:rPr>
                    <w:t>间歇性</w:t>
                  </w:r>
                </w:p>
              </w:tc>
            </w:tr>
          </w:tbl>
          <w:p>
            <w:pPr>
              <w:spacing w:line="460" w:lineRule="exact"/>
              <w:ind w:firstLine="480" w:firstLineChars="200"/>
              <w:rPr>
                <w:rFonts w:cs="宋体"/>
                <w:color w:val="auto"/>
                <w:sz w:val="24"/>
                <w:szCs w:val="24"/>
              </w:rPr>
            </w:pPr>
            <w:r>
              <w:rPr>
                <w:rFonts w:hint="eastAsia" w:cs="宋体"/>
                <w:color w:val="auto"/>
                <w:sz w:val="24"/>
                <w:szCs w:val="24"/>
              </w:rPr>
              <w:t>（4）固体废弃物</w:t>
            </w:r>
          </w:p>
          <w:p>
            <w:pPr>
              <w:spacing w:line="460" w:lineRule="exact"/>
              <w:ind w:firstLine="480" w:firstLineChars="200"/>
              <w:rPr>
                <w:rFonts w:cs="宋体"/>
                <w:color w:val="auto"/>
                <w:sz w:val="24"/>
                <w:szCs w:val="24"/>
                <w:shd w:val="clear" w:color="auto" w:fill="auto"/>
              </w:rPr>
            </w:pPr>
            <w:r>
              <w:rPr>
                <w:rFonts w:hint="eastAsia" w:cs="宋体"/>
                <w:color w:val="auto"/>
                <w:sz w:val="24"/>
                <w:szCs w:val="24"/>
              </w:rPr>
              <w:t>施工期产生的固体废弃物主要包括建筑垃圾和施工人员生活垃圾。项目工程建设主体施工阶段，产生的建筑垃圾主要为废砖、各种木质、钢制废板材，施工期产生的可回收废料，如钢筋头、废木板等应尽量由施工单位回收利用，其余运往指定地点消纳。项目用地为农田、旱地，</w:t>
            </w:r>
            <w:r>
              <w:rPr>
                <w:rFonts w:hint="eastAsia" w:cs="宋体"/>
                <w:color w:val="auto"/>
                <w:sz w:val="24"/>
                <w:szCs w:val="24"/>
                <w:shd w:val="clear" w:color="auto" w:fill="auto"/>
              </w:rPr>
              <w:t xml:space="preserve">地势较平坦。施工期施工人员约 </w:t>
            </w:r>
            <w:r>
              <w:rPr>
                <w:rFonts w:hint="eastAsia" w:cs="宋体"/>
                <w:color w:val="auto"/>
                <w:sz w:val="24"/>
                <w:szCs w:val="24"/>
                <w:shd w:val="clear" w:color="auto" w:fill="auto"/>
                <w:lang w:val="en-US" w:eastAsia="zh-CN"/>
              </w:rPr>
              <w:t>5</w:t>
            </w:r>
            <w:r>
              <w:rPr>
                <w:rFonts w:hint="eastAsia" w:cs="宋体"/>
                <w:color w:val="auto"/>
                <w:sz w:val="24"/>
                <w:szCs w:val="24"/>
                <w:shd w:val="clear" w:color="auto" w:fill="auto"/>
              </w:rPr>
              <w:t xml:space="preserve"> 人，生活垃圾按 0.5kg/人•d 计，产生量约为</w:t>
            </w:r>
            <w:r>
              <w:rPr>
                <w:rFonts w:hint="eastAsia" w:cs="宋体"/>
                <w:color w:val="auto"/>
                <w:sz w:val="24"/>
                <w:szCs w:val="24"/>
                <w:shd w:val="clear" w:color="auto" w:fill="auto"/>
                <w:lang w:val="en-US" w:eastAsia="zh-CN"/>
              </w:rPr>
              <w:t>2.5</w:t>
            </w:r>
            <w:r>
              <w:rPr>
                <w:rFonts w:hint="eastAsia" w:cs="宋体"/>
                <w:color w:val="auto"/>
                <w:sz w:val="24"/>
                <w:szCs w:val="24"/>
                <w:shd w:val="clear" w:color="auto" w:fill="auto"/>
              </w:rPr>
              <w:t>kg/d。施工人员产生的生活垃圾由环卫部门清运。</w:t>
            </w:r>
          </w:p>
          <w:p>
            <w:pPr>
              <w:spacing w:line="460" w:lineRule="exact"/>
              <w:ind w:firstLine="480" w:firstLineChars="200"/>
              <w:rPr>
                <w:rFonts w:cs="宋体"/>
                <w:color w:val="auto"/>
                <w:sz w:val="24"/>
                <w:szCs w:val="24"/>
              </w:rPr>
            </w:pPr>
            <w:r>
              <w:rPr>
                <w:rFonts w:hint="eastAsia" w:cs="宋体"/>
                <w:color w:val="auto"/>
                <w:sz w:val="24"/>
                <w:szCs w:val="24"/>
              </w:rPr>
              <w:t>3、生态影响</w:t>
            </w:r>
          </w:p>
          <w:p>
            <w:pPr>
              <w:spacing w:line="460" w:lineRule="exact"/>
              <w:ind w:firstLine="480" w:firstLineChars="200"/>
              <w:rPr>
                <w:rFonts w:cs="宋体"/>
                <w:color w:val="auto"/>
                <w:sz w:val="24"/>
                <w:szCs w:val="24"/>
              </w:rPr>
            </w:pPr>
            <w:r>
              <w:rPr>
                <w:rFonts w:hint="eastAsia" w:cs="宋体"/>
                <w:color w:val="auto"/>
                <w:sz w:val="24"/>
                <w:szCs w:val="24"/>
              </w:rPr>
              <w:t>施工期间对环境的影响主要来自</w:t>
            </w:r>
            <w:r>
              <w:rPr>
                <w:rFonts w:hint="eastAsia" w:cs="宋体"/>
                <w:color w:val="auto"/>
                <w:sz w:val="24"/>
                <w:szCs w:val="24"/>
                <w:lang w:eastAsia="zh-CN"/>
              </w:rPr>
              <w:t>污水处理厂施工以及</w:t>
            </w:r>
            <w:r>
              <w:rPr>
                <w:rFonts w:hint="eastAsia" w:cs="宋体"/>
                <w:color w:val="auto"/>
                <w:sz w:val="24"/>
                <w:szCs w:val="24"/>
              </w:rPr>
              <w:t>管线施工中的开挖管沟和施工机械、车辆、人员践踏等活动对土壤和生态环境的影响，尤其是在开挖管沟约 2~3m 的范围内，植被破坏严重，开挖管沟造成的土体扰动将使土壤的结构、组成及理化特性等发生变化，进而影响土壤的侵蚀状况及植被的生长发育。</w:t>
            </w:r>
          </w:p>
          <w:p>
            <w:pPr>
              <w:spacing w:line="460" w:lineRule="exact"/>
              <w:ind w:firstLine="480" w:firstLineChars="200"/>
              <w:rPr>
                <w:rFonts w:cs="宋体"/>
                <w:color w:val="auto"/>
                <w:sz w:val="24"/>
                <w:szCs w:val="24"/>
              </w:rPr>
            </w:pPr>
            <w:r>
              <w:rPr>
                <w:rFonts w:hint="eastAsia" w:cs="宋体"/>
                <w:color w:val="auto"/>
                <w:sz w:val="24"/>
                <w:szCs w:val="24"/>
              </w:rPr>
              <w:t>1）土地、植被影响</w:t>
            </w:r>
          </w:p>
          <w:p>
            <w:pPr>
              <w:spacing w:line="460" w:lineRule="exact"/>
              <w:ind w:firstLine="480" w:firstLineChars="200"/>
              <w:rPr>
                <w:rFonts w:cs="宋体"/>
                <w:color w:val="auto"/>
                <w:sz w:val="24"/>
                <w:szCs w:val="24"/>
              </w:rPr>
            </w:pPr>
            <w:r>
              <w:rPr>
                <w:rFonts w:hint="eastAsia" w:cs="宋体"/>
                <w:color w:val="auto"/>
                <w:sz w:val="24"/>
                <w:szCs w:val="24"/>
              </w:rPr>
              <w:t>工程施工过程中，由于作业区内地表层的清理、开挖、碾压、践踏等，导致原地表覆盖层的消失，裸露土地增加。而施工作业区地表植被层的破坏，会导致区内植被覆盖度的降低，局地土地系统抗外界环境干挠能力减弱，原有地表稳定性降低，区域内水土流失程度加重。</w:t>
            </w:r>
          </w:p>
          <w:p>
            <w:pPr>
              <w:spacing w:line="460" w:lineRule="exact"/>
              <w:ind w:firstLine="480" w:firstLineChars="200"/>
              <w:rPr>
                <w:rFonts w:cs="宋体"/>
                <w:color w:val="auto"/>
                <w:sz w:val="24"/>
                <w:szCs w:val="24"/>
              </w:rPr>
            </w:pPr>
            <w:r>
              <w:rPr>
                <w:rFonts w:hint="eastAsia" w:cs="宋体"/>
                <w:color w:val="auto"/>
                <w:sz w:val="24"/>
                <w:szCs w:val="24"/>
              </w:rPr>
              <w:t>2）工程土石方开挖环境影响</w:t>
            </w:r>
          </w:p>
          <w:p>
            <w:pPr>
              <w:spacing w:line="460" w:lineRule="exact"/>
              <w:ind w:firstLine="480" w:firstLineChars="200"/>
              <w:rPr>
                <w:rFonts w:cs="宋体"/>
                <w:color w:val="auto"/>
                <w:sz w:val="24"/>
                <w:szCs w:val="24"/>
              </w:rPr>
            </w:pPr>
            <w:r>
              <w:rPr>
                <w:rFonts w:hint="eastAsia" w:cs="宋体"/>
                <w:color w:val="auto"/>
                <w:sz w:val="24"/>
                <w:szCs w:val="24"/>
              </w:rPr>
              <w:t>依据管线工程建设特性，管沟开挖、回填，施工道路的开挖与修筑等工程作业活动， 不仅会形成一定面积的破土区域，而且会产生少量的土石方工程量。土石方的开挖， 将导致工程区域内原地貌形态的改变，地表破碎度的增加，并且在雨季极易产生水土流失，裸露地表易造成土壤的风蚀。</w:t>
            </w:r>
          </w:p>
          <w:p>
            <w:pPr>
              <w:spacing w:line="460" w:lineRule="exact"/>
              <w:ind w:firstLine="482" w:firstLineChars="200"/>
              <w:rPr>
                <w:b/>
                <w:bCs/>
                <w:color w:val="auto"/>
                <w:sz w:val="24"/>
                <w:szCs w:val="24"/>
              </w:rPr>
            </w:pPr>
            <w:r>
              <w:rPr>
                <w:rFonts w:hint="eastAsia" w:cs="宋体"/>
                <w:b/>
                <w:bCs/>
                <w:color w:val="auto"/>
                <w:sz w:val="24"/>
                <w:szCs w:val="24"/>
              </w:rPr>
              <w:t>二、营运期污源染分析</w:t>
            </w:r>
          </w:p>
          <w:p>
            <w:pPr>
              <w:spacing w:line="460" w:lineRule="exact"/>
              <w:ind w:firstLine="480" w:firstLineChars="200"/>
              <w:rPr>
                <w:rFonts w:cs="宋体"/>
                <w:color w:val="auto"/>
                <w:sz w:val="24"/>
                <w:szCs w:val="24"/>
              </w:rPr>
            </w:pPr>
            <w:r>
              <w:rPr>
                <w:rFonts w:hint="eastAsia" w:cs="宋体"/>
                <w:color w:val="auto"/>
                <w:sz w:val="24"/>
                <w:szCs w:val="24"/>
              </w:rPr>
              <w:t>正常运行状态下，污水管网工程无污染产生，因此，本项目营运期污染源主要集中在污水处理厂，具体分析如下：</w:t>
            </w:r>
          </w:p>
          <w:p>
            <w:pPr>
              <w:spacing w:line="460" w:lineRule="exact"/>
              <w:ind w:firstLine="480" w:firstLineChars="200"/>
              <w:rPr>
                <w:rFonts w:cs="宋体"/>
                <w:color w:val="auto"/>
                <w:sz w:val="24"/>
                <w:szCs w:val="24"/>
              </w:rPr>
            </w:pPr>
            <w:r>
              <w:rPr>
                <w:rFonts w:hint="eastAsia" w:cs="宋体"/>
                <w:color w:val="auto"/>
                <w:sz w:val="24"/>
                <w:szCs w:val="24"/>
              </w:rPr>
              <w:t>（1）废水</w:t>
            </w:r>
          </w:p>
          <w:p>
            <w:pPr>
              <w:spacing w:line="460" w:lineRule="exact"/>
              <w:ind w:firstLine="480" w:firstLineChars="200"/>
              <w:rPr>
                <w:rFonts w:cs="宋体"/>
                <w:color w:val="auto"/>
                <w:sz w:val="24"/>
                <w:szCs w:val="24"/>
              </w:rPr>
            </w:pPr>
            <w:r>
              <w:rPr>
                <w:rFonts w:hint="eastAsia" w:cs="宋体"/>
                <w:color w:val="auto"/>
                <w:sz w:val="24"/>
                <w:szCs w:val="24"/>
              </w:rPr>
              <w:t>污水处理厂自身在运行过程中产生少量生活及生产污水，这部分污水经收集后全部进入厂内污水泵房，经提升后再进入污水处理系统进行处理，不直接外排。</w:t>
            </w:r>
          </w:p>
          <w:p>
            <w:pPr>
              <w:spacing w:line="440" w:lineRule="exact"/>
              <w:ind w:firstLine="480" w:firstLineChars="200"/>
              <w:rPr>
                <w:rFonts w:cs="宋体"/>
                <w:color w:val="auto"/>
                <w:sz w:val="24"/>
                <w:szCs w:val="24"/>
              </w:rPr>
            </w:pPr>
            <w:r>
              <w:rPr>
                <w:rFonts w:hint="eastAsia" w:cs="宋体"/>
                <w:color w:val="auto"/>
                <w:sz w:val="24"/>
                <w:szCs w:val="24"/>
              </w:rPr>
              <w:t xml:space="preserve">污水处理厂的处理规模为 </w:t>
            </w:r>
            <w:r>
              <w:rPr>
                <w:rFonts w:hint="eastAsia" w:cs="宋体"/>
                <w:color w:val="auto"/>
                <w:sz w:val="24"/>
                <w:szCs w:val="24"/>
                <w:lang w:val="en-US" w:eastAsia="zh-CN"/>
              </w:rPr>
              <w:t>300</w:t>
            </w:r>
            <w:r>
              <w:rPr>
                <w:rFonts w:hint="eastAsia" w:cs="宋体"/>
                <w:color w:val="auto"/>
                <w:sz w:val="24"/>
                <w:szCs w:val="24"/>
              </w:rPr>
              <w:t>m</w:t>
            </w:r>
            <w:r>
              <w:rPr>
                <w:rFonts w:hint="eastAsia" w:cs="宋体"/>
                <w:color w:val="auto"/>
                <w:sz w:val="24"/>
                <w:szCs w:val="24"/>
                <w:vertAlign w:val="superscript"/>
              </w:rPr>
              <w:t>3</w:t>
            </w:r>
            <w:r>
              <w:rPr>
                <w:rFonts w:hint="eastAsia" w:cs="宋体"/>
                <w:color w:val="auto"/>
                <w:sz w:val="24"/>
                <w:szCs w:val="24"/>
              </w:rPr>
              <w:t>/d，污水经处理后，达到《城镇污水处理厂污染物排放标准》一级 A 排放标准，处理后的主要污染物的排放浓度及排放量见表</w:t>
            </w:r>
            <w:r>
              <w:rPr>
                <w:rFonts w:hint="eastAsia" w:cs="宋体"/>
                <w:color w:val="auto"/>
                <w:sz w:val="24"/>
                <w:szCs w:val="24"/>
                <w:lang w:val="en-US" w:eastAsia="zh-CN"/>
              </w:rPr>
              <w:t>22</w:t>
            </w:r>
            <w:r>
              <w:rPr>
                <w:rFonts w:hint="eastAsia" w:cs="宋体"/>
                <w:color w:val="auto"/>
                <w:sz w:val="24"/>
                <w:szCs w:val="24"/>
              </w:rPr>
              <w:t>。</w:t>
            </w:r>
          </w:p>
          <w:p>
            <w:pPr>
              <w:spacing w:line="460" w:lineRule="exact"/>
              <w:ind w:firstLine="482" w:firstLineChars="200"/>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22</w:t>
            </w:r>
            <w:r>
              <w:rPr>
                <w:rFonts w:hint="eastAsia" w:cs="宋体"/>
                <w:b/>
                <w:bCs/>
                <w:color w:val="auto"/>
                <w:sz w:val="24"/>
                <w:szCs w:val="24"/>
              </w:rPr>
              <w:tab/>
            </w:r>
            <w:r>
              <w:rPr>
                <w:rFonts w:hint="eastAsia" w:cs="宋体"/>
                <w:b/>
                <w:bCs/>
                <w:color w:val="auto"/>
                <w:sz w:val="24"/>
                <w:szCs w:val="24"/>
              </w:rPr>
              <w:t>正常工况情况下主要污染物排放情况</w:t>
            </w:r>
          </w:p>
          <w:tbl>
            <w:tblPr>
              <w:tblStyle w:val="29"/>
              <w:tblW w:w="77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9"/>
              <w:gridCol w:w="1037"/>
              <w:gridCol w:w="1079"/>
              <w:gridCol w:w="1288"/>
              <w:gridCol w:w="1290"/>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污染物</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CODcr</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BOD</w:t>
                  </w:r>
                  <w:r>
                    <w:rPr>
                      <w:rFonts w:hint="eastAsia" w:cs="宋体"/>
                      <w:color w:val="auto"/>
                      <w:sz w:val="21"/>
                      <w:szCs w:val="21"/>
                      <w:vertAlign w:val="subscript"/>
                    </w:rPr>
                    <w:t>5</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NH3-N</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SS</w:t>
                  </w:r>
                </w:p>
              </w:tc>
              <w:tc>
                <w:tcPr>
                  <w:tcW w:w="1290" w:type="dxa"/>
                  <w:vAlign w:val="center"/>
                </w:tcPr>
                <w:p>
                  <w:pPr>
                    <w:spacing w:line="240" w:lineRule="atLeast"/>
                    <w:jc w:val="center"/>
                    <w:rPr>
                      <w:color w:val="auto"/>
                    </w:rPr>
                  </w:pPr>
                  <w:r>
                    <w:rPr>
                      <w:rFonts w:hint="eastAsia" w:cs="宋体"/>
                      <w:color w:val="auto"/>
                      <w:sz w:val="21"/>
                      <w:szCs w:val="21"/>
                    </w:rPr>
                    <w:t>TP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排放浓度（mg/L）</w:t>
                  </w:r>
                </w:p>
              </w:tc>
              <w:tc>
                <w:tcPr>
                  <w:tcW w:w="1037" w:type="dxa"/>
                  <w:vAlign w:val="center"/>
                </w:tcPr>
                <w:p>
                  <w:pPr>
                    <w:spacing w:line="240" w:lineRule="atLeast"/>
                    <w:jc w:val="center"/>
                    <w:rPr>
                      <w:rFonts w:cs="宋体"/>
                      <w:color w:val="auto"/>
                      <w:sz w:val="21"/>
                      <w:szCs w:val="21"/>
                    </w:rPr>
                  </w:pPr>
                  <w:r>
                    <w:rPr>
                      <w:rFonts w:hint="eastAsia" w:cs="宋体"/>
                      <w:color w:val="auto"/>
                      <w:sz w:val="21"/>
                      <w:szCs w:val="21"/>
                    </w:rPr>
                    <w:t>50</w:t>
                  </w:r>
                </w:p>
              </w:tc>
              <w:tc>
                <w:tcPr>
                  <w:tcW w:w="1079"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88" w:type="dxa"/>
                  <w:vAlign w:val="center"/>
                </w:tcPr>
                <w:p>
                  <w:pPr>
                    <w:spacing w:line="240" w:lineRule="atLeast"/>
                    <w:jc w:val="center"/>
                    <w:rPr>
                      <w:rFonts w:cs="宋体"/>
                      <w:color w:val="auto"/>
                      <w:sz w:val="21"/>
                      <w:szCs w:val="21"/>
                    </w:rPr>
                  </w:pPr>
                  <w:r>
                    <w:rPr>
                      <w:rFonts w:hint="eastAsia" w:cs="宋体"/>
                      <w:color w:val="auto"/>
                      <w:sz w:val="21"/>
                      <w:szCs w:val="21"/>
                    </w:rPr>
                    <w:t>5</w:t>
                  </w:r>
                </w:p>
              </w:tc>
              <w:tc>
                <w:tcPr>
                  <w:tcW w:w="1290" w:type="dxa"/>
                  <w:vAlign w:val="center"/>
                </w:tcPr>
                <w:p>
                  <w:pPr>
                    <w:spacing w:line="240" w:lineRule="atLeast"/>
                    <w:jc w:val="center"/>
                    <w:rPr>
                      <w:rFonts w:cs="宋体"/>
                      <w:color w:val="auto"/>
                      <w:sz w:val="21"/>
                      <w:szCs w:val="21"/>
                    </w:rPr>
                  </w:pPr>
                  <w:r>
                    <w:rPr>
                      <w:rFonts w:hint="eastAsia" w:cs="宋体"/>
                      <w:color w:val="auto"/>
                      <w:sz w:val="21"/>
                      <w:szCs w:val="21"/>
                    </w:rPr>
                    <w:t>10</w:t>
                  </w:r>
                </w:p>
              </w:tc>
              <w:tc>
                <w:tcPr>
                  <w:tcW w:w="1290" w:type="dxa"/>
                  <w:vAlign w:val="center"/>
                </w:tcPr>
                <w:p>
                  <w:pPr>
                    <w:spacing w:line="240" w:lineRule="atLeast"/>
                    <w:jc w:val="center"/>
                    <w:rPr>
                      <w:color w:val="auto"/>
                    </w:rPr>
                  </w:pPr>
                  <w:r>
                    <w:rPr>
                      <w:rFonts w:hint="eastAsia" w:cs="宋体"/>
                      <w:color w:val="auto"/>
                      <w:sz w:val="21"/>
                      <w:szCs w:val="21"/>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1749" w:type="dxa"/>
                  <w:vAlign w:val="center"/>
                </w:tcPr>
                <w:p>
                  <w:pPr>
                    <w:spacing w:line="240" w:lineRule="atLeast"/>
                    <w:jc w:val="center"/>
                    <w:rPr>
                      <w:rFonts w:cs="宋体"/>
                      <w:color w:val="auto"/>
                      <w:sz w:val="21"/>
                      <w:szCs w:val="21"/>
                    </w:rPr>
                  </w:pPr>
                  <w:r>
                    <w:rPr>
                      <w:rFonts w:hint="eastAsia" w:cs="宋体"/>
                      <w:color w:val="auto"/>
                      <w:sz w:val="21"/>
                      <w:szCs w:val="21"/>
                    </w:rPr>
                    <w:t>排放量（t/d）</w:t>
                  </w:r>
                </w:p>
              </w:tc>
              <w:tc>
                <w:tcPr>
                  <w:tcW w:w="1037" w:type="dxa"/>
                  <w:vAlign w:val="center"/>
                </w:tcPr>
                <w:p>
                  <w:pPr>
                    <w:spacing w:line="240" w:lineRule="atLeast"/>
                    <w:jc w:val="center"/>
                    <w:rPr>
                      <w:rFonts w:hint="default" w:eastAsia="宋体" w:cs="宋体"/>
                      <w:color w:val="auto"/>
                      <w:sz w:val="21"/>
                      <w:szCs w:val="21"/>
                      <w:lang w:val="en-US" w:eastAsia="zh-CN"/>
                    </w:rPr>
                  </w:pPr>
                  <w:r>
                    <w:rPr>
                      <w:rFonts w:hint="eastAsia" w:cs="宋体"/>
                      <w:color w:val="auto"/>
                      <w:sz w:val="21"/>
                      <w:szCs w:val="21"/>
                    </w:rPr>
                    <w:t>0.0</w:t>
                  </w:r>
                  <w:r>
                    <w:rPr>
                      <w:rFonts w:hint="eastAsia" w:cs="宋体"/>
                      <w:color w:val="auto"/>
                      <w:sz w:val="21"/>
                      <w:szCs w:val="21"/>
                      <w:lang w:val="en-US" w:eastAsia="zh-CN"/>
                    </w:rPr>
                    <w:t>15</w:t>
                  </w:r>
                </w:p>
              </w:tc>
              <w:tc>
                <w:tcPr>
                  <w:tcW w:w="1079" w:type="dxa"/>
                  <w:vAlign w:val="center"/>
                </w:tcPr>
                <w:p>
                  <w:pPr>
                    <w:spacing w:line="240" w:lineRule="atLeast"/>
                    <w:jc w:val="center"/>
                    <w:rPr>
                      <w:rFonts w:hint="eastAsia" w:eastAsia="宋体" w:cs="宋体"/>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3</w:t>
                  </w:r>
                </w:p>
              </w:tc>
              <w:tc>
                <w:tcPr>
                  <w:tcW w:w="1288" w:type="dxa"/>
                  <w:vAlign w:val="center"/>
                </w:tcPr>
                <w:p>
                  <w:pPr>
                    <w:spacing w:line="240" w:lineRule="atLeast"/>
                    <w:jc w:val="center"/>
                    <w:rPr>
                      <w:rFonts w:hint="default" w:eastAsia="宋体" w:cs="宋体"/>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15</w:t>
                  </w:r>
                </w:p>
              </w:tc>
              <w:tc>
                <w:tcPr>
                  <w:tcW w:w="1290" w:type="dxa"/>
                  <w:vAlign w:val="center"/>
                </w:tcPr>
                <w:p>
                  <w:pPr>
                    <w:spacing w:line="240" w:lineRule="atLeast"/>
                    <w:jc w:val="center"/>
                    <w:rPr>
                      <w:rFonts w:hint="eastAsia" w:eastAsia="宋体" w:cs="宋体"/>
                      <w:color w:val="auto"/>
                      <w:sz w:val="21"/>
                      <w:szCs w:val="21"/>
                      <w:lang w:val="en-US" w:eastAsia="zh-CN"/>
                    </w:rPr>
                  </w:pPr>
                  <w:r>
                    <w:rPr>
                      <w:rFonts w:hint="eastAsia" w:cs="宋体"/>
                      <w:color w:val="auto"/>
                      <w:sz w:val="21"/>
                      <w:szCs w:val="21"/>
                    </w:rPr>
                    <w:t>0.00</w:t>
                  </w:r>
                  <w:r>
                    <w:rPr>
                      <w:rFonts w:hint="eastAsia" w:cs="宋体"/>
                      <w:color w:val="auto"/>
                      <w:sz w:val="21"/>
                      <w:szCs w:val="21"/>
                      <w:lang w:val="en-US" w:eastAsia="zh-CN"/>
                    </w:rPr>
                    <w:t>3</w:t>
                  </w:r>
                </w:p>
              </w:tc>
              <w:tc>
                <w:tcPr>
                  <w:tcW w:w="1290" w:type="dxa"/>
                  <w:vAlign w:val="center"/>
                </w:tcPr>
                <w:p>
                  <w:pPr>
                    <w:spacing w:line="240" w:lineRule="atLeast"/>
                    <w:jc w:val="center"/>
                    <w:rPr>
                      <w:rFonts w:hint="default" w:eastAsia="宋体"/>
                      <w:color w:val="auto"/>
                      <w:lang w:val="en-US" w:eastAsia="zh-CN"/>
                    </w:rPr>
                  </w:pPr>
                  <w:r>
                    <w:rPr>
                      <w:rFonts w:hint="eastAsia" w:cs="宋体"/>
                      <w:color w:val="auto"/>
                      <w:sz w:val="21"/>
                      <w:szCs w:val="21"/>
                    </w:rPr>
                    <w:t>0.000</w:t>
                  </w:r>
                  <w:r>
                    <w:rPr>
                      <w:rFonts w:hint="eastAsia" w:cs="宋体"/>
                      <w:color w:val="auto"/>
                      <w:sz w:val="21"/>
                      <w:szCs w:val="21"/>
                      <w:lang w:val="en-US" w:eastAsia="zh-CN"/>
                    </w:rPr>
                    <w:t>15</w:t>
                  </w:r>
                </w:p>
              </w:tc>
            </w:tr>
          </w:tbl>
          <w:p>
            <w:pPr>
              <w:spacing w:line="460" w:lineRule="exact"/>
              <w:ind w:firstLine="480" w:firstLineChars="200"/>
              <w:rPr>
                <w:color w:val="auto"/>
                <w:sz w:val="24"/>
                <w:szCs w:val="24"/>
              </w:rPr>
            </w:pPr>
            <w:r>
              <w:rPr>
                <w:rFonts w:hint="eastAsia" w:cs="宋体"/>
                <w:color w:val="auto"/>
                <w:sz w:val="24"/>
                <w:szCs w:val="24"/>
              </w:rPr>
              <w:t>（</w:t>
            </w:r>
            <w:r>
              <w:rPr>
                <w:rFonts w:hint="eastAsia"/>
                <w:color w:val="auto"/>
                <w:sz w:val="24"/>
                <w:szCs w:val="24"/>
              </w:rPr>
              <w:t>2</w:t>
            </w:r>
            <w:r>
              <w:rPr>
                <w:rFonts w:hint="eastAsia" w:cs="宋体"/>
                <w:color w:val="auto"/>
                <w:sz w:val="24"/>
                <w:szCs w:val="24"/>
              </w:rPr>
              <w:t>）废气</w:t>
            </w:r>
          </w:p>
          <w:p>
            <w:pPr>
              <w:spacing w:line="460" w:lineRule="exact"/>
              <w:ind w:firstLine="476"/>
              <w:rPr>
                <w:rFonts w:cs="宋体"/>
                <w:color w:val="auto"/>
                <w:sz w:val="24"/>
                <w:szCs w:val="24"/>
              </w:rPr>
            </w:pPr>
            <w:r>
              <w:rPr>
                <w:rFonts w:hint="eastAsia" w:cs="宋体"/>
                <w:color w:val="auto"/>
                <w:sz w:val="24"/>
                <w:szCs w:val="24"/>
                <w:shd w:val="clear" w:color="auto" w:fill="auto"/>
              </w:rPr>
              <w:t>废气主要为污水和污泥产生的臭气，臭气中主要污染物为</w:t>
            </w:r>
            <w:r>
              <w:rPr>
                <w:color w:val="auto"/>
                <w:sz w:val="24"/>
                <w:szCs w:val="24"/>
                <w:shd w:val="clear" w:color="auto" w:fill="auto"/>
              </w:rPr>
              <w:t>H</w:t>
            </w:r>
            <w:r>
              <w:rPr>
                <w:color w:val="auto"/>
                <w:sz w:val="24"/>
                <w:szCs w:val="24"/>
                <w:shd w:val="clear" w:color="auto" w:fill="auto"/>
                <w:vertAlign w:val="subscript"/>
              </w:rPr>
              <w:t>2</w:t>
            </w:r>
            <w:r>
              <w:rPr>
                <w:color w:val="auto"/>
                <w:sz w:val="24"/>
                <w:szCs w:val="24"/>
                <w:shd w:val="clear" w:color="auto" w:fill="auto"/>
              </w:rPr>
              <w:t>S</w:t>
            </w:r>
            <w:r>
              <w:rPr>
                <w:rFonts w:hint="eastAsia" w:cs="宋体"/>
                <w:color w:val="auto"/>
                <w:sz w:val="24"/>
                <w:szCs w:val="24"/>
                <w:shd w:val="clear" w:color="auto" w:fill="auto"/>
              </w:rPr>
              <w:t>、</w:t>
            </w:r>
            <w:r>
              <w:rPr>
                <w:color w:val="auto"/>
                <w:sz w:val="24"/>
                <w:szCs w:val="24"/>
                <w:shd w:val="clear" w:color="auto" w:fill="auto"/>
              </w:rPr>
              <w:t>NH</w:t>
            </w:r>
            <w:r>
              <w:rPr>
                <w:color w:val="auto"/>
                <w:sz w:val="24"/>
                <w:szCs w:val="24"/>
                <w:shd w:val="clear" w:color="auto" w:fill="auto"/>
                <w:vertAlign w:val="subscript"/>
              </w:rPr>
              <w:t>3</w:t>
            </w:r>
            <w:r>
              <w:rPr>
                <w:rFonts w:hint="eastAsia" w:cs="宋体"/>
                <w:color w:val="auto"/>
                <w:sz w:val="24"/>
                <w:szCs w:val="24"/>
                <w:shd w:val="clear" w:color="auto" w:fill="auto"/>
              </w:rPr>
              <w:t>等。污水处理厂的恶臭污染源主要排放环节为格栅渠、ACM生物处理系统、储泥池、污泥脱水机房。由于污泥的主要成分为有机物，污泥中的有机物较易分解，容易产生臭气而污染环境，污泥处理工序是污水厂的最强臭气源，其产生的恶臭强度最大，恶臭污染物主要是 H</w:t>
            </w:r>
            <w:r>
              <w:rPr>
                <w:rFonts w:hint="eastAsia" w:cs="宋体"/>
                <w:color w:val="auto"/>
                <w:sz w:val="24"/>
                <w:szCs w:val="24"/>
                <w:shd w:val="clear" w:color="auto" w:fill="auto"/>
                <w:vertAlign w:val="subscript"/>
              </w:rPr>
              <w:t>2</w:t>
            </w:r>
            <w:r>
              <w:rPr>
                <w:rFonts w:hint="eastAsia" w:cs="宋体"/>
                <w:color w:val="auto"/>
                <w:sz w:val="24"/>
                <w:szCs w:val="24"/>
                <w:shd w:val="clear" w:color="auto" w:fill="auto"/>
              </w:rPr>
              <w:t>S、NH</w:t>
            </w:r>
            <w:r>
              <w:rPr>
                <w:rFonts w:hint="eastAsia" w:cs="宋体"/>
                <w:color w:val="auto"/>
                <w:sz w:val="24"/>
                <w:szCs w:val="24"/>
                <w:shd w:val="clear" w:color="auto" w:fill="auto"/>
                <w:vertAlign w:val="subscript"/>
              </w:rPr>
              <w:t>3</w:t>
            </w:r>
            <w:r>
              <w:rPr>
                <w:rFonts w:hint="eastAsia" w:cs="宋体"/>
                <w:color w:val="auto"/>
                <w:sz w:val="24"/>
                <w:szCs w:val="24"/>
                <w:shd w:val="clear" w:color="auto" w:fill="auto"/>
              </w:rPr>
              <w:t xml:space="preserve"> 等成份，并随季节、温度的变化臭气强度有所</w:t>
            </w:r>
            <w:r>
              <w:rPr>
                <w:rFonts w:hint="eastAsia" w:cs="宋体"/>
                <w:color w:val="auto"/>
                <w:sz w:val="24"/>
                <w:szCs w:val="24"/>
              </w:rPr>
              <w:t>变化，夏季气温高，臭气强；冬季气温低，臭气弱。同时臭气的散发还与水温、污水中有机物浓度、水流紊动状态和水面暴露面积等因素有关，恶臭污染源多属无组织排放，污染源强很难通过具体计算公式求得。</w:t>
            </w:r>
          </w:p>
          <w:p>
            <w:pPr>
              <w:spacing w:line="460" w:lineRule="exact"/>
              <w:ind w:firstLine="480" w:firstLineChars="200"/>
              <w:rPr>
                <w:color w:val="auto"/>
                <w:sz w:val="24"/>
                <w:szCs w:val="24"/>
                <w:shd w:val="clear" w:color="auto" w:fill="auto"/>
              </w:rPr>
            </w:pPr>
            <w:r>
              <w:rPr>
                <w:rFonts w:hint="eastAsia"/>
                <w:color w:val="auto"/>
                <w:sz w:val="24"/>
                <w:szCs w:val="24"/>
                <w:shd w:val="clear" w:color="auto" w:fill="auto"/>
              </w:rPr>
              <w:t>由于污水处理厂臭气散发不稳定，与气候、气象条件等诸多因素有关。据美国</w:t>
            </w:r>
            <w:r>
              <w:rPr>
                <w:color w:val="auto"/>
                <w:sz w:val="24"/>
                <w:szCs w:val="24"/>
                <w:shd w:val="clear" w:color="auto" w:fill="auto"/>
              </w:rPr>
              <w:t>EPA</w:t>
            </w:r>
            <w:r>
              <w:rPr>
                <w:rFonts w:hint="eastAsia"/>
                <w:color w:val="auto"/>
                <w:sz w:val="24"/>
                <w:szCs w:val="24"/>
                <w:shd w:val="clear" w:color="auto" w:fill="auto"/>
              </w:rPr>
              <w:t>对城市污水处理厂恶臭污染物产生情况的研究，每处理</w:t>
            </w:r>
            <w:r>
              <w:rPr>
                <w:color w:val="auto"/>
                <w:sz w:val="24"/>
                <w:szCs w:val="24"/>
                <w:shd w:val="clear" w:color="auto" w:fill="auto"/>
              </w:rPr>
              <w:t>1g</w:t>
            </w:r>
            <w:r>
              <w:rPr>
                <w:rFonts w:hint="eastAsia"/>
                <w:color w:val="auto"/>
                <w:sz w:val="24"/>
                <w:szCs w:val="24"/>
                <w:shd w:val="clear" w:color="auto" w:fill="auto"/>
              </w:rPr>
              <w:t>的</w:t>
            </w:r>
            <w:r>
              <w:rPr>
                <w:color w:val="auto"/>
                <w:sz w:val="24"/>
                <w:szCs w:val="24"/>
                <w:shd w:val="clear" w:color="auto" w:fill="auto"/>
              </w:rPr>
              <w:t>BOD</w:t>
            </w:r>
            <w:r>
              <w:rPr>
                <w:color w:val="auto"/>
                <w:sz w:val="24"/>
                <w:szCs w:val="24"/>
                <w:shd w:val="clear" w:color="auto" w:fill="auto"/>
                <w:vertAlign w:val="subscript"/>
              </w:rPr>
              <w:t>5</w:t>
            </w:r>
            <w:r>
              <w:rPr>
                <w:rFonts w:hint="eastAsia"/>
                <w:color w:val="auto"/>
                <w:sz w:val="24"/>
                <w:szCs w:val="24"/>
                <w:shd w:val="clear" w:color="auto" w:fill="auto"/>
              </w:rPr>
              <w:t>，可产生</w:t>
            </w:r>
            <w:r>
              <w:rPr>
                <w:color w:val="auto"/>
                <w:sz w:val="24"/>
                <w:szCs w:val="24"/>
                <w:shd w:val="clear" w:color="auto" w:fill="auto"/>
              </w:rPr>
              <w:t>0.0031g</w:t>
            </w:r>
            <w:r>
              <w:rPr>
                <w:rFonts w:hint="eastAsia"/>
                <w:color w:val="auto"/>
                <w:sz w:val="24"/>
                <w:szCs w:val="24"/>
                <w:shd w:val="clear" w:color="auto" w:fill="auto"/>
              </w:rPr>
              <w:t>的</w:t>
            </w:r>
            <w:r>
              <w:rPr>
                <w:color w:val="auto"/>
                <w:sz w:val="24"/>
                <w:szCs w:val="24"/>
                <w:shd w:val="clear" w:color="auto" w:fill="auto"/>
              </w:rPr>
              <w:t>NH</w:t>
            </w:r>
            <w:r>
              <w:rPr>
                <w:color w:val="auto"/>
                <w:sz w:val="24"/>
                <w:szCs w:val="24"/>
                <w:shd w:val="clear" w:color="auto" w:fill="auto"/>
                <w:vertAlign w:val="subscript"/>
              </w:rPr>
              <w:t>3</w:t>
            </w:r>
            <w:r>
              <w:rPr>
                <w:rFonts w:hint="eastAsia"/>
                <w:color w:val="auto"/>
                <w:sz w:val="24"/>
                <w:szCs w:val="24"/>
                <w:shd w:val="clear" w:color="auto" w:fill="auto"/>
              </w:rPr>
              <w:t>、</w:t>
            </w:r>
            <w:r>
              <w:rPr>
                <w:color w:val="auto"/>
                <w:sz w:val="24"/>
                <w:szCs w:val="24"/>
                <w:shd w:val="clear" w:color="auto" w:fill="auto"/>
              </w:rPr>
              <w:t>0.00012g</w:t>
            </w:r>
            <w:r>
              <w:rPr>
                <w:rFonts w:hint="eastAsia"/>
                <w:color w:val="auto"/>
                <w:sz w:val="24"/>
                <w:szCs w:val="24"/>
                <w:shd w:val="clear" w:color="auto" w:fill="auto"/>
              </w:rPr>
              <w:t>的</w:t>
            </w:r>
            <w:r>
              <w:rPr>
                <w:color w:val="auto"/>
                <w:sz w:val="24"/>
                <w:szCs w:val="24"/>
                <w:shd w:val="clear" w:color="auto" w:fill="auto"/>
              </w:rPr>
              <w:t>H</w:t>
            </w:r>
            <w:r>
              <w:rPr>
                <w:color w:val="auto"/>
                <w:sz w:val="24"/>
                <w:szCs w:val="24"/>
                <w:shd w:val="clear" w:color="auto" w:fill="auto"/>
                <w:vertAlign w:val="subscript"/>
              </w:rPr>
              <w:t>2</w:t>
            </w:r>
            <w:r>
              <w:rPr>
                <w:color w:val="auto"/>
                <w:sz w:val="24"/>
                <w:szCs w:val="24"/>
                <w:shd w:val="clear" w:color="auto" w:fill="auto"/>
              </w:rPr>
              <w:t>S</w:t>
            </w:r>
            <w:r>
              <w:rPr>
                <w:rFonts w:hint="eastAsia"/>
                <w:color w:val="auto"/>
                <w:sz w:val="24"/>
                <w:szCs w:val="24"/>
                <w:shd w:val="clear" w:color="auto" w:fill="auto"/>
              </w:rPr>
              <w:t>。本工程废水处理规模为</w:t>
            </w:r>
            <w:r>
              <w:rPr>
                <w:rFonts w:hint="eastAsia"/>
                <w:color w:val="auto"/>
                <w:sz w:val="24"/>
                <w:szCs w:val="24"/>
                <w:shd w:val="clear" w:color="auto" w:fill="auto"/>
                <w:lang w:val="en-US" w:eastAsia="zh-CN"/>
              </w:rPr>
              <w:t>3</w:t>
            </w:r>
            <w:r>
              <w:rPr>
                <w:color w:val="auto"/>
                <w:sz w:val="24"/>
                <w:szCs w:val="24"/>
                <w:shd w:val="clear" w:color="auto" w:fill="auto"/>
              </w:rPr>
              <w:t>00m</w:t>
            </w:r>
            <w:r>
              <w:rPr>
                <w:color w:val="auto"/>
                <w:sz w:val="24"/>
                <w:szCs w:val="24"/>
                <w:shd w:val="clear" w:color="auto" w:fill="auto"/>
                <w:vertAlign w:val="superscript"/>
              </w:rPr>
              <w:t>3</w:t>
            </w:r>
            <w:r>
              <w:rPr>
                <w:color w:val="auto"/>
                <w:sz w:val="24"/>
                <w:szCs w:val="24"/>
                <w:shd w:val="clear" w:color="auto" w:fill="auto"/>
              </w:rPr>
              <w:t>/d</w:t>
            </w:r>
            <w:r>
              <w:rPr>
                <w:rFonts w:hint="eastAsia"/>
                <w:color w:val="auto"/>
                <w:sz w:val="24"/>
                <w:szCs w:val="24"/>
                <w:shd w:val="clear" w:color="auto" w:fill="auto"/>
              </w:rPr>
              <w:t>，污水处理设施为</w:t>
            </w:r>
            <w:r>
              <w:rPr>
                <w:color w:val="auto"/>
                <w:sz w:val="24"/>
                <w:szCs w:val="24"/>
                <w:shd w:val="clear" w:color="auto" w:fill="auto"/>
              </w:rPr>
              <w:t>24</w:t>
            </w:r>
            <w:r>
              <w:rPr>
                <w:rFonts w:hint="eastAsia"/>
                <w:color w:val="auto"/>
                <w:sz w:val="24"/>
                <w:szCs w:val="24"/>
                <w:shd w:val="clear" w:color="auto" w:fill="auto"/>
              </w:rPr>
              <w:t>小时运行，年运行</w:t>
            </w:r>
            <w:r>
              <w:rPr>
                <w:color w:val="auto"/>
                <w:sz w:val="24"/>
                <w:szCs w:val="24"/>
                <w:shd w:val="clear" w:color="auto" w:fill="auto"/>
              </w:rPr>
              <w:t>365</w:t>
            </w:r>
            <w:r>
              <w:rPr>
                <w:rFonts w:hint="eastAsia"/>
                <w:color w:val="auto"/>
                <w:sz w:val="24"/>
                <w:szCs w:val="24"/>
                <w:shd w:val="clear" w:color="auto" w:fill="auto"/>
              </w:rPr>
              <w:t>天。</w:t>
            </w:r>
            <w:r>
              <w:rPr>
                <w:rFonts w:hint="eastAsia"/>
                <w:snapToGrid w:val="0"/>
                <w:color w:val="auto"/>
                <w:sz w:val="24"/>
                <w:szCs w:val="24"/>
                <w:shd w:val="clear" w:color="auto" w:fill="auto"/>
              </w:rPr>
              <w:t>根据分析，进</w:t>
            </w:r>
            <w:r>
              <w:rPr>
                <w:rFonts w:hint="eastAsia"/>
                <w:color w:val="auto"/>
                <w:sz w:val="24"/>
                <w:szCs w:val="24"/>
                <w:shd w:val="clear" w:color="auto" w:fill="auto"/>
              </w:rPr>
              <w:t>水中</w:t>
            </w:r>
            <w:r>
              <w:rPr>
                <w:color w:val="auto"/>
                <w:sz w:val="24"/>
                <w:szCs w:val="24"/>
                <w:shd w:val="clear" w:color="auto" w:fill="auto"/>
              </w:rPr>
              <w:t>BOD</w:t>
            </w:r>
            <w:r>
              <w:rPr>
                <w:color w:val="auto"/>
                <w:sz w:val="24"/>
                <w:szCs w:val="24"/>
                <w:shd w:val="clear" w:color="auto" w:fill="auto"/>
                <w:vertAlign w:val="subscript"/>
              </w:rPr>
              <w:t>5</w:t>
            </w:r>
            <w:r>
              <w:rPr>
                <w:rFonts w:hint="eastAsia"/>
                <w:color w:val="auto"/>
                <w:sz w:val="24"/>
                <w:szCs w:val="24"/>
                <w:shd w:val="clear" w:color="auto" w:fill="auto"/>
              </w:rPr>
              <w:t>浓度</w:t>
            </w:r>
            <w:r>
              <w:rPr>
                <w:color w:val="auto"/>
                <w:sz w:val="24"/>
                <w:szCs w:val="24"/>
                <w:shd w:val="clear" w:color="auto" w:fill="auto"/>
              </w:rPr>
              <w:t>1</w:t>
            </w:r>
            <w:r>
              <w:rPr>
                <w:rFonts w:hint="eastAsia"/>
                <w:color w:val="auto"/>
                <w:sz w:val="24"/>
                <w:szCs w:val="24"/>
                <w:shd w:val="clear" w:color="auto" w:fill="auto"/>
              </w:rPr>
              <w:t>2</w:t>
            </w:r>
            <w:r>
              <w:rPr>
                <w:rFonts w:hint="eastAsia"/>
                <w:color w:val="auto"/>
                <w:sz w:val="24"/>
                <w:szCs w:val="24"/>
                <w:shd w:val="clear" w:color="auto" w:fill="auto"/>
                <w:lang w:val="en-US" w:eastAsia="zh-CN"/>
              </w:rPr>
              <w:t>5</w:t>
            </w:r>
            <w:r>
              <w:rPr>
                <w:color w:val="auto"/>
                <w:sz w:val="24"/>
                <w:szCs w:val="24"/>
                <w:shd w:val="clear" w:color="auto" w:fill="auto"/>
              </w:rPr>
              <w:t>mg/L</w:t>
            </w:r>
            <w:r>
              <w:rPr>
                <w:rFonts w:hint="eastAsia"/>
                <w:color w:val="auto"/>
                <w:sz w:val="24"/>
                <w:szCs w:val="24"/>
                <w:shd w:val="clear" w:color="auto" w:fill="auto"/>
              </w:rPr>
              <w:t>，最终排放浓度</w:t>
            </w:r>
            <w:r>
              <w:rPr>
                <w:color w:val="auto"/>
                <w:sz w:val="24"/>
                <w:szCs w:val="24"/>
                <w:shd w:val="clear" w:color="auto" w:fill="auto"/>
              </w:rPr>
              <w:t>10mg/L</w:t>
            </w:r>
            <w:r>
              <w:rPr>
                <w:rFonts w:hint="eastAsia"/>
                <w:color w:val="auto"/>
                <w:sz w:val="24"/>
                <w:szCs w:val="24"/>
                <w:shd w:val="clear" w:color="auto" w:fill="auto"/>
              </w:rPr>
              <w:t>，日处理</w:t>
            </w:r>
            <w:r>
              <w:rPr>
                <w:color w:val="auto"/>
                <w:sz w:val="24"/>
                <w:szCs w:val="24"/>
                <w:shd w:val="clear" w:color="auto" w:fill="auto"/>
              </w:rPr>
              <w:t>BOD</w:t>
            </w:r>
            <w:r>
              <w:rPr>
                <w:color w:val="auto"/>
                <w:sz w:val="24"/>
                <w:szCs w:val="24"/>
                <w:shd w:val="clear" w:color="auto" w:fill="auto"/>
                <w:vertAlign w:val="subscript"/>
              </w:rPr>
              <w:t>5</w:t>
            </w:r>
            <w:r>
              <w:rPr>
                <w:rFonts w:hint="eastAsia"/>
                <w:color w:val="auto"/>
                <w:sz w:val="24"/>
                <w:szCs w:val="24"/>
                <w:shd w:val="clear" w:color="auto" w:fill="auto"/>
                <w:vertAlign w:val="subscript"/>
              </w:rPr>
              <w:t xml:space="preserve"> </w:t>
            </w:r>
            <w:r>
              <w:rPr>
                <w:rFonts w:hint="eastAsia"/>
                <w:color w:val="auto"/>
                <w:sz w:val="24"/>
                <w:szCs w:val="24"/>
                <w:shd w:val="clear" w:color="auto" w:fill="auto"/>
                <w:lang w:val="en-US" w:eastAsia="zh-CN"/>
              </w:rPr>
              <w:t>34.5</w:t>
            </w:r>
            <w:r>
              <w:rPr>
                <w:rFonts w:hint="eastAsia"/>
                <w:color w:val="auto"/>
                <w:sz w:val="24"/>
                <w:szCs w:val="24"/>
                <w:shd w:val="clear" w:color="auto" w:fill="auto"/>
              </w:rPr>
              <w:t>kg，则</w:t>
            </w:r>
            <w:r>
              <w:rPr>
                <w:color w:val="auto"/>
                <w:sz w:val="24"/>
                <w:szCs w:val="24"/>
                <w:shd w:val="clear" w:color="auto" w:fill="auto"/>
              </w:rPr>
              <w:t>NH</w:t>
            </w:r>
            <w:r>
              <w:rPr>
                <w:color w:val="auto"/>
                <w:sz w:val="24"/>
                <w:szCs w:val="24"/>
                <w:shd w:val="clear" w:color="auto" w:fill="auto"/>
                <w:vertAlign w:val="subscript"/>
              </w:rPr>
              <w:t>3</w:t>
            </w:r>
            <w:r>
              <w:rPr>
                <w:rFonts w:hint="eastAsia"/>
                <w:color w:val="auto"/>
                <w:sz w:val="24"/>
                <w:szCs w:val="24"/>
                <w:shd w:val="clear" w:color="auto" w:fill="auto"/>
              </w:rPr>
              <w:t>产生量为</w:t>
            </w:r>
            <w:r>
              <w:rPr>
                <w:rFonts w:hint="eastAsia"/>
                <w:color w:val="auto"/>
                <w:sz w:val="24"/>
                <w:szCs w:val="24"/>
                <w:shd w:val="clear" w:color="auto" w:fill="auto"/>
                <w:lang w:val="en-US" w:eastAsia="zh-CN"/>
              </w:rPr>
              <w:t>0.107</w:t>
            </w:r>
            <w:r>
              <w:rPr>
                <w:rFonts w:hint="eastAsia"/>
                <w:color w:val="auto"/>
                <w:sz w:val="24"/>
                <w:szCs w:val="24"/>
                <w:shd w:val="clear" w:color="auto" w:fill="auto"/>
              </w:rPr>
              <w:t>kg</w:t>
            </w:r>
            <w:r>
              <w:rPr>
                <w:color w:val="auto"/>
                <w:sz w:val="24"/>
                <w:szCs w:val="24"/>
                <w:shd w:val="clear" w:color="auto" w:fill="auto"/>
              </w:rPr>
              <w:t>/d</w:t>
            </w:r>
            <w:r>
              <w:rPr>
                <w:rFonts w:hint="eastAsia"/>
                <w:color w:val="auto"/>
                <w:sz w:val="24"/>
                <w:szCs w:val="24"/>
                <w:shd w:val="clear" w:color="auto" w:fill="auto"/>
              </w:rPr>
              <w:t>（</w:t>
            </w:r>
            <w:r>
              <w:rPr>
                <w:rFonts w:hint="eastAsia"/>
                <w:color w:val="auto"/>
                <w:sz w:val="24"/>
                <w:szCs w:val="24"/>
                <w:shd w:val="clear" w:color="auto" w:fill="auto"/>
                <w:lang w:val="en-US" w:eastAsia="zh-CN"/>
              </w:rPr>
              <w:t>0.0045</w:t>
            </w:r>
            <w:r>
              <w:rPr>
                <w:color w:val="auto"/>
                <w:sz w:val="24"/>
                <w:szCs w:val="24"/>
                <w:shd w:val="clear" w:color="auto" w:fill="auto"/>
              </w:rPr>
              <w:t>kg/h</w:t>
            </w:r>
            <w:r>
              <w:rPr>
                <w:rFonts w:hint="eastAsia"/>
                <w:color w:val="auto"/>
                <w:sz w:val="24"/>
                <w:szCs w:val="24"/>
                <w:shd w:val="clear" w:color="auto" w:fill="auto"/>
              </w:rPr>
              <w:t>），</w:t>
            </w:r>
            <w:r>
              <w:rPr>
                <w:color w:val="auto"/>
                <w:sz w:val="24"/>
                <w:szCs w:val="24"/>
                <w:shd w:val="clear" w:color="auto" w:fill="auto"/>
              </w:rPr>
              <w:t>H</w:t>
            </w:r>
            <w:r>
              <w:rPr>
                <w:color w:val="auto"/>
                <w:sz w:val="24"/>
                <w:szCs w:val="24"/>
                <w:shd w:val="clear" w:color="auto" w:fill="auto"/>
                <w:vertAlign w:val="subscript"/>
              </w:rPr>
              <w:t>2</w:t>
            </w:r>
            <w:r>
              <w:rPr>
                <w:color w:val="auto"/>
                <w:sz w:val="24"/>
                <w:szCs w:val="24"/>
                <w:shd w:val="clear" w:color="auto" w:fill="auto"/>
              </w:rPr>
              <w:t>S</w:t>
            </w:r>
            <w:r>
              <w:rPr>
                <w:rFonts w:hint="eastAsia"/>
                <w:color w:val="auto"/>
                <w:sz w:val="24"/>
                <w:szCs w:val="24"/>
                <w:shd w:val="clear" w:color="auto" w:fill="auto"/>
              </w:rPr>
              <w:t>产生量为</w:t>
            </w:r>
            <w:r>
              <w:rPr>
                <w:rFonts w:hint="eastAsia"/>
                <w:color w:val="auto"/>
                <w:sz w:val="24"/>
                <w:szCs w:val="24"/>
                <w:shd w:val="clear" w:color="auto" w:fill="auto"/>
                <w:lang w:val="en-US" w:eastAsia="zh-CN"/>
              </w:rPr>
              <w:t>0.0041</w:t>
            </w:r>
            <w:r>
              <w:rPr>
                <w:rFonts w:hint="eastAsia"/>
                <w:color w:val="auto"/>
                <w:sz w:val="24"/>
                <w:szCs w:val="24"/>
                <w:shd w:val="clear" w:color="auto" w:fill="auto"/>
              </w:rPr>
              <w:t>kg</w:t>
            </w:r>
            <w:r>
              <w:rPr>
                <w:color w:val="auto"/>
                <w:sz w:val="24"/>
                <w:szCs w:val="24"/>
                <w:shd w:val="clear" w:color="auto" w:fill="auto"/>
              </w:rPr>
              <w:t>/d</w:t>
            </w:r>
            <w:r>
              <w:rPr>
                <w:rFonts w:hint="eastAsia"/>
                <w:color w:val="auto"/>
                <w:sz w:val="24"/>
                <w:szCs w:val="24"/>
                <w:shd w:val="clear" w:color="auto" w:fill="auto"/>
              </w:rPr>
              <w:t>（</w:t>
            </w:r>
            <w:r>
              <w:rPr>
                <w:color w:val="auto"/>
                <w:sz w:val="24"/>
                <w:szCs w:val="24"/>
                <w:shd w:val="clear" w:color="auto" w:fill="auto"/>
              </w:rPr>
              <w:t>0.0</w:t>
            </w:r>
            <w:r>
              <w:rPr>
                <w:rFonts w:hint="eastAsia"/>
                <w:color w:val="auto"/>
                <w:sz w:val="24"/>
                <w:szCs w:val="24"/>
                <w:shd w:val="clear" w:color="auto" w:fill="auto"/>
              </w:rPr>
              <w:t>00</w:t>
            </w:r>
            <w:r>
              <w:rPr>
                <w:rFonts w:hint="eastAsia"/>
                <w:color w:val="auto"/>
                <w:sz w:val="24"/>
                <w:szCs w:val="24"/>
                <w:shd w:val="clear" w:color="auto" w:fill="auto"/>
                <w:lang w:val="en-US" w:eastAsia="zh-CN"/>
              </w:rPr>
              <w:t>173</w:t>
            </w:r>
            <w:r>
              <w:rPr>
                <w:color w:val="auto"/>
                <w:sz w:val="24"/>
                <w:szCs w:val="24"/>
                <w:shd w:val="clear" w:color="auto" w:fill="auto"/>
              </w:rPr>
              <w:t>kg/h</w:t>
            </w:r>
            <w:r>
              <w:rPr>
                <w:rFonts w:hint="eastAsia"/>
                <w:color w:val="auto"/>
                <w:sz w:val="24"/>
                <w:szCs w:val="24"/>
                <w:shd w:val="clear" w:color="auto" w:fill="auto"/>
              </w:rPr>
              <w:t>），</w:t>
            </w:r>
            <w:r>
              <w:rPr>
                <w:rFonts w:hint="eastAsia"/>
                <w:snapToGrid w:val="0"/>
                <w:color w:val="auto"/>
                <w:sz w:val="24"/>
                <w:szCs w:val="24"/>
                <w:shd w:val="clear" w:color="auto" w:fill="auto"/>
              </w:rPr>
              <w:t>本项目恶臭污染物产生源强见表</w:t>
            </w:r>
            <w:r>
              <w:rPr>
                <w:rFonts w:hint="eastAsia"/>
                <w:snapToGrid w:val="0"/>
                <w:color w:val="auto"/>
                <w:sz w:val="24"/>
                <w:szCs w:val="24"/>
                <w:shd w:val="clear" w:color="auto" w:fill="auto"/>
                <w:lang w:val="en-US" w:eastAsia="zh-CN"/>
              </w:rPr>
              <w:t>23</w:t>
            </w:r>
            <w:r>
              <w:rPr>
                <w:rFonts w:hint="eastAsia"/>
                <w:color w:val="auto"/>
                <w:sz w:val="24"/>
                <w:szCs w:val="24"/>
                <w:shd w:val="clear" w:color="auto" w:fill="auto"/>
              </w:rPr>
              <w:t>。</w:t>
            </w:r>
          </w:p>
          <w:p>
            <w:pPr>
              <w:adjustRightInd w:val="0"/>
              <w:snapToGrid w:val="0"/>
              <w:spacing w:line="460" w:lineRule="exact"/>
              <w:jc w:val="center"/>
              <w:rPr>
                <w:b/>
                <w:snapToGrid w:val="0"/>
                <w:color w:val="auto"/>
                <w:kern w:val="0"/>
                <w:sz w:val="24"/>
                <w:szCs w:val="24"/>
              </w:rPr>
            </w:pPr>
            <w:r>
              <w:rPr>
                <w:rFonts w:hint="eastAsia" w:cs="宋体"/>
                <w:b/>
                <w:snapToGrid w:val="0"/>
                <w:color w:val="auto"/>
                <w:kern w:val="0"/>
                <w:sz w:val="24"/>
                <w:szCs w:val="24"/>
              </w:rPr>
              <w:t>表</w:t>
            </w:r>
            <w:r>
              <w:rPr>
                <w:rFonts w:hint="eastAsia" w:cs="宋体"/>
                <w:b/>
                <w:snapToGrid w:val="0"/>
                <w:color w:val="auto"/>
                <w:kern w:val="0"/>
                <w:sz w:val="24"/>
                <w:szCs w:val="24"/>
                <w:lang w:val="en-US" w:eastAsia="zh-CN"/>
              </w:rPr>
              <w:t>23</w:t>
            </w:r>
            <w:r>
              <w:rPr>
                <w:b/>
                <w:snapToGrid w:val="0"/>
                <w:color w:val="auto"/>
                <w:kern w:val="0"/>
                <w:sz w:val="24"/>
                <w:szCs w:val="24"/>
              </w:rPr>
              <w:t xml:space="preserve"> </w:t>
            </w:r>
            <w:r>
              <w:rPr>
                <w:rFonts w:hint="eastAsia" w:cs="宋体"/>
                <w:b/>
                <w:snapToGrid w:val="0"/>
                <w:color w:val="auto"/>
                <w:kern w:val="0"/>
                <w:sz w:val="24"/>
                <w:szCs w:val="24"/>
              </w:rPr>
              <w:t>项目恶臭污染物产生源强</w:t>
            </w:r>
          </w:p>
          <w:tbl>
            <w:tblPr>
              <w:tblStyle w:val="29"/>
              <w:tblW w:w="7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44"/>
              <w:gridCol w:w="2169"/>
              <w:gridCol w:w="2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污染源</w:t>
                  </w:r>
                </w:p>
              </w:tc>
              <w:tc>
                <w:tcPr>
                  <w:tcW w:w="4560"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恶臭污染物产生量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rPr>
                      <w:color w:val="auto"/>
                      <w:sz w:val="20"/>
                      <w:szCs w:val="20"/>
                    </w:rPr>
                  </w:pPr>
                </w:p>
              </w:tc>
              <w:tc>
                <w:tcPr>
                  <w:tcW w:w="2169" w:type="dxa"/>
                  <w:tcBorders>
                    <w:top w:val="single" w:color="auto" w:sz="6" w:space="0"/>
                    <w:left w:val="single" w:color="auto" w:sz="6" w:space="0"/>
                    <w:bottom w:val="single" w:color="auto" w:sz="6"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NH</w:t>
                  </w:r>
                  <w:r>
                    <w:rPr>
                      <w:snapToGrid w:val="0"/>
                      <w:color w:val="auto"/>
                      <w:kern w:val="0"/>
                      <w:sz w:val="21"/>
                      <w:szCs w:val="21"/>
                      <w:vertAlign w:val="subscript"/>
                    </w:rPr>
                    <w:t>3</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c>
                <w:tcPr>
                  <w:tcW w:w="2391" w:type="dxa"/>
                  <w:tcBorders>
                    <w:top w:val="single" w:color="auto" w:sz="6" w:space="0"/>
                    <w:left w:val="single" w:color="auto" w:sz="6" w:space="0"/>
                    <w:bottom w:val="single" w:color="auto" w:sz="6"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H</w:t>
                  </w:r>
                  <w:r>
                    <w:rPr>
                      <w:snapToGrid w:val="0"/>
                      <w:color w:val="auto"/>
                      <w:kern w:val="0"/>
                      <w:sz w:val="21"/>
                      <w:szCs w:val="21"/>
                      <w:vertAlign w:val="subscript"/>
                    </w:rPr>
                    <w:t>2</w:t>
                  </w:r>
                  <w:r>
                    <w:rPr>
                      <w:snapToGrid w:val="0"/>
                      <w:color w:val="auto"/>
                      <w:kern w:val="0"/>
                      <w:sz w:val="21"/>
                      <w:szCs w:val="21"/>
                    </w:rPr>
                    <w:t>S</w:t>
                  </w:r>
                  <w:r>
                    <w:rPr>
                      <w:rFonts w:hint="eastAsia" w:cs="宋体"/>
                      <w:snapToGrid w:val="0"/>
                      <w:color w:val="auto"/>
                      <w:kern w:val="0"/>
                      <w:sz w:val="21"/>
                      <w:szCs w:val="21"/>
                    </w:rPr>
                    <w:t>（</w:t>
                  </w:r>
                  <w:r>
                    <w:rPr>
                      <w:snapToGrid w:val="0"/>
                      <w:color w:val="auto"/>
                      <w:kern w:val="0"/>
                      <w:sz w:val="21"/>
                      <w:szCs w:val="21"/>
                    </w:rPr>
                    <w:t>kg/h</w:t>
                  </w:r>
                  <w:r>
                    <w:rPr>
                      <w:rFonts w:hint="eastAsia" w:cs="宋体"/>
                      <w:snapToGrid w:val="0"/>
                      <w:color w:val="auto"/>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744" w:type="dxa"/>
                  <w:tcBorders>
                    <w:top w:val="single" w:color="auto" w:sz="6" w:space="0"/>
                    <w:left w:val="single" w:color="auto" w:sz="12"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cs="宋体"/>
                      <w:snapToGrid w:val="0"/>
                      <w:color w:val="auto"/>
                      <w:kern w:val="0"/>
                      <w:sz w:val="21"/>
                      <w:szCs w:val="21"/>
                    </w:rPr>
                    <w:t>污水处理构筑物</w:t>
                  </w:r>
                </w:p>
              </w:tc>
              <w:tc>
                <w:tcPr>
                  <w:tcW w:w="2169" w:type="dxa"/>
                  <w:tcBorders>
                    <w:top w:val="single" w:color="auto" w:sz="6" w:space="0"/>
                    <w:left w:val="single" w:color="auto" w:sz="6" w:space="0"/>
                    <w:bottom w:val="single" w:color="auto" w:sz="12" w:space="0"/>
                    <w:right w:val="single" w:color="auto" w:sz="6"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rFonts w:hint="eastAsia"/>
                      <w:snapToGrid w:val="0"/>
                      <w:color w:val="auto"/>
                      <w:kern w:val="0"/>
                      <w:sz w:val="21"/>
                      <w:szCs w:val="21"/>
                    </w:rPr>
                    <w:t>0.0045</w:t>
                  </w:r>
                </w:p>
              </w:tc>
              <w:tc>
                <w:tcPr>
                  <w:tcW w:w="2391" w:type="dxa"/>
                  <w:tcBorders>
                    <w:top w:val="single" w:color="auto" w:sz="6" w:space="0"/>
                    <w:left w:val="single" w:color="auto" w:sz="6" w:space="0"/>
                    <w:bottom w:val="single" w:color="auto" w:sz="12" w:space="0"/>
                    <w:right w:val="single" w:color="auto" w:sz="12" w:space="0"/>
                  </w:tcBorders>
                  <w:shd w:val="clear" w:color="auto" w:fill="auto"/>
                  <w:vAlign w:val="center"/>
                </w:tcPr>
                <w:p>
                  <w:pPr>
                    <w:overflowPunct w:val="0"/>
                    <w:autoSpaceDE w:val="0"/>
                    <w:autoSpaceDN w:val="0"/>
                    <w:adjustRightInd w:val="0"/>
                    <w:spacing w:line="320" w:lineRule="exact"/>
                    <w:ind w:firstLine="431"/>
                    <w:jc w:val="center"/>
                    <w:textAlignment w:val="baseline"/>
                    <w:rPr>
                      <w:snapToGrid w:val="0"/>
                      <w:color w:val="auto"/>
                      <w:kern w:val="0"/>
                      <w:szCs w:val="21"/>
                    </w:rPr>
                  </w:pPr>
                  <w:r>
                    <w:rPr>
                      <w:snapToGrid w:val="0"/>
                      <w:color w:val="auto"/>
                      <w:kern w:val="0"/>
                      <w:sz w:val="21"/>
                      <w:szCs w:val="21"/>
                    </w:rPr>
                    <w:t>0.0</w:t>
                  </w:r>
                  <w:r>
                    <w:rPr>
                      <w:rFonts w:hint="eastAsia"/>
                      <w:snapToGrid w:val="0"/>
                      <w:color w:val="auto"/>
                      <w:kern w:val="0"/>
                      <w:sz w:val="21"/>
                      <w:szCs w:val="21"/>
                    </w:rPr>
                    <w:t>00</w:t>
                  </w:r>
                  <w:r>
                    <w:rPr>
                      <w:rFonts w:hint="eastAsia"/>
                      <w:snapToGrid w:val="0"/>
                      <w:color w:val="auto"/>
                      <w:kern w:val="0"/>
                      <w:sz w:val="21"/>
                      <w:szCs w:val="21"/>
                      <w:lang w:val="en-US" w:eastAsia="zh-CN"/>
                    </w:rPr>
                    <w:t>173</w:t>
                  </w:r>
                </w:p>
              </w:tc>
            </w:tr>
          </w:tbl>
          <w:p>
            <w:pPr>
              <w:numPr>
                <w:ilvl w:val="0"/>
                <w:numId w:val="12"/>
              </w:num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噪声：污水处理厂噪声源主要来自厂区泵房、污泥浓缩脱水设备及鼓风机房的设备，其设备数量和噪声值见表</w:t>
            </w:r>
            <w:r>
              <w:rPr>
                <w:rFonts w:hint="eastAsia" w:cs="宋体"/>
                <w:color w:val="auto"/>
                <w:sz w:val="24"/>
                <w:szCs w:val="24"/>
                <w:shd w:val="clear" w:color="auto" w:fill="auto"/>
                <w:lang w:val="en-US" w:eastAsia="zh-CN"/>
              </w:rPr>
              <w:t>24</w:t>
            </w:r>
            <w:r>
              <w:rPr>
                <w:rFonts w:hint="eastAsia" w:cs="宋体"/>
                <w:color w:val="auto"/>
                <w:sz w:val="24"/>
                <w:szCs w:val="24"/>
                <w:shd w:val="clear" w:color="auto" w:fill="auto"/>
              </w:rPr>
              <w:t>。</w:t>
            </w:r>
          </w:p>
          <w:p>
            <w:pPr>
              <w:spacing w:line="460" w:lineRule="exact"/>
              <w:jc w:val="center"/>
              <w:rPr>
                <w:rFonts w:cs="宋体"/>
                <w:b/>
                <w:bCs/>
                <w:color w:val="auto"/>
                <w:sz w:val="24"/>
                <w:szCs w:val="24"/>
              </w:rPr>
            </w:pPr>
            <w:r>
              <w:rPr>
                <w:rFonts w:hint="eastAsia" w:cs="宋体"/>
                <w:b/>
                <w:bCs/>
                <w:color w:val="auto"/>
                <w:sz w:val="24"/>
                <w:szCs w:val="24"/>
              </w:rPr>
              <w:t>表</w:t>
            </w:r>
            <w:r>
              <w:rPr>
                <w:rFonts w:hint="eastAsia" w:cs="宋体"/>
                <w:b/>
                <w:bCs/>
                <w:color w:val="auto"/>
                <w:sz w:val="24"/>
                <w:szCs w:val="24"/>
                <w:lang w:val="en-US" w:eastAsia="zh-CN"/>
              </w:rPr>
              <w:t>24</w:t>
            </w:r>
            <w:r>
              <w:rPr>
                <w:rFonts w:hint="eastAsia" w:cs="宋体"/>
                <w:b/>
                <w:bCs/>
                <w:color w:val="auto"/>
                <w:sz w:val="24"/>
                <w:szCs w:val="24"/>
              </w:rPr>
              <w:t xml:space="preserve"> 项目噪声设备源强</w:t>
            </w:r>
          </w:p>
          <w:tbl>
            <w:tblPr>
              <w:tblStyle w:val="29"/>
              <w:tblW w:w="8894" w:type="dxa"/>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033"/>
              <w:gridCol w:w="1132"/>
              <w:gridCol w:w="4544"/>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序号</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噪声源强</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噪声治理措施</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水泵、污泥泵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设备设置于泵房内，设置减震基础、泵房墙体隔声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污泥泵房等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风机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设备设置于风机房内，设备进行机械阻尼减震；</w:t>
                  </w:r>
                </w:p>
                <w:p>
                  <w:pPr>
                    <w:spacing w:line="240" w:lineRule="atLeast"/>
                    <w:jc w:val="center"/>
                    <w:rPr>
                      <w:rFonts w:cs="宋体"/>
                      <w:color w:val="auto"/>
                      <w:sz w:val="21"/>
                      <w:szCs w:val="21"/>
                    </w:rPr>
                  </w:pPr>
                  <w:r>
                    <w:rPr>
                      <w:rFonts w:cs="宋体"/>
                      <w:color w:val="auto"/>
                      <w:sz w:val="21"/>
                      <w:szCs w:val="21"/>
                    </w:rPr>
                    <w:t>安装消声器；设置隔声罩；墙体隔声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搅拌机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70dB(A)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加药泵</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设备设置于加药间内，设置减震基础、加药间墙体隔声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加药间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768" w:type="dxa"/>
                  <w:tcBorders>
                    <w:top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空压机</w:t>
                  </w:r>
                </w:p>
              </w:tc>
              <w:tc>
                <w:tcPr>
                  <w:tcW w:w="113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90dB(A)</w:t>
                  </w:r>
                </w:p>
              </w:tc>
              <w:tc>
                <w:tcPr>
                  <w:tcW w:w="4544"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设备设置于风机房内，设置减震基础、墙体隔声</w:t>
                  </w:r>
                </w:p>
              </w:tc>
              <w:tc>
                <w:tcPr>
                  <w:tcW w:w="1417" w:type="dxa"/>
                  <w:tcBorders>
                    <w:top w:val="single" w:color="000000" w:sz="4" w:space="0"/>
                    <w:left w:val="single" w:color="000000" w:sz="4" w:space="0"/>
                    <w:bottom w:val="single" w:color="000000" w:sz="4" w:space="0"/>
                  </w:tcBorders>
                  <w:vAlign w:val="center"/>
                </w:tcPr>
                <w:p>
                  <w:pPr>
                    <w:spacing w:line="240" w:lineRule="atLeast"/>
                    <w:jc w:val="center"/>
                    <w:rPr>
                      <w:rFonts w:cs="宋体"/>
                      <w:color w:val="auto"/>
                      <w:sz w:val="21"/>
                      <w:szCs w:val="21"/>
                    </w:rPr>
                  </w:pPr>
                  <w:r>
                    <w:rPr>
                      <w:rFonts w:cs="宋体"/>
                      <w:color w:val="auto"/>
                      <w:sz w:val="21"/>
                      <w:szCs w:val="21"/>
                    </w:rPr>
                    <w:t>鼓风机房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768" w:type="dxa"/>
                  <w:tcBorders>
                    <w:top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6</w:t>
                  </w:r>
                </w:p>
              </w:tc>
              <w:tc>
                <w:tcPr>
                  <w:tcW w:w="1033"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脱水机</w:t>
                  </w:r>
                </w:p>
              </w:tc>
              <w:tc>
                <w:tcPr>
                  <w:tcW w:w="1132"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80dB(A)</w:t>
                  </w:r>
                </w:p>
              </w:tc>
              <w:tc>
                <w:tcPr>
                  <w:tcW w:w="4544" w:type="dxa"/>
                  <w:tcBorders>
                    <w:top w:val="single" w:color="000000" w:sz="4" w:space="0"/>
                    <w:left w:val="single" w:color="000000" w:sz="4" w:space="0"/>
                    <w:bottom w:val="thickThinMediumGap" w:color="000000" w:sz="2" w:space="0"/>
                    <w:right w:val="single" w:color="000000" w:sz="4" w:space="0"/>
                  </w:tcBorders>
                  <w:vAlign w:val="center"/>
                </w:tcPr>
                <w:p>
                  <w:pPr>
                    <w:spacing w:line="240" w:lineRule="atLeast"/>
                    <w:jc w:val="center"/>
                    <w:rPr>
                      <w:rFonts w:cs="宋体"/>
                      <w:color w:val="auto"/>
                      <w:sz w:val="21"/>
                      <w:szCs w:val="21"/>
                    </w:rPr>
                  </w:pPr>
                  <w:r>
                    <w:rPr>
                      <w:rFonts w:cs="宋体"/>
                      <w:color w:val="auto"/>
                      <w:sz w:val="21"/>
                      <w:szCs w:val="21"/>
                    </w:rPr>
                    <w:t>设备设置于污泥间内，设置减震基础、墙体隔声</w:t>
                  </w:r>
                </w:p>
              </w:tc>
              <w:tc>
                <w:tcPr>
                  <w:tcW w:w="1417" w:type="dxa"/>
                  <w:tcBorders>
                    <w:top w:val="single" w:color="000000" w:sz="4" w:space="0"/>
                    <w:left w:val="single" w:color="000000" w:sz="4" w:space="0"/>
                    <w:bottom w:val="thickThinMediumGap" w:color="000000" w:sz="2" w:space="0"/>
                  </w:tcBorders>
                  <w:vAlign w:val="center"/>
                </w:tcPr>
                <w:p>
                  <w:pPr>
                    <w:spacing w:line="240" w:lineRule="atLeast"/>
                    <w:jc w:val="center"/>
                    <w:rPr>
                      <w:rFonts w:cs="宋体"/>
                      <w:color w:val="auto"/>
                      <w:sz w:val="21"/>
                      <w:szCs w:val="21"/>
                    </w:rPr>
                  </w:pPr>
                  <w:r>
                    <w:rPr>
                      <w:rFonts w:cs="宋体"/>
                      <w:color w:val="auto"/>
                      <w:sz w:val="21"/>
                      <w:szCs w:val="21"/>
                    </w:rPr>
                    <w:t>污泥间</w:t>
                  </w:r>
                </w:p>
              </w:tc>
            </w:tr>
          </w:tbl>
          <w:p>
            <w:pPr>
              <w:spacing w:line="460" w:lineRule="exact"/>
              <w:ind w:firstLine="476"/>
              <w:rPr>
                <w:color w:val="auto"/>
                <w:sz w:val="24"/>
                <w:szCs w:val="24"/>
              </w:rPr>
            </w:pPr>
            <w:r>
              <w:rPr>
                <w:rFonts w:hint="eastAsia" w:cs="宋体"/>
                <w:color w:val="auto"/>
                <w:sz w:val="24"/>
                <w:szCs w:val="24"/>
              </w:rPr>
              <w:t>（</w:t>
            </w:r>
            <w:r>
              <w:rPr>
                <w:color w:val="auto"/>
                <w:sz w:val="24"/>
                <w:szCs w:val="24"/>
              </w:rPr>
              <w:t>4</w:t>
            </w:r>
            <w:r>
              <w:rPr>
                <w:rFonts w:hint="eastAsia" w:cs="宋体"/>
                <w:color w:val="auto"/>
                <w:sz w:val="24"/>
                <w:szCs w:val="24"/>
              </w:rPr>
              <w:t>）固体废物</w:t>
            </w:r>
          </w:p>
          <w:p>
            <w:pPr>
              <w:spacing w:line="460" w:lineRule="exact"/>
              <w:ind w:firstLine="480" w:firstLineChars="200"/>
              <w:rPr>
                <w:rFonts w:cs="宋体"/>
                <w:color w:val="auto"/>
                <w:sz w:val="24"/>
                <w:szCs w:val="24"/>
              </w:rPr>
            </w:pPr>
            <w:r>
              <w:rPr>
                <w:rFonts w:hint="eastAsia" w:cs="宋体"/>
                <w:color w:val="auto"/>
                <w:sz w:val="24"/>
                <w:szCs w:val="24"/>
              </w:rPr>
              <w:t>建设项目营运后，固体废弃物主要是格栅栅渣、砂粒、剩余污泥、职工日常生活垃圾</w:t>
            </w:r>
            <w:r>
              <w:rPr>
                <w:rFonts w:hint="eastAsia" w:cs="宋体"/>
                <w:color w:val="auto"/>
                <w:sz w:val="24"/>
                <w:szCs w:val="24"/>
                <w:lang w:eastAsia="zh-CN"/>
              </w:rPr>
              <w:t>以及废紫外线灯管</w:t>
            </w:r>
            <w:r>
              <w:rPr>
                <w:rFonts w:hint="eastAsia" w:cs="宋体"/>
                <w:color w:val="auto"/>
                <w:sz w:val="24"/>
                <w:szCs w:val="24"/>
              </w:rPr>
              <w:t>。</w:t>
            </w:r>
          </w:p>
          <w:p>
            <w:pPr>
              <w:spacing w:line="460" w:lineRule="exact"/>
              <w:ind w:firstLine="480" w:firstLineChars="200"/>
              <w:rPr>
                <w:rFonts w:cs="宋体"/>
                <w:color w:val="auto"/>
                <w:sz w:val="24"/>
                <w:szCs w:val="24"/>
              </w:rPr>
            </w:pPr>
            <w:r>
              <w:rPr>
                <w:rFonts w:hint="eastAsia" w:cs="宋体"/>
                <w:color w:val="auto"/>
                <w:sz w:val="24"/>
                <w:szCs w:val="24"/>
              </w:rPr>
              <w:t>（1）栅渣及砂粒</w:t>
            </w:r>
          </w:p>
          <w:p>
            <w:pPr>
              <w:spacing w:line="460" w:lineRule="exact"/>
              <w:ind w:firstLine="480" w:firstLineChars="200"/>
              <w:rPr>
                <w:rFonts w:cs="宋体"/>
                <w:color w:val="auto"/>
                <w:sz w:val="24"/>
                <w:szCs w:val="24"/>
              </w:rPr>
            </w:pPr>
            <w:r>
              <w:rPr>
                <w:rFonts w:hint="eastAsia" w:cs="宋体"/>
                <w:color w:val="auto"/>
                <w:sz w:val="24"/>
                <w:szCs w:val="24"/>
              </w:rPr>
              <w:t>格栅渣多为块状固体物质，其中包括无机物质和有机物质，性状类似生活垃圾，格栅拦截直径大于 6mm 的杂物；沉砂的主要成分为大的无机颗粒，主要为泥砂、石子等。</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根据《室外排水设计规范》，城市污水的沉砂量可按每立方米污水 0.03kg 计算，栅渣量可按每立方米污水 0.1kg 计算；据此推算本项目的沉砂量约为 0.0</w:t>
            </w:r>
            <w:r>
              <w:rPr>
                <w:rFonts w:hint="eastAsia" w:cs="宋体"/>
                <w:color w:val="auto"/>
                <w:sz w:val="24"/>
                <w:szCs w:val="24"/>
                <w:shd w:val="clear" w:color="auto" w:fill="auto"/>
                <w:lang w:val="en-US" w:eastAsia="zh-CN"/>
              </w:rPr>
              <w:t>09</w:t>
            </w:r>
            <w:r>
              <w:rPr>
                <w:rFonts w:hint="eastAsia" w:cs="宋体"/>
                <w:color w:val="auto"/>
                <w:sz w:val="24"/>
                <w:szCs w:val="24"/>
                <w:shd w:val="clear" w:color="auto" w:fill="auto"/>
              </w:rPr>
              <w:t>t/d，</w:t>
            </w:r>
            <w:r>
              <w:rPr>
                <w:rFonts w:hint="eastAsia" w:cs="宋体"/>
                <w:color w:val="auto"/>
                <w:sz w:val="24"/>
                <w:szCs w:val="24"/>
                <w:shd w:val="clear" w:color="auto" w:fill="auto"/>
                <w:lang w:val="en-US" w:eastAsia="zh-CN"/>
              </w:rPr>
              <w:t>3.285</w:t>
            </w:r>
            <w:r>
              <w:rPr>
                <w:rFonts w:hint="eastAsia" w:cs="宋体"/>
                <w:color w:val="auto"/>
                <w:sz w:val="24"/>
                <w:szCs w:val="24"/>
                <w:shd w:val="clear" w:color="auto" w:fill="auto"/>
              </w:rPr>
              <w:t>t/a，栅渣量约为 0.0</w:t>
            </w:r>
            <w:r>
              <w:rPr>
                <w:rFonts w:hint="eastAsia" w:cs="宋体"/>
                <w:color w:val="auto"/>
                <w:sz w:val="24"/>
                <w:szCs w:val="24"/>
                <w:shd w:val="clear" w:color="auto" w:fill="auto"/>
                <w:lang w:val="en-US" w:eastAsia="zh-CN"/>
              </w:rPr>
              <w:t>3</w:t>
            </w:r>
            <w:r>
              <w:rPr>
                <w:rFonts w:hint="eastAsia" w:cs="宋体"/>
                <w:color w:val="auto"/>
                <w:sz w:val="24"/>
                <w:szCs w:val="24"/>
                <w:shd w:val="clear" w:color="auto" w:fill="auto"/>
              </w:rPr>
              <w:t>t/d，</w:t>
            </w:r>
            <w:r>
              <w:rPr>
                <w:rFonts w:hint="eastAsia" w:cs="宋体"/>
                <w:color w:val="auto"/>
                <w:sz w:val="24"/>
                <w:szCs w:val="24"/>
                <w:shd w:val="clear" w:color="auto" w:fill="auto"/>
                <w:lang w:val="en-US" w:eastAsia="zh-CN"/>
              </w:rPr>
              <w:t>10.95</w:t>
            </w:r>
            <w:r>
              <w:rPr>
                <w:rFonts w:hint="eastAsia" w:cs="宋体"/>
                <w:color w:val="auto"/>
                <w:sz w:val="24"/>
                <w:szCs w:val="24"/>
                <w:shd w:val="clear" w:color="auto" w:fill="auto"/>
              </w:rPr>
              <w:t>t/a。</w:t>
            </w:r>
          </w:p>
          <w:p>
            <w:pPr>
              <w:spacing w:line="460" w:lineRule="exact"/>
              <w:ind w:firstLine="480" w:firstLineChars="200"/>
              <w:rPr>
                <w:rFonts w:cs="宋体"/>
                <w:color w:val="auto"/>
                <w:sz w:val="24"/>
                <w:szCs w:val="24"/>
                <w:shd w:val="clear" w:color="auto" w:fill="auto"/>
              </w:rPr>
            </w:pPr>
            <w:r>
              <w:rPr>
                <w:rFonts w:hint="eastAsia" w:cs="宋体"/>
                <w:color w:val="auto"/>
                <w:sz w:val="24"/>
                <w:szCs w:val="24"/>
                <w:shd w:val="clear" w:color="auto" w:fill="auto"/>
              </w:rPr>
              <w:t>废渣及砂粒的处理主要是通过机械格栅除污机来完成，可有效防止臭味散发和蚊虫孽生，可作为城市垃圾外运处理。</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shd w:val="clear" w:color="auto" w:fill="auto"/>
              </w:rPr>
              <w:t>（2）污泥</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shd w:val="clear" w:color="auto" w:fill="auto"/>
              </w:rPr>
              <w:t>本工程污泥主要来源于絮凝沉淀后产生的剩余污泥。</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shd w:val="clear" w:color="auto" w:fill="auto"/>
              </w:rPr>
              <w:t>①污泥量</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shd w:val="clear" w:color="auto" w:fill="auto"/>
              </w:rPr>
              <w:t>参照《废水处理工程技术手册》（潘涛、田刚主编，化学工业出版社），剩余污泥计算公式如下：</w:t>
            </w:r>
          </w:p>
          <w:p>
            <w:pPr>
              <w:spacing w:line="460" w:lineRule="exact"/>
              <w:ind w:firstLine="480" w:firstLineChars="200"/>
              <w:rPr>
                <w:rFonts w:cs="宋体"/>
                <w:color w:val="auto"/>
                <w:sz w:val="24"/>
                <w:szCs w:val="24"/>
                <w:u w:val="single"/>
              </w:rPr>
            </w:pPr>
            <w:r>
              <w:rPr>
                <w:rFonts w:hint="eastAsia" w:cs="宋体"/>
                <w:color w:val="auto"/>
                <w:sz w:val="24"/>
                <w:szCs w:val="24"/>
                <w:u w:val="single"/>
              </w:rPr>
              <w:t>△X=（YQ（S</w:t>
            </w:r>
            <w:r>
              <w:rPr>
                <w:rFonts w:hint="eastAsia" w:cs="宋体"/>
                <w:color w:val="auto"/>
                <w:sz w:val="24"/>
                <w:szCs w:val="24"/>
                <w:u w:val="single"/>
                <w:vertAlign w:val="subscript"/>
              </w:rPr>
              <w:t>i</w:t>
            </w:r>
            <w:r>
              <w:rPr>
                <w:rFonts w:hint="eastAsia" w:cs="宋体"/>
                <w:color w:val="auto"/>
                <w:sz w:val="24"/>
                <w:szCs w:val="24"/>
                <w:u w:val="single"/>
              </w:rPr>
              <w:t>-S</w:t>
            </w:r>
            <w:r>
              <w:rPr>
                <w:rFonts w:hint="eastAsia" w:cs="宋体"/>
                <w:color w:val="auto"/>
                <w:sz w:val="24"/>
                <w:szCs w:val="24"/>
                <w:u w:val="single"/>
                <w:vertAlign w:val="subscript"/>
              </w:rPr>
              <w:t>o</w:t>
            </w:r>
            <w:r>
              <w:rPr>
                <w:rFonts w:hint="eastAsia" w:cs="宋体"/>
                <w:color w:val="auto"/>
                <w:sz w:val="24"/>
                <w:szCs w:val="24"/>
                <w:u w:val="single"/>
              </w:rPr>
              <w:t>）- K</w:t>
            </w:r>
            <w:r>
              <w:rPr>
                <w:rFonts w:hint="eastAsia" w:cs="宋体"/>
                <w:color w:val="auto"/>
                <w:sz w:val="24"/>
                <w:szCs w:val="24"/>
                <w:u w:val="single"/>
                <w:vertAlign w:val="subscript"/>
              </w:rPr>
              <w:t>d</w:t>
            </w:r>
            <w:r>
              <w:rPr>
                <w:rFonts w:hint="eastAsia" w:cs="宋体"/>
                <w:color w:val="auto"/>
                <w:sz w:val="24"/>
                <w:szCs w:val="24"/>
                <w:u w:val="single"/>
              </w:rPr>
              <w:t>VS</w:t>
            </w:r>
            <w:r>
              <w:rPr>
                <w:rFonts w:hint="eastAsia" w:cs="宋体"/>
                <w:color w:val="auto"/>
                <w:sz w:val="24"/>
                <w:szCs w:val="24"/>
                <w:u w:val="single"/>
                <w:vertAlign w:val="subscript"/>
              </w:rPr>
              <w:t>v</w:t>
            </w:r>
            <w:r>
              <w:rPr>
                <w:rFonts w:hint="eastAsia" w:cs="宋体"/>
                <w:color w:val="auto"/>
                <w:sz w:val="24"/>
                <w:szCs w:val="24"/>
                <w:u w:val="single"/>
              </w:rPr>
              <w:t>）/f + f</w:t>
            </w:r>
            <w:r>
              <w:rPr>
                <w:rFonts w:hint="eastAsia" w:cs="宋体"/>
                <w:color w:val="auto"/>
                <w:sz w:val="24"/>
                <w:szCs w:val="24"/>
                <w:u w:val="single"/>
                <w:vertAlign w:val="subscript"/>
              </w:rPr>
              <w:t>1</w:t>
            </w:r>
            <w:r>
              <w:rPr>
                <w:rFonts w:hint="eastAsia" w:cs="宋体"/>
                <w:color w:val="auto"/>
                <w:sz w:val="24"/>
                <w:szCs w:val="24"/>
                <w:u w:val="single"/>
              </w:rPr>
              <w:t>Q（S</w:t>
            </w:r>
            <w:r>
              <w:rPr>
                <w:rFonts w:hint="eastAsia" w:cs="宋体"/>
                <w:color w:val="auto"/>
                <w:sz w:val="24"/>
                <w:szCs w:val="24"/>
                <w:u w:val="single"/>
                <w:vertAlign w:val="subscript"/>
              </w:rPr>
              <w:t xml:space="preserve">pi </w:t>
            </w:r>
            <w:r>
              <w:rPr>
                <w:rFonts w:hint="eastAsia" w:cs="宋体"/>
                <w:color w:val="auto"/>
                <w:sz w:val="24"/>
                <w:szCs w:val="24"/>
                <w:u w:val="single"/>
              </w:rPr>
              <w:t>- S</w:t>
            </w:r>
            <w:r>
              <w:rPr>
                <w:rFonts w:hint="eastAsia" w:cs="宋体"/>
                <w:color w:val="auto"/>
                <w:sz w:val="24"/>
                <w:szCs w:val="24"/>
                <w:u w:val="single"/>
                <w:vertAlign w:val="subscript"/>
              </w:rPr>
              <w:t>po</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式中：△X—剩余活性污泥量，kg/d；</w:t>
            </w:r>
          </w:p>
          <w:p>
            <w:pPr>
              <w:spacing w:line="460" w:lineRule="exact"/>
              <w:ind w:firstLine="480" w:firstLineChars="200"/>
              <w:rPr>
                <w:rFonts w:cs="宋体"/>
                <w:color w:val="auto"/>
                <w:sz w:val="24"/>
                <w:szCs w:val="24"/>
                <w:u w:val="single"/>
              </w:rPr>
            </w:pPr>
            <w:r>
              <w:rPr>
                <w:rFonts w:hint="eastAsia" w:cs="宋体"/>
                <w:color w:val="auto"/>
                <w:sz w:val="24"/>
                <w:szCs w:val="24"/>
                <w:u w:val="single"/>
              </w:rPr>
              <w:t>Y—污泥产率系数，kgMLVSS/kgBOD5，一般为 0.3~0.6，本次取 0.5；</w:t>
            </w:r>
          </w:p>
          <w:p>
            <w:pPr>
              <w:spacing w:line="460" w:lineRule="exact"/>
              <w:ind w:firstLine="480" w:firstLineChars="200"/>
              <w:rPr>
                <w:rFonts w:cs="宋体"/>
                <w:color w:val="auto"/>
                <w:sz w:val="24"/>
                <w:szCs w:val="24"/>
                <w:u w:val="single"/>
              </w:rPr>
            </w:pPr>
            <w:r>
              <w:rPr>
                <w:rFonts w:hint="eastAsia" w:cs="宋体"/>
                <w:color w:val="auto"/>
                <w:sz w:val="24"/>
                <w:szCs w:val="24"/>
                <w:u w:val="single"/>
              </w:rPr>
              <w:t>S</w:t>
            </w:r>
            <w:r>
              <w:rPr>
                <w:rFonts w:hint="eastAsia" w:cs="宋体"/>
                <w:color w:val="auto"/>
                <w:sz w:val="24"/>
                <w:szCs w:val="24"/>
                <w:u w:val="single"/>
                <w:vertAlign w:val="subscript"/>
              </w:rPr>
              <w:t>i</w:t>
            </w:r>
            <w:r>
              <w:rPr>
                <w:rFonts w:hint="eastAsia" w:cs="宋体"/>
                <w:color w:val="auto"/>
                <w:sz w:val="24"/>
                <w:szCs w:val="24"/>
                <w:u w:val="single"/>
              </w:rPr>
              <w:t>、S</w:t>
            </w:r>
            <w:r>
              <w:rPr>
                <w:rFonts w:hint="eastAsia" w:cs="宋体"/>
                <w:color w:val="auto"/>
                <w:sz w:val="24"/>
                <w:szCs w:val="24"/>
                <w:u w:val="single"/>
                <w:vertAlign w:val="subscript"/>
              </w:rPr>
              <w:t>o</w:t>
            </w:r>
            <w:r>
              <w:rPr>
                <w:rFonts w:hint="eastAsia" w:cs="宋体"/>
                <w:color w:val="auto"/>
                <w:sz w:val="24"/>
                <w:szCs w:val="24"/>
                <w:u w:val="single"/>
              </w:rPr>
              <w:t>—进、出水BOD</w:t>
            </w:r>
            <w:r>
              <w:rPr>
                <w:rFonts w:hint="eastAsia" w:cs="宋体"/>
                <w:color w:val="auto"/>
                <w:sz w:val="24"/>
                <w:szCs w:val="24"/>
                <w:u w:val="single"/>
                <w:vertAlign w:val="subscript"/>
              </w:rPr>
              <w:t>5</w:t>
            </w:r>
            <w:r>
              <w:rPr>
                <w:rFonts w:hint="eastAsia" w:cs="宋体"/>
                <w:color w:val="auto"/>
                <w:sz w:val="24"/>
                <w:szCs w:val="24"/>
                <w:u w:val="single"/>
              </w:rPr>
              <w:t>浓度，kg/m</w:t>
            </w:r>
            <w:r>
              <w:rPr>
                <w:rFonts w:hint="eastAsia" w:cs="宋体"/>
                <w:color w:val="auto"/>
                <w:sz w:val="24"/>
                <w:szCs w:val="24"/>
                <w:u w:val="single"/>
                <w:vertAlign w:val="superscript"/>
              </w:rPr>
              <w:t>3</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Q—平均日污水量，m</w:t>
            </w:r>
            <w:r>
              <w:rPr>
                <w:rFonts w:hint="eastAsia" w:cs="宋体"/>
                <w:color w:val="auto"/>
                <w:sz w:val="24"/>
                <w:szCs w:val="24"/>
                <w:u w:val="single"/>
                <w:vertAlign w:val="superscript"/>
              </w:rPr>
              <w:t>3</w:t>
            </w:r>
            <w:r>
              <w:rPr>
                <w:rFonts w:hint="eastAsia" w:cs="宋体"/>
                <w:color w:val="auto"/>
                <w:sz w:val="24"/>
                <w:szCs w:val="24"/>
                <w:u w:val="single"/>
              </w:rPr>
              <w:t xml:space="preserve">/d，项目为 </w:t>
            </w:r>
            <w:r>
              <w:rPr>
                <w:rFonts w:hint="eastAsia" w:cs="宋体"/>
                <w:color w:val="auto"/>
                <w:sz w:val="24"/>
                <w:szCs w:val="24"/>
                <w:u w:val="single"/>
                <w:lang w:val="en-US" w:eastAsia="zh-CN"/>
              </w:rPr>
              <w:t>300</w:t>
            </w:r>
            <w:r>
              <w:rPr>
                <w:rFonts w:hint="eastAsia" w:cs="宋体"/>
                <w:color w:val="auto"/>
                <w:sz w:val="24"/>
                <w:szCs w:val="24"/>
                <w:u w:val="single"/>
              </w:rPr>
              <w:t>m</w:t>
            </w:r>
            <w:r>
              <w:rPr>
                <w:rFonts w:hint="eastAsia" w:cs="宋体"/>
                <w:color w:val="auto"/>
                <w:sz w:val="24"/>
                <w:szCs w:val="24"/>
                <w:u w:val="single"/>
                <w:vertAlign w:val="superscript"/>
              </w:rPr>
              <w:t>3</w:t>
            </w:r>
            <w:r>
              <w:rPr>
                <w:rFonts w:hint="eastAsia" w:cs="宋体"/>
                <w:color w:val="auto"/>
                <w:sz w:val="24"/>
                <w:szCs w:val="24"/>
                <w:u w:val="single"/>
              </w:rPr>
              <w:t>/d；</w:t>
            </w:r>
          </w:p>
          <w:p>
            <w:pPr>
              <w:spacing w:line="460" w:lineRule="exact"/>
              <w:ind w:firstLine="480" w:firstLineChars="200"/>
              <w:rPr>
                <w:rFonts w:cs="宋体"/>
                <w:color w:val="auto"/>
                <w:sz w:val="24"/>
                <w:szCs w:val="24"/>
                <w:u w:val="single"/>
              </w:rPr>
            </w:pPr>
            <w:r>
              <w:rPr>
                <w:rFonts w:hint="eastAsia" w:cs="宋体"/>
                <w:color w:val="auto"/>
                <w:sz w:val="24"/>
                <w:szCs w:val="24"/>
                <w:u w:val="single"/>
              </w:rPr>
              <w:t>K</w:t>
            </w:r>
            <w:r>
              <w:rPr>
                <w:rFonts w:hint="eastAsia" w:cs="宋体"/>
                <w:color w:val="auto"/>
                <w:sz w:val="24"/>
                <w:szCs w:val="24"/>
                <w:u w:val="single"/>
                <w:vertAlign w:val="subscript"/>
              </w:rPr>
              <w:t>d</w:t>
            </w:r>
            <w:r>
              <w:rPr>
                <w:rFonts w:hint="eastAsia" w:cs="宋体"/>
                <w:color w:val="auto"/>
                <w:sz w:val="24"/>
                <w:szCs w:val="24"/>
                <w:u w:val="single"/>
              </w:rPr>
              <w:t>—衰减系数，d</w:t>
            </w:r>
            <w:r>
              <w:rPr>
                <w:rFonts w:hint="eastAsia" w:cs="宋体"/>
                <w:color w:val="auto"/>
                <w:sz w:val="24"/>
                <w:szCs w:val="24"/>
                <w:u w:val="single"/>
                <w:vertAlign w:val="superscript"/>
              </w:rPr>
              <w:t>-1</w:t>
            </w:r>
            <w:r>
              <w:rPr>
                <w:rFonts w:hint="eastAsia" w:cs="宋体"/>
                <w:color w:val="auto"/>
                <w:sz w:val="24"/>
                <w:szCs w:val="24"/>
                <w:u w:val="single"/>
              </w:rPr>
              <w:t>，一般取 0.05-0.1，本次取0.08；</w:t>
            </w:r>
          </w:p>
          <w:p>
            <w:pPr>
              <w:spacing w:line="460" w:lineRule="exact"/>
              <w:ind w:firstLine="480" w:firstLineChars="200"/>
              <w:rPr>
                <w:rFonts w:cs="宋体"/>
                <w:color w:val="auto"/>
                <w:sz w:val="24"/>
                <w:szCs w:val="24"/>
                <w:u w:val="single"/>
              </w:rPr>
            </w:pPr>
            <w:r>
              <w:rPr>
                <w:rFonts w:hint="eastAsia" w:cs="宋体"/>
                <w:color w:val="auto"/>
                <w:sz w:val="24"/>
                <w:szCs w:val="24"/>
                <w:u w:val="single"/>
              </w:rPr>
              <w:t>V—生物反应池容积，本项目约为</w:t>
            </w:r>
            <w:r>
              <w:rPr>
                <w:rFonts w:hint="eastAsia" w:cs="宋体"/>
                <w:color w:val="auto"/>
                <w:sz w:val="24"/>
                <w:szCs w:val="24"/>
                <w:u w:val="single"/>
                <w:lang w:val="en-US" w:eastAsia="zh-CN"/>
              </w:rPr>
              <w:t>118.58</w:t>
            </w:r>
            <w:r>
              <w:rPr>
                <w:rFonts w:hint="eastAsia" w:cs="宋体"/>
                <w:color w:val="auto"/>
                <w:sz w:val="24"/>
                <w:szCs w:val="24"/>
                <w:u w:val="single"/>
              </w:rPr>
              <w:t>m</w:t>
            </w:r>
            <w:r>
              <w:rPr>
                <w:rFonts w:hint="eastAsia" w:cs="宋体"/>
                <w:color w:val="auto"/>
                <w:sz w:val="24"/>
                <w:szCs w:val="24"/>
                <w:u w:val="single"/>
                <w:vertAlign w:val="superscript"/>
              </w:rPr>
              <w:t>3</w:t>
            </w:r>
            <w:r>
              <w:rPr>
                <w:rFonts w:hint="eastAsia" w:cs="宋体"/>
                <w:color w:val="auto"/>
                <w:sz w:val="24"/>
                <w:szCs w:val="24"/>
                <w:u w:val="single"/>
              </w:rPr>
              <w:t>；</w:t>
            </w:r>
          </w:p>
          <w:p>
            <w:pPr>
              <w:spacing w:line="460" w:lineRule="exact"/>
              <w:ind w:firstLine="480" w:firstLineChars="200"/>
              <w:rPr>
                <w:rFonts w:cs="宋体"/>
                <w:color w:val="auto"/>
                <w:sz w:val="24"/>
                <w:szCs w:val="24"/>
                <w:u w:val="single"/>
              </w:rPr>
            </w:pPr>
            <w:r>
              <w:rPr>
                <w:rFonts w:hint="eastAsia" w:cs="宋体"/>
                <w:color w:val="auto"/>
                <w:sz w:val="24"/>
                <w:szCs w:val="24"/>
                <w:u w:val="single"/>
              </w:rPr>
              <w:t>S</w:t>
            </w:r>
            <w:r>
              <w:rPr>
                <w:rFonts w:hint="eastAsia" w:cs="宋体"/>
                <w:color w:val="auto"/>
                <w:sz w:val="24"/>
                <w:szCs w:val="24"/>
                <w:u w:val="single"/>
                <w:vertAlign w:val="subscript"/>
              </w:rPr>
              <w:t>v</w:t>
            </w:r>
            <w:r>
              <w:rPr>
                <w:rFonts w:hint="eastAsia" w:cs="宋体"/>
                <w:color w:val="auto"/>
                <w:sz w:val="24"/>
                <w:szCs w:val="24"/>
                <w:u w:val="single"/>
              </w:rPr>
              <w:t>—反应池内混合液挥发性悬浮固体平均浓度，kgM-LVSS/m</w:t>
            </w:r>
            <w:r>
              <w:rPr>
                <w:rFonts w:hint="eastAsia" w:cs="宋体"/>
                <w:color w:val="auto"/>
                <w:sz w:val="24"/>
                <w:szCs w:val="24"/>
                <w:u w:val="single"/>
                <w:vertAlign w:val="superscript"/>
              </w:rPr>
              <w:t>3</w:t>
            </w:r>
            <w:r>
              <w:rPr>
                <w:rFonts w:hint="eastAsia" w:cs="宋体"/>
                <w:color w:val="auto"/>
                <w:sz w:val="24"/>
                <w:szCs w:val="24"/>
                <w:u w:val="single"/>
              </w:rPr>
              <w:t>，生活污水一般为0.75；</w:t>
            </w:r>
          </w:p>
          <w:p>
            <w:pPr>
              <w:spacing w:line="460" w:lineRule="exact"/>
              <w:ind w:firstLine="480" w:firstLineChars="200"/>
              <w:rPr>
                <w:rFonts w:cs="宋体"/>
                <w:color w:val="auto"/>
                <w:sz w:val="24"/>
                <w:szCs w:val="24"/>
                <w:u w:val="single"/>
              </w:rPr>
            </w:pPr>
            <w:r>
              <w:rPr>
                <w:rFonts w:hint="eastAsia" w:cs="宋体"/>
                <w:color w:val="auto"/>
                <w:sz w:val="24"/>
                <w:szCs w:val="24"/>
                <w:u w:val="single"/>
              </w:rPr>
              <w:t>f—悬浮物的污泥转化率，0.5-0.7gMLSS/gSS，本次取0.6；</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rPr>
              <w:t>f</w:t>
            </w:r>
            <w:r>
              <w:rPr>
                <w:rFonts w:hint="eastAsia" w:cs="宋体"/>
                <w:color w:val="auto"/>
                <w:sz w:val="24"/>
                <w:szCs w:val="24"/>
                <w:u w:val="single"/>
                <w:vertAlign w:val="subscript"/>
              </w:rPr>
              <w:t>1</w:t>
            </w:r>
            <w:r>
              <w:rPr>
                <w:rFonts w:hint="eastAsia" w:cs="宋体"/>
                <w:color w:val="auto"/>
                <w:sz w:val="24"/>
                <w:szCs w:val="24"/>
                <w:u w:val="single"/>
              </w:rPr>
              <w:t>—MLVSS/MLSS比值，生</w:t>
            </w:r>
            <w:r>
              <w:rPr>
                <w:rFonts w:hint="eastAsia" w:cs="宋体"/>
                <w:color w:val="auto"/>
                <w:sz w:val="24"/>
                <w:szCs w:val="24"/>
                <w:u w:val="single"/>
                <w:shd w:val="clear" w:color="auto" w:fill="auto"/>
              </w:rPr>
              <w:t>活污水一般为0.5-0.75，本次取0.6；</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shd w:val="clear" w:color="auto" w:fill="auto"/>
              </w:rPr>
              <w:t>S</w:t>
            </w:r>
            <w:r>
              <w:rPr>
                <w:rFonts w:hint="eastAsia" w:cs="宋体"/>
                <w:color w:val="auto"/>
                <w:sz w:val="24"/>
                <w:szCs w:val="24"/>
                <w:u w:val="single"/>
                <w:shd w:val="clear" w:color="auto" w:fill="auto"/>
                <w:vertAlign w:val="subscript"/>
              </w:rPr>
              <w:t>pi</w:t>
            </w:r>
            <w:r>
              <w:rPr>
                <w:rFonts w:hint="eastAsia" w:cs="宋体"/>
                <w:color w:val="auto"/>
                <w:sz w:val="24"/>
                <w:szCs w:val="24"/>
                <w:u w:val="single"/>
                <w:shd w:val="clear" w:color="auto" w:fill="auto"/>
              </w:rPr>
              <w:t>、S</w:t>
            </w:r>
            <w:r>
              <w:rPr>
                <w:rFonts w:hint="eastAsia" w:cs="宋体"/>
                <w:color w:val="auto"/>
                <w:sz w:val="24"/>
                <w:szCs w:val="24"/>
                <w:u w:val="single"/>
                <w:shd w:val="clear" w:color="auto" w:fill="auto"/>
                <w:vertAlign w:val="subscript"/>
              </w:rPr>
              <w:t>po</w:t>
            </w:r>
            <w:r>
              <w:rPr>
                <w:rFonts w:hint="eastAsia" w:cs="宋体"/>
                <w:color w:val="auto"/>
                <w:sz w:val="24"/>
                <w:szCs w:val="24"/>
                <w:u w:val="single"/>
                <w:shd w:val="clear" w:color="auto" w:fill="auto"/>
              </w:rPr>
              <w:t>—分别为进出水悬浮物浓度，kg/m</w:t>
            </w:r>
            <w:r>
              <w:rPr>
                <w:rFonts w:hint="eastAsia" w:cs="宋体"/>
                <w:color w:val="auto"/>
                <w:sz w:val="24"/>
                <w:szCs w:val="24"/>
                <w:u w:val="single"/>
                <w:shd w:val="clear" w:color="auto" w:fill="auto"/>
                <w:vertAlign w:val="superscript"/>
              </w:rPr>
              <w:t>3</w:t>
            </w:r>
            <w:r>
              <w:rPr>
                <w:rFonts w:hint="eastAsia" w:cs="宋体"/>
                <w:color w:val="auto"/>
                <w:sz w:val="24"/>
                <w:szCs w:val="24"/>
                <w:u w:val="single"/>
                <w:shd w:val="clear" w:color="auto" w:fill="auto"/>
              </w:rPr>
              <w:t>。</w:t>
            </w:r>
          </w:p>
          <w:p>
            <w:pPr>
              <w:spacing w:line="460" w:lineRule="exact"/>
              <w:ind w:firstLine="480" w:firstLineChars="200"/>
              <w:rPr>
                <w:rFonts w:cs="宋体"/>
                <w:color w:val="auto"/>
                <w:sz w:val="24"/>
                <w:szCs w:val="24"/>
                <w:u w:val="single"/>
                <w:shd w:val="clear" w:color="auto" w:fill="auto"/>
              </w:rPr>
            </w:pPr>
            <w:r>
              <w:rPr>
                <w:rFonts w:hint="eastAsia" w:cs="宋体"/>
                <w:color w:val="auto"/>
                <w:sz w:val="24"/>
                <w:szCs w:val="24"/>
                <w:u w:val="single"/>
                <w:shd w:val="clear" w:color="auto" w:fill="auto"/>
              </w:rPr>
              <w:t xml:space="preserve">根据计算，项目剩余污泥量约为 </w:t>
            </w:r>
            <w:r>
              <w:rPr>
                <w:rFonts w:hint="eastAsia" w:cs="宋体"/>
                <w:color w:val="auto"/>
                <w:sz w:val="24"/>
                <w:szCs w:val="24"/>
                <w:u w:val="single"/>
                <w:shd w:val="clear" w:color="auto" w:fill="auto"/>
                <w:lang w:val="en-US" w:eastAsia="zh-CN"/>
              </w:rPr>
              <w:t>39.392kg/d，14.38t/a</w:t>
            </w:r>
            <w:r>
              <w:rPr>
                <w:rFonts w:hint="eastAsia" w:cs="宋体"/>
                <w:color w:val="auto"/>
                <w:sz w:val="24"/>
                <w:szCs w:val="24"/>
                <w:u w:val="single"/>
                <w:shd w:val="clear" w:color="auto" w:fill="auto"/>
              </w:rPr>
              <w:t>。</w:t>
            </w:r>
          </w:p>
          <w:p>
            <w:pPr>
              <w:spacing w:line="460" w:lineRule="exact"/>
              <w:ind w:firstLine="480" w:firstLineChars="200"/>
              <w:rPr>
                <w:rFonts w:cs="宋体"/>
                <w:color w:val="auto"/>
                <w:sz w:val="24"/>
                <w:szCs w:val="24"/>
                <w:lang w:val="zh-CN"/>
              </w:rPr>
            </w:pPr>
            <w:r>
              <w:rPr>
                <w:rFonts w:hint="eastAsia" w:cs="宋体"/>
                <w:color w:val="auto"/>
                <w:sz w:val="24"/>
                <w:szCs w:val="24"/>
                <w:lang w:val="zh-CN"/>
              </w:rPr>
              <w:t>（3）职工日常生活垃圾</w:t>
            </w:r>
          </w:p>
          <w:p>
            <w:pPr>
              <w:spacing w:line="460" w:lineRule="exact"/>
              <w:ind w:firstLine="480" w:firstLineChars="200"/>
              <w:rPr>
                <w:rFonts w:cs="宋体"/>
                <w:color w:val="auto"/>
                <w:sz w:val="24"/>
                <w:szCs w:val="24"/>
                <w:lang w:val="zh-CN"/>
              </w:rPr>
            </w:pPr>
            <w:r>
              <w:rPr>
                <w:rFonts w:hint="eastAsia" w:cs="宋体"/>
                <w:color w:val="auto"/>
                <w:sz w:val="24"/>
                <w:szCs w:val="24"/>
                <w:lang w:val="zh-CN"/>
              </w:rPr>
              <w:t>本项目</w:t>
            </w:r>
            <w:r>
              <w:rPr>
                <w:rFonts w:hint="eastAsia" w:cs="宋体"/>
                <w:color w:val="auto"/>
                <w:sz w:val="24"/>
                <w:szCs w:val="24"/>
                <w:lang w:val="en-US" w:eastAsia="zh-CN"/>
              </w:rPr>
              <w:t>设</w:t>
            </w:r>
            <w:r>
              <w:rPr>
                <w:rFonts w:hint="eastAsia" w:cs="宋体"/>
                <w:color w:val="auto"/>
                <w:sz w:val="24"/>
                <w:szCs w:val="24"/>
                <w:lang w:val="zh-CN"/>
              </w:rPr>
              <w:t xml:space="preserve">职工 </w:t>
            </w:r>
            <w:r>
              <w:rPr>
                <w:rFonts w:hint="eastAsia" w:cs="宋体"/>
                <w:color w:val="auto"/>
                <w:sz w:val="24"/>
                <w:szCs w:val="24"/>
                <w:lang w:val="en-US" w:eastAsia="zh-CN"/>
              </w:rPr>
              <w:t>1</w:t>
            </w:r>
            <w:r>
              <w:rPr>
                <w:rFonts w:hint="eastAsia" w:cs="宋体"/>
                <w:color w:val="auto"/>
                <w:sz w:val="24"/>
                <w:szCs w:val="24"/>
                <w:lang w:val="zh-CN"/>
              </w:rPr>
              <w:t xml:space="preserve">人，则本项目投入营运后生活垃圾产生量为 </w:t>
            </w:r>
            <w:r>
              <w:rPr>
                <w:rFonts w:hint="eastAsia" w:cs="宋体"/>
                <w:color w:val="auto"/>
                <w:sz w:val="24"/>
                <w:szCs w:val="24"/>
                <w:lang w:val="en-US" w:eastAsia="zh-CN"/>
              </w:rPr>
              <w:t>0.185</w:t>
            </w:r>
            <w:r>
              <w:rPr>
                <w:rFonts w:hint="eastAsia" w:cs="宋体"/>
                <w:color w:val="auto"/>
                <w:sz w:val="24"/>
                <w:szCs w:val="24"/>
                <w:lang w:val="zh-CN"/>
              </w:rPr>
              <w:t>t/a（</w:t>
            </w:r>
            <w:r>
              <w:rPr>
                <w:rFonts w:hint="eastAsia" w:cs="宋体"/>
                <w:color w:val="auto"/>
                <w:sz w:val="24"/>
                <w:szCs w:val="24"/>
                <w:lang w:val="en-US" w:eastAsia="zh-CN"/>
              </w:rPr>
              <w:t>0.05</w:t>
            </w:r>
            <w:r>
              <w:rPr>
                <w:rFonts w:hint="eastAsia" w:cs="宋体"/>
                <w:color w:val="auto"/>
                <w:sz w:val="24"/>
                <w:szCs w:val="24"/>
                <w:lang w:val="zh-CN"/>
              </w:rPr>
              <w:t>kg/d）。</w:t>
            </w:r>
          </w:p>
          <w:p>
            <w:pPr>
              <w:spacing w:line="460" w:lineRule="exact"/>
              <w:ind w:firstLine="480" w:firstLineChars="200"/>
              <w:rPr>
                <w:rFonts w:hint="eastAsia" w:cs="宋体"/>
                <w:color w:val="auto"/>
                <w:sz w:val="24"/>
                <w:szCs w:val="24"/>
                <w:lang w:val="zh-CN"/>
              </w:rPr>
            </w:pPr>
            <w:r>
              <w:rPr>
                <w:rFonts w:hint="eastAsia" w:cs="宋体"/>
                <w:color w:val="auto"/>
                <w:sz w:val="24"/>
                <w:szCs w:val="24"/>
                <w:lang w:val="zh-CN"/>
              </w:rPr>
              <w:t>（</w:t>
            </w:r>
            <w:r>
              <w:rPr>
                <w:rFonts w:hint="eastAsia" w:cs="宋体"/>
                <w:color w:val="auto"/>
                <w:sz w:val="24"/>
                <w:szCs w:val="24"/>
                <w:lang w:val="en-US" w:eastAsia="zh-CN"/>
              </w:rPr>
              <w:t>4</w:t>
            </w:r>
            <w:r>
              <w:rPr>
                <w:rFonts w:hint="eastAsia" w:cs="宋体"/>
                <w:color w:val="auto"/>
                <w:sz w:val="24"/>
                <w:szCs w:val="24"/>
                <w:lang w:val="zh-CN"/>
              </w:rPr>
              <w:t>）紫外线灯管</w:t>
            </w:r>
          </w:p>
          <w:p>
            <w:pPr>
              <w:spacing w:line="460" w:lineRule="exact"/>
              <w:ind w:firstLine="480" w:firstLineChars="200"/>
              <w:rPr>
                <w:rFonts w:hint="eastAsia" w:eastAsia="宋体" w:cs="宋体"/>
                <w:color w:val="auto"/>
                <w:sz w:val="24"/>
                <w:szCs w:val="24"/>
                <w:lang w:val="en-US" w:eastAsia="zh-CN"/>
              </w:rPr>
            </w:pPr>
            <w:r>
              <w:rPr>
                <w:rFonts w:hint="eastAsia" w:cs="宋体"/>
                <w:color w:val="auto"/>
                <w:sz w:val="24"/>
                <w:szCs w:val="24"/>
                <w:lang w:val="zh-CN"/>
              </w:rPr>
              <w:t>本工程出水采用紫外消毒，该过程产生废紫外线灯管，属于危险固废，产生量约为</w:t>
            </w:r>
            <w:r>
              <w:rPr>
                <w:rFonts w:hint="eastAsia" w:cs="宋体"/>
                <w:color w:val="auto"/>
                <w:sz w:val="24"/>
                <w:szCs w:val="24"/>
                <w:lang w:val="en-US" w:eastAsia="zh-CN"/>
              </w:rPr>
              <w:t>0.01t/a。</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项目运营期主要固废产生情况见下表</w:t>
            </w:r>
            <w:r>
              <w:rPr>
                <w:rFonts w:hint="eastAsia" w:cs="宋体"/>
                <w:color w:val="auto"/>
                <w:sz w:val="24"/>
                <w:szCs w:val="24"/>
                <w:lang w:val="en-US" w:eastAsia="zh-CN"/>
              </w:rPr>
              <w:t>25</w:t>
            </w:r>
            <w:r>
              <w:rPr>
                <w:rFonts w:hint="eastAsia" w:cs="宋体"/>
                <w:color w:val="auto"/>
                <w:sz w:val="24"/>
                <w:szCs w:val="24"/>
                <w:lang w:val="zh-CN"/>
              </w:rPr>
              <w:t>。</w:t>
            </w:r>
          </w:p>
          <w:p>
            <w:pPr>
              <w:autoSpaceDE w:val="0"/>
              <w:autoSpaceDN w:val="0"/>
              <w:adjustRightInd w:val="0"/>
              <w:spacing w:line="460" w:lineRule="exact"/>
              <w:ind w:firstLine="462"/>
              <w:jc w:val="center"/>
              <w:rPr>
                <w:rFonts w:cs="宋体"/>
                <w:b/>
                <w:bCs/>
                <w:color w:val="auto"/>
                <w:sz w:val="24"/>
                <w:szCs w:val="24"/>
              </w:rPr>
            </w:pPr>
            <w:r>
              <w:rPr>
                <w:rFonts w:hint="eastAsia" w:cs="宋体"/>
                <w:b/>
                <w:bCs/>
                <w:color w:val="auto"/>
                <w:sz w:val="24"/>
                <w:szCs w:val="24"/>
                <w:lang w:val="zh-CN"/>
              </w:rPr>
              <w:t>表</w:t>
            </w:r>
            <w:r>
              <w:rPr>
                <w:rFonts w:hint="eastAsia" w:cs="宋体"/>
                <w:b/>
                <w:bCs/>
                <w:color w:val="auto"/>
                <w:sz w:val="24"/>
                <w:szCs w:val="24"/>
              </w:rPr>
              <w:t>2</w:t>
            </w:r>
            <w:r>
              <w:rPr>
                <w:rFonts w:hint="eastAsia" w:cs="宋体"/>
                <w:b/>
                <w:bCs/>
                <w:color w:val="auto"/>
                <w:sz w:val="24"/>
                <w:szCs w:val="24"/>
                <w:lang w:val="en-US" w:eastAsia="zh-CN"/>
              </w:rPr>
              <w:t>5</w:t>
            </w:r>
            <w:r>
              <w:rPr>
                <w:rFonts w:hint="eastAsia" w:cs="宋体"/>
                <w:b/>
                <w:bCs/>
                <w:color w:val="auto"/>
                <w:sz w:val="24"/>
                <w:szCs w:val="24"/>
              </w:rPr>
              <w:t xml:space="preserve"> 项目运营固废产生情况</w:t>
            </w:r>
          </w:p>
          <w:tbl>
            <w:tblPr>
              <w:tblStyle w:val="29"/>
              <w:tblW w:w="7501" w:type="dxa"/>
              <w:tblInd w:w="7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4"/>
              <w:gridCol w:w="2051"/>
              <w:gridCol w:w="2137"/>
              <w:gridCol w:w="21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种类</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固废属性</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产生量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栅渣</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10.95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砂粒</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一般固废</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3.285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1134" w:type="dxa"/>
                  <w:vAlign w:val="center"/>
                </w:tcPr>
                <w:p>
                  <w:pPr>
                    <w:pStyle w:val="107"/>
                    <w:spacing w:line="320" w:lineRule="exact"/>
                    <w:jc w:val="center"/>
                    <w:rPr>
                      <w:rFonts w:ascii="Times New Roman" w:hAnsi="Times New Roman" w:cs="Times New Roman"/>
                      <w:color w:val="auto"/>
                      <w:sz w:val="21"/>
                      <w:szCs w:val="21"/>
                      <w:shd w:val="clear" w:color="auto" w:fill="auto"/>
                    </w:rPr>
                  </w:pPr>
                  <w:r>
                    <w:rPr>
                      <w:rFonts w:ascii="Times New Roman" w:hAnsi="Times New Roman" w:cs="Times New Roman"/>
                      <w:color w:val="auto"/>
                      <w:sz w:val="21"/>
                      <w:szCs w:val="21"/>
                      <w:shd w:val="clear" w:color="auto" w:fill="auto"/>
                    </w:rPr>
                    <w:t>3</w:t>
                  </w:r>
                </w:p>
              </w:tc>
              <w:tc>
                <w:tcPr>
                  <w:tcW w:w="2051" w:type="dxa"/>
                  <w:vAlign w:val="center"/>
                </w:tcPr>
                <w:p>
                  <w:pPr>
                    <w:pStyle w:val="107"/>
                    <w:spacing w:line="320" w:lineRule="exact"/>
                    <w:jc w:val="center"/>
                    <w:rPr>
                      <w:rFonts w:ascii="Times New Roman" w:hAnsi="Times New Roman" w:cs="Times New Roman"/>
                      <w:color w:val="auto"/>
                      <w:sz w:val="21"/>
                      <w:szCs w:val="21"/>
                      <w:shd w:val="clear" w:color="auto" w:fill="auto"/>
                    </w:rPr>
                  </w:pPr>
                  <w:r>
                    <w:rPr>
                      <w:rFonts w:ascii="Times New Roman" w:hAnsi="Times New Roman" w:cs="Times New Roman"/>
                      <w:color w:val="auto"/>
                      <w:sz w:val="21"/>
                      <w:szCs w:val="21"/>
                      <w:shd w:val="clear" w:color="auto" w:fill="auto"/>
                    </w:rPr>
                    <w:t>污泥</w:t>
                  </w:r>
                </w:p>
              </w:tc>
              <w:tc>
                <w:tcPr>
                  <w:tcW w:w="2137" w:type="dxa"/>
                  <w:vAlign w:val="center"/>
                </w:tcPr>
                <w:p>
                  <w:pPr>
                    <w:pStyle w:val="107"/>
                    <w:spacing w:line="320" w:lineRule="exact"/>
                    <w:jc w:val="center"/>
                    <w:rPr>
                      <w:rFonts w:ascii="Times New Roman" w:hAnsi="Times New Roman" w:cs="Times New Roman"/>
                      <w:color w:val="auto"/>
                      <w:sz w:val="21"/>
                      <w:szCs w:val="21"/>
                      <w:shd w:val="clear" w:color="auto" w:fill="auto"/>
                    </w:rPr>
                  </w:pPr>
                  <w:r>
                    <w:rPr>
                      <w:rFonts w:ascii="Times New Roman" w:hAnsi="Times New Roman" w:cs="Times New Roman"/>
                      <w:color w:val="auto"/>
                      <w:sz w:val="21"/>
                      <w:szCs w:val="21"/>
                      <w:shd w:val="clear" w:color="auto" w:fill="auto"/>
                    </w:rPr>
                    <w:t>一般固废</w:t>
                  </w:r>
                </w:p>
              </w:tc>
              <w:tc>
                <w:tcPr>
                  <w:tcW w:w="2179" w:type="dxa"/>
                  <w:vAlign w:val="center"/>
                </w:tcPr>
                <w:p>
                  <w:pPr>
                    <w:pStyle w:val="107"/>
                    <w:spacing w:line="320" w:lineRule="exact"/>
                    <w:jc w:val="center"/>
                    <w:rPr>
                      <w:rFonts w:ascii="Times New Roman" w:hAnsi="Times New Roman" w:cs="Times New Roman"/>
                      <w:color w:val="auto"/>
                      <w:sz w:val="21"/>
                      <w:szCs w:val="21"/>
                      <w:shd w:val="clear" w:color="FFFFFF" w:fill="D9D9D9"/>
                    </w:rPr>
                  </w:pPr>
                  <w:r>
                    <w:rPr>
                      <w:rFonts w:hint="eastAsia" w:ascii="Times New Roman" w:hAnsi="Times New Roman" w:cs="Times New Roman"/>
                      <w:color w:val="auto"/>
                      <w:sz w:val="21"/>
                      <w:szCs w:val="21"/>
                      <w:lang w:val="en-US" w:eastAsia="zh-CN"/>
                    </w:rPr>
                    <w:t>14.38t/a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051"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37"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生活垃圾</w:t>
                  </w:r>
                </w:p>
              </w:tc>
              <w:tc>
                <w:tcPr>
                  <w:tcW w:w="2179" w:type="dxa"/>
                  <w:vAlign w:val="center"/>
                </w:tcPr>
                <w:p>
                  <w:pPr>
                    <w:pStyle w:val="107"/>
                    <w:spacing w:line="32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185</w:t>
                  </w:r>
                  <w:r>
                    <w:rPr>
                      <w:rFonts w:ascii="Times New Roman" w:hAnsi="Times New Roman" w:cs="Times New Roman"/>
                      <w:color w:val="auto"/>
                      <w:sz w:val="21"/>
                      <w:szCs w:val="21"/>
                    </w:rP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134" w:type="dxa"/>
                  <w:vAlign w:val="center"/>
                </w:tcPr>
                <w:p>
                  <w:pPr>
                    <w:pStyle w:val="107"/>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2051" w:type="dxa"/>
                  <w:vAlign w:val="center"/>
                </w:tcPr>
                <w:p>
                  <w:pPr>
                    <w:pStyle w:val="107"/>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紫外线灯管</w:t>
                  </w:r>
                </w:p>
              </w:tc>
              <w:tc>
                <w:tcPr>
                  <w:tcW w:w="2137" w:type="dxa"/>
                  <w:vAlign w:val="center"/>
                </w:tcPr>
                <w:p>
                  <w:pPr>
                    <w:pStyle w:val="107"/>
                    <w:spacing w:line="32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危险固废</w:t>
                  </w:r>
                </w:p>
              </w:tc>
              <w:tc>
                <w:tcPr>
                  <w:tcW w:w="2179" w:type="dxa"/>
                  <w:vAlign w:val="center"/>
                </w:tcPr>
                <w:p>
                  <w:pPr>
                    <w:pStyle w:val="107"/>
                    <w:spacing w:line="32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0.01t/a</w:t>
                  </w:r>
                </w:p>
              </w:tc>
            </w:tr>
          </w:tbl>
          <w:p>
            <w:pPr>
              <w:autoSpaceDE w:val="0"/>
              <w:autoSpaceDN w:val="0"/>
              <w:adjustRightInd w:val="0"/>
              <w:spacing w:line="460" w:lineRule="exact"/>
              <w:ind w:firstLine="462"/>
              <w:rPr>
                <w:rFonts w:cs="宋体"/>
                <w:color w:val="auto"/>
                <w:sz w:val="24"/>
                <w:szCs w:val="24"/>
                <w:u w:val="single"/>
                <w:lang w:val="zh-CN"/>
              </w:rPr>
            </w:pPr>
          </w:p>
        </w:tc>
      </w:tr>
    </w:tbl>
    <w:p>
      <w:pPr>
        <w:pStyle w:val="4"/>
        <w:spacing w:before="0" w:after="0"/>
        <w:jc w:val="left"/>
        <w:rPr>
          <w:sz w:val="30"/>
          <w:szCs w:val="30"/>
        </w:rPr>
      </w:pPr>
      <w:r>
        <w:rPr>
          <w:rFonts w:hint="eastAsia"/>
          <w:sz w:val="30"/>
          <w:szCs w:val="30"/>
        </w:rPr>
        <w:t>项目主要污染物产生及预计排放情况</w:t>
      </w:r>
    </w:p>
    <w:tbl>
      <w:tblPr>
        <w:tblStyle w:val="29"/>
        <w:tblW w:w="93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5"/>
        <w:gridCol w:w="850"/>
        <w:gridCol w:w="709"/>
        <w:gridCol w:w="1418"/>
        <w:gridCol w:w="1842"/>
        <w:gridCol w:w="1985"/>
        <w:gridCol w:w="8"/>
        <w:gridCol w:w="19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7" w:hRule="atLeast"/>
          <w:jc w:val="center"/>
        </w:trPr>
        <w:tc>
          <w:tcPr>
            <w:tcW w:w="1445" w:type="dxa"/>
            <w:gridSpan w:val="2"/>
            <w:tcBorders>
              <w:bottom w:val="single" w:color="000000" w:sz="6" w:space="0"/>
              <w:right w:val="single" w:color="000000" w:sz="6" w:space="0"/>
              <w:tl2br w:val="single" w:color="000000" w:sz="8" w:space="0"/>
            </w:tcBorders>
            <w:vAlign w:val="center"/>
          </w:tcPr>
          <w:p>
            <w:pPr>
              <w:pStyle w:val="107"/>
              <w:snapToGrid w:val="0"/>
              <w:spacing w:before="122" w:line="320" w:lineRule="exact"/>
              <w:jc w:val="right"/>
              <w:rPr>
                <w:rFonts w:ascii="黑体" w:hAnsi="黑体" w:eastAsia="黑体" w:cs="黑体"/>
                <w:b/>
                <w:color w:val="auto"/>
                <w:sz w:val="28"/>
                <w:szCs w:val="28"/>
              </w:rPr>
            </w:pPr>
            <w:r>
              <w:rPr>
                <w:rFonts w:hint="eastAsia" w:ascii="黑体" w:hAnsi="黑体" w:eastAsia="黑体" w:cs="黑体"/>
                <w:b/>
                <w:color w:val="auto"/>
                <w:w w:val="95"/>
                <w:sz w:val="28"/>
                <w:szCs w:val="28"/>
              </w:rPr>
              <w:t>类型</w:t>
            </w:r>
          </w:p>
          <w:p>
            <w:pPr>
              <w:pStyle w:val="107"/>
              <w:spacing w:line="320" w:lineRule="exact"/>
              <w:jc w:val="left"/>
              <w:rPr>
                <w:rFonts w:ascii="黑体" w:hAnsi="黑体" w:eastAsia="黑体" w:cs="黑体"/>
                <w:b/>
                <w:color w:val="auto"/>
                <w:sz w:val="28"/>
                <w:szCs w:val="28"/>
              </w:rPr>
            </w:pPr>
            <w:r>
              <w:rPr>
                <w:rFonts w:hint="eastAsia" w:ascii="黑体" w:hAnsi="黑体" w:eastAsia="黑体" w:cs="黑体"/>
                <w:b/>
                <w:color w:val="auto"/>
                <w:w w:val="95"/>
                <w:sz w:val="28"/>
                <w:szCs w:val="28"/>
              </w:rPr>
              <w:t>内容</w:t>
            </w:r>
          </w:p>
        </w:tc>
        <w:tc>
          <w:tcPr>
            <w:tcW w:w="2127" w:type="dxa"/>
            <w:gridSpan w:val="2"/>
            <w:tcBorders>
              <w:left w:val="single" w:color="000000" w:sz="6" w:space="0"/>
              <w:bottom w:val="single" w:color="000000" w:sz="6" w:space="0"/>
              <w:right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排放源</w:t>
            </w:r>
          </w:p>
        </w:tc>
        <w:tc>
          <w:tcPr>
            <w:tcW w:w="1842" w:type="dxa"/>
            <w:tcBorders>
              <w:left w:val="single" w:color="000000" w:sz="6" w:space="0"/>
              <w:bottom w:val="single" w:color="000000" w:sz="6" w:space="0"/>
              <w:right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污染物</w:t>
            </w:r>
          </w:p>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名称</w:t>
            </w:r>
          </w:p>
        </w:tc>
        <w:tc>
          <w:tcPr>
            <w:tcW w:w="1985" w:type="dxa"/>
            <w:tcBorders>
              <w:left w:val="single" w:color="000000" w:sz="6" w:space="0"/>
              <w:bottom w:val="single" w:color="000000" w:sz="6" w:space="0"/>
              <w:right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处理前产生浓度</w:t>
            </w:r>
          </w:p>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sz w:val="28"/>
                <w:szCs w:val="28"/>
              </w:rPr>
              <w:t>及产生量（单位）</w:t>
            </w:r>
          </w:p>
        </w:tc>
        <w:tc>
          <w:tcPr>
            <w:tcW w:w="1955" w:type="dxa"/>
            <w:gridSpan w:val="2"/>
            <w:tcBorders>
              <w:left w:val="single" w:color="000000" w:sz="6" w:space="0"/>
              <w:bottom w:val="single" w:color="000000" w:sz="6" w:space="0"/>
            </w:tcBorders>
            <w:vAlign w:val="center"/>
          </w:tcPr>
          <w:p>
            <w:pPr>
              <w:pStyle w:val="107"/>
              <w:spacing w:line="320" w:lineRule="exact"/>
              <w:jc w:val="center"/>
              <w:rPr>
                <w:rFonts w:ascii="黑体" w:hAnsi="黑体" w:eastAsia="黑体" w:cs="黑体"/>
                <w:b/>
                <w:color w:val="auto"/>
                <w:sz w:val="28"/>
                <w:szCs w:val="28"/>
              </w:rPr>
            </w:pPr>
            <w:r>
              <w:rPr>
                <w:rFonts w:hint="eastAsia" w:ascii="黑体" w:hAnsi="黑体" w:eastAsia="黑体" w:cs="黑体"/>
                <w:b/>
                <w:color w:val="auto"/>
                <w:w w:val="95"/>
                <w:sz w:val="28"/>
                <w:szCs w:val="28"/>
              </w:rPr>
              <w:t>处理后排放浓度及</w:t>
            </w:r>
            <w:r>
              <w:rPr>
                <w:rFonts w:hint="eastAsia" w:ascii="黑体" w:hAnsi="黑体" w:eastAsia="黑体" w:cs="黑体"/>
                <w:b/>
                <w:color w:val="auto"/>
                <w:sz w:val="28"/>
                <w:szCs w:val="28"/>
              </w:rPr>
              <w:t>排放量（单位）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jc w:val="center"/>
        </w:trPr>
        <w:tc>
          <w:tcPr>
            <w:tcW w:w="595" w:type="dxa"/>
            <w:vMerge w:val="restart"/>
            <w:tcBorders>
              <w:top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管网工程</w:t>
            </w:r>
          </w:p>
        </w:tc>
        <w:tc>
          <w:tcPr>
            <w:tcW w:w="850" w:type="dxa"/>
            <w:vMerge w:val="restart"/>
            <w:tcBorders>
              <w:top w:val="single" w:color="000000" w:sz="6" w:space="0"/>
              <w:left w:val="single" w:color="000000" w:sz="4" w:space="0"/>
              <w:bottom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大气污染物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施工扬尘</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扬尘</w:t>
            </w:r>
          </w:p>
        </w:tc>
        <w:tc>
          <w:tcPr>
            <w:tcW w:w="1985" w:type="dxa"/>
            <w:vMerge w:val="restart"/>
            <w:tcBorders>
              <w:top w:val="single" w:color="000000" w:sz="6" w:space="0"/>
              <w:left w:val="single" w:color="000000" w:sz="6" w:space="0"/>
              <w:bottom w:val="single" w:color="000000" w:sz="6" w:space="0"/>
              <w:right w:val="single" w:color="000000" w:sz="6" w:space="0"/>
            </w:tcBorders>
            <w:vAlign w:val="center"/>
          </w:tcPr>
          <w:p>
            <w:pPr>
              <w:pStyle w:val="107"/>
              <w:spacing w:before="1"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c>
          <w:tcPr>
            <w:tcW w:w="1955" w:type="dxa"/>
            <w:gridSpan w:val="2"/>
            <w:vMerge w:val="restart"/>
            <w:tcBorders>
              <w:top w:val="single" w:color="000000" w:sz="6" w:space="0"/>
              <w:left w:val="single" w:color="000000" w:sz="6" w:space="0"/>
              <w:bottom w:val="single" w:color="000000" w:sz="6" w:space="0"/>
            </w:tcBorders>
            <w:vAlign w:val="center"/>
          </w:tcPr>
          <w:p>
            <w:pPr>
              <w:pStyle w:val="107"/>
              <w:spacing w:before="1"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4"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燃油尾气</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CO</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THC</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NO</w:t>
            </w:r>
            <w:r>
              <w:rPr>
                <w:rFonts w:ascii="Times New Roman" w:hAnsi="Times New Roman" w:eastAsia="Times New Roman" w:cs="Times New Roman"/>
                <w:color w:val="auto"/>
                <w:position w:val="2"/>
                <w:sz w:val="24"/>
                <w:szCs w:val="24"/>
                <w:vertAlign w:val="subscript"/>
              </w:rPr>
              <w:t>X</w:t>
            </w:r>
          </w:p>
        </w:tc>
        <w:tc>
          <w:tcPr>
            <w:tcW w:w="1985" w:type="dxa"/>
            <w:vMerge w:val="continue"/>
            <w:tcBorders>
              <w:top w:val="nil"/>
              <w:left w:val="single" w:color="000000" w:sz="6" w:space="0"/>
              <w:bottom w:val="single" w:color="000000" w:sz="6" w:space="0"/>
              <w:right w:val="single" w:color="000000" w:sz="6" w:space="0"/>
            </w:tcBorders>
            <w:vAlign w:val="center"/>
          </w:tcPr>
          <w:p>
            <w:pPr>
              <w:spacing w:line="240" w:lineRule="atLeast"/>
              <w:jc w:val="center"/>
              <w:rPr>
                <w:color w:val="auto"/>
                <w:sz w:val="24"/>
                <w:szCs w:val="24"/>
              </w:rPr>
            </w:pP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restart"/>
            <w:tcBorders>
              <w:top w:val="single" w:color="000000" w:sz="4"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水污染物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施工废水</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15"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15"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300~500mg/L</w:t>
            </w:r>
          </w:p>
        </w:tc>
        <w:tc>
          <w:tcPr>
            <w:tcW w:w="1955" w:type="dxa"/>
            <w:gridSpan w:val="2"/>
            <w:vMerge w:val="restart"/>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生活污水</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cs="Times New Roman"/>
                <w:color w:val="auto"/>
                <w:spacing w:val="-33"/>
                <w:position w:val="2"/>
                <w:sz w:val="24"/>
                <w:szCs w:val="24"/>
              </w:rPr>
              <w:t xml:space="preserve">、 </w:t>
            </w:r>
            <w:r>
              <w:rPr>
                <w:rFonts w:ascii="Times New Roman" w:hAnsi="Times New Roman" w:eastAsia="Times New Roman" w:cs="Times New Roman"/>
                <w:color w:val="auto"/>
                <w:position w:val="2"/>
                <w:sz w:val="24"/>
                <w:szCs w:val="24"/>
              </w:rPr>
              <w:t>BOD</w:t>
            </w:r>
            <w:r>
              <w:rPr>
                <w:rFonts w:ascii="Times New Roman" w:hAnsi="Times New Roman" w:eastAsia="Times New Roman" w:cs="Times New Roman"/>
                <w:color w:val="auto"/>
                <w:position w:val="2"/>
                <w:sz w:val="24"/>
                <w:szCs w:val="24"/>
                <w:vertAlign w:val="subscript"/>
              </w:rPr>
              <w:t>5</w:t>
            </w:r>
            <w:r>
              <w:rPr>
                <w:rFonts w:ascii="Times New Roman" w:hAnsi="Times New Roman" w:cs="Times New Roman"/>
                <w:color w:val="auto"/>
                <w:position w:val="2"/>
                <w:sz w:val="24"/>
                <w:szCs w:val="24"/>
              </w:rPr>
              <w:t>、</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350 mg/L</w:t>
            </w:r>
          </w:p>
          <w:p>
            <w:pPr>
              <w:pStyle w:val="107"/>
              <w:spacing w:before="1"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NH</w:t>
            </w:r>
            <w:r>
              <w:rPr>
                <w:rFonts w:ascii="Times New Roman" w:hAnsi="Times New Roman" w:eastAsia="Times New Roman" w:cs="Times New Roman"/>
                <w:color w:val="auto"/>
                <w:position w:val="2"/>
                <w:sz w:val="24"/>
                <w:szCs w:val="24"/>
                <w:vertAlign w:val="subscript"/>
              </w:rPr>
              <w:t>3</w:t>
            </w:r>
            <w:r>
              <w:rPr>
                <w:rFonts w:ascii="Times New Roman" w:hAnsi="Times New Roman" w:eastAsia="Times New Roman" w:cs="Times New Roman"/>
                <w:color w:val="auto"/>
                <w:position w:val="2"/>
                <w:sz w:val="24"/>
                <w:szCs w:val="24"/>
              </w:rPr>
              <w:t>-N</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 xml:space="preserve">20 mg/L </w:t>
            </w:r>
            <w:r>
              <w:rPr>
                <w:rFonts w:ascii="Times New Roman" w:hAnsi="Times New Roman" w:eastAsia="Times New Roman" w:cs="Times New Roman"/>
                <w:color w:val="auto"/>
                <w:sz w:val="24"/>
                <w:szCs w:val="24"/>
              </w:rPr>
              <w:t>SS</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200 mg/L</w:t>
            </w: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试压废水</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562.48</w:t>
            </w:r>
            <w:r>
              <w:rPr>
                <w:rFonts w:hint="eastAsia" w:ascii="Times New Roman" w:hAnsi="Times New Roman" w:cs="Times New Roman"/>
                <w:color w:val="auto"/>
                <w:sz w:val="24"/>
                <w:szCs w:val="24"/>
              </w:rPr>
              <w:t>m</w:t>
            </w:r>
            <w:r>
              <w:rPr>
                <w:rFonts w:hint="eastAsia" w:ascii="Times New Roman" w:hAnsi="Times New Roman" w:cs="Times New Roman"/>
                <w:color w:val="auto"/>
                <w:sz w:val="24"/>
                <w:szCs w:val="24"/>
                <w:vertAlign w:val="superscript"/>
              </w:rPr>
              <w:t>3</w:t>
            </w:r>
          </w:p>
        </w:tc>
        <w:tc>
          <w:tcPr>
            <w:tcW w:w="1955" w:type="dxa"/>
            <w:gridSpan w:val="2"/>
            <w:tcBorders>
              <w:top w:val="single" w:color="000000" w:sz="6" w:space="0"/>
              <w:left w:val="single" w:color="000000" w:sz="6" w:space="0"/>
              <w:bottom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restart"/>
            <w:tcBorders>
              <w:top w:val="single" w:color="000000" w:sz="6" w:space="0"/>
              <w:left w:val="single" w:color="000000" w:sz="4" w:space="0"/>
              <w:bottom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固体</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废物</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施工场地</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土石方</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少量</w:t>
            </w:r>
          </w:p>
        </w:tc>
        <w:tc>
          <w:tcPr>
            <w:tcW w:w="1955" w:type="dxa"/>
            <w:gridSpan w:val="2"/>
            <w:tcBorders>
              <w:top w:val="single" w:color="000000" w:sz="6" w:space="0"/>
              <w:left w:val="single" w:color="000000" w:sz="6" w:space="0"/>
              <w:bottom w:val="single" w:color="000000" w:sz="6" w:space="0"/>
            </w:tcBorders>
            <w:vAlign w:val="center"/>
          </w:tcPr>
          <w:p>
            <w:pPr>
              <w:pStyle w:val="107"/>
              <w:spacing w:before="14"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4" w:space="0"/>
              <w:right w:val="single" w:color="000000" w:sz="6" w:space="0"/>
            </w:tcBorders>
            <w:vAlign w:val="center"/>
          </w:tcPr>
          <w:p>
            <w:pPr>
              <w:spacing w:line="240" w:lineRule="atLeast"/>
              <w:jc w:val="center"/>
              <w:rPr>
                <w:color w:val="auto"/>
                <w:sz w:val="24"/>
                <w:szCs w:val="24"/>
              </w:rPr>
            </w:pP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生活过程</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6"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生活垃圾</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20"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0</w:t>
            </w:r>
            <w:r>
              <w:rPr>
                <w:rFonts w:ascii="Times New Roman" w:hAnsi="Times New Roman" w:cs="Times New Roman"/>
                <w:color w:val="auto"/>
                <w:sz w:val="24"/>
                <w:szCs w:val="24"/>
              </w:rPr>
              <w:t>kg/d</w:t>
            </w:r>
          </w:p>
        </w:tc>
        <w:tc>
          <w:tcPr>
            <w:tcW w:w="1955" w:type="dxa"/>
            <w:gridSpan w:val="2"/>
            <w:tcBorders>
              <w:top w:val="single" w:color="000000" w:sz="6" w:space="0"/>
              <w:left w:val="single" w:color="000000" w:sz="6" w:space="0"/>
              <w:bottom w:val="single" w:color="000000" w:sz="6" w:space="0"/>
            </w:tcBorders>
            <w:vAlign w:val="center"/>
          </w:tcPr>
          <w:p>
            <w:pPr>
              <w:pStyle w:val="107"/>
              <w:spacing w:before="20"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595" w:type="dxa"/>
            <w:vMerge w:val="continue"/>
            <w:tcBorders>
              <w:top w:val="nil"/>
              <w:bottom w:val="single" w:color="000000" w:sz="6" w:space="0"/>
              <w:right w:val="single" w:color="000000" w:sz="4" w:space="0"/>
            </w:tcBorders>
            <w:vAlign w:val="center"/>
          </w:tcPr>
          <w:p>
            <w:pPr>
              <w:spacing w:line="240" w:lineRule="atLeast"/>
              <w:jc w:val="center"/>
              <w:rPr>
                <w:color w:val="auto"/>
                <w:sz w:val="24"/>
                <w:szCs w:val="24"/>
              </w:rPr>
            </w:pPr>
          </w:p>
        </w:tc>
        <w:tc>
          <w:tcPr>
            <w:tcW w:w="850" w:type="dxa"/>
            <w:tcBorders>
              <w:top w:val="single" w:color="000000" w:sz="4"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噪声</w:t>
            </w:r>
          </w:p>
        </w:tc>
        <w:tc>
          <w:tcPr>
            <w:tcW w:w="212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机械噪声</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噪声</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eastAsia="Times New Roman" w:cs="Times New Roman"/>
                <w:color w:val="auto"/>
                <w:sz w:val="24"/>
                <w:szCs w:val="24"/>
              </w:rPr>
              <w:t>89~107dB</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A</w:t>
            </w:r>
            <w:r>
              <w:rPr>
                <w:rFonts w:ascii="Times New Roman" w:hAnsi="Times New Roman" w:cs="Times New Roman"/>
                <w:color w:val="auto"/>
                <w:sz w:val="24"/>
                <w:szCs w:val="24"/>
              </w:rPr>
              <w:t>）</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昼间≤</w:t>
            </w:r>
            <w:r>
              <w:rPr>
                <w:rFonts w:ascii="Times New Roman" w:hAnsi="Times New Roman" w:eastAsia="Times New Roman" w:cs="Times New Roman"/>
                <w:color w:val="auto"/>
                <w:sz w:val="24"/>
                <w:szCs w:val="24"/>
              </w:rPr>
              <w:t>70</w:t>
            </w:r>
            <w:r>
              <w:rPr>
                <w:rFonts w:hint="eastAsia" w:ascii="Times New Roman" w:hAnsi="Times New Roman" w:cs="Times New Roman"/>
                <w:color w:val="auto"/>
                <w:sz w:val="24"/>
                <w:szCs w:val="24"/>
              </w:rPr>
              <w:t xml:space="preserve"> </w:t>
            </w:r>
            <w:r>
              <w:rPr>
                <w:rFonts w:ascii="Times New Roman" w:hAnsi="Times New Roman" w:eastAsia="Times New Roman" w:cs="Times New Roman"/>
                <w:color w:val="auto"/>
                <w:sz w:val="24"/>
                <w:szCs w:val="24"/>
              </w:rPr>
              <w:t>dB</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A</w:t>
            </w:r>
            <w:r>
              <w:rPr>
                <w:rFonts w:ascii="Times New Roman" w:hAnsi="Times New Roman" w:cs="Times New Roman"/>
                <w:color w:val="auto"/>
                <w:sz w:val="24"/>
                <w:szCs w:val="24"/>
              </w:rPr>
              <w:t>）</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夜间≤</w:t>
            </w:r>
            <w:r>
              <w:rPr>
                <w:rFonts w:ascii="Times New Roman" w:hAnsi="Times New Roman" w:eastAsia="Times New Roman" w:cs="Times New Roman"/>
                <w:color w:val="auto"/>
                <w:sz w:val="24"/>
                <w:szCs w:val="24"/>
              </w:rPr>
              <w:t>55 dB</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A</w:t>
            </w:r>
            <w:r>
              <w:rPr>
                <w:rFonts w:ascii="Times New Roman" w:hAnsi="Times New Roman" w:cs="Times New Roman"/>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3" w:hRule="atLeast"/>
          <w:jc w:val="center"/>
        </w:trPr>
        <w:tc>
          <w:tcPr>
            <w:tcW w:w="595" w:type="dxa"/>
            <w:vMerge w:val="restart"/>
            <w:tcBorders>
              <w:top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污水</w:t>
            </w:r>
            <w:r>
              <w:rPr>
                <w:rFonts w:hint="eastAsia" w:ascii="Times New Roman" w:hAnsi="Times New Roman" w:cs="Times New Roman"/>
                <w:color w:val="auto"/>
                <w:sz w:val="24"/>
                <w:szCs w:val="24"/>
              </w:rPr>
              <w:t>处理</w:t>
            </w:r>
            <w:r>
              <w:rPr>
                <w:rFonts w:ascii="Times New Roman" w:hAnsi="Times New Roman" w:cs="Times New Roman"/>
                <w:color w:val="auto"/>
                <w:sz w:val="24"/>
                <w:szCs w:val="24"/>
              </w:rPr>
              <w:t>厂</w:t>
            </w:r>
          </w:p>
        </w:tc>
        <w:tc>
          <w:tcPr>
            <w:tcW w:w="850"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大气污染物</w:t>
            </w:r>
          </w:p>
        </w:tc>
        <w:tc>
          <w:tcPr>
            <w:tcW w:w="709" w:type="dxa"/>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施工期</w:t>
            </w: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施工扬尘燃油尾气</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cs="Times New Roman"/>
                <w:color w:val="auto"/>
                <w:sz w:val="24"/>
                <w:szCs w:val="24"/>
              </w:rPr>
              <w:t>扬尘、</w:t>
            </w:r>
            <w:r>
              <w:rPr>
                <w:rFonts w:ascii="Times New Roman" w:hAnsi="Times New Roman" w:eastAsia="Times New Roman" w:cs="Times New Roman"/>
                <w:color w:val="auto"/>
                <w:sz w:val="24"/>
                <w:szCs w:val="24"/>
              </w:rPr>
              <w:t>CO</w:t>
            </w:r>
          </w:p>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THC</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NO</w:t>
            </w:r>
            <w:r>
              <w:rPr>
                <w:rFonts w:ascii="Times New Roman" w:hAnsi="Times New Roman" w:eastAsia="Times New Roman" w:cs="Times New Roman"/>
                <w:color w:val="auto"/>
                <w:position w:val="2"/>
                <w:sz w:val="24"/>
                <w:szCs w:val="24"/>
                <w:vertAlign w:val="subscript"/>
              </w:rPr>
              <w:t>X</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136"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c>
          <w:tcPr>
            <w:tcW w:w="1955" w:type="dxa"/>
            <w:gridSpan w:val="2"/>
            <w:tcBorders>
              <w:top w:val="single" w:color="000000" w:sz="6" w:space="0"/>
              <w:left w:val="single" w:color="000000" w:sz="6" w:space="0"/>
              <w:bottom w:val="single" w:color="000000" w:sz="6" w:space="0"/>
            </w:tcBorders>
            <w:vAlign w:val="center"/>
          </w:tcPr>
          <w:p>
            <w:pPr>
              <w:pStyle w:val="107"/>
              <w:spacing w:before="136"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少量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运营期</w:t>
            </w:r>
          </w:p>
        </w:tc>
        <w:tc>
          <w:tcPr>
            <w:tcW w:w="1418"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格栅</w:t>
            </w:r>
            <w:r>
              <w:rPr>
                <w:rFonts w:hint="eastAsia" w:ascii="Times New Roman" w:hAnsi="Times New Roman" w:cs="Times New Roman"/>
                <w:color w:val="auto"/>
                <w:sz w:val="24"/>
                <w:szCs w:val="24"/>
              </w:rPr>
              <w:t>渠</w:t>
            </w:r>
            <w:r>
              <w:rPr>
                <w:rFonts w:ascii="Times New Roman" w:hAnsi="Times New Roman" w:cs="Times New Roman"/>
                <w:color w:val="auto"/>
                <w:sz w:val="24"/>
                <w:szCs w:val="24"/>
              </w:rPr>
              <w:t>、</w:t>
            </w:r>
            <w:r>
              <w:rPr>
                <w:rFonts w:hint="eastAsia" w:ascii="Times New Roman" w:hAnsi="Times New Roman" w:cs="Times New Roman"/>
                <w:color w:val="auto"/>
                <w:sz w:val="24"/>
                <w:szCs w:val="24"/>
                <w:lang w:eastAsia="zh-CN"/>
              </w:rPr>
              <w:t>污泥储存</w:t>
            </w:r>
            <w:r>
              <w:rPr>
                <w:rFonts w:ascii="Times New Roman" w:hAnsi="Times New Roman" w:cs="Times New Roman"/>
                <w:color w:val="auto"/>
                <w:sz w:val="24"/>
                <w:szCs w:val="24"/>
              </w:rPr>
              <w:t>池等</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NH</w:t>
            </w:r>
            <w:r>
              <w:rPr>
                <w:rFonts w:ascii="Times New Roman" w:hAnsi="Times New Roman" w:cs="Times New Roman"/>
                <w:color w:val="auto"/>
                <w:position w:val="2"/>
                <w:sz w:val="24"/>
                <w:szCs w:val="24"/>
                <w:vertAlign w:val="subscript"/>
              </w:rPr>
              <w:t>3</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Pr>
                <w:rFonts w:hint="eastAsia" w:ascii="Times New Roman" w:hAnsi="Times New Roman" w:cs="Times New Roman"/>
                <w:color w:val="auto"/>
                <w:sz w:val="24"/>
                <w:szCs w:val="24"/>
              </w:rPr>
              <w:t>00568k</w:t>
            </w:r>
            <w:r>
              <w:rPr>
                <w:rFonts w:ascii="Times New Roman" w:hAnsi="Times New Roman" w:cs="Times New Roman"/>
                <w:color w:val="auto"/>
                <w:sz w:val="24"/>
                <w:szCs w:val="24"/>
              </w:rPr>
              <w:t>g/h</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0.0</w:t>
            </w:r>
            <w:r>
              <w:rPr>
                <w:rFonts w:hint="eastAsia" w:ascii="Times New Roman" w:hAnsi="Times New Roman" w:cs="Times New Roman"/>
                <w:color w:val="auto"/>
                <w:sz w:val="24"/>
                <w:szCs w:val="24"/>
              </w:rPr>
              <w:t>0159k</w:t>
            </w:r>
            <w:r>
              <w:rPr>
                <w:rFonts w:ascii="Times New Roman" w:hAnsi="Times New Roman" w:cs="Times New Roman"/>
                <w:color w:val="auto"/>
                <w:sz w:val="24"/>
                <w:szCs w:val="24"/>
              </w:rPr>
              <w:t>g/h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before="2"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H</w:t>
            </w:r>
            <w:r>
              <w:rPr>
                <w:rFonts w:ascii="Times New Roman" w:hAnsi="Times New Roman" w:cs="Times New Roman"/>
                <w:color w:val="auto"/>
                <w:position w:val="2"/>
                <w:sz w:val="24"/>
                <w:szCs w:val="24"/>
                <w:vertAlign w:val="subscript"/>
              </w:rPr>
              <w:t>2</w:t>
            </w:r>
            <w:r>
              <w:rPr>
                <w:rFonts w:ascii="Times New Roman" w:hAnsi="Times New Roman" w:cs="Times New Roman"/>
                <w:color w:val="auto"/>
                <w:position w:val="2"/>
                <w:sz w:val="24"/>
                <w:szCs w:val="24"/>
              </w:rPr>
              <w:t>S</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before="5"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0.00022k</w:t>
            </w:r>
            <w:r>
              <w:rPr>
                <w:rFonts w:ascii="Times New Roman" w:hAnsi="Times New Roman" w:cs="Times New Roman"/>
                <w:color w:val="auto"/>
                <w:sz w:val="24"/>
                <w:szCs w:val="24"/>
              </w:rPr>
              <w:t>g/h</w:t>
            </w:r>
          </w:p>
        </w:tc>
        <w:tc>
          <w:tcPr>
            <w:tcW w:w="1955" w:type="dxa"/>
            <w:gridSpan w:val="2"/>
            <w:tcBorders>
              <w:top w:val="single" w:color="000000" w:sz="6" w:space="0"/>
              <w:left w:val="single" w:color="000000" w:sz="6" w:space="0"/>
              <w:bottom w:val="single" w:color="000000" w:sz="6" w:space="0"/>
            </w:tcBorders>
            <w:vAlign w:val="center"/>
          </w:tcPr>
          <w:p>
            <w:pPr>
              <w:pStyle w:val="107"/>
              <w:spacing w:before="5"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Pr>
                <w:rFonts w:hint="eastAsia" w:ascii="Times New Roman" w:hAnsi="Times New Roman" w:cs="Times New Roman"/>
                <w:color w:val="auto"/>
                <w:sz w:val="24"/>
                <w:szCs w:val="24"/>
              </w:rPr>
              <w:t>0000</w:t>
            </w:r>
            <w:r>
              <w:rPr>
                <w:rFonts w:ascii="Times New Roman" w:hAnsi="Times New Roman" w:cs="Times New Roman"/>
                <w:color w:val="auto"/>
                <w:sz w:val="24"/>
                <w:szCs w:val="24"/>
              </w:rPr>
              <w:t>6</w:t>
            </w:r>
            <w:r>
              <w:rPr>
                <w:rFonts w:hint="eastAsia" w:ascii="Times New Roman" w:hAnsi="Times New Roman" w:cs="Times New Roman"/>
                <w:color w:val="auto"/>
                <w:sz w:val="24"/>
                <w:szCs w:val="24"/>
              </w:rPr>
              <w:t>k</w:t>
            </w:r>
            <w:r>
              <w:rPr>
                <w:rFonts w:ascii="Times New Roman" w:hAnsi="Times New Roman" w:cs="Times New Roman"/>
                <w:color w:val="auto"/>
                <w:sz w:val="24"/>
                <w:szCs w:val="24"/>
              </w:rPr>
              <w:t>g/h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水污染物</w:t>
            </w: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施工期</w:t>
            </w:r>
          </w:p>
        </w:tc>
        <w:tc>
          <w:tcPr>
            <w:tcW w:w="1418" w:type="dxa"/>
            <w:tcBorders>
              <w:top w:val="single" w:color="000000" w:sz="6" w:space="0"/>
              <w:left w:val="single" w:color="000000" w:sz="4" w:space="0"/>
              <w:bottom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施工废水</w:t>
            </w: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107"/>
              <w:spacing w:before="13"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107"/>
              <w:spacing w:before="13"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300~500mg/L</w:t>
            </w:r>
          </w:p>
        </w:tc>
        <w:tc>
          <w:tcPr>
            <w:tcW w:w="1955" w:type="dxa"/>
            <w:gridSpan w:val="2"/>
            <w:vMerge w:val="restart"/>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1"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4"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生活污水</w:t>
            </w: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eastAsia="Times New Roman" w:cs="Times New Roman"/>
                <w:color w:val="auto"/>
                <w:position w:val="2"/>
                <w:sz w:val="24"/>
                <w:szCs w:val="24"/>
              </w:rPr>
              <w:t xml:space="preserve"> </w:t>
            </w:r>
            <w:r>
              <w:rPr>
                <w:rFonts w:ascii="Times New Roman" w:hAnsi="Times New Roman" w:cs="Times New Roman"/>
                <w:color w:val="auto"/>
                <w:spacing w:val="-33"/>
                <w:position w:val="2"/>
                <w:sz w:val="24"/>
                <w:szCs w:val="24"/>
              </w:rPr>
              <w:t xml:space="preserve">、 </w:t>
            </w:r>
            <w:r>
              <w:rPr>
                <w:rFonts w:ascii="Times New Roman" w:hAnsi="Times New Roman" w:eastAsia="Times New Roman" w:cs="Times New Roman"/>
                <w:color w:val="auto"/>
                <w:position w:val="2"/>
                <w:sz w:val="24"/>
                <w:szCs w:val="24"/>
              </w:rPr>
              <w:t>BOD</w:t>
            </w:r>
            <w:r>
              <w:rPr>
                <w:rFonts w:ascii="Times New Roman" w:hAnsi="Times New Roman" w:eastAsia="Times New Roman" w:cs="Times New Roman"/>
                <w:color w:val="auto"/>
                <w:position w:val="2"/>
                <w:sz w:val="24"/>
                <w:szCs w:val="24"/>
                <w:vertAlign w:val="subscript"/>
              </w:rPr>
              <w:t>5</w:t>
            </w:r>
            <w:r>
              <w:rPr>
                <w:rFonts w:ascii="Times New Roman" w:hAnsi="Times New Roman" w:eastAsia="Times New Roman" w:cs="Times New Roman"/>
                <w:color w:val="auto"/>
                <w:position w:val="2"/>
                <w:sz w:val="24"/>
                <w:szCs w:val="24"/>
              </w:rPr>
              <w:t xml:space="preserve"> </w:t>
            </w:r>
            <w:r>
              <w:rPr>
                <w:rFonts w:ascii="Times New Roman" w:hAnsi="Times New Roman" w:cs="Times New Roman"/>
                <w:color w:val="auto"/>
                <w:position w:val="2"/>
                <w:sz w:val="24"/>
                <w:szCs w:val="24"/>
              </w:rPr>
              <w:t>、</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COD</w:t>
            </w:r>
            <w:r>
              <w:rPr>
                <w:rFonts w:ascii="Times New Roman" w:hAnsi="Times New Roman" w:eastAsia="Times New Roman" w:cs="Times New Roman"/>
                <w:color w:val="auto"/>
                <w:position w:val="2"/>
                <w:sz w:val="24"/>
                <w:szCs w:val="24"/>
                <w:vertAlign w:val="subscript"/>
              </w:rPr>
              <w:t>Cr</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350 mg/L</w:t>
            </w:r>
          </w:p>
          <w:p>
            <w:pPr>
              <w:pStyle w:val="107"/>
              <w:spacing w:before="3" w:line="240" w:lineRule="atLeast"/>
              <w:jc w:val="center"/>
              <w:rPr>
                <w:rFonts w:ascii="Times New Roman" w:hAnsi="Times New Roman" w:eastAsia="Times New Roman" w:cs="Times New Roman"/>
                <w:color w:val="auto"/>
                <w:sz w:val="24"/>
                <w:szCs w:val="24"/>
              </w:rPr>
            </w:pPr>
            <w:r>
              <w:rPr>
                <w:rFonts w:ascii="Times New Roman" w:hAnsi="Times New Roman" w:eastAsia="Times New Roman" w:cs="Times New Roman"/>
                <w:color w:val="auto"/>
                <w:position w:val="2"/>
                <w:sz w:val="24"/>
                <w:szCs w:val="24"/>
              </w:rPr>
              <w:t>NH</w:t>
            </w:r>
            <w:r>
              <w:rPr>
                <w:rFonts w:ascii="Times New Roman" w:hAnsi="Times New Roman" w:eastAsia="Times New Roman" w:cs="Times New Roman"/>
                <w:color w:val="auto"/>
                <w:position w:val="2"/>
                <w:sz w:val="24"/>
                <w:szCs w:val="24"/>
                <w:vertAlign w:val="subscript"/>
              </w:rPr>
              <w:t>3</w:t>
            </w:r>
            <w:r>
              <w:rPr>
                <w:rFonts w:ascii="Times New Roman" w:hAnsi="Times New Roman" w:eastAsia="Times New Roman" w:cs="Times New Roman"/>
                <w:color w:val="auto"/>
                <w:position w:val="2"/>
                <w:sz w:val="24"/>
                <w:szCs w:val="24"/>
              </w:rPr>
              <w:t>-N</w:t>
            </w:r>
            <w:r>
              <w:rPr>
                <w:rFonts w:ascii="Times New Roman" w:hAnsi="Times New Roman" w:cs="Times New Roman"/>
                <w:color w:val="auto"/>
                <w:position w:val="2"/>
                <w:sz w:val="24"/>
                <w:szCs w:val="24"/>
              </w:rPr>
              <w:t>：</w:t>
            </w:r>
            <w:r>
              <w:rPr>
                <w:rFonts w:ascii="Times New Roman" w:hAnsi="Times New Roman" w:eastAsia="Times New Roman" w:cs="Times New Roman"/>
                <w:color w:val="auto"/>
                <w:position w:val="2"/>
                <w:sz w:val="24"/>
                <w:szCs w:val="24"/>
              </w:rPr>
              <w:t xml:space="preserve">20 mg/L </w:t>
            </w:r>
            <w:r>
              <w:rPr>
                <w:rFonts w:ascii="Times New Roman" w:hAnsi="Times New Roman" w:eastAsia="Times New Roman" w:cs="Times New Roman"/>
                <w:color w:val="auto"/>
                <w:sz w:val="24"/>
                <w:szCs w:val="24"/>
              </w:rPr>
              <w:t>SS</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200 mg/L</w:t>
            </w:r>
          </w:p>
        </w:tc>
        <w:tc>
          <w:tcPr>
            <w:tcW w:w="1955" w:type="dxa"/>
            <w:gridSpan w:val="2"/>
            <w:vMerge w:val="continue"/>
            <w:tcBorders>
              <w:top w:val="nil"/>
              <w:left w:val="single" w:color="000000" w:sz="6" w:space="0"/>
              <w:bottom w:val="single" w:color="000000" w:sz="6" w:space="0"/>
            </w:tcBorders>
            <w:vAlign w:val="center"/>
          </w:tcPr>
          <w:p>
            <w:pPr>
              <w:spacing w:line="240" w:lineRule="atLeast"/>
              <w:jc w:val="center"/>
              <w:rPr>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restart"/>
            <w:tcBorders>
              <w:top w:val="single" w:color="000000" w:sz="6" w:space="0"/>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运营期</w:t>
            </w:r>
          </w:p>
        </w:tc>
        <w:tc>
          <w:tcPr>
            <w:tcW w:w="1418" w:type="dxa"/>
            <w:vMerge w:val="restart"/>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污水处理设施</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w:t>
            </w:r>
            <w:r>
              <w:rPr>
                <w:rFonts w:hint="eastAsia" w:ascii="Times New Roman" w:hAnsi="Times New Roman" w:cs="Times New Roman"/>
                <w:color w:val="auto"/>
                <w:sz w:val="24"/>
                <w:szCs w:val="24"/>
              </w:rPr>
              <w:t>4</w:t>
            </w:r>
            <w:r>
              <w:rPr>
                <w:rFonts w:ascii="Times New Roman" w:hAnsi="Times New Roman" w:cs="Times New Roman"/>
                <w:color w:val="auto"/>
                <w:sz w:val="24"/>
                <w:szCs w:val="24"/>
              </w:rPr>
              <w:t>00m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/d）</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COD</w:t>
            </w:r>
            <w:r>
              <w:rPr>
                <w:rFonts w:ascii="Times New Roman" w:hAnsi="Times New Roman" w:cs="Times New Roman"/>
                <w:color w:val="auto"/>
                <w:position w:val="2"/>
                <w:sz w:val="24"/>
                <w:szCs w:val="24"/>
                <w:vertAlign w:val="subscript"/>
              </w:rPr>
              <w:t>Cr</w:t>
            </w:r>
          </w:p>
        </w:tc>
        <w:tc>
          <w:tcPr>
            <w:tcW w:w="1985"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kern w:val="2"/>
                <w:sz w:val="24"/>
                <w:szCs w:val="24"/>
                <w:lang w:val="en-US" w:eastAsia="zh-CN" w:bidi="ar-SA"/>
              </w:rPr>
            </w:pPr>
            <w:r>
              <w:rPr>
                <w:rFonts w:hint="eastAsia" w:ascii="Times New Roman" w:hAnsi="Times New Roman" w:cs="Times New Roman"/>
                <w:color w:val="auto"/>
                <w:sz w:val="24"/>
                <w:szCs w:val="24"/>
              </w:rPr>
              <w:t>22</w:t>
            </w:r>
            <w:r>
              <w:rPr>
                <w:rFonts w:ascii="Times New Roman" w:hAnsi="Times New Roman" w:eastAsia="Times New Roman" w:cs="Times New Roman"/>
                <w:color w:val="auto"/>
                <w:sz w:val="24"/>
                <w:szCs w:val="24"/>
              </w:rPr>
              <w:t>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66</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50mg/L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15</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107"/>
              <w:spacing w:before="9"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BOD</w:t>
            </w:r>
            <w:r>
              <w:rPr>
                <w:rFonts w:ascii="Times New Roman" w:hAnsi="Times New Roman" w:cs="Times New Roman"/>
                <w:color w:val="auto"/>
                <w:position w:val="2"/>
                <w:sz w:val="24"/>
                <w:szCs w:val="24"/>
                <w:vertAlign w:val="subscript"/>
              </w:rPr>
              <w:t>5</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1</w:t>
            </w:r>
            <w:r>
              <w:rPr>
                <w:rFonts w:hint="eastAsia" w:ascii="Times New Roman" w:hAnsi="Times New Roman" w:cs="Times New Roman"/>
                <w:color w:val="auto"/>
                <w:sz w:val="24"/>
                <w:szCs w:val="24"/>
              </w:rPr>
              <w:t>2</w:t>
            </w:r>
            <w:r>
              <w:rPr>
                <w:rFonts w:ascii="Times New Roman" w:hAnsi="Times New Roman" w:eastAsia="Times New Roman" w:cs="Times New Roman"/>
                <w:color w:val="auto"/>
                <w:sz w:val="24"/>
                <w:szCs w:val="24"/>
              </w:rPr>
              <w:t>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36</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10mg/L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3</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107"/>
              <w:spacing w:before="51"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SS</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107"/>
              <w:spacing w:before="37" w:line="240" w:lineRule="atLeast"/>
              <w:jc w:val="center"/>
              <w:rPr>
                <w:rFonts w:ascii="Times New Roman" w:hAnsi="Times New Roman" w:eastAsia="Times New Roman" w:cs="Times New Roman"/>
                <w:color w:val="auto"/>
                <w:kern w:val="2"/>
                <w:sz w:val="24"/>
                <w:szCs w:val="24"/>
                <w:lang w:val="en-US" w:eastAsia="zh-CN" w:bidi="ar-SA"/>
              </w:rPr>
            </w:pPr>
            <w:r>
              <w:rPr>
                <w:rFonts w:hint="eastAsia" w:ascii="Times New Roman" w:hAnsi="Times New Roman" w:cs="Times New Roman"/>
                <w:color w:val="auto"/>
                <w:sz w:val="24"/>
                <w:szCs w:val="24"/>
              </w:rPr>
              <w:t>9</w:t>
            </w:r>
            <w:r>
              <w:rPr>
                <w:rFonts w:ascii="Times New Roman" w:hAnsi="Times New Roman" w:eastAsia="Times New Roman" w:cs="Times New Roman"/>
                <w:color w:val="auto"/>
                <w:sz w:val="24"/>
                <w:szCs w:val="24"/>
              </w:rPr>
              <w:t>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27</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before="37"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10mg/L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3</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6" w:space="0"/>
              <w:left w:val="single" w:color="000000" w:sz="6" w:space="0"/>
              <w:bottom w:val="single" w:color="000000" w:sz="4" w:space="0"/>
              <w:right w:val="single" w:color="000000" w:sz="6" w:space="0"/>
            </w:tcBorders>
            <w:vAlign w:val="center"/>
          </w:tcPr>
          <w:p>
            <w:pPr>
              <w:pStyle w:val="107"/>
              <w:spacing w:before="53" w:line="240" w:lineRule="atLeast"/>
              <w:jc w:val="center"/>
              <w:rPr>
                <w:rFonts w:ascii="Times New Roman" w:hAnsi="Times New Roman" w:cs="Times New Roman"/>
                <w:color w:val="auto"/>
                <w:sz w:val="24"/>
                <w:szCs w:val="24"/>
              </w:rPr>
            </w:pPr>
            <w:r>
              <w:rPr>
                <w:rFonts w:ascii="Times New Roman" w:hAnsi="Times New Roman" w:cs="Times New Roman"/>
                <w:color w:val="auto"/>
                <w:position w:val="2"/>
                <w:sz w:val="24"/>
                <w:szCs w:val="24"/>
              </w:rPr>
              <w:t>NH</w:t>
            </w:r>
            <w:r>
              <w:rPr>
                <w:rFonts w:ascii="Times New Roman" w:hAnsi="Times New Roman" w:cs="Times New Roman"/>
                <w:color w:val="auto"/>
                <w:position w:val="2"/>
                <w:sz w:val="24"/>
                <w:szCs w:val="24"/>
                <w:vertAlign w:val="subscript"/>
              </w:rPr>
              <w:t>3</w:t>
            </w:r>
            <w:r>
              <w:rPr>
                <w:rFonts w:ascii="Times New Roman" w:hAnsi="Times New Roman" w:cs="Times New Roman"/>
                <w:color w:val="auto"/>
                <w:position w:val="2"/>
                <w:sz w:val="24"/>
                <w:szCs w:val="24"/>
              </w:rPr>
              <w:t>-N</w:t>
            </w:r>
          </w:p>
        </w:tc>
        <w:tc>
          <w:tcPr>
            <w:tcW w:w="1985" w:type="dxa"/>
            <w:tcBorders>
              <w:top w:val="single" w:color="000000" w:sz="6" w:space="0"/>
              <w:left w:val="single" w:color="000000" w:sz="6" w:space="0"/>
              <w:bottom w:val="single" w:color="000000" w:sz="4" w:space="0"/>
              <w:right w:val="single" w:color="000000" w:sz="6" w:space="0"/>
            </w:tcBorders>
            <w:vAlign w:val="center"/>
          </w:tcPr>
          <w:p>
            <w:pPr>
              <w:pStyle w:val="107"/>
              <w:spacing w:before="42"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2</w:t>
            </w:r>
            <w:r>
              <w:rPr>
                <w:rFonts w:hint="eastAsia" w:ascii="Times New Roman" w:hAnsi="Times New Roman" w:cs="Times New Roman"/>
                <w:color w:val="auto"/>
                <w:sz w:val="24"/>
                <w:szCs w:val="24"/>
              </w:rPr>
              <w:t>6</w:t>
            </w:r>
            <w:r>
              <w:rPr>
                <w:rFonts w:ascii="Times New Roman" w:hAnsi="Times New Roman" w:eastAsia="Times New Roman" w:cs="Times New Roman"/>
                <w:color w:val="auto"/>
                <w:sz w:val="24"/>
                <w:szCs w:val="24"/>
              </w:rPr>
              <w:t>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08</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before="42"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5mg/L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15</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709" w:type="dxa"/>
            <w:vMerge w:val="continue"/>
            <w:tcBorders>
              <w:top w:val="nil"/>
              <w:left w:val="single" w:color="000000" w:sz="6" w:space="0"/>
              <w:bottom w:val="single" w:color="000000" w:sz="6" w:space="0"/>
              <w:right w:val="single" w:color="000000" w:sz="4" w:space="0"/>
            </w:tcBorders>
            <w:vAlign w:val="center"/>
          </w:tcPr>
          <w:p>
            <w:pPr>
              <w:spacing w:line="240" w:lineRule="atLeast"/>
              <w:jc w:val="center"/>
              <w:rPr>
                <w:color w:val="auto"/>
                <w:sz w:val="24"/>
                <w:szCs w:val="24"/>
              </w:rPr>
            </w:pPr>
          </w:p>
        </w:tc>
        <w:tc>
          <w:tcPr>
            <w:tcW w:w="1418" w:type="dxa"/>
            <w:vMerge w:val="continue"/>
            <w:tcBorders>
              <w:top w:val="nil"/>
              <w:left w:val="single" w:color="000000" w:sz="4" w:space="0"/>
              <w:bottom w:val="single" w:color="000000" w:sz="6" w:space="0"/>
              <w:right w:val="single" w:color="000000" w:sz="6" w:space="0"/>
            </w:tcBorders>
            <w:vAlign w:val="center"/>
          </w:tcPr>
          <w:p>
            <w:pPr>
              <w:spacing w:line="240" w:lineRule="atLeast"/>
              <w:jc w:val="center"/>
              <w:rPr>
                <w:color w:val="auto"/>
                <w:sz w:val="24"/>
                <w:szCs w:val="24"/>
              </w:rPr>
            </w:pPr>
          </w:p>
        </w:tc>
        <w:tc>
          <w:tcPr>
            <w:tcW w:w="1842" w:type="dxa"/>
            <w:tcBorders>
              <w:top w:val="single" w:color="000000" w:sz="4" w:space="0"/>
              <w:left w:val="single" w:color="000000" w:sz="6" w:space="0"/>
              <w:bottom w:val="single" w:color="000000" w:sz="6" w:space="0"/>
              <w:right w:val="single" w:color="000000" w:sz="6" w:space="0"/>
            </w:tcBorders>
            <w:vAlign w:val="center"/>
          </w:tcPr>
          <w:p>
            <w:pPr>
              <w:pStyle w:val="107"/>
              <w:spacing w:before="13"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TP</w:t>
            </w:r>
          </w:p>
        </w:tc>
        <w:tc>
          <w:tcPr>
            <w:tcW w:w="1985" w:type="dxa"/>
            <w:tcBorders>
              <w:top w:val="single" w:color="000000" w:sz="4"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3</w:t>
            </w:r>
            <w:r>
              <w:rPr>
                <w:rFonts w:hint="eastAsia" w:ascii="Times New Roman" w:hAnsi="Times New Roman" w:cs="Times New Roman"/>
                <w:color w:val="auto"/>
                <w:sz w:val="24"/>
                <w:szCs w:val="24"/>
              </w:rPr>
              <w:t>.5</w:t>
            </w:r>
            <w:r>
              <w:rPr>
                <w:rFonts w:ascii="Times New Roman" w:hAnsi="Times New Roman" w:eastAsia="Times New Roman" w:cs="Times New Roman"/>
                <w:color w:val="auto"/>
                <w:sz w:val="24"/>
                <w:szCs w:val="24"/>
              </w:rPr>
              <w:t>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w:t>
            </w:r>
            <w:r>
              <w:rPr>
                <w:rFonts w:hint="eastAsia" w:ascii="Times New Roman" w:hAnsi="Times New Roman" w:cs="Times New Roman"/>
                <w:color w:val="auto"/>
                <w:sz w:val="24"/>
                <w:szCs w:val="24"/>
              </w:rPr>
              <w:t>01</w:t>
            </w:r>
            <w:r>
              <w:rPr>
                <w:rFonts w:ascii="Times New Roman" w:hAnsi="Times New Roman" w:eastAsia="Times New Roman" w:cs="Times New Roman"/>
                <w:color w:val="auto"/>
                <w:sz w:val="24"/>
                <w:szCs w:val="24"/>
              </w:rPr>
              <w:t>t/d</w:t>
            </w:r>
          </w:p>
        </w:tc>
        <w:tc>
          <w:tcPr>
            <w:tcW w:w="1955" w:type="dxa"/>
            <w:gridSpan w:val="2"/>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eastAsia="Times New Roman" w:cs="Times New Roman"/>
                <w:color w:val="auto"/>
                <w:kern w:val="2"/>
                <w:sz w:val="24"/>
                <w:szCs w:val="24"/>
                <w:lang w:val="en-US" w:eastAsia="zh-CN" w:bidi="ar-SA"/>
              </w:rPr>
            </w:pPr>
            <w:r>
              <w:rPr>
                <w:rFonts w:ascii="Times New Roman" w:hAnsi="Times New Roman" w:eastAsia="Times New Roman" w:cs="Times New Roman"/>
                <w:color w:val="auto"/>
                <w:sz w:val="24"/>
                <w:szCs w:val="24"/>
              </w:rPr>
              <w:t>0.5mg/L</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0.00</w:t>
            </w:r>
            <w:r>
              <w:rPr>
                <w:rFonts w:hint="eastAsia"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w:t>
            </w:r>
            <w:r>
              <w:rPr>
                <w:rFonts w:ascii="Times New Roman" w:hAnsi="Times New Roman" w:eastAsia="Times New Roman" w:cs="Times New Roman"/>
                <w:color w:val="auto"/>
                <w:sz w:val="24"/>
                <w:szCs w:val="24"/>
              </w:rPr>
              <w:t>t/d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restart"/>
            <w:tcBorders>
              <w:top w:val="single" w:color="000000" w:sz="6" w:space="0"/>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固体</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废物</w:t>
            </w:r>
          </w:p>
        </w:tc>
        <w:tc>
          <w:tcPr>
            <w:tcW w:w="709" w:type="dxa"/>
            <w:vMerge w:val="restart"/>
            <w:tcBorders>
              <w:top w:val="single" w:color="000000" w:sz="6" w:space="0"/>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工</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期</w:t>
            </w:r>
          </w:p>
        </w:tc>
        <w:tc>
          <w:tcPr>
            <w:tcW w:w="1418" w:type="dxa"/>
            <w:tcBorders>
              <w:top w:val="single" w:color="000000" w:sz="6" w:space="0"/>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施工场地</w:t>
            </w:r>
          </w:p>
        </w:tc>
        <w:tc>
          <w:tcPr>
            <w:tcW w:w="1842" w:type="dxa"/>
            <w:tcBorders>
              <w:top w:val="single" w:color="000000" w:sz="6" w:space="0"/>
              <w:left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生活垃圾</w:t>
            </w:r>
          </w:p>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建筑垃圾</w:t>
            </w:r>
          </w:p>
        </w:tc>
        <w:tc>
          <w:tcPr>
            <w:tcW w:w="1985" w:type="dxa"/>
            <w:tcBorders>
              <w:top w:val="single" w:color="000000" w:sz="6" w:space="0"/>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5</w:t>
            </w:r>
            <w:r>
              <w:rPr>
                <w:rFonts w:ascii="Times New Roman" w:hAnsi="Times New Roman" w:cs="Times New Roman"/>
                <w:color w:val="auto"/>
                <w:sz w:val="24"/>
                <w:szCs w:val="24"/>
              </w:rPr>
              <w:t>kg/d</w:t>
            </w:r>
          </w:p>
        </w:tc>
        <w:tc>
          <w:tcPr>
            <w:tcW w:w="1955" w:type="dxa"/>
            <w:gridSpan w:val="2"/>
            <w:tcBorders>
              <w:top w:val="single" w:color="000000" w:sz="6" w:space="0"/>
              <w:lef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jc w:val="center"/>
        </w:trPr>
        <w:tc>
          <w:tcPr>
            <w:tcW w:w="595" w:type="dxa"/>
            <w:vMerge w:val="continue"/>
            <w:tcBorders>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施工场地</w:t>
            </w:r>
          </w:p>
        </w:tc>
        <w:tc>
          <w:tcPr>
            <w:tcW w:w="1842" w:type="dxa"/>
            <w:tcBorders>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土石方</w:t>
            </w:r>
          </w:p>
        </w:tc>
        <w:tc>
          <w:tcPr>
            <w:tcW w:w="1993" w:type="dxa"/>
            <w:gridSpan w:val="2"/>
            <w:tcBorders>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240.67</w:t>
            </w:r>
            <w:r>
              <w:rPr>
                <w:rFonts w:ascii="Times New Roman" w:hAnsi="Times New Roman" w:cs="Times New Roman"/>
                <w:color w:val="auto"/>
                <w:sz w:val="24"/>
                <w:szCs w:val="24"/>
              </w:rPr>
              <w:t>m</w:t>
            </w:r>
            <w:r>
              <w:rPr>
                <w:rFonts w:hint="eastAsia" w:ascii="Times New Roman" w:hAnsi="Times New Roman" w:cs="Times New Roman"/>
                <w:color w:val="auto"/>
                <w:sz w:val="24"/>
                <w:szCs w:val="24"/>
                <w:vertAlign w:val="superscript"/>
              </w:rPr>
              <w:t>3</w:t>
            </w:r>
          </w:p>
        </w:tc>
        <w:tc>
          <w:tcPr>
            <w:tcW w:w="1947" w:type="dxa"/>
            <w:tcBorders>
              <w:left w:val="single" w:color="000000" w:sz="4"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restart"/>
            <w:tcBorders>
              <w:top w:val="single" w:color="000000" w:sz="6" w:space="0"/>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运营期</w:t>
            </w: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格栅</w:t>
            </w:r>
            <w:r>
              <w:rPr>
                <w:rFonts w:hint="eastAsia" w:ascii="Times New Roman" w:hAnsi="Times New Roman" w:cs="Times New Roman"/>
                <w:color w:val="auto"/>
                <w:sz w:val="24"/>
                <w:szCs w:val="24"/>
              </w:rPr>
              <w:t>渠</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栅渣</w:t>
            </w:r>
            <w:r>
              <w:rPr>
                <w:rFonts w:hint="eastAsia" w:ascii="Times New Roman" w:hAnsi="Times New Roman" w:cs="Times New Roman"/>
                <w:color w:val="auto"/>
                <w:sz w:val="24"/>
                <w:szCs w:val="24"/>
              </w:rPr>
              <w:t>、</w:t>
            </w:r>
            <w:r>
              <w:rPr>
                <w:rFonts w:ascii="Times New Roman" w:hAnsi="Times New Roman" w:cs="Times New Roman"/>
                <w:color w:val="auto"/>
                <w:sz w:val="24"/>
                <w:szCs w:val="24"/>
              </w:rPr>
              <w:t>沉砂</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7"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14.235</w:t>
            </w:r>
            <w:r>
              <w:rPr>
                <w:rFonts w:ascii="Times New Roman" w:hAnsi="Times New Roman"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107"/>
              <w:spacing w:before="37"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shd w:val="clear" w:color="auto" w:fill="auto"/>
              </w:rPr>
            </w:pPr>
            <w:r>
              <w:rPr>
                <w:rFonts w:ascii="Times New Roman" w:hAnsi="Times New Roman" w:cs="Times New Roman"/>
                <w:color w:val="auto"/>
                <w:sz w:val="24"/>
                <w:szCs w:val="24"/>
                <w:shd w:val="clear" w:color="auto" w:fill="auto"/>
              </w:rPr>
              <w:t>污泥泵房</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shd w:val="clear" w:color="auto" w:fill="auto"/>
              </w:rPr>
            </w:pPr>
            <w:r>
              <w:rPr>
                <w:rFonts w:ascii="Times New Roman" w:hAnsi="Times New Roman" w:cs="Times New Roman"/>
                <w:color w:val="auto"/>
                <w:sz w:val="24"/>
                <w:szCs w:val="24"/>
                <w:shd w:val="clear" w:color="auto" w:fill="auto"/>
              </w:rPr>
              <w:t>剩余污泥</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6" w:line="240" w:lineRule="atLeast"/>
              <w:jc w:val="center"/>
              <w:rPr>
                <w:rFonts w:ascii="Times New Roman" w:hAnsi="Times New Roman" w:cs="Times New Roman"/>
                <w:color w:val="auto"/>
                <w:sz w:val="24"/>
                <w:szCs w:val="24"/>
                <w:shd w:val="clear" w:color="FFFFFF" w:fill="D9D9D9"/>
              </w:rPr>
            </w:pPr>
            <w:r>
              <w:rPr>
                <w:rFonts w:hint="eastAsia" w:ascii="Times New Roman" w:hAnsi="Times New Roman" w:cs="Times New Roman"/>
                <w:color w:val="auto"/>
                <w:sz w:val="24"/>
                <w:szCs w:val="24"/>
                <w:lang w:val="en-US" w:eastAsia="zh-CN"/>
              </w:rPr>
              <w:t>14.38t/a</w:t>
            </w:r>
          </w:p>
        </w:tc>
        <w:tc>
          <w:tcPr>
            <w:tcW w:w="1947" w:type="dxa"/>
            <w:tcBorders>
              <w:top w:val="single" w:color="000000" w:sz="6" w:space="0"/>
              <w:left w:val="single" w:color="000000" w:sz="4" w:space="0"/>
              <w:bottom w:val="single" w:color="000000" w:sz="6" w:space="0"/>
            </w:tcBorders>
            <w:vAlign w:val="center"/>
          </w:tcPr>
          <w:p>
            <w:pPr>
              <w:pStyle w:val="107"/>
              <w:spacing w:before="36" w:line="240" w:lineRule="atLeast"/>
              <w:jc w:val="center"/>
              <w:rPr>
                <w:rFonts w:ascii="Times New Roman" w:hAnsi="Times New Roman" w:cs="Times New Roman"/>
                <w:color w:val="auto"/>
                <w:sz w:val="24"/>
                <w:szCs w:val="24"/>
                <w:shd w:val="clear" w:color="FFFFFF" w:fill="D9D9D9"/>
              </w:rPr>
            </w:pPr>
            <w:r>
              <w:rPr>
                <w:rFonts w:ascii="Times New Roman" w:hAnsi="Times New Roman" w:cs="Times New Roman"/>
                <w:color w:val="auto"/>
                <w:w w:val="99"/>
                <w:sz w:val="24"/>
                <w:szCs w:val="24"/>
                <w:shd w:val="clear" w:color="FFFFFF" w:fill="D9D9D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职工</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生活垃圾</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8"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185</w:t>
            </w:r>
            <w:r>
              <w:rPr>
                <w:rFonts w:ascii="Times New Roman" w:hAnsi="Times New Roman" w:cs="Times New Roman"/>
                <w:color w:val="auto"/>
                <w:sz w:val="24"/>
                <w:szCs w:val="24"/>
              </w:rPr>
              <w:t>t/a</w:t>
            </w:r>
          </w:p>
        </w:tc>
        <w:tc>
          <w:tcPr>
            <w:tcW w:w="1947" w:type="dxa"/>
            <w:tcBorders>
              <w:top w:val="single" w:color="000000" w:sz="6" w:space="0"/>
              <w:left w:val="single" w:color="000000" w:sz="4" w:space="0"/>
              <w:bottom w:val="single" w:color="000000" w:sz="6" w:space="0"/>
            </w:tcBorders>
            <w:vAlign w:val="center"/>
          </w:tcPr>
          <w:p>
            <w:pPr>
              <w:pStyle w:val="107"/>
              <w:spacing w:before="38" w:line="240" w:lineRule="atLeast"/>
              <w:jc w:val="center"/>
              <w:rPr>
                <w:rFonts w:ascii="Times New Roman" w:hAnsi="Times New Roman" w:cs="Times New Roman"/>
                <w:color w:val="auto"/>
                <w:sz w:val="24"/>
                <w:szCs w:val="24"/>
              </w:rPr>
            </w:pPr>
            <w:r>
              <w:rPr>
                <w:rFonts w:ascii="Times New Roman" w:hAnsi="Times New Roman" w:cs="Times New Roman"/>
                <w:color w:val="auto"/>
                <w:w w:val="99"/>
                <w:sz w:val="24"/>
                <w:szCs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jc w:val="center"/>
        </w:trPr>
        <w:tc>
          <w:tcPr>
            <w:tcW w:w="595" w:type="dxa"/>
            <w:vMerge w:val="continue"/>
            <w:tcBorders>
              <w:right w:val="single" w:color="000000" w:sz="4" w:space="0"/>
            </w:tcBorders>
            <w:vAlign w:val="center"/>
          </w:tcPr>
          <w:p>
            <w:pPr>
              <w:spacing w:line="240" w:lineRule="atLeast"/>
              <w:jc w:val="center"/>
              <w:rPr>
                <w:color w:val="auto"/>
                <w:sz w:val="24"/>
                <w:szCs w:val="24"/>
              </w:rPr>
            </w:pPr>
          </w:p>
        </w:tc>
        <w:tc>
          <w:tcPr>
            <w:tcW w:w="850" w:type="dxa"/>
            <w:vMerge w:val="continue"/>
            <w:tcBorders>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p>
        </w:tc>
        <w:tc>
          <w:tcPr>
            <w:tcW w:w="709" w:type="dxa"/>
            <w:vMerge w:val="continue"/>
            <w:tcBorders>
              <w:left w:val="single" w:color="000000" w:sz="6" w:space="0"/>
              <w:bottom w:val="single" w:color="000000" w:sz="6" w:space="0"/>
              <w:right w:val="single" w:color="000000" w:sz="4" w:space="0"/>
            </w:tcBorders>
            <w:vAlign w:val="center"/>
          </w:tcPr>
          <w:p>
            <w:pPr>
              <w:pStyle w:val="107"/>
              <w:spacing w:line="240" w:lineRule="atLeast"/>
              <w:jc w:val="center"/>
              <w:rPr>
                <w:rFonts w:ascii="Times New Roman" w:hAnsi="Times New Roman" w:cs="Times New Roman"/>
                <w:color w:val="auto"/>
                <w:sz w:val="24"/>
                <w:szCs w:val="24"/>
              </w:rPr>
            </w:pPr>
          </w:p>
        </w:tc>
        <w:tc>
          <w:tcPr>
            <w:tcW w:w="1418"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紫外消毒</w:t>
            </w:r>
          </w:p>
        </w:tc>
        <w:tc>
          <w:tcPr>
            <w:tcW w:w="1842" w:type="dxa"/>
            <w:tcBorders>
              <w:top w:val="single" w:color="000000" w:sz="6" w:space="0"/>
              <w:left w:val="single" w:color="000000" w:sz="6"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eastAsia="zh-CN"/>
              </w:rPr>
              <w:t>废紫外线灯管</w:t>
            </w:r>
          </w:p>
        </w:tc>
        <w:tc>
          <w:tcPr>
            <w:tcW w:w="1993" w:type="dxa"/>
            <w:gridSpan w:val="2"/>
            <w:tcBorders>
              <w:top w:val="single" w:color="000000" w:sz="6" w:space="0"/>
              <w:left w:val="single" w:color="000000" w:sz="6" w:space="0"/>
              <w:bottom w:val="single" w:color="000000" w:sz="6" w:space="0"/>
              <w:right w:val="single" w:color="000000" w:sz="4" w:space="0"/>
            </w:tcBorders>
            <w:vAlign w:val="center"/>
          </w:tcPr>
          <w:p>
            <w:pPr>
              <w:pStyle w:val="107"/>
              <w:spacing w:before="38" w:line="240" w:lineRule="atLeast"/>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0.01t/a</w:t>
            </w:r>
          </w:p>
        </w:tc>
        <w:tc>
          <w:tcPr>
            <w:tcW w:w="1947" w:type="dxa"/>
            <w:tcBorders>
              <w:top w:val="single" w:color="000000" w:sz="6" w:space="0"/>
              <w:left w:val="single" w:color="000000" w:sz="4" w:space="0"/>
              <w:bottom w:val="single" w:color="000000" w:sz="6" w:space="0"/>
            </w:tcBorders>
            <w:vAlign w:val="center"/>
          </w:tcPr>
          <w:p>
            <w:pPr>
              <w:pStyle w:val="107"/>
              <w:spacing w:before="38" w:line="240" w:lineRule="atLeast"/>
              <w:jc w:val="center"/>
              <w:rPr>
                <w:rFonts w:hint="eastAsia" w:ascii="Times New Roman" w:hAnsi="Times New Roman" w:eastAsia="宋体" w:cs="Times New Roman"/>
                <w:color w:val="auto"/>
                <w:w w:val="99"/>
                <w:sz w:val="24"/>
                <w:szCs w:val="24"/>
                <w:lang w:val="en-US" w:eastAsia="zh-CN"/>
              </w:rPr>
            </w:pPr>
            <w:r>
              <w:rPr>
                <w:rFonts w:hint="eastAsia" w:ascii="Times New Roman" w:hAnsi="Times New Roman" w:cs="Times New Roman"/>
                <w:color w:val="auto"/>
                <w:w w:val="99"/>
                <w:sz w:val="24"/>
                <w:szCs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jc w:val="center"/>
        </w:trPr>
        <w:tc>
          <w:tcPr>
            <w:tcW w:w="595" w:type="dxa"/>
            <w:vMerge w:val="continue"/>
            <w:tcBorders>
              <w:bottom w:val="single" w:color="000000" w:sz="6" w:space="0"/>
              <w:right w:val="single" w:color="000000" w:sz="4" w:space="0"/>
            </w:tcBorders>
            <w:vAlign w:val="center"/>
          </w:tcPr>
          <w:p>
            <w:pPr>
              <w:spacing w:line="240" w:lineRule="atLeast"/>
              <w:jc w:val="center"/>
              <w:rPr>
                <w:color w:val="auto"/>
                <w:sz w:val="24"/>
                <w:szCs w:val="24"/>
              </w:rPr>
            </w:pPr>
          </w:p>
        </w:tc>
        <w:tc>
          <w:tcPr>
            <w:tcW w:w="850" w:type="dxa"/>
            <w:tcBorders>
              <w:top w:val="single" w:color="000000" w:sz="6" w:space="0"/>
              <w:left w:val="single" w:color="000000" w:sz="4" w:space="0"/>
              <w:bottom w:val="single" w:color="000000" w:sz="6" w:space="0"/>
              <w:right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噪声</w:t>
            </w:r>
          </w:p>
        </w:tc>
        <w:tc>
          <w:tcPr>
            <w:tcW w:w="7909" w:type="dxa"/>
            <w:gridSpan w:val="6"/>
            <w:tcBorders>
              <w:top w:val="single" w:color="000000" w:sz="6" w:space="0"/>
              <w:left w:val="single" w:color="000000" w:sz="6" w:space="0"/>
              <w:bottom w:val="single" w:color="000000" w:sz="6" w:space="0"/>
            </w:tcBorders>
            <w:vAlign w:val="center"/>
          </w:tcPr>
          <w:p>
            <w:pPr>
              <w:pStyle w:val="107"/>
              <w:spacing w:line="24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污水处理厂噪声源主要来自厂区泵房及鼓风机房的设备，噪声源强为 70~90dB(A)。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9354" w:type="dxa"/>
            <w:gridSpan w:val="8"/>
            <w:tcBorders>
              <w:top w:val="single" w:color="000000" w:sz="6" w:space="0"/>
            </w:tcBorders>
          </w:tcPr>
          <w:p>
            <w:pPr>
              <w:pStyle w:val="107"/>
              <w:spacing w:line="240" w:lineRule="atLeast"/>
              <w:rPr>
                <w:rFonts w:ascii="Times New Roman" w:hAnsi="Times New Roman" w:cs="Times New Roman"/>
                <w:b/>
                <w:color w:val="auto"/>
                <w:sz w:val="24"/>
                <w:szCs w:val="24"/>
              </w:rPr>
            </w:pPr>
            <w:r>
              <w:rPr>
                <w:rFonts w:ascii="Times New Roman" w:hAnsi="Times New Roman" w:cs="Times New Roman"/>
                <w:b/>
                <w:color w:val="auto"/>
                <w:sz w:val="24"/>
                <w:szCs w:val="24"/>
              </w:rPr>
              <w:t>主要生态影响：</w:t>
            </w:r>
          </w:p>
          <w:p>
            <w:pPr>
              <w:spacing w:line="460" w:lineRule="exact"/>
              <w:ind w:firstLine="480" w:firstLineChars="200"/>
              <w:rPr>
                <w:rFonts w:cs="宋体"/>
                <w:color w:val="auto"/>
                <w:sz w:val="24"/>
                <w:szCs w:val="24"/>
              </w:rPr>
            </w:pPr>
            <w:r>
              <w:rPr>
                <w:rFonts w:cs="宋体"/>
                <w:color w:val="auto"/>
                <w:sz w:val="24"/>
                <w:szCs w:val="24"/>
              </w:rPr>
              <w:t>本项目主要生态环境影响可分为工程建设期及工程营运期两个时期的影响。</w:t>
            </w:r>
          </w:p>
          <w:p>
            <w:pPr>
              <w:spacing w:line="460" w:lineRule="exact"/>
              <w:ind w:firstLine="480" w:firstLineChars="200"/>
              <w:rPr>
                <w:rFonts w:cs="宋体"/>
                <w:color w:val="auto"/>
                <w:sz w:val="24"/>
                <w:szCs w:val="24"/>
              </w:rPr>
            </w:pPr>
            <w:r>
              <w:rPr>
                <w:rFonts w:hint="eastAsia" w:cs="宋体"/>
                <w:color w:val="auto"/>
                <w:sz w:val="24"/>
                <w:szCs w:val="24"/>
                <w:lang w:val="en-US" w:eastAsia="zh-CN"/>
              </w:rPr>
              <w:t>本工程</w:t>
            </w:r>
            <w:r>
              <w:rPr>
                <w:rFonts w:hint="eastAsia" w:cs="宋体"/>
                <w:color w:val="auto"/>
                <w:sz w:val="24"/>
                <w:szCs w:val="24"/>
              </w:rPr>
              <w:t>总占地面积</w:t>
            </w:r>
            <w:r>
              <w:rPr>
                <w:rFonts w:hint="eastAsia"/>
                <w:color w:val="auto"/>
                <w:sz w:val="24"/>
                <w:szCs w:val="24"/>
                <w:lang w:val="en-US" w:eastAsia="zh-CN"/>
              </w:rPr>
              <w:t>1406.67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近期占地1286.67</w:t>
            </w:r>
            <w:r>
              <w:rPr>
                <w:rFonts w:hint="eastAsia"/>
                <w:color w:val="auto"/>
                <w:sz w:val="24"/>
                <w:szCs w:val="24"/>
              </w:rPr>
              <w:t>m</w:t>
            </w:r>
            <w:r>
              <w:rPr>
                <w:rFonts w:hint="eastAsia"/>
                <w:color w:val="auto"/>
                <w:sz w:val="24"/>
                <w:szCs w:val="24"/>
                <w:vertAlign w:val="superscript"/>
              </w:rPr>
              <w:t>2</w:t>
            </w:r>
            <w:r>
              <w:rPr>
                <w:rFonts w:hint="eastAsia"/>
                <w:color w:val="auto"/>
                <w:sz w:val="24"/>
                <w:szCs w:val="24"/>
                <w:vertAlign w:val="baseline"/>
                <w:lang w:eastAsia="zh-CN"/>
              </w:rPr>
              <w:t>，</w:t>
            </w:r>
            <w:r>
              <w:rPr>
                <w:rFonts w:hint="eastAsia" w:cs="宋体"/>
                <w:color w:val="auto"/>
                <w:sz w:val="24"/>
                <w:szCs w:val="24"/>
                <w:lang w:eastAsia="zh-CN"/>
              </w:rPr>
              <w:t>配套污水管道长度 6.68km</w:t>
            </w:r>
            <w:r>
              <w:rPr>
                <w:rFonts w:hint="eastAsia" w:cs="宋体"/>
                <w:color w:val="auto"/>
                <w:sz w:val="24"/>
                <w:szCs w:val="24"/>
              </w:rPr>
              <w:t>。</w:t>
            </w:r>
            <w:r>
              <w:rPr>
                <w:rFonts w:cs="宋体"/>
                <w:color w:val="auto"/>
                <w:sz w:val="24"/>
                <w:szCs w:val="24"/>
              </w:rPr>
              <w:t>管线工程作业属短期的临时性占地。污水管道施工作业带范围内的土壤和植被都有可能受到扰动和破坏，尤其是在开挖管沟 2~3m 内，植被破坏严重。开挖管沟造成的土体扰动将使土壤结构、组成和理化特性等发生改变，进而影响植被的恢复。污水处理厂正常运行期间产生的污染物较少，厂区</w:t>
            </w:r>
            <w:r>
              <w:rPr>
                <w:rFonts w:hint="eastAsia" w:cs="宋体"/>
                <w:color w:val="auto"/>
                <w:sz w:val="24"/>
                <w:szCs w:val="24"/>
              </w:rPr>
              <w:t>内部空地及周边将均匀布置</w:t>
            </w:r>
            <w:r>
              <w:rPr>
                <w:rFonts w:cs="宋体"/>
                <w:color w:val="auto"/>
                <w:sz w:val="24"/>
                <w:szCs w:val="24"/>
              </w:rPr>
              <w:t>绿化，对生态环境起到一定的改善作用，可以吸附有害物质、净化空气、减弱噪声、美化厂区环境。</w:t>
            </w: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p>
            <w:pPr>
              <w:pStyle w:val="107"/>
              <w:spacing w:line="240" w:lineRule="atLeast"/>
              <w:rPr>
                <w:rFonts w:ascii="Times New Roman" w:hAnsi="Times New Roman" w:cs="Times New Roman"/>
                <w:color w:val="auto"/>
                <w:sz w:val="24"/>
                <w:szCs w:val="24"/>
              </w:rPr>
            </w:pPr>
          </w:p>
        </w:tc>
      </w:tr>
    </w:tbl>
    <w:p>
      <w:pPr>
        <w:pStyle w:val="4"/>
        <w:spacing w:before="0" w:after="0"/>
        <w:jc w:val="left"/>
        <w:rPr>
          <w:sz w:val="30"/>
          <w:szCs w:val="30"/>
        </w:rPr>
      </w:pPr>
      <w:r>
        <w:rPr>
          <w:rFonts w:hint="eastAsia"/>
          <w:sz w:val="30"/>
          <w:szCs w:val="30"/>
        </w:rPr>
        <w:t>环境影响分析</w:t>
      </w:r>
    </w:p>
    <w:tbl>
      <w:tblPr>
        <w:tblStyle w:val="29"/>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8" w:hRule="atLeast"/>
          <w:jc w:val="center"/>
        </w:trPr>
        <w:tc>
          <w:tcPr>
            <w:tcW w:w="9228" w:type="dxa"/>
          </w:tcPr>
          <w:p>
            <w:pPr>
              <w:rPr>
                <w:b/>
                <w:bCs/>
                <w:color w:val="auto"/>
                <w:sz w:val="28"/>
                <w:szCs w:val="28"/>
                <w:highlight w:val="none"/>
              </w:rPr>
            </w:pPr>
            <w:r>
              <w:rPr>
                <w:rFonts w:hint="eastAsia" w:cs="宋体"/>
                <w:b/>
                <w:bCs/>
                <w:color w:val="auto"/>
                <w:sz w:val="28"/>
                <w:szCs w:val="28"/>
                <w:highlight w:val="none"/>
              </w:rPr>
              <w:t>施工期环境影响分析：</w:t>
            </w:r>
          </w:p>
          <w:p>
            <w:pPr>
              <w:spacing w:line="460" w:lineRule="exact"/>
              <w:ind w:firstLine="561"/>
              <w:rPr>
                <w:color w:val="auto"/>
                <w:sz w:val="24"/>
                <w:szCs w:val="24"/>
                <w:highlight w:val="none"/>
              </w:rPr>
            </w:pPr>
            <w:r>
              <w:rPr>
                <w:rFonts w:hint="eastAsia"/>
                <w:color w:val="auto"/>
                <w:sz w:val="24"/>
                <w:szCs w:val="24"/>
                <w:highlight w:val="none"/>
              </w:rPr>
              <w:t>由于施工过程中有施工机械噪声、施工扬尘、建筑固废、施工废水和施工人员生活污水产生，因此，项目施工期对所在片区环境质量会有一定影响。</w:t>
            </w:r>
          </w:p>
          <w:p>
            <w:pPr>
              <w:spacing w:line="460" w:lineRule="exact"/>
              <w:ind w:firstLine="561"/>
              <w:rPr>
                <w:color w:val="auto"/>
                <w:sz w:val="24"/>
                <w:szCs w:val="24"/>
                <w:highlight w:val="none"/>
              </w:rPr>
            </w:pPr>
            <w:r>
              <w:rPr>
                <w:rFonts w:hint="eastAsia"/>
                <w:color w:val="auto"/>
                <w:sz w:val="24"/>
                <w:szCs w:val="24"/>
                <w:highlight w:val="none"/>
              </w:rPr>
              <w:t>1、污水处理厂工程对环境的影响分析</w:t>
            </w:r>
          </w:p>
          <w:p>
            <w:pPr>
              <w:spacing w:line="460" w:lineRule="exact"/>
              <w:ind w:firstLine="561"/>
              <w:rPr>
                <w:color w:val="auto"/>
                <w:sz w:val="24"/>
                <w:szCs w:val="24"/>
                <w:highlight w:val="none"/>
              </w:rPr>
            </w:pPr>
            <w:r>
              <w:rPr>
                <w:rFonts w:hint="eastAsia"/>
                <w:color w:val="auto"/>
                <w:sz w:val="24"/>
                <w:szCs w:val="24"/>
                <w:highlight w:val="none"/>
              </w:rPr>
              <w:t>1.1 环境空气影响分析</w:t>
            </w:r>
          </w:p>
          <w:p>
            <w:pPr>
              <w:spacing w:line="460" w:lineRule="exact"/>
              <w:ind w:firstLine="561"/>
              <w:rPr>
                <w:color w:val="auto"/>
                <w:sz w:val="24"/>
                <w:szCs w:val="24"/>
                <w:highlight w:val="none"/>
                <w:shd w:val="clear" w:color="auto" w:fill="auto"/>
              </w:rPr>
            </w:pPr>
            <w:r>
              <w:rPr>
                <w:rFonts w:hint="eastAsia"/>
                <w:color w:val="auto"/>
                <w:sz w:val="24"/>
                <w:szCs w:val="24"/>
                <w:highlight w:val="none"/>
              </w:rPr>
              <w:t>施工期对环境空气的影响主要是扬尘及运输车辆和施工机械设备工作时产生的尾气。遇天气干燥季节</w:t>
            </w:r>
            <w:r>
              <w:rPr>
                <w:rFonts w:hint="eastAsia"/>
                <w:color w:val="auto"/>
                <w:sz w:val="24"/>
                <w:szCs w:val="24"/>
                <w:highlight w:val="none"/>
                <w:shd w:val="clear" w:color="auto" w:fill="auto"/>
              </w:rPr>
              <w:t>易产生扬尘，据类比分析，在此天气条件下，扬尘产生处下风向 60m 范围内 TSP 超标，距施工点下风向 150m 以内的空气环境均受到一定的影响，但施工扬尘对环境的影响具有短期性、间歇性和可逆性。此外，运输车辆排放的尾气中含有少量的 CO、NOx 及 CnHm 等污染物。从调查可知，拟建地 150m 范围主要为</w:t>
            </w:r>
            <w:r>
              <w:rPr>
                <w:rFonts w:hint="eastAsia"/>
                <w:color w:val="auto"/>
                <w:sz w:val="24"/>
                <w:szCs w:val="24"/>
                <w:highlight w:val="none"/>
                <w:shd w:val="clear" w:color="auto" w:fill="auto"/>
                <w:lang w:eastAsia="zh-CN"/>
              </w:rPr>
              <w:t>龙门村</w:t>
            </w:r>
            <w:r>
              <w:rPr>
                <w:rFonts w:hint="eastAsia"/>
                <w:color w:val="auto"/>
                <w:sz w:val="24"/>
                <w:szCs w:val="24"/>
                <w:highlight w:val="none"/>
                <w:shd w:val="clear" w:color="auto" w:fill="auto"/>
              </w:rPr>
              <w:t>居民，为减轻本工程对区域环境空气质量的不利影响，建议对各污染源采取以下控制措施：</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lang w:val="en-US" w:eastAsia="zh-CN"/>
              </w:rPr>
              <w:t>1</w:t>
            </w:r>
            <w:r>
              <w:rPr>
                <w:rFonts w:hint="eastAsia"/>
                <w:color w:val="auto"/>
                <w:sz w:val="24"/>
                <w:szCs w:val="24"/>
                <w:highlight w:val="none"/>
                <w:u w:val="none"/>
                <w:shd w:val="clear" w:color="auto" w:fill="auto"/>
                <w:lang w:eastAsia="zh-CN"/>
              </w:rPr>
              <w:t>）</w:t>
            </w:r>
            <w:r>
              <w:rPr>
                <w:rFonts w:hint="eastAsia"/>
                <w:color w:val="auto"/>
                <w:sz w:val="24"/>
                <w:szCs w:val="24"/>
                <w:highlight w:val="none"/>
                <w:u w:val="none"/>
                <w:shd w:val="clear" w:color="auto" w:fill="auto"/>
              </w:rPr>
              <w:t>施工工地严格落实6个“l00%”扬尘污染防控措施（工地周边围挡，物料堆放覆盖，土石方开挖湿法作业，路面硬化，出入车</w:t>
            </w:r>
            <w:r>
              <w:rPr>
                <w:rFonts w:hint="eastAsia"/>
                <w:color w:val="auto"/>
                <w:sz w:val="24"/>
                <w:szCs w:val="24"/>
                <w:highlight w:val="none"/>
                <w:u w:val="none"/>
              </w:rPr>
              <w:t>辆清洗，渣土、垃圾车辆密闭运输）</w:t>
            </w:r>
            <w:r>
              <w:rPr>
                <w:rFonts w:hint="eastAsia"/>
                <w:color w:val="auto"/>
                <w:sz w:val="24"/>
                <w:szCs w:val="24"/>
                <w:highlight w:val="none"/>
                <w:u w:val="none"/>
                <w:lang w:eastAsia="zh-CN"/>
              </w:rPr>
              <w:t>。</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2</w:t>
            </w:r>
            <w:r>
              <w:rPr>
                <w:rFonts w:hint="eastAsia"/>
                <w:color w:val="auto"/>
                <w:sz w:val="24"/>
                <w:szCs w:val="24"/>
                <w:highlight w:val="none"/>
                <w:u w:val="none"/>
                <w:lang w:eastAsia="zh-CN"/>
              </w:rPr>
              <w:t>）</w:t>
            </w:r>
            <w:r>
              <w:rPr>
                <w:rFonts w:hint="eastAsia"/>
                <w:color w:val="auto"/>
                <w:sz w:val="24"/>
                <w:szCs w:val="24"/>
                <w:highlight w:val="none"/>
                <w:u w:val="none"/>
              </w:rPr>
              <w:t>严格落实建筑施工现场防尘降尘设施、装置等措施。房屋建筑施工现场必须采取封闭施工现场的围挡（市区主要路段的工地设置高度不低于2.5米，一般路段的工地设置高度不低于1.8米），围挡应当坚固、稳定、整洁、美观。围挡出入口应当设置洗车台、沉淀池和车辆清污设施，运输车辆必须在除泥、冲洗干净后，方可出场。施工现场运送土方、渣土的车辆必须封闭或遮盖严密，严禁使用未按规定办理相关手续的运输车辆，严禁沿路遗撒和随意倾倒。鼓励施工现场在道路、围墙、脚手架等部位安装喷淋或喷雾等降尘装置；鼓励在施工现场安装空气质量检测仪等装置。</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3</w:t>
            </w:r>
            <w:r>
              <w:rPr>
                <w:rFonts w:hint="eastAsia"/>
                <w:color w:val="auto"/>
                <w:sz w:val="24"/>
                <w:szCs w:val="24"/>
                <w:highlight w:val="none"/>
                <w:u w:val="none"/>
                <w:lang w:eastAsia="zh-CN"/>
              </w:rPr>
              <w:t>）</w:t>
            </w:r>
            <w:r>
              <w:rPr>
                <w:rFonts w:hint="eastAsia"/>
                <w:color w:val="auto"/>
                <w:sz w:val="24"/>
                <w:szCs w:val="24"/>
                <w:highlight w:val="none"/>
                <w:u w:val="none"/>
              </w:rPr>
              <w:t>落实建筑垃圾消纳控制措施。施工现场的施工垃圾和生活垃圾，应当设置密闭式垃圾站集中分类存放，及时清运出场。清理楼层内以及脚手架作业平台的垃圾时应当洒水抑尘，并使用密闭式串筒或采用容器清运，严禁凌空抛掷或焚烧各类废弃物。</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4</w:t>
            </w:r>
            <w:r>
              <w:rPr>
                <w:rFonts w:hint="eastAsia"/>
                <w:color w:val="auto"/>
                <w:sz w:val="24"/>
                <w:szCs w:val="24"/>
                <w:highlight w:val="none"/>
                <w:u w:val="none"/>
                <w:lang w:eastAsia="zh-CN"/>
              </w:rPr>
              <w:t>）</w:t>
            </w:r>
            <w:r>
              <w:rPr>
                <w:rFonts w:hint="eastAsia"/>
                <w:color w:val="auto"/>
                <w:sz w:val="24"/>
                <w:szCs w:val="24"/>
                <w:highlight w:val="none"/>
                <w:u w:val="none"/>
              </w:rPr>
              <w:t>强化施工场地等防尘降尘管理。施工现场的主要出入口、主要道路及材料加工区、堆放区、生活区、办公区的地面应当按照规定作硬化处理，其他裸露的场地应当采取覆盖、固化、洒水、绿化等措施。建筑土方、工程渣土等要及时清运，场内暂时集中堆放的应当采用密封式防尘网遮盖等措施。暂不能开工建设的建设用地，建设单位应对裸露地面进行覆盖；超过3个月不能开工建设的，应进行绿化、铺装或遮盖。</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5</w:t>
            </w:r>
            <w:r>
              <w:rPr>
                <w:rFonts w:hint="eastAsia"/>
                <w:color w:val="auto"/>
                <w:sz w:val="24"/>
                <w:szCs w:val="24"/>
                <w:highlight w:val="none"/>
                <w:u w:val="none"/>
                <w:lang w:eastAsia="zh-CN"/>
              </w:rPr>
              <w:t>）</w:t>
            </w:r>
            <w:r>
              <w:rPr>
                <w:rFonts w:hint="eastAsia"/>
                <w:color w:val="auto"/>
                <w:sz w:val="24"/>
                <w:szCs w:val="24"/>
                <w:highlight w:val="none"/>
                <w:u w:val="none"/>
              </w:rPr>
              <w:t>严格施工现场建筑材料管理。施工现场的建筑材料、构件、料具应当按总平面布局分类、整齐码放，对易产生扬尘的大堆物料，能洒水的应当按时洒水压尘，不能洒水的应当采取覆盖等措施。水泥和其他易飞扬的细颗粒建筑材料应当在库房或密闭容器内存放或采取覆盖等措施，严禁露天放置；搬运时应有降尘措施。余料及时回收。</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6</w:t>
            </w:r>
            <w:r>
              <w:rPr>
                <w:rFonts w:hint="eastAsia"/>
                <w:color w:val="auto"/>
                <w:sz w:val="24"/>
                <w:szCs w:val="24"/>
                <w:highlight w:val="none"/>
                <w:u w:val="none"/>
                <w:lang w:eastAsia="zh-CN"/>
              </w:rPr>
              <w:t>）</w:t>
            </w:r>
            <w:r>
              <w:rPr>
                <w:rFonts w:hint="eastAsia"/>
                <w:color w:val="auto"/>
                <w:sz w:val="24"/>
                <w:szCs w:val="24"/>
                <w:highlight w:val="none"/>
                <w:u w:val="none"/>
              </w:rPr>
              <w:t>完善土方开挖、拆除工程防治手段。拆除建筑物、构筑物、土方开挖、土方回填等易产生粉尘的作业时，必须采用围挡隔离、喷淋、洒水、喷雾等降尘措施。遇有5级以上风力或空气质量严重污染等恶劣天气时，严禁土方开挖、土方回填，拆除等可能产生扬尘的作业。</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7</w:t>
            </w:r>
            <w:r>
              <w:rPr>
                <w:rFonts w:hint="eastAsia"/>
                <w:color w:val="auto"/>
                <w:sz w:val="24"/>
                <w:szCs w:val="24"/>
                <w:highlight w:val="none"/>
                <w:u w:val="none"/>
                <w:lang w:eastAsia="zh-CN"/>
              </w:rPr>
              <w:t>）</w:t>
            </w:r>
            <w:r>
              <w:rPr>
                <w:rFonts w:hint="eastAsia"/>
                <w:color w:val="auto"/>
                <w:sz w:val="24"/>
                <w:szCs w:val="24"/>
                <w:highlight w:val="none"/>
                <w:u w:val="none"/>
              </w:rPr>
              <w:t>加强市政工程扬尘防治手段。市政基础设施工程应根据现场条件设立固定或活动的封闭围挡、警示标志，定时洒水喷雾降尘清扫，定时清理排水系统，施工泥浆采用密闭容器存放，不得排入市政管道，要配备施工车辆冲洗设备。</w:t>
            </w:r>
          </w:p>
          <w:p>
            <w:pPr>
              <w:spacing w:line="460" w:lineRule="exact"/>
              <w:ind w:firstLine="561"/>
              <w:rPr>
                <w:rFonts w:hint="eastAsia"/>
                <w:color w:val="auto"/>
                <w:sz w:val="24"/>
                <w:szCs w:val="24"/>
                <w:highlight w:val="none"/>
                <w:u w:val="none"/>
              </w:rPr>
            </w:pPr>
            <w:r>
              <w:rPr>
                <w:rFonts w:hint="eastAsia"/>
                <w:color w:val="auto"/>
                <w:sz w:val="24"/>
                <w:szCs w:val="24"/>
                <w:highlight w:val="none"/>
                <w:u w:val="none"/>
                <w:lang w:eastAsia="zh-CN"/>
              </w:rPr>
              <w:t>（</w:t>
            </w:r>
            <w:r>
              <w:rPr>
                <w:rFonts w:hint="eastAsia"/>
                <w:color w:val="auto"/>
                <w:sz w:val="24"/>
                <w:szCs w:val="24"/>
                <w:highlight w:val="none"/>
                <w:u w:val="none"/>
                <w:lang w:val="en-US" w:eastAsia="zh-CN"/>
              </w:rPr>
              <w:t>8</w:t>
            </w:r>
            <w:r>
              <w:rPr>
                <w:rFonts w:hint="eastAsia"/>
                <w:color w:val="auto"/>
                <w:sz w:val="24"/>
                <w:szCs w:val="24"/>
                <w:highlight w:val="none"/>
                <w:u w:val="none"/>
                <w:lang w:eastAsia="zh-CN"/>
              </w:rPr>
              <w:t>）</w:t>
            </w:r>
            <w:r>
              <w:rPr>
                <w:rFonts w:hint="eastAsia"/>
                <w:color w:val="auto"/>
                <w:sz w:val="24"/>
                <w:szCs w:val="24"/>
                <w:highlight w:val="none"/>
                <w:u w:val="none"/>
              </w:rPr>
              <w:t>加强渣土和城市建设垃圾运输、预拌混凝土生产、运输环节管控。搅拌厂区应采取覆盖、封闭、洒水（喷雾）、降尘等措施。有效控制堆放、装卸、运输、搅拌等产生的粉尘污染。搅拌楼生产应当实施封闭并采取防尘措施。搅拌站场出入口应当设置洗车台和冲洗设施。混凝土、渣土和城市垃圾车辆应当采取预防渗漏措施，避免在运输中滴、撒、漏。</w:t>
            </w:r>
          </w:p>
          <w:p>
            <w:pPr>
              <w:spacing w:line="460" w:lineRule="exact"/>
              <w:ind w:firstLine="561"/>
              <w:rPr>
                <w:color w:val="auto"/>
                <w:sz w:val="24"/>
                <w:szCs w:val="24"/>
                <w:highlight w:val="none"/>
              </w:rPr>
            </w:pPr>
            <w:r>
              <w:rPr>
                <w:rFonts w:hint="eastAsia"/>
                <w:color w:val="auto"/>
                <w:sz w:val="24"/>
                <w:szCs w:val="24"/>
                <w:highlight w:val="none"/>
              </w:rPr>
              <w:t>采取以上防护措施后，可减轻工程建设对施工区域环境空气质量的影响。运输车辆和施工机械设备工作时产生的尾气，主要污染物为 NO</w:t>
            </w:r>
            <w:r>
              <w:rPr>
                <w:rFonts w:hint="eastAsia"/>
                <w:color w:val="auto"/>
                <w:sz w:val="24"/>
                <w:szCs w:val="24"/>
                <w:highlight w:val="none"/>
                <w:lang w:val="en-US" w:eastAsia="zh-CN"/>
              </w:rPr>
              <w:t>x</w:t>
            </w:r>
            <w:r>
              <w:rPr>
                <w:rFonts w:hint="eastAsia"/>
                <w:color w:val="auto"/>
                <w:sz w:val="24"/>
                <w:szCs w:val="24"/>
                <w:highlight w:val="none"/>
              </w:rPr>
              <w:t>、CO、非甲烷总烃等，其排放量很少，依靠自然扩散后对项目区域内的环境影响较小。</w:t>
            </w:r>
          </w:p>
          <w:p>
            <w:pPr>
              <w:spacing w:line="460" w:lineRule="exact"/>
              <w:ind w:firstLine="561"/>
              <w:rPr>
                <w:color w:val="auto"/>
                <w:sz w:val="24"/>
                <w:szCs w:val="24"/>
                <w:highlight w:val="none"/>
              </w:rPr>
            </w:pPr>
            <w:r>
              <w:rPr>
                <w:rFonts w:hint="eastAsia"/>
                <w:color w:val="auto"/>
                <w:sz w:val="24"/>
                <w:szCs w:val="24"/>
                <w:highlight w:val="none"/>
              </w:rPr>
              <w:t>1.2 水环境影响分析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项目施工期产生的废水主要为机械冲洗废水及施工人员生活废水。施工车辆和机械的冲洗水通过隔油池和沉淀池沉淀后用于施工期间地面洒水降尘，对周围地表水环境影响不大；本次环评建议施工人员的生活废水依托</w:t>
            </w:r>
            <w:r>
              <w:rPr>
                <w:rFonts w:hint="eastAsia"/>
                <w:color w:val="auto"/>
                <w:sz w:val="24"/>
                <w:szCs w:val="24"/>
                <w:highlight w:val="none"/>
                <w:lang w:val="en-US" w:eastAsia="zh-CN"/>
              </w:rPr>
              <w:t>湘滨</w:t>
            </w:r>
            <w:r>
              <w:rPr>
                <w:rFonts w:hint="eastAsia"/>
                <w:color w:val="auto"/>
                <w:sz w:val="24"/>
                <w:szCs w:val="24"/>
                <w:highlight w:val="none"/>
              </w:rPr>
              <w:t>镇周边居民的现有的厕所解决。</w:t>
            </w:r>
          </w:p>
          <w:p>
            <w:pPr>
              <w:spacing w:line="460" w:lineRule="exact"/>
              <w:ind w:firstLine="561"/>
              <w:rPr>
                <w:color w:val="auto"/>
                <w:sz w:val="24"/>
                <w:szCs w:val="24"/>
                <w:highlight w:val="none"/>
              </w:rPr>
            </w:pPr>
            <w:r>
              <w:rPr>
                <w:rFonts w:hint="eastAsia"/>
                <w:color w:val="auto"/>
                <w:sz w:val="24"/>
                <w:szCs w:val="24"/>
                <w:highlight w:val="none"/>
              </w:rPr>
              <w:t>为减少施工废水对地表水环境的影响，本环评建议采取以下水污染的控制措施：</w:t>
            </w:r>
          </w:p>
          <w:p>
            <w:pPr>
              <w:spacing w:line="460" w:lineRule="exact"/>
              <w:ind w:firstLine="561"/>
              <w:rPr>
                <w:color w:val="auto"/>
                <w:sz w:val="24"/>
                <w:szCs w:val="24"/>
                <w:highlight w:val="none"/>
                <w:shd w:val="clear" w:color="FFFFFF" w:fill="D9D9D9"/>
              </w:rPr>
            </w:pPr>
            <w:r>
              <w:rPr>
                <w:rFonts w:hint="eastAsia"/>
                <w:color w:val="auto"/>
                <w:sz w:val="24"/>
                <w:szCs w:val="24"/>
                <w:highlight w:val="none"/>
                <w:shd w:val="clear" w:color="auto" w:fill="auto"/>
              </w:rPr>
              <w:t>（1）施工期间生活污水产生总量不大，本次环评建议施工人员的生活废水依</w:t>
            </w:r>
            <w:r>
              <w:rPr>
                <w:rFonts w:hint="eastAsia"/>
                <w:color w:val="auto"/>
                <w:sz w:val="24"/>
                <w:szCs w:val="24"/>
                <w:highlight w:val="none"/>
                <w:shd w:val="clear" w:color="auto" w:fill="auto"/>
                <w:lang w:val="en-US" w:eastAsia="zh-CN"/>
              </w:rPr>
              <w:t>湘滨镇</w:t>
            </w:r>
            <w:r>
              <w:rPr>
                <w:rFonts w:hint="eastAsia"/>
                <w:color w:val="auto"/>
                <w:sz w:val="24"/>
                <w:szCs w:val="24"/>
                <w:highlight w:val="none"/>
                <w:shd w:val="clear" w:color="auto" w:fill="auto"/>
              </w:rPr>
              <w:t>居民的现有的厕所解决。</w:t>
            </w:r>
          </w:p>
          <w:p>
            <w:pPr>
              <w:spacing w:line="460" w:lineRule="exact"/>
              <w:ind w:firstLine="561"/>
              <w:rPr>
                <w:color w:val="auto"/>
                <w:sz w:val="24"/>
                <w:szCs w:val="24"/>
                <w:highlight w:val="none"/>
              </w:rPr>
            </w:pPr>
            <w:r>
              <w:rPr>
                <w:rFonts w:hint="eastAsia"/>
                <w:color w:val="auto"/>
                <w:sz w:val="24"/>
                <w:szCs w:val="24"/>
                <w:highlight w:val="none"/>
              </w:rPr>
              <w:t>（2）本项目必须将施工污水收集，施工车辆和机械的冲洗水通过隔油池和沉淀池沉淀后用于施工期间地面洒水降尘和施工用水。未经处理的泥浆水，严禁直接外排。</w:t>
            </w:r>
          </w:p>
          <w:p>
            <w:pPr>
              <w:spacing w:line="460" w:lineRule="exact"/>
              <w:ind w:firstLine="561"/>
              <w:rPr>
                <w:color w:val="auto"/>
                <w:sz w:val="24"/>
                <w:szCs w:val="24"/>
                <w:highlight w:val="none"/>
              </w:rPr>
            </w:pPr>
            <w:r>
              <w:rPr>
                <w:rFonts w:hint="eastAsia"/>
                <w:color w:val="auto"/>
                <w:sz w:val="24"/>
                <w:szCs w:val="24"/>
                <w:highlight w:val="none"/>
              </w:rPr>
              <w:t>（3）加强机械日常维护，减少机械油污跑、冒、滴、漏现象，减少含油污水的产生。</w:t>
            </w:r>
          </w:p>
          <w:p>
            <w:pPr>
              <w:spacing w:line="460" w:lineRule="exact"/>
              <w:ind w:firstLine="561"/>
              <w:rPr>
                <w:color w:val="auto"/>
                <w:sz w:val="24"/>
                <w:szCs w:val="24"/>
                <w:highlight w:val="none"/>
              </w:rPr>
            </w:pPr>
            <w:r>
              <w:rPr>
                <w:rFonts w:hint="eastAsia"/>
                <w:color w:val="auto"/>
                <w:sz w:val="24"/>
                <w:szCs w:val="24"/>
                <w:highlight w:val="none"/>
              </w:rPr>
              <w:t>（4）要做好建筑材料和建设废料的管理，防止它们成为地面水的二次污染源，建议在料场周围设置排水沉淀沟。同时，尽量避免雨期进行施工建设，以减少冲刷形成的泥浆污水的产生。</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5</w:t>
            </w:r>
            <w:r>
              <w:rPr>
                <w:rFonts w:hint="eastAsia"/>
                <w:color w:val="auto"/>
                <w:sz w:val="24"/>
                <w:szCs w:val="24"/>
                <w:highlight w:val="none"/>
                <w:shd w:val="clear" w:color="auto" w:fill="auto"/>
              </w:rPr>
              <w:t>）项目与</w:t>
            </w:r>
            <w:r>
              <w:rPr>
                <w:rFonts w:hint="eastAsia"/>
                <w:color w:val="auto"/>
                <w:sz w:val="24"/>
                <w:szCs w:val="24"/>
                <w:highlight w:val="none"/>
                <w:shd w:val="clear" w:color="auto" w:fill="auto"/>
                <w:lang w:val="en-US" w:eastAsia="zh-CN"/>
              </w:rPr>
              <w:t>粟塘社区农田灌溉渠</w:t>
            </w:r>
            <w:r>
              <w:rPr>
                <w:rFonts w:hint="eastAsia"/>
                <w:color w:val="auto"/>
                <w:sz w:val="24"/>
                <w:szCs w:val="24"/>
                <w:highlight w:val="none"/>
                <w:shd w:val="clear" w:color="auto" w:fill="auto"/>
              </w:rPr>
              <w:t>较近，施工应合理选择施工时段，在枯水期期间，河水水位较低，选择在此期间进行施工，既便于施工，又能最大限度的防止泥砂进入水体。</w:t>
            </w:r>
          </w:p>
          <w:p>
            <w:pPr>
              <w:spacing w:line="460" w:lineRule="exact"/>
              <w:ind w:firstLine="561"/>
              <w:rPr>
                <w:color w:val="auto"/>
                <w:sz w:val="24"/>
                <w:szCs w:val="24"/>
                <w:highlight w:val="none"/>
                <w:shd w:val="clear" w:color="auto" w:fill="auto"/>
              </w:rPr>
            </w:pPr>
            <w:r>
              <w:rPr>
                <w:rFonts w:hint="eastAsia"/>
                <w:color w:val="auto"/>
                <w:sz w:val="24"/>
                <w:szCs w:val="24"/>
                <w:highlight w:val="none"/>
                <w:shd w:val="clear" w:color="auto" w:fill="auto"/>
              </w:rPr>
              <w:t>（</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）施工废水不得排入</w:t>
            </w:r>
            <w:r>
              <w:rPr>
                <w:rFonts w:hint="eastAsia"/>
                <w:color w:val="auto"/>
                <w:sz w:val="24"/>
                <w:szCs w:val="24"/>
                <w:highlight w:val="none"/>
                <w:shd w:val="clear" w:color="auto" w:fill="auto"/>
                <w:lang w:val="en-US" w:eastAsia="zh-CN"/>
              </w:rPr>
              <w:t>王家河</w:t>
            </w:r>
            <w:r>
              <w:rPr>
                <w:rFonts w:hint="eastAsia"/>
                <w:color w:val="auto"/>
                <w:sz w:val="24"/>
                <w:szCs w:val="24"/>
                <w:highlight w:val="none"/>
                <w:shd w:val="clear" w:color="auto" w:fill="auto"/>
              </w:rPr>
              <w:t>及附近水塘。本工程拟对施工废水采用自然沉降法进行处理。施工污水采取以上措施，可有效减少施工期污水对环境的影响。</w:t>
            </w:r>
          </w:p>
          <w:p>
            <w:pPr>
              <w:spacing w:line="460" w:lineRule="exact"/>
              <w:ind w:firstLine="561"/>
              <w:rPr>
                <w:color w:val="auto"/>
                <w:sz w:val="24"/>
                <w:szCs w:val="24"/>
                <w:highlight w:val="none"/>
              </w:rPr>
            </w:pPr>
            <w:r>
              <w:rPr>
                <w:rFonts w:hint="eastAsia"/>
                <w:color w:val="auto"/>
                <w:sz w:val="24"/>
                <w:szCs w:val="24"/>
                <w:highlight w:val="none"/>
              </w:rPr>
              <w:t>1.3 声环境影响分析</w:t>
            </w:r>
          </w:p>
          <w:p>
            <w:pPr>
              <w:spacing w:line="460" w:lineRule="exact"/>
              <w:ind w:firstLine="561"/>
              <w:rPr>
                <w:color w:val="auto"/>
                <w:sz w:val="24"/>
                <w:szCs w:val="24"/>
                <w:highlight w:val="none"/>
              </w:rPr>
            </w:pPr>
            <w:r>
              <w:rPr>
                <w:rFonts w:hint="eastAsia"/>
                <w:color w:val="auto"/>
                <w:sz w:val="24"/>
                <w:szCs w:val="24"/>
                <w:highlight w:val="none"/>
              </w:rPr>
              <w:t>由工程分析可知：施工场地噪声主要是施工机械设备噪声、运输车辆噪声、物料装卸碰撞噪声和施工人员的人为噪声。由于施工阶段一般为露天作业，无隔声与消声措施， 故噪声传播范</w:t>
            </w:r>
            <w:r>
              <w:rPr>
                <w:rFonts w:hint="eastAsia"/>
                <w:color w:val="auto"/>
                <w:sz w:val="24"/>
                <w:szCs w:val="24"/>
                <w:highlight w:val="none"/>
                <w:shd w:val="clear" w:color="auto" w:fill="auto"/>
              </w:rPr>
              <w:t>围较远，影响面较大。单体设备声源声级一般均高于 80dB(A)，部分设备声源甚至高达 105dB(A)。但由于施工场地内设备位置不断变化，同一施工阶段的不同时间设备运行数量亦有波动，因此很难确切预测施工场各场界噪声值。经类比调查，各施工机械噪声源及其影响情况见表2</w:t>
            </w:r>
            <w:r>
              <w:rPr>
                <w:rFonts w:hint="eastAsia"/>
                <w:color w:val="auto"/>
                <w:sz w:val="24"/>
                <w:szCs w:val="24"/>
                <w:highlight w:val="none"/>
                <w:shd w:val="clear" w:color="auto" w:fill="auto"/>
                <w:lang w:val="en-US" w:eastAsia="zh-CN"/>
              </w:rPr>
              <w:t>6</w:t>
            </w:r>
            <w:r>
              <w:rPr>
                <w:rFonts w:hint="eastAsia"/>
                <w:color w:val="auto"/>
                <w:sz w:val="24"/>
                <w:szCs w:val="24"/>
                <w:highlight w:val="none"/>
                <w:shd w:val="clear" w:color="auto" w:fill="auto"/>
              </w:rPr>
              <w:t>。项目建设期不同阶段机械设备噪声对环境的影响参照《建筑施工场界环境噪声排放标准》（GB12523-2011）</w:t>
            </w:r>
            <w:r>
              <w:rPr>
                <w:rFonts w:hint="eastAsia"/>
                <w:color w:val="auto"/>
                <w:sz w:val="24"/>
                <w:szCs w:val="24"/>
                <w:highlight w:val="none"/>
              </w:rPr>
              <w:t>执行，其标限值见表2</w:t>
            </w:r>
            <w:r>
              <w:rPr>
                <w:rFonts w:hint="eastAsia"/>
                <w:color w:val="auto"/>
                <w:sz w:val="24"/>
                <w:szCs w:val="24"/>
                <w:highlight w:val="none"/>
                <w:lang w:val="en-US" w:eastAsia="zh-CN"/>
              </w:rPr>
              <w:t>7</w:t>
            </w:r>
            <w:r>
              <w:rPr>
                <w:rFonts w:hint="eastAsia"/>
                <w:color w:val="auto"/>
                <w:sz w:val="24"/>
                <w:szCs w:val="24"/>
                <w:highlight w:val="none"/>
              </w:rPr>
              <w:t>。</w:t>
            </w:r>
          </w:p>
          <w:p>
            <w:pPr>
              <w:tabs>
                <w:tab w:val="left" w:pos="1799"/>
                <w:tab w:val="left" w:pos="7275"/>
              </w:tabs>
              <w:spacing w:before="3"/>
              <w:ind w:left="1009"/>
              <w:jc w:val="left"/>
              <w:rPr>
                <w:rFonts w:eastAsia="Times New Roman"/>
                <w:b/>
                <w:color w:val="auto"/>
                <w:sz w:val="21"/>
                <w:highlight w:val="none"/>
              </w:rPr>
            </w:pPr>
            <w:r>
              <w:rPr>
                <w:b/>
                <w:color w:val="auto"/>
                <w:sz w:val="21"/>
                <w:highlight w:val="none"/>
              </w:rPr>
              <w:t>表</w:t>
            </w:r>
            <w:r>
              <w:rPr>
                <w:b/>
                <w:color w:val="auto"/>
                <w:spacing w:val="-44"/>
                <w:sz w:val="21"/>
                <w:highlight w:val="none"/>
              </w:rPr>
              <w:t xml:space="preserve"> </w:t>
            </w:r>
            <w:r>
              <w:rPr>
                <w:rFonts w:hint="eastAsia"/>
                <w:b/>
                <w:color w:val="auto"/>
                <w:spacing w:val="1"/>
                <w:sz w:val="21"/>
                <w:highlight w:val="none"/>
              </w:rPr>
              <w:t>2</w:t>
            </w:r>
            <w:r>
              <w:rPr>
                <w:rFonts w:hint="eastAsia"/>
                <w:b/>
                <w:color w:val="auto"/>
                <w:spacing w:val="1"/>
                <w:sz w:val="21"/>
                <w:highlight w:val="none"/>
                <w:lang w:val="en-US" w:eastAsia="zh-CN"/>
              </w:rPr>
              <w:t>6</w:t>
            </w:r>
            <w:r>
              <w:rPr>
                <w:rFonts w:eastAsia="Times New Roman"/>
                <w:b/>
                <w:color w:val="auto"/>
                <w:spacing w:val="1"/>
                <w:sz w:val="21"/>
                <w:highlight w:val="none"/>
              </w:rPr>
              <w:tab/>
            </w:r>
            <w:r>
              <w:rPr>
                <w:b/>
                <w:color w:val="auto"/>
                <w:spacing w:val="7"/>
                <w:sz w:val="21"/>
                <w:highlight w:val="none"/>
              </w:rPr>
              <w:t>几种</w:t>
            </w:r>
            <w:r>
              <w:rPr>
                <w:b/>
                <w:color w:val="auto"/>
                <w:spacing w:val="10"/>
                <w:sz w:val="21"/>
                <w:highlight w:val="none"/>
              </w:rPr>
              <w:t>主</w:t>
            </w:r>
            <w:r>
              <w:rPr>
                <w:b/>
                <w:color w:val="auto"/>
                <w:spacing w:val="7"/>
                <w:sz w:val="21"/>
                <w:highlight w:val="none"/>
              </w:rPr>
              <w:t>要施工机械</w:t>
            </w:r>
            <w:r>
              <w:rPr>
                <w:b/>
                <w:color w:val="auto"/>
                <w:spacing w:val="10"/>
                <w:sz w:val="21"/>
                <w:highlight w:val="none"/>
              </w:rPr>
              <w:t>的</w:t>
            </w:r>
            <w:r>
              <w:rPr>
                <w:b/>
                <w:color w:val="auto"/>
                <w:spacing w:val="7"/>
                <w:sz w:val="21"/>
                <w:highlight w:val="none"/>
              </w:rPr>
              <w:t>噪声源强及</w:t>
            </w:r>
            <w:r>
              <w:rPr>
                <w:b/>
                <w:color w:val="auto"/>
                <w:spacing w:val="10"/>
                <w:sz w:val="21"/>
                <w:highlight w:val="none"/>
              </w:rPr>
              <w:t>在</w:t>
            </w:r>
            <w:r>
              <w:rPr>
                <w:b/>
                <w:color w:val="auto"/>
                <w:spacing w:val="7"/>
                <w:sz w:val="21"/>
                <w:highlight w:val="none"/>
              </w:rPr>
              <w:t>不同距离</w:t>
            </w:r>
            <w:r>
              <w:rPr>
                <w:b/>
                <w:color w:val="auto"/>
                <w:spacing w:val="10"/>
                <w:sz w:val="21"/>
                <w:highlight w:val="none"/>
              </w:rPr>
              <w:t>处</w:t>
            </w:r>
            <w:r>
              <w:rPr>
                <w:b/>
                <w:color w:val="auto"/>
                <w:spacing w:val="7"/>
                <w:sz w:val="21"/>
                <w:highlight w:val="none"/>
              </w:rPr>
              <w:t>的噪声</w:t>
            </w:r>
            <w:r>
              <w:rPr>
                <w:b/>
                <w:color w:val="auto"/>
                <w:sz w:val="21"/>
                <w:highlight w:val="none"/>
              </w:rPr>
              <w:t>值</w:t>
            </w:r>
            <w:r>
              <w:rPr>
                <w:b/>
                <w:color w:val="auto"/>
                <w:sz w:val="21"/>
                <w:highlight w:val="none"/>
              </w:rPr>
              <w:tab/>
            </w:r>
            <w:r>
              <w:rPr>
                <w:b/>
                <w:color w:val="auto"/>
                <w:spacing w:val="7"/>
                <w:sz w:val="21"/>
                <w:highlight w:val="none"/>
              </w:rPr>
              <w:t>单位</w:t>
            </w:r>
            <w:r>
              <w:rPr>
                <w:b/>
                <w:color w:val="auto"/>
                <w:spacing w:val="2"/>
                <w:sz w:val="21"/>
                <w:highlight w:val="none"/>
              </w:rPr>
              <w:t>：</w:t>
            </w:r>
            <w:r>
              <w:rPr>
                <w:rFonts w:eastAsia="Times New Roman"/>
                <w:b/>
                <w:color w:val="auto"/>
                <w:spacing w:val="2"/>
                <w:sz w:val="21"/>
                <w:highlight w:val="none"/>
              </w:rPr>
              <w:t>dB(A)</w:t>
            </w:r>
          </w:p>
          <w:tbl>
            <w:tblPr>
              <w:tblStyle w:val="29"/>
              <w:tblW w:w="8620" w:type="dxa"/>
              <w:tblInd w:w="1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9"/>
              <w:gridCol w:w="829"/>
              <w:gridCol w:w="904"/>
              <w:gridCol w:w="973"/>
              <w:gridCol w:w="1033"/>
              <w:gridCol w:w="891"/>
              <w:gridCol w:w="1002"/>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769" w:type="dxa"/>
                  <w:tcBorders>
                    <w:left w:val="nil"/>
                  </w:tcBorders>
                  <w:vAlign w:val="center"/>
                </w:tcPr>
                <w:p>
                  <w:pPr>
                    <w:pStyle w:val="107"/>
                    <w:jc w:val="center"/>
                    <w:rPr>
                      <w:color w:val="auto"/>
                      <w:sz w:val="21"/>
                      <w:highlight w:val="none"/>
                    </w:rPr>
                  </w:pPr>
                  <w:r>
                    <w:rPr>
                      <w:color w:val="auto"/>
                      <w:sz w:val="21"/>
                      <w:highlight w:val="none"/>
                    </w:rPr>
                    <w:t>距离机械类型</w:t>
                  </w:r>
                </w:p>
              </w:tc>
              <w:tc>
                <w:tcPr>
                  <w:tcW w:w="829" w:type="dxa"/>
                  <w:vAlign w:val="center"/>
                </w:tcPr>
                <w:p>
                  <w:pPr>
                    <w:pStyle w:val="107"/>
                    <w:jc w:val="center"/>
                    <w:rPr>
                      <w:rFonts w:ascii="Times New Roman"/>
                      <w:color w:val="auto"/>
                      <w:sz w:val="21"/>
                      <w:highlight w:val="none"/>
                    </w:rPr>
                  </w:pPr>
                  <w:r>
                    <w:rPr>
                      <w:rFonts w:ascii="Times New Roman"/>
                      <w:color w:val="auto"/>
                      <w:sz w:val="21"/>
                      <w:highlight w:val="none"/>
                    </w:rPr>
                    <w:t>5m</w:t>
                  </w:r>
                </w:p>
              </w:tc>
              <w:tc>
                <w:tcPr>
                  <w:tcW w:w="904" w:type="dxa"/>
                  <w:vAlign w:val="center"/>
                </w:tcPr>
                <w:p>
                  <w:pPr>
                    <w:pStyle w:val="107"/>
                    <w:spacing w:before="1"/>
                    <w:jc w:val="center"/>
                    <w:rPr>
                      <w:rFonts w:ascii="Times New Roman"/>
                      <w:color w:val="auto"/>
                      <w:sz w:val="21"/>
                      <w:highlight w:val="none"/>
                    </w:rPr>
                  </w:pPr>
                  <w:r>
                    <w:rPr>
                      <w:rFonts w:ascii="Times New Roman"/>
                      <w:color w:val="auto"/>
                      <w:sz w:val="21"/>
                      <w:highlight w:val="none"/>
                    </w:rPr>
                    <w:t>10m</w:t>
                  </w:r>
                </w:p>
              </w:tc>
              <w:tc>
                <w:tcPr>
                  <w:tcW w:w="973" w:type="dxa"/>
                  <w:vAlign w:val="center"/>
                </w:tcPr>
                <w:p>
                  <w:pPr>
                    <w:pStyle w:val="107"/>
                    <w:spacing w:before="1"/>
                    <w:jc w:val="center"/>
                    <w:rPr>
                      <w:rFonts w:ascii="Times New Roman"/>
                      <w:color w:val="auto"/>
                      <w:sz w:val="21"/>
                      <w:highlight w:val="none"/>
                    </w:rPr>
                  </w:pPr>
                  <w:r>
                    <w:rPr>
                      <w:rFonts w:ascii="Times New Roman"/>
                      <w:color w:val="auto"/>
                      <w:sz w:val="21"/>
                      <w:highlight w:val="none"/>
                    </w:rPr>
                    <w:t>20m</w:t>
                  </w:r>
                </w:p>
              </w:tc>
              <w:tc>
                <w:tcPr>
                  <w:tcW w:w="1033" w:type="dxa"/>
                  <w:vAlign w:val="center"/>
                </w:tcPr>
                <w:p>
                  <w:pPr>
                    <w:pStyle w:val="107"/>
                    <w:spacing w:before="1"/>
                    <w:jc w:val="center"/>
                    <w:rPr>
                      <w:rFonts w:ascii="Times New Roman"/>
                      <w:color w:val="auto"/>
                      <w:sz w:val="21"/>
                      <w:highlight w:val="none"/>
                    </w:rPr>
                  </w:pPr>
                  <w:r>
                    <w:rPr>
                      <w:rFonts w:ascii="Times New Roman"/>
                      <w:color w:val="auto"/>
                      <w:sz w:val="21"/>
                      <w:highlight w:val="none"/>
                    </w:rPr>
                    <w:t>40m</w:t>
                  </w:r>
                </w:p>
              </w:tc>
              <w:tc>
                <w:tcPr>
                  <w:tcW w:w="891" w:type="dxa"/>
                  <w:vAlign w:val="center"/>
                </w:tcPr>
                <w:p>
                  <w:pPr>
                    <w:pStyle w:val="107"/>
                    <w:spacing w:before="1"/>
                    <w:jc w:val="center"/>
                    <w:rPr>
                      <w:rFonts w:ascii="Times New Roman"/>
                      <w:color w:val="auto"/>
                      <w:sz w:val="21"/>
                      <w:highlight w:val="none"/>
                    </w:rPr>
                  </w:pPr>
                  <w:r>
                    <w:rPr>
                      <w:rFonts w:ascii="Times New Roman"/>
                      <w:color w:val="auto"/>
                      <w:sz w:val="21"/>
                      <w:highlight w:val="none"/>
                    </w:rPr>
                    <w:t>50m</w:t>
                  </w:r>
                </w:p>
              </w:tc>
              <w:tc>
                <w:tcPr>
                  <w:tcW w:w="1002" w:type="dxa"/>
                  <w:vAlign w:val="center"/>
                </w:tcPr>
                <w:p>
                  <w:pPr>
                    <w:pStyle w:val="107"/>
                    <w:jc w:val="center"/>
                    <w:rPr>
                      <w:rFonts w:ascii="Times New Roman"/>
                      <w:color w:val="auto"/>
                      <w:sz w:val="21"/>
                      <w:highlight w:val="none"/>
                    </w:rPr>
                  </w:pPr>
                  <w:r>
                    <w:rPr>
                      <w:rFonts w:ascii="Times New Roman"/>
                      <w:color w:val="auto"/>
                      <w:sz w:val="21"/>
                      <w:highlight w:val="none"/>
                    </w:rPr>
                    <w:t>100m</w:t>
                  </w:r>
                </w:p>
              </w:tc>
              <w:tc>
                <w:tcPr>
                  <w:tcW w:w="1219" w:type="dxa"/>
                  <w:tcBorders>
                    <w:right w:val="nil"/>
                  </w:tcBorders>
                  <w:vAlign w:val="center"/>
                </w:tcPr>
                <w:p>
                  <w:pPr>
                    <w:pStyle w:val="107"/>
                    <w:jc w:val="center"/>
                    <w:rPr>
                      <w:rFonts w:ascii="Times New Roman"/>
                      <w:color w:val="auto"/>
                      <w:sz w:val="21"/>
                      <w:highlight w:val="none"/>
                    </w:rPr>
                  </w:pPr>
                  <w:r>
                    <w:rPr>
                      <w:rFonts w:ascii="Times New Roman"/>
                      <w:color w:val="auto"/>
                      <w:sz w:val="21"/>
                      <w:highlight w:val="none"/>
                    </w:rPr>
                    <w:t>150m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1"/>
                    <w:jc w:val="center"/>
                    <w:rPr>
                      <w:color w:val="auto"/>
                      <w:sz w:val="21"/>
                      <w:highlight w:val="none"/>
                    </w:rPr>
                  </w:pPr>
                  <w:r>
                    <w:rPr>
                      <w:color w:val="auto"/>
                      <w:sz w:val="21"/>
                      <w:highlight w:val="none"/>
                    </w:rPr>
                    <w:t>振捣机</w:t>
                  </w:r>
                </w:p>
              </w:tc>
              <w:tc>
                <w:tcPr>
                  <w:tcW w:w="829" w:type="dxa"/>
                  <w:vAlign w:val="center"/>
                </w:tcPr>
                <w:p>
                  <w:pPr>
                    <w:pStyle w:val="107"/>
                    <w:spacing w:before="15"/>
                    <w:jc w:val="center"/>
                    <w:rPr>
                      <w:rFonts w:ascii="Times New Roman"/>
                      <w:color w:val="auto"/>
                      <w:sz w:val="21"/>
                      <w:highlight w:val="none"/>
                    </w:rPr>
                  </w:pPr>
                  <w:r>
                    <w:rPr>
                      <w:rFonts w:ascii="Times New Roman"/>
                      <w:color w:val="auto"/>
                      <w:sz w:val="21"/>
                      <w:highlight w:val="none"/>
                    </w:rPr>
                    <w:t>94</w:t>
                  </w:r>
                </w:p>
              </w:tc>
              <w:tc>
                <w:tcPr>
                  <w:tcW w:w="904" w:type="dxa"/>
                  <w:vAlign w:val="center"/>
                </w:tcPr>
                <w:p>
                  <w:pPr>
                    <w:pStyle w:val="107"/>
                    <w:spacing w:before="15"/>
                    <w:jc w:val="center"/>
                    <w:rPr>
                      <w:rFonts w:ascii="Times New Roman"/>
                      <w:color w:val="auto"/>
                      <w:sz w:val="21"/>
                      <w:highlight w:val="none"/>
                    </w:rPr>
                  </w:pPr>
                  <w:r>
                    <w:rPr>
                      <w:rFonts w:ascii="Times New Roman"/>
                      <w:color w:val="auto"/>
                      <w:sz w:val="21"/>
                      <w:highlight w:val="none"/>
                    </w:rPr>
                    <w:t>88</w:t>
                  </w:r>
                </w:p>
              </w:tc>
              <w:tc>
                <w:tcPr>
                  <w:tcW w:w="973" w:type="dxa"/>
                  <w:vAlign w:val="center"/>
                </w:tcPr>
                <w:p>
                  <w:pPr>
                    <w:pStyle w:val="107"/>
                    <w:spacing w:before="15"/>
                    <w:jc w:val="center"/>
                    <w:rPr>
                      <w:rFonts w:ascii="Times New Roman"/>
                      <w:color w:val="auto"/>
                      <w:sz w:val="21"/>
                      <w:highlight w:val="none"/>
                    </w:rPr>
                  </w:pPr>
                  <w:r>
                    <w:rPr>
                      <w:rFonts w:ascii="Times New Roman"/>
                      <w:color w:val="auto"/>
                      <w:sz w:val="21"/>
                      <w:highlight w:val="none"/>
                    </w:rPr>
                    <w:t>82</w:t>
                  </w:r>
                </w:p>
              </w:tc>
              <w:tc>
                <w:tcPr>
                  <w:tcW w:w="1033" w:type="dxa"/>
                  <w:vAlign w:val="center"/>
                </w:tcPr>
                <w:p>
                  <w:pPr>
                    <w:pStyle w:val="107"/>
                    <w:spacing w:before="15"/>
                    <w:jc w:val="center"/>
                    <w:rPr>
                      <w:rFonts w:ascii="Times New Roman"/>
                      <w:color w:val="auto"/>
                      <w:sz w:val="21"/>
                      <w:highlight w:val="none"/>
                    </w:rPr>
                  </w:pPr>
                  <w:r>
                    <w:rPr>
                      <w:rFonts w:ascii="Times New Roman"/>
                      <w:color w:val="auto"/>
                      <w:sz w:val="21"/>
                      <w:highlight w:val="none"/>
                    </w:rPr>
                    <w:t>76</w:t>
                  </w:r>
                </w:p>
              </w:tc>
              <w:tc>
                <w:tcPr>
                  <w:tcW w:w="891" w:type="dxa"/>
                  <w:vAlign w:val="center"/>
                </w:tcPr>
                <w:p>
                  <w:pPr>
                    <w:pStyle w:val="107"/>
                    <w:spacing w:before="15"/>
                    <w:jc w:val="center"/>
                    <w:rPr>
                      <w:rFonts w:ascii="Times New Roman"/>
                      <w:color w:val="auto"/>
                      <w:sz w:val="21"/>
                      <w:highlight w:val="none"/>
                    </w:rPr>
                  </w:pPr>
                  <w:r>
                    <w:rPr>
                      <w:rFonts w:ascii="Times New Roman"/>
                      <w:color w:val="auto"/>
                      <w:sz w:val="21"/>
                      <w:highlight w:val="none"/>
                    </w:rPr>
                    <w:t>74</w:t>
                  </w:r>
                </w:p>
              </w:tc>
              <w:tc>
                <w:tcPr>
                  <w:tcW w:w="1002" w:type="dxa"/>
                  <w:vAlign w:val="center"/>
                </w:tcPr>
                <w:p>
                  <w:pPr>
                    <w:pStyle w:val="107"/>
                    <w:spacing w:before="15"/>
                    <w:jc w:val="center"/>
                    <w:rPr>
                      <w:rFonts w:ascii="Times New Roman"/>
                      <w:color w:val="auto"/>
                      <w:sz w:val="21"/>
                      <w:highlight w:val="none"/>
                    </w:rPr>
                  </w:pPr>
                  <w:r>
                    <w:rPr>
                      <w:rFonts w:ascii="Times New Roman"/>
                      <w:color w:val="auto"/>
                      <w:sz w:val="21"/>
                      <w:highlight w:val="none"/>
                    </w:rPr>
                    <w:t>68</w:t>
                  </w:r>
                </w:p>
              </w:tc>
              <w:tc>
                <w:tcPr>
                  <w:tcW w:w="1219" w:type="dxa"/>
                  <w:tcBorders>
                    <w:right w:val="nil"/>
                  </w:tcBorders>
                  <w:vAlign w:val="center"/>
                </w:tcPr>
                <w:p>
                  <w:pPr>
                    <w:pStyle w:val="107"/>
                    <w:spacing w:before="15"/>
                    <w:jc w:val="center"/>
                    <w:rPr>
                      <w:rFonts w:ascii="Times New Roman"/>
                      <w:color w:val="auto"/>
                      <w:sz w:val="21"/>
                      <w:highlight w:val="none"/>
                    </w:rPr>
                  </w:pPr>
                  <w:r>
                    <w:rPr>
                      <w:rFonts w:ascii="Times New Roman"/>
                      <w:color w:val="auto"/>
                      <w:sz w:val="21"/>
                      <w:highlight w:val="none"/>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2"/>
                    <w:jc w:val="center"/>
                    <w:rPr>
                      <w:color w:val="auto"/>
                      <w:sz w:val="21"/>
                      <w:highlight w:val="none"/>
                    </w:rPr>
                  </w:pPr>
                  <w:r>
                    <w:rPr>
                      <w:color w:val="auto"/>
                      <w:sz w:val="21"/>
                      <w:highlight w:val="none"/>
                    </w:rPr>
                    <w:t>卡车</w:t>
                  </w:r>
                </w:p>
              </w:tc>
              <w:tc>
                <w:tcPr>
                  <w:tcW w:w="829" w:type="dxa"/>
                  <w:vAlign w:val="center"/>
                </w:tcPr>
                <w:p>
                  <w:pPr>
                    <w:pStyle w:val="107"/>
                    <w:spacing w:before="16"/>
                    <w:jc w:val="center"/>
                    <w:rPr>
                      <w:rFonts w:ascii="Times New Roman"/>
                      <w:color w:val="auto"/>
                      <w:sz w:val="21"/>
                      <w:highlight w:val="none"/>
                    </w:rPr>
                  </w:pPr>
                  <w:r>
                    <w:rPr>
                      <w:rFonts w:ascii="Times New Roman"/>
                      <w:color w:val="auto"/>
                      <w:sz w:val="21"/>
                      <w:highlight w:val="none"/>
                    </w:rPr>
                    <w:t>91</w:t>
                  </w:r>
                </w:p>
              </w:tc>
              <w:tc>
                <w:tcPr>
                  <w:tcW w:w="904" w:type="dxa"/>
                  <w:vAlign w:val="center"/>
                </w:tcPr>
                <w:p>
                  <w:pPr>
                    <w:pStyle w:val="107"/>
                    <w:spacing w:before="16"/>
                    <w:jc w:val="center"/>
                    <w:rPr>
                      <w:rFonts w:ascii="Times New Roman"/>
                      <w:color w:val="auto"/>
                      <w:sz w:val="21"/>
                      <w:highlight w:val="none"/>
                    </w:rPr>
                  </w:pPr>
                  <w:r>
                    <w:rPr>
                      <w:rFonts w:ascii="Times New Roman"/>
                      <w:color w:val="auto"/>
                      <w:sz w:val="21"/>
                      <w:highlight w:val="none"/>
                    </w:rPr>
                    <w:t>85</w:t>
                  </w:r>
                </w:p>
              </w:tc>
              <w:tc>
                <w:tcPr>
                  <w:tcW w:w="973" w:type="dxa"/>
                  <w:vAlign w:val="center"/>
                </w:tcPr>
                <w:p>
                  <w:pPr>
                    <w:pStyle w:val="107"/>
                    <w:spacing w:before="16"/>
                    <w:jc w:val="center"/>
                    <w:rPr>
                      <w:rFonts w:ascii="Times New Roman"/>
                      <w:color w:val="auto"/>
                      <w:sz w:val="21"/>
                      <w:highlight w:val="none"/>
                    </w:rPr>
                  </w:pPr>
                  <w:r>
                    <w:rPr>
                      <w:rFonts w:ascii="Times New Roman"/>
                      <w:color w:val="auto"/>
                      <w:sz w:val="21"/>
                      <w:highlight w:val="none"/>
                    </w:rPr>
                    <w:t>79</w:t>
                  </w:r>
                </w:p>
              </w:tc>
              <w:tc>
                <w:tcPr>
                  <w:tcW w:w="1033" w:type="dxa"/>
                  <w:vAlign w:val="center"/>
                </w:tcPr>
                <w:p>
                  <w:pPr>
                    <w:pStyle w:val="107"/>
                    <w:spacing w:before="16"/>
                    <w:jc w:val="center"/>
                    <w:rPr>
                      <w:rFonts w:ascii="Times New Roman"/>
                      <w:color w:val="auto"/>
                      <w:sz w:val="21"/>
                      <w:highlight w:val="none"/>
                    </w:rPr>
                  </w:pPr>
                  <w:r>
                    <w:rPr>
                      <w:rFonts w:ascii="Times New Roman"/>
                      <w:color w:val="auto"/>
                      <w:sz w:val="21"/>
                      <w:highlight w:val="none"/>
                    </w:rPr>
                    <w:t>73</w:t>
                  </w:r>
                </w:p>
              </w:tc>
              <w:tc>
                <w:tcPr>
                  <w:tcW w:w="891" w:type="dxa"/>
                  <w:vAlign w:val="center"/>
                </w:tcPr>
                <w:p>
                  <w:pPr>
                    <w:pStyle w:val="107"/>
                    <w:spacing w:before="16"/>
                    <w:jc w:val="center"/>
                    <w:rPr>
                      <w:rFonts w:ascii="Times New Roman"/>
                      <w:color w:val="auto"/>
                      <w:sz w:val="21"/>
                      <w:highlight w:val="none"/>
                    </w:rPr>
                  </w:pPr>
                  <w:r>
                    <w:rPr>
                      <w:rFonts w:ascii="Times New Roman"/>
                      <w:color w:val="auto"/>
                      <w:sz w:val="21"/>
                      <w:highlight w:val="none"/>
                    </w:rPr>
                    <w:t>71</w:t>
                  </w:r>
                </w:p>
              </w:tc>
              <w:tc>
                <w:tcPr>
                  <w:tcW w:w="1002" w:type="dxa"/>
                  <w:vAlign w:val="center"/>
                </w:tcPr>
                <w:p>
                  <w:pPr>
                    <w:pStyle w:val="107"/>
                    <w:spacing w:before="16"/>
                    <w:jc w:val="center"/>
                    <w:rPr>
                      <w:rFonts w:ascii="Times New Roman"/>
                      <w:color w:val="auto"/>
                      <w:sz w:val="21"/>
                      <w:highlight w:val="none"/>
                    </w:rPr>
                  </w:pPr>
                  <w:r>
                    <w:rPr>
                      <w:rFonts w:ascii="Times New Roman"/>
                      <w:color w:val="auto"/>
                      <w:sz w:val="21"/>
                      <w:highlight w:val="none"/>
                    </w:rPr>
                    <w:t>65</w:t>
                  </w:r>
                </w:p>
              </w:tc>
              <w:tc>
                <w:tcPr>
                  <w:tcW w:w="1219" w:type="dxa"/>
                  <w:tcBorders>
                    <w:right w:val="nil"/>
                  </w:tcBorders>
                  <w:vAlign w:val="center"/>
                </w:tcPr>
                <w:p>
                  <w:pPr>
                    <w:pStyle w:val="107"/>
                    <w:spacing w:before="16"/>
                    <w:jc w:val="center"/>
                    <w:rPr>
                      <w:rFonts w:ascii="Times New Roman"/>
                      <w:color w:val="auto"/>
                      <w:sz w:val="21"/>
                      <w:highlight w:val="none"/>
                    </w:rPr>
                  </w:pPr>
                  <w:r>
                    <w:rPr>
                      <w:rFonts w:ascii="Times New Roman"/>
                      <w:color w:val="auto"/>
                      <w:sz w:val="21"/>
                      <w:highlight w:val="none"/>
                    </w:rPr>
                    <w:t>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3"/>
                    <w:jc w:val="center"/>
                    <w:rPr>
                      <w:color w:val="auto"/>
                      <w:sz w:val="21"/>
                      <w:highlight w:val="none"/>
                    </w:rPr>
                  </w:pPr>
                  <w:r>
                    <w:rPr>
                      <w:color w:val="auto"/>
                      <w:sz w:val="21"/>
                      <w:highlight w:val="none"/>
                    </w:rPr>
                    <w:t>水泵</w:t>
                  </w:r>
                </w:p>
              </w:tc>
              <w:tc>
                <w:tcPr>
                  <w:tcW w:w="829" w:type="dxa"/>
                  <w:vAlign w:val="center"/>
                </w:tcPr>
                <w:p>
                  <w:pPr>
                    <w:pStyle w:val="107"/>
                    <w:spacing w:before="17"/>
                    <w:jc w:val="center"/>
                    <w:rPr>
                      <w:rFonts w:ascii="Times New Roman"/>
                      <w:color w:val="auto"/>
                      <w:sz w:val="21"/>
                      <w:highlight w:val="none"/>
                    </w:rPr>
                  </w:pPr>
                  <w:r>
                    <w:rPr>
                      <w:rFonts w:ascii="Times New Roman"/>
                      <w:color w:val="auto"/>
                      <w:sz w:val="21"/>
                      <w:highlight w:val="none"/>
                    </w:rPr>
                    <w:t>92</w:t>
                  </w:r>
                </w:p>
              </w:tc>
              <w:tc>
                <w:tcPr>
                  <w:tcW w:w="904" w:type="dxa"/>
                  <w:vAlign w:val="center"/>
                </w:tcPr>
                <w:p>
                  <w:pPr>
                    <w:pStyle w:val="107"/>
                    <w:spacing w:before="17"/>
                    <w:jc w:val="center"/>
                    <w:rPr>
                      <w:rFonts w:ascii="Times New Roman"/>
                      <w:color w:val="auto"/>
                      <w:sz w:val="21"/>
                      <w:highlight w:val="none"/>
                    </w:rPr>
                  </w:pPr>
                  <w:r>
                    <w:rPr>
                      <w:rFonts w:ascii="Times New Roman"/>
                      <w:color w:val="auto"/>
                      <w:sz w:val="21"/>
                      <w:highlight w:val="none"/>
                    </w:rPr>
                    <w:t>86</w:t>
                  </w:r>
                </w:p>
              </w:tc>
              <w:tc>
                <w:tcPr>
                  <w:tcW w:w="973" w:type="dxa"/>
                  <w:vAlign w:val="center"/>
                </w:tcPr>
                <w:p>
                  <w:pPr>
                    <w:pStyle w:val="107"/>
                    <w:spacing w:before="17"/>
                    <w:jc w:val="center"/>
                    <w:rPr>
                      <w:rFonts w:ascii="Times New Roman"/>
                      <w:color w:val="auto"/>
                      <w:sz w:val="21"/>
                      <w:highlight w:val="none"/>
                    </w:rPr>
                  </w:pPr>
                  <w:r>
                    <w:rPr>
                      <w:rFonts w:ascii="Times New Roman"/>
                      <w:color w:val="auto"/>
                      <w:sz w:val="21"/>
                      <w:highlight w:val="none"/>
                    </w:rPr>
                    <w:t>80</w:t>
                  </w:r>
                </w:p>
              </w:tc>
              <w:tc>
                <w:tcPr>
                  <w:tcW w:w="1033" w:type="dxa"/>
                  <w:vAlign w:val="center"/>
                </w:tcPr>
                <w:p>
                  <w:pPr>
                    <w:pStyle w:val="107"/>
                    <w:spacing w:before="17"/>
                    <w:jc w:val="center"/>
                    <w:rPr>
                      <w:rFonts w:ascii="Times New Roman"/>
                      <w:color w:val="auto"/>
                      <w:sz w:val="21"/>
                      <w:highlight w:val="none"/>
                    </w:rPr>
                  </w:pPr>
                  <w:r>
                    <w:rPr>
                      <w:rFonts w:ascii="Times New Roman"/>
                      <w:color w:val="auto"/>
                      <w:sz w:val="21"/>
                      <w:highlight w:val="none"/>
                    </w:rPr>
                    <w:t>74</w:t>
                  </w:r>
                </w:p>
              </w:tc>
              <w:tc>
                <w:tcPr>
                  <w:tcW w:w="891" w:type="dxa"/>
                  <w:vAlign w:val="center"/>
                </w:tcPr>
                <w:p>
                  <w:pPr>
                    <w:pStyle w:val="107"/>
                    <w:spacing w:before="17"/>
                    <w:jc w:val="center"/>
                    <w:rPr>
                      <w:rFonts w:ascii="Times New Roman"/>
                      <w:color w:val="auto"/>
                      <w:sz w:val="21"/>
                      <w:highlight w:val="none"/>
                    </w:rPr>
                  </w:pPr>
                  <w:r>
                    <w:rPr>
                      <w:rFonts w:ascii="Times New Roman"/>
                      <w:color w:val="auto"/>
                      <w:sz w:val="21"/>
                      <w:highlight w:val="none"/>
                    </w:rPr>
                    <w:t>72</w:t>
                  </w:r>
                </w:p>
              </w:tc>
              <w:tc>
                <w:tcPr>
                  <w:tcW w:w="1002" w:type="dxa"/>
                  <w:vAlign w:val="center"/>
                </w:tcPr>
                <w:p>
                  <w:pPr>
                    <w:pStyle w:val="107"/>
                    <w:spacing w:before="17"/>
                    <w:jc w:val="center"/>
                    <w:rPr>
                      <w:rFonts w:ascii="Times New Roman"/>
                      <w:color w:val="auto"/>
                      <w:sz w:val="21"/>
                      <w:highlight w:val="none"/>
                    </w:rPr>
                  </w:pPr>
                  <w:r>
                    <w:rPr>
                      <w:rFonts w:ascii="Times New Roman"/>
                      <w:color w:val="auto"/>
                      <w:sz w:val="21"/>
                      <w:highlight w:val="none"/>
                    </w:rPr>
                    <w:t>66</w:t>
                  </w:r>
                </w:p>
              </w:tc>
              <w:tc>
                <w:tcPr>
                  <w:tcW w:w="1219" w:type="dxa"/>
                  <w:tcBorders>
                    <w:right w:val="nil"/>
                  </w:tcBorders>
                  <w:vAlign w:val="center"/>
                </w:tcPr>
                <w:p>
                  <w:pPr>
                    <w:pStyle w:val="107"/>
                    <w:spacing w:before="17"/>
                    <w:jc w:val="center"/>
                    <w:rPr>
                      <w:rFonts w:ascii="Times New Roman"/>
                      <w:color w:val="auto"/>
                      <w:sz w:val="21"/>
                      <w:highlight w:val="none"/>
                    </w:rPr>
                  </w:pPr>
                  <w:r>
                    <w:rPr>
                      <w:rFonts w:ascii="Times New Roman"/>
                      <w:color w:val="auto"/>
                      <w:sz w:val="21"/>
                      <w:highlight w:val="none"/>
                    </w:rPr>
                    <w:t>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 w:hRule="atLeast"/>
              </w:trPr>
              <w:tc>
                <w:tcPr>
                  <w:tcW w:w="1769" w:type="dxa"/>
                  <w:tcBorders>
                    <w:left w:val="nil"/>
                  </w:tcBorders>
                  <w:vAlign w:val="center"/>
                </w:tcPr>
                <w:p>
                  <w:pPr>
                    <w:pStyle w:val="107"/>
                    <w:spacing w:before="1"/>
                    <w:jc w:val="center"/>
                    <w:rPr>
                      <w:color w:val="auto"/>
                      <w:sz w:val="21"/>
                      <w:highlight w:val="none"/>
                    </w:rPr>
                  </w:pPr>
                  <w:r>
                    <w:rPr>
                      <w:color w:val="auto"/>
                      <w:sz w:val="21"/>
                      <w:highlight w:val="none"/>
                    </w:rPr>
                    <w:t>推土机</w:t>
                  </w:r>
                </w:p>
              </w:tc>
              <w:tc>
                <w:tcPr>
                  <w:tcW w:w="829" w:type="dxa"/>
                  <w:vAlign w:val="center"/>
                </w:tcPr>
                <w:p>
                  <w:pPr>
                    <w:pStyle w:val="107"/>
                    <w:spacing w:before="15"/>
                    <w:jc w:val="center"/>
                    <w:rPr>
                      <w:rFonts w:ascii="Times New Roman"/>
                      <w:color w:val="auto"/>
                      <w:sz w:val="21"/>
                      <w:highlight w:val="none"/>
                    </w:rPr>
                  </w:pPr>
                  <w:r>
                    <w:rPr>
                      <w:rFonts w:ascii="Times New Roman"/>
                      <w:color w:val="auto"/>
                      <w:sz w:val="21"/>
                      <w:highlight w:val="none"/>
                    </w:rPr>
                    <w:t>86</w:t>
                  </w:r>
                </w:p>
              </w:tc>
              <w:tc>
                <w:tcPr>
                  <w:tcW w:w="904" w:type="dxa"/>
                  <w:vAlign w:val="center"/>
                </w:tcPr>
                <w:p>
                  <w:pPr>
                    <w:pStyle w:val="107"/>
                    <w:spacing w:before="15"/>
                    <w:jc w:val="center"/>
                    <w:rPr>
                      <w:rFonts w:ascii="Times New Roman"/>
                      <w:color w:val="auto"/>
                      <w:sz w:val="21"/>
                      <w:highlight w:val="none"/>
                    </w:rPr>
                  </w:pPr>
                  <w:r>
                    <w:rPr>
                      <w:rFonts w:ascii="Times New Roman"/>
                      <w:color w:val="auto"/>
                      <w:sz w:val="21"/>
                      <w:highlight w:val="none"/>
                    </w:rPr>
                    <w:t>80</w:t>
                  </w:r>
                </w:p>
              </w:tc>
              <w:tc>
                <w:tcPr>
                  <w:tcW w:w="973" w:type="dxa"/>
                  <w:vAlign w:val="center"/>
                </w:tcPr>
                <w:p>
                  <w:pPr>
                    <w:pStyle w:val="107"/>
                    <w:spacing w:before="15"/>
                    <w:jc w:val="center"/>
                    <w:rPr>
                      <w:rFonts w:ascii="Times New Roman"/>
                      <w:color w:val="auto"/>
                      <w:sz w:val="21"/>
                      <w:highlight w:val="none"/>
                    </w:rPr>
                  </w:pPr>
                  <w:r>
                    <w:rPr>
                      <w:rFonts w:ascii="Times New Roman"/>
                      <w:color w:val="auto"/>
                      <w:sz w:val="21"/>
                      <w:highlight w:val="none"/>
                    </w:rPr>
                    <w:t>74</w:t>
                  </w:r>
                </w:p>
              </w:tc>
              <w:tc>
                <w:tcPr>
                  <w:tcW w:w="1033" w:type="dxa"/>
                  <w:vAlign w:val="center"/>
                </w:tcPr>
                <w:p>
                  <w:pPr>
                    <w:pStyle w:val="107"/>
                    <w:spacing w:before="15"/>
                    <w:jc w:val="center"/>
                    <w:rPr>
                      <w:rFonts w:ascii="Times New Roman"/>
                      <w:color w:val="auto"/>
                      <w:sz w:val="21"/>
                      <w:highlight w:val="none"/>
                    </w:rPr>
                  </w:pPr>
                  <w:r>
                    <w:rPr>
                      <w:rFonts w:ascii="Times New Roman"/>
                      <w:color w:val="auto"/>
                      <w:sz w:val="21"/>
                      <w:highlight w:val="none"/>
                    </w:rPr>
                    <w:t>68</w:t>
                  </w:r>
                </w:p>
              </w:tc>
              <w:tc>
                <w:tcPr>
                  <w:tcW w:w="891" w:type="dxa"/>
                  <w:vAlign w:val="center"/>
                </w:tcPr>
                <w:p>
                  <w:pPr>
                    <w:pStyle w:val="107"/>
                    <w:spacing w:before="15"/>
                    <w:jc w:val="center"/>
                    <w:rPr>
                      <w:rFonts w:ascii="Times New Roman"/>
                      <w:color w:val="auto"/>
                      <w:sz w:val="21"/>
                      <w:highlight w:val="none"/>
                    </w:rPr>
                  </w:pPr>
                  <w:r>
                    <w:rPr>
                      <w:rFonts w:ascii="Times New Roman"/>
                      <w:color w:val="auto"/>
                      <w:sz w:val="21"/>
                      <w:highlight w:val="none"/>
                    </w:rPr>
                    <w:t>66</w:t>
                  </w:r>
                </w:p>
              </w:tc>
              <w:tc>
                <w:tcPr>
                  <w:tcW w:w="1002" w:type="dxa"/>
                  <w:vAlign w:val="center"/>
                </w:tcPr>
                <w:p>
                  <w:pPr>
                    <w:pStyle w:val="107"/>
                    <w:spacing w:before="15"/>
                    <w:jc w:val="center"/>
                    <w:rPr>
                      <w:rFonts w:ascii="Times New Roman"/>
                      <w:color w:val="auto"/>
                      <w:sz w:val="21"/>
                      <w:highlight w:val="none"/>
                    </w:rPr>
                  </w:pPr>
                  <w:r>
                    <w:rPr>
                      <w:rFonts w:ascii="Times New Roman"/>
                      <w:color w:val="auto"/>
                      <w:sz w:val="21"/>
                      <w:highlight w:val="none"/>
                    </w:rPr>
                    <w:t>60</w:t>
                  </w:r>
                </w:p>
              </w:tc>
              <w:tc>
                <w:tcPr>
                  <w:tcW w:w="1219" w:type="dxa"/>
                  <w:tcBorders>
                    <w:right w:val="nil"/>
                  </w:tcBorders>
                  <w:vAlign w:val="center"/>
                </w:tcPr>
                <w:p>
                  <w:pPr>
                    <w:pStyle w:val="107"/>
                    <w:spacing w:before="15"/>
                    <w:jc w:val="center"/>
                    <w:rPr>
                      <w:rFonts w:ascii="Times New Roman"/>
                      <w:color w:val="auto"/>
                      <w:sz w:val="21"/>
                      <w:highlight w:val="none"/>
                    </w:rPr>
                  </w:pPr>
                  <w:r>
                    <w:rPr>
                      <w:rFonts w:ascii="Times New Roman"/>
                      <w:color w:val="auto"/>
                      <w:sz w:val="21"/>
                      <w:highlight w:val="none"/>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769" w:type="dxa"/>
                  <w:tcBorders>
                    <w:left w:val="nil"/>
                  </w:tcBorders>
                  <w:vAlign w:val="center"/>
                </w:tcPr>
                <w:p>
                  <w:pPr>
                    <w:pStyle w:val="107"/>
                    <w:spacing w:before="2"/>
                    <w:jc w:val="center"/>
                    <w:rPr>
                      <w:color w:val="auto"/>
                      <w:sz w:val="21"/>
                      <w:highlight w:val="none"/>
                    </w:rPr>
                  </w:pPr>
                  <w:r>
                    <w:rPr>
                      <w:color w:val="auto"/>
                      <w:sz w:val="21"/>
                      <w:highlight w:val="none"/>
                    </w:rPr>
                    <w:t>叠加值</w:t>
                  </w:r>
                </w:p>
              </w:tc>
              <w:tc>
                <w:tcPr>
                  <w:tcW w:w="829" w:type="dxa"/>
                  <w:vAlign w:val="center"/>
                </w:tcPr>
                <w:p>
                  <w:pPr>
                    <w:pStyle w:val="107"/>
                    <w:spacing w:before="16"/>
                    <w:jc w:val="center"/>
                    <w:rPr>
                      <w:rFonts w:ascii="Times New Roman"/>
                      <w:color w:val="auto"/>
                      <w:sz w:val="21"/>
                      <w:highlight w:val="none"/>
                    </w:rPr>
                  </w:pPr>
                  <w:r>
                    <w:rPr>
                      <w:rFonts w:ascii="Times New Roman"/>
                      <w:color w:val="auto"/>
                      <w:sz w:val="21"/>
                      <w:highlight w:val="none"/>
                    </w:rPr>
                    <w:t>97.6</w:t>
                  </w:r>
                </w:p>
              </w:tc>
              <w:tc>
                <w:tcPr>
                  <w:tcW w:w="904" w:type="dxa"/>
                  <w:vAlign w:val="center"/>
                </w:tcPr>
                <w:p>
                  <w:pPr>
                    <w:pStyle w:val="107"/>
                    <w:spacing w:before="16"/>
                    <w:jc w:val="center"/>
                    <w:rPr>
                      <w:rFonts w:ascii="Times New Roman"/>
                      <w:color w:val="auto"/>
                      <w:sz w:val="21"/>
                      <w:highlight w:val="none"/>
                    </w:rPr>
                  </w:pPr>
                  <w:r>
                    <w:rPr>
                      <w:rFonts w:ascii="Times New Roman"/>
                      <w:color w:val="auto"/>
                      <w:sz w:val="21"/>
                      <w:highlight w:val="none"/>
                    </w:rPr>
                    <w:t>91.6</w:t>
                  </w:r>
                </w:p>
              </w:tc>
              <w:tc>
                <w:tcPr>
                  <w:tcW w:w="973" w:type="dxa"/>
                  <w:vAlign w:val="center"/>
                </w:tcPr>
                <w:p>
                  <w:pPr>
                    <w:pStyle w:val="107"/>
                    <w:spacing w:before="16"/>
                    <w:jc w:val="center"/>
                    <w:rPr>
                      <w:rFonts w:ascii="Times New Roman"/>
                      <w:color w:val="auto"/>
                      <w:sz w:val="21"/>
                      <w:highlight w:val="none"/>
                    </w:rPr>
                  </w:pPr>
                  <w:r>
                    <w:rPr>
                      <w:rFonts w:ascii="Times New Roman"/>
                      <w:color w:val="auto"/>
                      <w:sz w:val="21"/>
                      <w:highlight w:val="none"/>
                    </w:rPr>
                    <w:t>85.6</w:t>
                  </w:r>
                </w:p>
              </w:tc>
              <w:tc>
                <w:tcPr>
                  <w:tcW w:w="1033" w:type="dxa"/>
                  <w:vAlign w:val="center"/>
                </w:tcPr>
                <w:p>
                  <w:pPr>
                    <w:pStyle w:val="107"/>
                    <w:spacing w:before="16"/>
                    <w:jc w:val="center"/>
                    <w:rPr>
                      <w:rFonts w:ascii="Times New Roman"/>
                      <w:color w:val="auto"/>
                      <w:sz w:val="21"/>
                      <w:highlight w:val="none"/>
                    </w:rPr>
                  </w:pPr>
                  <w:r>
                    <w:rPr>
                      <w:rFonts w:ascii="Times New Roman"/>
                      <w:color w:val="auto"/>
                      <w:sz w:val="21"/>
                      <w:highlight w:val="none"/>
                    </w:rPr>
                    <w:t>79.6</w:t>
                  </w:r>
                </w:p>
              </w:tc>
              <w:tc>
                <w:tcPr>
                  <w:tcW w:w="891" w:type="dxa"/>
                  <w:vAlign w:val="center"/>
                </w:tcPr>
                <w:p>
                  <w:pPr>
                    <w:pStyle w:val="107"/>
                    <w:spacing w:before="16"/>
                    <w:jc w:val="center"/>
                    <w:rPr>
                      <w:rFonts w:ascii="Times New Roman"/>
                      <w:color w:val="auto"/>
                      <w:sz w:val="21"/>
                      <w:highlight w:val="none"/>
                    </w:rPr>
                  </w:pPr>
                  <w:r>
                    <w:rPr>
                      <w:rFonts w:ascii="Times New Roman"/>
                      <w:color w:val="auto"/>
                      <w:sz w:val="21"/>
                      <w:highlight w:val="none"/>
                    </w:rPr>
                    <w:t>77.6</w:t>
                  </w:r>
                </w:p>
              </w:tc>
              <w:tc>
                <w:tcPr>
                  <w:tcW w:w="1002" w:type="dxa"/>
                  <w:vAlign w:val="center"/>
                </w:tcPr>
                <w:p>
                  <w:pPr>
                    <w:pStyle w:val="107"/>
                    <w:spacing w:before="16"/>
                    <w:jc w:val="center"/>
                    <w:rPr>
                      <w:rFonts w:ascii="Times New Roman"/>
                      <w:color w:val="auto"/>
                      <w:sz w:val="21"/>
                      <w:highlight w:val="none"/>
                    </w:rPr>
                  </w:pPr>
                  <w:r>
                    <w:rPr>
                      <w:rFonts w:ascii="Times New Roman"/>
                      <w:color w:val="auto"/>
                      <w:sz w:val="21"/>
                      <w:highlight w:val="none"/>
                    </w:rPr>
                    <w:t>71.6</w:t>
                  </w:r>
                </w:p>
              </w:tc>
              <w:tc>
                <w:tcPr>
                  <w:tcW w:w="1219" w:type="dxa"/>
                  <w:tcBorders>
                    <w:right w:val="nil"/>
                  </w:tcBorders>
                  <w:vAlign w:val="center"/>
                </w:tcPr>
                <w:p>
                  <w:pPr>
                    <w:pStyle w:val="107"/>
                    <w:spacing w:before="16"/>
                    <w:jc w:val="center"/>
                    <w:rPr>
                      <w:rFonts w:ascii="Times New Roman"/>
                      <w:color w:val="auto"/>
                      <w:sz w:val="21"/>
                      <w:highlight w:val="none"/>
                    </w:rPr>
                  </w:pPr>
                  <w:r>
                    <w:rPr>
                      <w:rFonts w:ascii="Times New Roman"/>
                      <w:color w:val="auto"/>
                      <w:sz w:val="21"/>
                      <w:highlight w:val="none"/>
                    </w:rPr>
                    <w:t>67.6</w:t>
                  </w:r>
                </w:p>
              </w:tc>
            </w:tr>
          </w:tbl>
          <w:p>
            <w:pPr>
              <w:tabs>
                <w:tab w:val="left" w:pos="2643"/>
                <w:tab w:val="left" w:pos="6044"/>
              </w:tabs>
              <w:spacing w:before="188"/>
              <w:ind w:left="1852"/>
              <w:jc w:val="left"/>
              <w:rPr>
                <w:b/>
                <w:color w:val="auto"/>
                <w:spacing w:val="2"/>
                <w:sz w:val="21"/>
                <w:highlight w:val="none"/>
              </w:rPr>
            </w:pPr>
            <w:r>
              <w:rPr>
                <w:b/>
                <w:color w:val="auto"/>
                <w:sz w:val="21"/>
                <w:highlight w:val="none"/>
              </w:rPr>
              <w:t>表</w:t>
            </w:r>
            <w:r>
              <w:rPr>
                <w:rFonts w:hint="eastAsia"/>
                <w:b/>
                <w:color w:val="auto"/>
                <w:sz w:val="21"/>
                <w:highlight w:val="none"/>
                <w:lang w:val="en-US" w:eastAsia="zh-CN"/>
              </w:rPr>
              <w:t>27</w:t>
            </w:r>
            <w:r>
              <w:rPr>
                <w:rFonts w:hint="eastAsia"/>
                <w:b/>
                <w:color w:val="auto"/>
                <w:spacing w:val="-42"/>
                <w:sz w:val="21"/>
                <w:highlight w:val="none"/>
                <w:lang w:val="en-US" w:eastAsia="zh-CN"/>
              </w:rPr>
              <w:t xml:space="preserve">  </w:t>
            </w:r>
            <w:r>
              <w:rPr>
                <w:b/>
                <w:color w:val="auto"/>
                <w:spacing w:val="7"/>
                <w:sz w:val="21"/>
                <w:highlight w:val="none"/>
              </w:rPr>
              <w:t>建筑</w:t>
            </w:r>
            <w:r>
              <w:rPr>
                <w:b/>
                <w:color w:val="auto"/>
                <w:spacing w:val="10"/>
                <w:sz w:val="21"/>
                <w:highlight w:val="none"/>
              </w:rPr>
              <w:t>施</w:t>
            </w:r>
            <w:r>
              <w:rPr>
                <w:b/>
                <w:color w:val="auto"/>
                <w:spacing w:val="7"/>
                <w:sz w:val="21"/>
                <w:highlight w:val="none"/>
              </w:rPr>
              <w:t>工场界环境</w:t>
            </w:r>
            <w:r>
              <w:rPr>
                <w:b/>
                <w:color w:val="auto"/>
                <w:spacing w:val="10"/>
                <w:sz w:val="21"/>
                <w:highlight w:val="none"/>
              </w:rPr>
              <w:t>噪</w:t>
            </w:r>
            <w:r>
              <w:rPr>
                <w:b/>
                <w:color w:val="auto"/>
                <w:spacing w:val="7"/>
                <w:sz w:val="21"/>
                <w:highlight w:val="none"/>
              </w:rPr>
              <w:t>声排放限</w:t>
            </w:r>
            <w:r>
              <w:rPr>
                <w:b/>
                <w:color w:val="auto"/>
                <w:sz w:val="21"/>
                <w:highlight w:val="none"/>
              </w:rPr>
              <w:t>值</w:t>
            </w:r>
            <w:r>
              <w:rPr>
                <w:b/>
                <w:color w:val="auto"/>
                <w:sz w:val="21"/>
                <w:highlight w:val="none"/>
              </w:rPr>
              <w:tab/>
            </w:r>
            <w:r>
              <w:rPr>
                <w:b/>
                <w:color w:val="auto"/>
                <w:spacing w:val="7"/>
                <w:sz w:val="21"/>
                <w:highlight w:val="none"/>
              </w:rPr>
              <w:t>等效</w:t>
            </w:r>
            <w:r>
              <w:rPr>
                <w:b/>
                <w:color w:val="auto"/>
                <w:spacing w:val="10"/>
                <w:sz w:val="21"/>
                <w:highlight w:val="none"/>
              </w:rPr>
              <w:t>声</w:t>
            </w:r>
            <w:r>
              <w:rPr>
                <w:b/>
                <w:color w:val="auto"/>
                <w:sz w:val="21"/>
                <w:highlight w:val="none"/>
              </w:rPr>
              <w:t>级</w:t>
            </w:r>
            <w:r>
              <w:rPr>
                <w:b/>
                <w:color w:val="auto"/>
                <w:spacing w:val="-42"/>
                <w:sz w:val="21"/>
                <w:highlight w:val="none"/>
              </w:rPr>
              <w:t xml:space="preserve"> </w:t>
            </w:r>
            <w:r>
              <w:rPr>
                <w:rFonts w:eastAsia="Times New Roman"/>
                <w:b/>
                <w:color w:val="auto"/>
                <w:spacing w:val="2"/>
                <w:sz w:val="21"/>
                <w:highlight w:val="none"/>
              </w:rPr>
              <w:t>Leq</w:t>
            </w:r>
            <w:r>
              <w:rPr>
                <w:b/>
                <w:color w:val="auto"/>
                <w:spacing w:val="2"/>
                <w:sz w:val="21"/>
                <w:highlight w:val="none"/>
              </w:rPr>
              <w:t>：</w:t>
            </w:r>
            <w:r>
              <w:rPr>
                <w:rFonts w:eastAsia="Times New Roman"/>
                <w:b/>
                <w:color w:val="auto"/>
                <w:spacing w:val="2"/>
                <w:sz w:val="21"/>
                <w:highlight w:val="none"/>
              </w:rPr>
              <w:t>dB</w:t>
            </w:r>
            <w:r>
              <w:rPr>
                <w:b/>
                <w:color w:val="auto"/>
                <w:spacing w:val="2"/>
                <w:sz w:val="21"/>
                <w:highlight w:val="none"/>
              </w:rPr>
              <w:t>（</w:t>
            </w:r>
            <w:r>
              <w:rPr>
                <w:rFonts w:eastAsia="Times New Roman"/>
                <w:b/>
                <w:color w:val="auto"/>
                <w:spacing w:val="2"/>
                <w:sz w:val="21"/>
                <w:highlight w:val="none"/>
              </w:rPr>
              <w:t>A</w:t>
            </w:r>
            <w:r>
              <w:rPr>
                <w:b/>
                <w:color w:val="auto"/>
                <w:spacing w:val="2"/>
                <w:sz w:val="21"/>
                <w:highlight w:val="none"/>
              </w:rPr>
              <w:t>）</w:t>
            </w:r>
          </w:p>
          <w:tbl>
            <w:tblPr>
              <w:tblStyle w:val="30"/>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0"/>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昼间</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70</w:t>
                  </w:r>
                </w:p>
              </w:tc>
              <w:tc>
                <w:tcPr>
                  <w:tcW w:w="4310" w:type="dxa"/>
                  <w:vAlign w:val="center"/>
                </w:tcPr>
                <w:p>
                  <w:pPr>
                    <w:tabs>
                      <w:tab w:val="left" w:pos="2643"/>
                      <w:tab w:val="left" w:pos="6044"/>
                    </w:tabs>
                    <w:jc w:val="center"/>
                    <w:rPr>
                      <w:bCs/>
                      <w:color w:val="auto"/>
                      <w:spacing w:val="2"/>
                      <w:sz w:val="21"/>
                      <w:highlight w:val="none"/>
                    </w:rPr>
                  </w:pPr>
                  <w:r>
                    <w:rPr>
                      <w:bCs/>
                      <w:color w:val="auto"/>
                      <w:spacing w:val="2"/>
                      <w:sz w:val="21"/>
                      <w:highlight w:val="none"/>
                    </w:rPr>
                    <w:t>55</w:t>
                  </w:r>
                </w:p>
              </w:tc>
            </w:tr>
          </w:tbl>
          <w:p>
            <w:pPr>
              <w:spacing w:line="460" w:lineRule="exact"/>
              <w:ind w:firstLine="484" w:firstLineChars="202"/>
              <w:rPr>
                <w:rFonts w:cs="宋体"/>
                <w:color w:val="auto"/>
                <w:sz w:val="24"/>
                <w:szCs w:val="24"/>
                <w:highlight w:val="none"/>
              </w:rPr>
            </w:pPr>
            <w:r>
              <w:rPr>
                <w:rFonts w:hint="eastAsia" w:cs="宋体"/>
                <w:color w:val="auto"/>
                <w:sz w:val="24"/>
                <w:szCs w:val="24"/>
                <w:highlight w:val="none"/>
                <w:shd w:val="clear" w:color="auto" w:fill="auto"/>
              </w:rPr>
              <w:t>从表2</w:t>
            </w:r>
            <w:r>
              <w:rPr>
                <w:rFonts w:hint="eastAsia" w:cs="宋体"/>
                <w:color w:val="auto"/>
                <w:sz w:val="24"/>
                <w:szCs w:val="24"/>
                <w:highlight w:val="none"/>
                <w:shd w:val="clear" w:color="auto" w:fill="auto"/>
                <w:lang w:val="en-US" w:eastAsia="zh-CN"/>
              </w:rPr>
              <w:t>6</w:t>
            </w:r>
            <w:r>
              <w:rPr>
                <w:rFonts w:hint="eastAsia" w:cs="宋体"/>
                <w:color w:val="auto"/>
                <w:sz w:val="24"/>
                <w:szCs w:val="24"/>
                <w:highlight w:val="none"/>
                <w:shd w:val="clear" w:color="auto" w:fill="auto"/>
              </w:rPr>
              <w:t>可看出，</w:t>
            </w:r>
            <w:r>
              <w:rPr>
                <w:rFonts w:hint="eastAsia" w:cs="宋体"/>
                <w:color w:val="auto"/>
                <w:sz w:val="24"/>
                <w:szCs w:val="24"/>
                <w:highlight w:val="none"/>
              </w:rPr>
              <w:t>在未采取降噪措施的前提下，一般施工设备噪声在150m处可降至70dB（A）左右。</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从调查可知，拟建地 150m 范围主要有</w:t>
            </w:r>
            <w:r>
              <w:rPr>
                <w:rFonts w:hint="eastAsia" w:cs="宋体"/>
                <w:color w:val="auto"/>
                <w:sz w:val="24"/>
                <w:szCs w:val="24"/>
                <w:highlight w:val="none"/>
                <w:shd w:val="clear" w:color="auto" w:fill="auto"/>
                <w:lang w:val="en-US" w:eastAsia="zh-CN"/>
              </w:rPr>
              <w:t>西侧湘滨镇居民</w:t>
            </w:r>
            <w:r>
              <w:rPr>
                <w:rFonts w:hint="eastAsia" w:cs="宋体"/>
                <w:color w:val="auto"/>
                <w:sz w:val="24"/>
                <w:szCs w:val="24"/>
                <w:highlight w:val="none"/>
                <w:shd w:val="clear" w:color="auto" w:fill="auto"/>
              </w:rPr>
              <w:t>，为降低噪声对周围环境的影响，本环评对施工噪声控制提出以下要求：</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① 建设单位应要求施工单位所使用的主要施工机械应为低噪声机械设备，并按时对所有施工机械进行检修，严格按操作规程使用各类机械；</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 xml:space="preserve">② </w:t>
            </w:r>
            <w:r>
              <w:rPr>
                <w:rFonts w:hint="eastAsia" w:cs="宋体"/>
                <w:color w:val="auto"/>
                <w:sz w:val="24"/>
                <w:szCs w:val="24"/>
                <w:highlight w:val="none"/>
                <w:u w:val="none"/>
                <w:lang w:eastAsia="zh-CN"/>
              </w:rPr>
              <w:t>合理布局，</w:t>
            </w:r>
            <w:r>
              <w:rPr>
                <w:rFonts w:hint="eastAsia" w:cs="宋体"/>
                <w:color w:val="auto"/>
                <w:sz w:val="24"/>
                <w:szCs w:val="24"/>
                <w:highlight w:val="none"/>
                <w:u w:val="none"/>
              </w:rPr>
              <w:t>建立施工围</w:t>
            </w:r>
            <w:r>
              <w:rPr>
                <w:rFonts w:hint="eastAsia" w:cs="宋体"/>
                <w:color w:val="auto"/>
                <w:sz w:val="24"/>
                <w:szCs w:val="24"/>
                <w:highlight w:val="none"/>
                <w:u w:val="none"/>
                <w:lang w:eastAsia="zh-CN"/>
              </w:rPr>
              <w:t>挡</w:t>
            </w:r>
            <w:r>
              <w:rPr>
                <w:rFonts w:hint="eastAsia" w:cs="宋体"/>
                <w:color w:val="auto"/>
                <w:sz w:val="24"/>
                <w:szCs w:val="24"/>
                <w:highlight w:val="none"/>
                <w:u w:val="none"/>
              </w:rPr>
              <w:t>，并尽可能利用</w:t>
            </w:r>
            <w:r>
              <w:rPr>
                <w:rFonts w:hint="eastAsia" w:cs="宋体"/>
                <w:color w:val="auto"/>
                <w:sz w:val="24"/>
                <w:szCs w:val="24"/>
                <w:highlight w:val="none"/>
                <w:u w:val="none"/>
                <w:lang w:eastAsia="zh-CN"/>
              </w:rPr>
              <w:t>隔声屏障</w:t>
            </w:r>
            <w:r>
              <w:rPr>
                <w:rFonts w:hint="eastAsia" w:cs="宋体"/>
                <w:color w:val="auto"/>
                <w:sz w:val="24"/>
                <w:szCs w:val="24"/>
                <w:highlight w:val="none"/>
                <w:u w:val="none"/>
              </w:rPr>
              <w:t>，做到最大限度减少施工噪声对周围环境的影响；</w:t>
            </w:r>
          </w:p>
          <w:p>
            <w:pPr>
              <w:spacing w:line="460" w:lineRule="exact"/>
              <w:ind w:firstLine="484" w:firstLineChars="202"/>
              <w:rPr>
                <w:rFonts w:cs="宋体"/>
                <w:color w:val="auto"/>
                <w:sz w:val="24"/>
                <w:szCs w:val="24"/>
                <w:highlight w:val="none"/>
                <w:u w:val="none"/>
              </w:rPr>
            </w:pPr>
            <w:r>
              <w:rPr>
                <w:rFonts w:hint="eastAsia" w:cs="宋体"/>
                <w:color w:val="auto"/>
                <w:sz w:val="24"/>
                <w:szCs w:val="24"/>
                <w:highlight w:val="none"/>
                <w:u w:val="none"/>
              </w:rPr>
              <w:t>③ 在施工过程中只要严格控制高噪声设备的施工时段，避免高噪声设备同时施工， 合理安排施工时间，禁止高噪声设备午休时间和夜间作业。对主体工程需要连续施工时， 建设单位应在施工前征得环保部门同意批准后，张贴告示，告知周围群众。</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经采取上述有效的减振降噪措施，项目施工期噪声可达《建筑施工场界环境噪声排放标准》(GB15253—2011)，对周围环境及敏感点的影响较小。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1.4 固体废物影响分析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固体废弃物来源于建筑施工产生的建筑垃圾，主要为废砖、各种木质、钢制废板材，施工期产生的可回收废料，如钢筋头、废木板等应尽量由施工单位回收利用，其余运往指定地点消纳。项目用地为农田，地势较平坦，土地平整实行挖高填低方式，弃</w:t>
            </w:r>
            <w:bookmarkStart w:id="6" w:name="7.1.2截污主干管工程对环境的影响分析"/>
            <w:bookmarkEnd w:id="6"/>
            <w:r>
              <w:rPr>
                <w:rFonts w:hint="eastAsia" w:cs="宋体"/>
                <w:color w:val="auto"/>
                <w:sz w:val="24"/>
                <w:szCs w:val="24"/>
                <w:highlight w:val="none"/>
              </w:rPr>
              <w:t>土量约为 240.67m</w:t>
            </w:r>
            <w:r>
              <w:rPr>
                <w:rFonts w:hint="eastAsia" w:cs="宋体"/>
                <w:color w:val="auto"/>
                <w:sz w:val="24"/>
                <w:szCs w:val="24"/>
                <w:highlight w:val="none"/>
                <w:vertAlign w:val="superscript"/>
              </w:rPr>
              <w:t>3</w:t>
            </w:r>
            <w:r>
              <w:rPr>
                <w:rFonts w:hint="eastAsia" w:cs="宋体"/>
                <w:color w:val="auto"/>
                <w:sz w:val="24"/>
                <w:szCs w:val="24"/>
                <w:highlight w:val="none"/>
              </w:rPr>
              <w:t>，由</w:t>
            </w:r>
            <w:r>
              <w:rPr>
                <w:rFonts w:hint="eastAsia" w:cs="宋体"/>
                <w:color w:val="auto"/>
                <w:sz w:val="24"/>
                <w:szCs w:val="24"/>
                <w:highlight w:val="none"/>
                <w:lang w:eastAsia="zh-CN"/>
              </w:rPr>
              <w:t>渌口区</w:t>
            </w:r>
            <w:r>
              <w:rPr>
                <w:rFonts w:hint="eastAsia" w:cs="宋体"/>
                <w:color w:val="auto"/>
                <w:sz w:val="24"/>
                <w:szCs w:val="24"/>
                <w:highlight w:val="none"/>
              </w:rPr>
              <w:t>渣土管理部门运往指定位置处理。施工人员产生的生活垃圾由环卫部门清运集中处理。只要严格落实上述处理措施，施工中产生的固体废物不会对环境产生不良影响。</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2、污水管道工程对环境的影响分析</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2.1 施工期噪声</w:t>
            </w:r>
          </w:p>
          <w:p>
            <w:pPr>
              <w:spacing w:line="460" w:lineRule="exact"/>
              <w:ind w:firstLine="484" w:firstLineChars="202"/>
              <w:rPr>
                <w:rFonts w:cs="宋体"/>
                <w:color w:val="auto"/>
                <w:sz w:val="24"/>
                <w:szCs w:val="24"/>
                <w:highlight w:val="none"/>
                <w:u w:val="single"/>
              </w:rPr>
            </w:pPr>
            <w:r>
              <w:rPr>
                <w:rFonts w:hint="eastAsia" w:cs="宋体"/>
                <w:color w:val="auto"/>
                <w:sz w:val="24"/>
                <w:szCs w:val="24"/>
                <w:highlight w:val="none"/>
                <w:u w:val="single"/>
              </w:rPr>
              <w:t>本项目施工期的噪声主要来自机械设备运作产生的噪声及运输、场地处理等工作的作业噪声。本项目污水管网工程管道沿线有部分居民区，虽然该施工机械一般位于露天， 噪声源为移动性噪声污染源，影响期短暂，随施工结束而消除。但仍需采取相应的减缓措施，为最大限度减轻施工噪声对周围环境的影响，建设单位应该严格执行本环评对上述污水处理厂工程施工噪声控制提出的要求且施工设备尽量选用低噪声设备和布置在远离居民等环境敏感点。经采取有效的减振降噪措施，项目施工期噪声可达《建筑施工场界环境噪声排放标准》(GB15253—2011)，对周围环境及敏感点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2.2 施工期扬尘</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施工期产生扬尘的作业有开挖、材料运输、卸装等过程，如遇干旱无雨季节，扬尘加重，为防止降入</w:t>
            </w:r>
            <w:r>
              <w:rPr>
                <w:rFonts w:hint="eastAsia" w:cs="宋体"/>
                <w:color w:val="auto"/>
                <w:sz w:val="24"/>
                <w:szCs w:val="24"/>
                <w:highlight w:val="none"/>
                <w:lang w:val="en-US" w:eastAsia="zh-CN"/>
              </w:rPr>
              <w:t>王家河</w:t>
            </w:r>
            <w:r>
              <w:rPr>
                <w:rFonts w:hint="eastAsia" w:cs="宋体"/>
                <w:color w:val="auto"/>
                <w:sz w:val="24"/>
                <w:szCs w:val="24"/>
                <w:highlight w:val="none"/>
              </w:rPr>
              <w:t>，对区域水体的影响，建设单位应该严格执行本环评对上述污水处理厂工程施工扬尘控制的要求。</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在采取本环评提出的措施后可有效控制施工期扬尘污染，可使项目建设期对周边大气环境的影响较小。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2.3 施工期废水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管线工程施工期产生的废水主要包括施工废水和施工人员生活污水。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（1）生活污水</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人员的活动会产生少量的生活污水，根据以往相似工程的施工经验，沿线施工多分段分期进行，就具体施工工段而言，施工期生活污水排放沿线具有分散性。施工期间生活污水处理可依托当地的生活污水处理设施。施工作业场地内的生活污水产生量很小，多为施工人员粪便排泄物等。对于施工人员排放的生活污水，可依托附近居民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（2）施工废水</w:t>
            </w:r>
          </w:p>
          <w:p>
            <w:pPr>
              <w:spacing w:line="460" w:lineRule="exact"/>
              <w:ind w:firstLine="484" w:firstLineChars="202"/>
              <w:rPr>
                <w:rFonts w:cs="宋体"/>
                <w:color w:val="auto"/>
                <w:sz w:val="24"/>
                <w:szCs w:val="24"/>
                <w:highlight w:val="none"/>
              </w:rPr>
            </w:pPr>
            <w:bookmarkStart w:id="7" w:name="7.1.3生态影响分析"/>
            <w:bookmarkEnd w:id="7"/>
            <w:bookmarkStart w:id="8" w:name="7.1.2.4施工期固体废弃物"/>
            <w:bookmarkEnd w:id="8"/>
            <w:r>
              <w:rPr>
                <w:rFonts w:hint="eastAsia" w:cs="宋体"/>
                <w:color w:val="auto"/>
                <w:sz w:val="24"/>
                <w:szCs w:val="24"/>
                <w:highlight w:val="none"/>
              </w:rPr>
              <w:t>施工废水主要为开挖基础时排出的泥浆水，以及冲洗机械和车辆产生的泥浆水。机械车辆冲洗废水中除含有泥沙等悬浮物外，还含有大量的油污，通过隔油池后进行沉淀， 用于场地降尘洒水，不外排。因此，根据上述分析施工期的污水对地表水环境影响很小。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2.4 施工期固体废弃物</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管线施工过程产生的固体废弃物主要包括施工废料、土石方。</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施工废料：施工废料主要包括焊接作业中产生废焊条、少量焊缝防腐采用的热收缩套零头及施工过程中产生的废混凝土、废钢筋、废泥沙等。施工废料部分可回收利用，剩余废料依托当地职能部门有偿清运，对环境影响较小。</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2）工程弃土、弃渣：管线开挖产生少量弃土，</w:t>
            </w:r>
            <w:r>
              <w:rPr>
                <w:rFonts w:hint="eastAsia" w:cs="宋体"/>
                <w:color w:val="auto"/>
                <w:sz w:val="24"/>
                <w:szCs w:val="24"/>
                <w:highlight w:val="none"/>
                <w:lang w:val="en-US" w:eastAsia="zh-CN"/>
              </w:rPr>
              <w:t>应选择好弃土区的位置，弃土区宜选择在低洼处，开口或周边应做好挡土坝形成泥库，弃土完成后，其坡面及顶平面应做好植被覆盖，避免裸露土表长期被水流侵蚀。对已建场地应尽快埋设排水管道，做好绿化；对没有条件种植绿化的裸露土 壤区域，应在其表面铺设碎石。</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 xml:space="preserve">3）生活垃圾：施工高峰期施工人员约 </w:t>
            </w:r>
            <w:r>
              <w:rPr>
                <w:rFonts w:hint="eastAsia" w:cs="宋体"/>
                <w:color w:val="auto"/>
                <w:sz w:val="24"/>
                <w:szCs w:val="24"/>
                <w:highlight w:val="none"/>
                <w:lang w:val="en-US" w:eastAsia="zh-CN"/>
              </w:rPr>
              <w:t>10</w:t>
            </w:r>
            <w:r>
              <w:rPr>
                <w:rFonts w:hint="eastAsia" w:cs="宋体"/>
                <w:color w:val="auto"/>
                <w:sz w:val="24"/>
                <w:szCs w:val="24"/>
                <w:highlight w:val="none"/>
              </w:rPr>
              <w:t xml:space="preserve"> 人，生活垃圾按 0.5kg/人•d 计，产生量约为 </w:t>
            </w:r>
            <w:r>
              <w:rPr>
                <w:rFonts w:hint="eastAsia" w:cs="宋体"/>
                <w:color w:val="auto"/>
                <w:sz w:val="24"/>
                <w:szCs w:val="24"/>
                <w:highlight w:val="none"/>
                <w:lang w:val="en-US" w:eastAsia="zh-CN"/>
              </w:rPr>
              <w:t>5</w:t>
            </w:r>
            <w:r>
              <w:rPr>
                <w:rFonts w:hint="eastAsia" w:cs="宋体"/>
                <w:color w:val="auto"/>
                <w:sz w:val="24"/>
                <w:szCs w:val="24"/>
                <w:highlight w:val="none"/>
              </w:rPr>
              <w:t>kg/d。生活垃圾由环卫部门清运后集中处理。</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本项目施工期只要严格落实上述处理措施，施工中产生的固废不会对周边环境产生明显不利影响。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2.5 生态影响分析</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rPr>
              <w:t>本项目生态环境影响主要体现在施工期，生态环境影响要素主要表征为管沟开挖等建设施工阶段，带来对土壤表层的扰动、地貌改变、地表植被的破坏、土地利用格局的变化，施工临</w:t>
            </w:r>
            <w:r>
              <w:rPr>
                <w:rFonts w:hint="eastAsia" w:cs="宋体"/>
                <w:color w:val="auto"/>
                <w:sz w:val="24"/>
                <w:szCs w:val="24"/>
                <w:highlight w:val="none"/>
                <w:shd w:val="clear" w:color="auto" w:fill="auto"/>
              </w:rPr>
              <w:t>时道路、水土流失和地表植被破坏等。</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1)土地利用现状的影响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shd w:val="clear" w:color="auto" w:fill="auto"/>
              </w:rPr>
              <w:t>工程占地包括临时性占地和永久占地，污水处理站工程占地为永久性占地，改变了原有土地利用现状，土地利用功能也随之改变。原有的农田、旱地将随着建设的进行而破坏，被修建成混泥土、水泥地面。这些生态</w:t>
            </w:r>
            <w:r>
              <w:rPr>
                <w:rFonts w:hint="eastAsia" w:cs="宋体"/>
                <w:color w:val="auto"/>
                <w:sz w:val="24"/>
                <w:szCs w:val="24"/>
                <w:highlight w:val="none"/>
              </w:rPr>
              <w:t>影响是不可逆的，为此应加强厂区、厂区边界绿化以减小对原有景观系统的破坏。项目临时性占地包括施工作业带、施工便道占地。占地类型不同，影响也不尽相同。临时性占地土地利用改变是短期的、可逆的，随着工程结束，逐渐恢复原有土地利用类型和面积。施工前，建设单位应根据相关法律法规规定，认真落实有关占地手续及其土地复垦和植被恢复费用。</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2）对植被的影响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管沟开挖、施工便道等施工过程对破坏征地范围内多年生木本和草本作物，最直接的影响就是造成植株死亡，生物量丧失，地表裸露。</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项目管道较长，选线无法饶避沿线林草植被，必然会占有少量林地和草地。毁林、</w:t>
            </w:r>
            <w:bookmarkStart w:id="9" w:name="7.1.4水土流失的影响"/>
            <w:bookmarkEnd w:id="9"/>
            <w:r>
              <w:rPr>
                <w:rFonts w:hint="eastAsia" w:cs="宋体"/>
                <w:color w:val="auto"/>
                <w:sz w:val="24"/>
                <w:szCs w:val="24"/>
                <w:highlight w:val="none"/>
              </w:rPr>
              <w:t>毁草直接造成乔灌草物种个体数量减少，生物量丧失，植被覆盖率降低，地表裸露，水土流失量增加。</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3）对土壤环境的影响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本工程对土壤的影响主要表现在管线施工过程中对土壤的占压和扰动破坏。临时占地在工程结束后 2~3 年耕作可恢复其原有使用功能。但因运管车辆碾压、施工人员的践踏、土体的扰动等原因，施工沿线的耕作土壤或自然土壤的理化性质、肥力水平受到一定的影响，并进一步影响地表植被恢复。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4）对野生动物的影响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施工期管沟开挖、下管等过程一些植被遭到破坏，使野生动物失去一定的栖息环境， 但施工期短、开挖的管沟面积小，同时，施工期结束，随着土地的复垦工作的完成，植被得以恢复，对野生动物的影响不明显。</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总之，施工结束之后应对场地进行清理、平整并及时恢复植被，以减少对生态环境的影响。</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2.6 水土流失的影响</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在污水处理厂施工过程中，开挖管槽、场地平整及构筑物施工时，由于土方 的开挖、回填表面土质疏松，在水流侵蚀下会造成水土流失。因此在施工期做好 水土保持工作十分重要，应采取以下措施：</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①无论是挖方还是填方施工，应做好施工排水，先做好排水沟，不使地表流水 漫坡流动，侵蚀裸露土壤，同时应合理划分工作面。</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②对取土区的开挖面下游，应先做好挡土坝，防止取土面流失土壤被水流冲至 下游，影响环境。</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③ 应选择好弃土区的位置，弃土区宜选择在低洼处，开口或周边应做好挡土坝 形成泥库，弃土完成后，其坡面及顶平面应做好植被覆盖，避免裸露土表长期被 水流侵蚀。</w:t>
            </w:r>
          </w:p>
          <w:p>
            <w:pPr>
              <w:spacing w:line="460" w:lineRule="exact"/>
              <w:ind w:firstLine="484" w:firstLineChars="202"/>
            </w:pPr>
            <w:r>
              <w:rPr>
                <w:rFonts w:hint="eastAsia" w:cs="宋体"/>
                <w:color w:val="auto"/>
                <w:sz w:val="24"/>
                <w:szCs w:val="24"/>
                <w:highlight w:val="none"/>
              </w:rPr>
              <w:t>④填方应边填土，边碾压，不让疏松的土料较长时间搁置。碾压密实的土壤在 水流作用下的流失量将大大小于疏松土壤。</w:t>
            </w:r>
          </w:p>
          <w:p>
            <w:pPr>
              <w:spacing w:line="460" w:lineRule="exact"/>
              <w:ind w:firstLine="484" w:firstLineChars="202"/>
              <w:rPr>
                <w:rFonts w:hint="eastAsia" w:cs="宋体"/>
                <w:color w:val="auto"/>
                <w:sz w:val="24"/>
                <w:szCs w:val="24"/>
                <w:highlight w:val="none"/>
              </w:rPr>
            </w:pPr>
            <w:r>
              <w:rPr>
                <w:rFonts w:ascii="微软雅黑" w:hAnsi="微软雅黑" w:eastAsia="微软雅黑" w:cs="微软雅黑"/>
                <w:i w:val="0"/>
                <w:caps w:val="0"/>
                <w:color w:val="333333"/>
                <w:spacing w:val="0"/>
                <w:sz w:val="24"/>
                <w:szCs w:val="24"/>
                <w:shd w:val="clear" w:fill="FFFFFF"/>
              </w:rPr>
              <w:t>⑤</w:t>
            </w:r>
            <w:r>
              <w:rPr>
                <w:rFonts w:hint="eastAsia" w:cs="宋体"/>
                <w:color w:val="auto"/>
                <w:sz w:val="24"/>
                <w:szCs w:val="24"/>
                <w:highlight w:val="none"/>
              </w:rPr>
              <w:t>对已建场地应尽快埋设排水管道，做好绿化；对没有条件种植绿化的裸露土 壤区域，应在其表面铺设碎石。</w:t>
            </w:r>
          </w:p>
          <w:p>
            <w:pPr>
              <w:spacing w:line="460" w:lineRule="exact"/>
              <w:ind w:firstLine="484" w:firstLineChars="202"/>
              <w:rPr>
                <w:color w:val="auto"/>
                <w:sz w:val="24"/>
                <w:szCs w:val="24"/>
                <w:highlight w:val="none"/>
              </w:rPr>
            </w:pPr>
            <w:r>
              <w:rPr>
                <w:rFonts w:hint="eastAsia" w:cs="宋体"/>
                <w:color w:val="auto"/>
                <w:sz w:val="24"/>
                <w:szCs w:val="24"/>
                <w:highlight w:val="none"/>
              </w:rPr>
              <w:t>总体来说，项目的施工对周围环境造成的污染将随项目施工的结束而消失。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6" w:hRule="atLeast"/>
          <w:jc w:val="center"/>
        </w:trPr>
        <w:tc>
          <w:tcPr>
            <w:tcW w:w="9228" w:type="dxa"/>
          </w:tcPr>
          <w:p>
            <w:pPr>
              <w:spacing w:line="400" w:lineRule="exact"/>
              <w:rPr>
                <w:b/>
                <w:bCs/>
                <w:color w:val="auto"/>
                <w:sz w:val="28"/>
                <w:szCs w:val="28"/>
                <w:highlight w:val="none"/>
              </w:rPr>
            </w:pPr>
            <w:r>
              <w:rPr>
                <w:rFonts w:hint="eastAsia" w:cs="宋体"/>
                <w:b/>
                <w:bCs/>
                <w:color w:val="auto"/>
                <w:sz w:val="28"/>
                <w:szCs w:val="28"/>
                <w:highlight w:val="none"/>
              </w:rPr>
              <w:t>营运期环境影响分析：</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1污水管道工程</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本项目在运营期对周边环境污染较小，正常运行状态下，通过使用材质较好的污水管道，管道沿线没有泄露等过程。并且要求维修队必须随时做好准备，在管道破裂后第一时间内，赶到现场，对破裂的管道进行修复。总体而言，截污主干管工程建成营运期间对当地环境质量影响不大。</w:t>
            </w:r>
          </w:p>
          <w:p>
            <w:pPr>
              <w:spacing w:line="460" w:lineRule="exact"/>
              <w:ind w:firstLine="484" w:firstLineChars="202"/>
              <w:rPr>
                <w:rFonts w:cs="宋体"/>
                <w:color w:val="auto"/>
                <w:sz w:val="24"/>
                <w:szCs w:val="24"/>
                <w:highlight w:val="none"/>
              </w:rPr>
            </w:pPr>
            <w:r>
              <w:rPr>
                <w:rFonts w:hint="eastAsia" w:cs="宋体"/>
                <w:color w:val="auto"/>
                <w:sz w:val="24"/>
                <w:szCs w:val="24"/>
                <w:highlight w:val="none"/>
              </w:rPr>
              <w:t>2污水处理厂工程</w:t>
            </w:r>
          </w:p>
          <w:p>
            <w:pPr>
              <w:spacing w:line="460" w:lineRule="exact"/>
              <w:ind w:firstLine="484" w:firstLineChars="202"/>
              <w:rPr>
                <w:rFonts w:cs="宋体"/>
                <w:color w:val="auto"/>
                <w:sz w:val="24"/>
                <w:szCs w:val="24"/>
                <w:highlight w:val="none"/>
                <w:shd w:val="clear" w:color="auto" w:fill="auto"/>
              </w:rPr>
            </w:pPr>
            <w:r>
              <w:rPr>
                <w:rFonts w:hint="eastAsia" w:cs="宋体"/>
                <w:color w:val="auto"/>
                <w:sz w:val="24"/>
                <w:szCs w:val="24"/>
                <w:highlight w:val="none"/>
                <w:shd w:val="clear" w:color="auto" w:fill="auto"/>
              </w:rPr>
              <w:t>2.1</w:t>
            </w:r>
            <w:r>
              <w:rPr>
                <w:rFonts w:hint="eastAsia" w:cs="宋体"/>
                <w:b/>
                <w:bCs/>
                <w:color w:val="auto"/>
                <w:sz w:val="24"/>
                <w:szCs w:val="24"/>
                <w:highlight w:val="none"/>
                <w:shd w:val="clear" w:color="auto" w:fill="auto"/>
              </w:rPr>
              <w:t>大气污染物环境影响分析</w:t>
            </w:r>
          </w:p>
          <w:p>
            <w:pPr>
              <w:spacing w:line="360" w:lineRule="auto"/>
              <w:ind w:firstLine="480" w:firstLineChars="200"/>
              <w:rPr>
                <w:sz w:val="24"/>
                <w:u w:val="none"/>
              </w:rPr>
            </w:pPr>
            <w:bookmarkStart w:id="10" w:name="7.2.2.4声环境"/>
            <w:bookmarkEnd w:id="10"/>
            <w:r>
              <w:rPr>
                <w:sz w:val="24"/>
                <w:u w:val="none"/>
              </w:rPr>
              <w:t>（1）大气评价等级</w:t>
            </w:r>
          </w:p>
          <w:p>
            <w:pPr>
              <w:spacing w:line="360" w:lineRule="auto"/>
              <w:ind w:firstLine="480" w:firstLineChars="200"/>
              <w:rPr>
                <w:sz w:val="24"/>
                <w:szCs w:val="28"/>
                <w:u w:val="none"/>
              </w:rPr>
            </w:pPr>
            <w:r>
              <w:rPr>
                <w:sz w:val="24"/>
                <w:szCs w:val="28"/>
                <w:u w:val="none"/>
              </w:rPr>
              <w:t>根据《环境影响评价技术导则 大气环境》（HJ2.2-2018），大气环境评价工作等级划分依据是结合污染源正常排放的主要污染物及排放参数，采用附录A推荐模型中估算模型分别计算项目污染源的最大环境影响，然后按评价工作分级判据进行分级。</w:t>
            </w:r>
          </w:p>
          <w:p>
            <w:pPr>
              <w:spacing w:line="360" w:lineRule="auto"/>
              <w:ind w:firstLine="480" w:firstLineChars="200"/>
              <w:rPr>
                <w:sz w:val="24"/>
                <w:szCs w:val="28"/>
                <w:u w:val="none"/>
              </w:rPr>
            </w:pPr>
            <w:r>
              <w:rPr>
                <w:sz w:val="24"/>
                <w:szCs w:val="28"/>
                <w:u w:val="none"/>
              </w:rPr>
              <w:t>拟建项目选用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sz w:val="24"/>
                <w:szCs w:val="28"/>
                <w:u w:val="none"/>
              </w:rPr>
              <w:t>作为主要大气污染物计算其最大地面浓度占标率，计算公式如下：</w:t>
            </w:r>
          </w:p>
          <w:p>
            <w:pPr>
              <w:spacing w:line="360" w:lineRule="auto"/>
              <w:jc w:val="center"/>
              <w:rPr>
                <w:sz w:val="24"/>
                <w:szCs w:val="28"/>
                <w:u w:val="none"/>
              </w:rPr>
            </w:pPr>
            <w:r>
              <w:rPr>
                <w:position w:val="-30"/>
                <w:sz w:val="24"/>
                <w:u w:val="none"/>
              </w:rPr>
              <w:drawing>
                <wp:inline distT="0" distB="0" distL="0" distR="0">
                  <wp:extent cx="1018540" cy="428625"/>
                  <wp:effectExtent l="0" t="0" r="10160" b="8255"/>
                  <wp:docPr id="107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_x0000_t75"/>
                          <pic:cNvPicPr>
                            <a:picLocks noChangeAspect="1"/>
                          </pic:cNvPicPr>
                        </pic:nvPicPr>
                        <pic:blipFill>
                          <a:blip r:embed="rId18" cstate="print"/>
                          <a:srcRect/>
                          <a:stretch>
                            <a:fillRect/>
                          </a:stretch>
                        </pic:blipFill>
                        <pic:spPr>
                          <a:xfrm>
                            <a:off x="0" y="0"/>
                            <a:ext cx="1018540" cy="429259"/>
                          </a:xfrm>
                          <a:prstGeom prst="rect">
                            <a:avLst/>
                          </a:prstGeom>
                          <a:ln>
                            <a:noFill/>
                          </a:ln>
                        </pic:spPr>
                      </pic:pic>
                    </a:graphicData>
                  </a:graphic>
                </wp:inline>
              </w:drawing>
            </w:r>
          </w:p>
          <w:p>
            <w:pPr>
              <w:spacing w:line="480" w:lineRule="exact"/>
              <w:ind w:firstLine="480" w:firstLineChars="200"/>
              <w:rPr>
                <w:sz w:val="24"/>
                <w:szCs w:val="28"/>
                <w:u w:val="none"/>
              </w:rPr>
            </w:pPr>
            <w:r>
              <w:rPr>
                <w:sz w:val="24"/>
                <w:szCs w:val="28"/>
                <w:u w:val="none"/>
              </w:rPr>
              <w:t>式中： P</w:t>
            </w:r>
            <w:r>
              <w:rPr>
                <w:sz w:val="24"/>
                <w:szCs w:val="28"/>
                <w:u w:val="none"/>
                <w:vertAlign w:val="subscript"/>
              </w:rPr>
              <w:t>i</w:t>
            </w:r>
            <w:r>
              <w:rPr>
                <w:sz w:val="24"/>
                <w:szCs w:val="28"/>
                <w:u w:val="none"/>
              </w:rPr>
              <w:t>——第i个污染物的最大地面空气质量浓度占标率，%；</w:t>
            </w:r>
          </w:p>
          <w:p>
            <w:pPr>
              <w:spacing w:line="480" w:lineRule="exact"/>
              <w:ind w:firstLine="1320" w:firstLineChars="550"/>
              <w:rPr>
                <w:sz w:val="24"/>
                <w:szCs w:val="28"/>
                <w:u w:val="none"/>
              </w:rPr>
            </w:pPr>
            <w:r>
              <w:rPr>
                <w:sz w:val="24"/>
                <w:szCs w:val="28"/>
                <w:u w:val="none"/>
              </w:rPr>
              <w:t>C</w:t>
            </w:r>
            <w:r>
              <w:rPr>
                <w:sz w:val="24"/>
                <w:szCs w:val="28"/>
                <w:u w:val="none"/>
                <w:vertAlign w:val="subscript"/>
              </w:rPr>
              <w:t>i</w:t>
            </w:r>
            <w:r>
              <w:rPr>
                <w:sz w:val="24"/>
                <w:szCs w:val="28"/>
                <w:u w:val="none"/>
              </w:rPr>
              <w:t>——采用估算模式计算出的第i个污染物的最大1h地面空气质量浓度，</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——第i个污染物的环境空气质量浓度标准，</w:t>
            </w:r>
            <w:r>
              <w:rPr>
                <w:szCs w:val="21"/>
                <w:u w:val="none"/>
              </w:rPr>
              <w:t>μ</w:t>
            </w:r>
            <w:r>
              <w:rPr>
                <w:sz w:val="24"/>
                <w:szCs w:val="28"/>
                <w:u w:val="none"/>
              </w:rPr>
              <w:t>g/m</w:t>
            </w:r>
            <w:r>
              <w:rPr>
                <w:sz w:val="24"/>
                <w:szCs w:val="28"/>
                <w:u w:val="none"/>
                <w:vertAlign w:val="superscript"/>
              </w:rPr>
              <w:t>3</w:t>
            </w:r>
            <w:r>
              <w:rPr>
                <w:sz w:val="24"/>
                <w:szCs w:val="28"/>
                <w:u w:val="none"/>
              </w:rPr>
              <w:t>；</w:t>
            </w:r>
          </w:p>
          <w:p>
            <w:pPr>
              <w:spacing w:line="480" w:lineRule="exact"/>
              <w:ind w:firstLine="1320" w:firstLineChars="550"/>
              <w:rPr>
                <w:sz w:val="24"/>
                <w:szCs w:val="28"/>
                <w:u w:val="none"/>
              </w:rPr>
            </w:pPr>
            <w:r>
              <w:rPr>
                <w:sz w:val="24"/>
                <w:szCs w:val="28"/>
                <w:u w:val="none"/>
              </w:rPr>
              <w:t>C</w:t>
            </w:r>
            <w:r>
              <w:rPr>
                <w:sz w:val="24"/>
                <w:szCs w:val="28"/>
                <w:u w:val="none"/>
                <w:vertAlign w:val="subscript"/>
              </w:rPr>
              <w:t>oi</w:t>
            </w:r>
            <w:r>
              <w:rPr>
                <w:sz w:val="24"/>
                <w:szCs w:val="28"/>
                <w:u w:val="none"/>
              </w:rPr>
              <w:t>一般选用GB 3095中1 h 平均质量浓度的二级浓度限值，如项目位于一类环境空气功能区，应选择相应的一级浓度限值；对该标准中未包含的污染物，使用5.2 确定的各评价因子1 h 平均质量浓度限值。对仅有8 h 平均质量浓度限值、日平均质量浓度限值或年平均质量浓度限值的，可分别按2 倍、3 倍、6 倍折算为1h 平均质量浓度限值。评价工作等级分级依据见表</w:t>
            </w:r>
            <w:r>
              <w:rPr>
                <w:rFonts w:hint="eastAsia"/>
                <w:sz w:val="24"/>
                <w:szCs w:val="28"/>
                <w:u w:val="none"/>
                <w:lang w:val="en-US" w:eastAsia="zh-CN"/>
              </w:rPr>
              <w:t>25</w:t>
            </w:r>
            <w:r>
              <w:rPr>
                <w:sz w:val="24"/>
                <w:szCs w:val="28"/>
                <w:u w:val="none"/>
              </w:rPr>
              <w:t>。</w:t>
            </w:r>
          </w:p>
          <w:p>
            <w:pPr>
              <w:jc w:val="center"/>
              <w:rPr>
                <w:b/>
                <w:sz w:val="24"/>
                <w:szCs w:val="28"/>
                <w:u w:val="none"/>
              </w:rPr>
            </w:pPr>
            <w:r>
              <w:rPr>
                <w:b/>
                <w:sz w:val="24"/>
                <w:szCs w:val="28"/>
                <w:u w:val="none"/>
              </w:rPr>
              <w:t>表</w:t>
            </w:r>
            <w:r>
              <w:rPr>
                <w:rFonts w:hint="eastAsia"/>
                <w:b/>
                <w:sz w:val="24"/>
                <w:szCs w:val="28"/>
                <w:u w:val="none"/>
                <w:lang w:val="en-US" w:eastAsia="zh-CN"/>
              </w:rPr>
              <w:t>28</w:t>
            </w:r>
            <w:r>
              <w:rPr>
                <w:b/>
                <w:sz w:val="24"/>
                <w:szCs w:val="28"/>
                <w:u w:val="none"/>
              </w:rPr>
              <w:t xml:space="preserve"> 评价等级判别表</w:t>
            </w:r>
          </w:p>
          <w:tbl>
            <w:tblPr>
              <w:tblStyle w:val="29"/>
              <w:tblW w:w="838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2642"/>
              <w:gridCol w:w="573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37" w:hRule="atLeast"/>
                <w:jc w:val="center"/>
              </w:trPr>
              <w:tc>
                <w:tcPr>
                  <w:tcW w:w="2642" w:type="dxa"/>
                  <w:vAlign w:val="center"/>
                </w:tcPr>
                <w:p>
                  <w:pPr>
                    <w:jc w:val="center"/>
                    <w:rPr>
                      <w:sz w:val="21"/>
                      <w:szCs w:val="21"/>
                      <w:u w:val="none"/>
                    </w:rPr>
                  </w:pPr>
                  <w:r>
                    <w:rPr>
                      <w:sz w:val="21"/>
                      <w:szCs w:val="21"/>
                      <w:u w:val="none"/>
                    </w:rPr>
                    <w:t>评价工作等级</w:t>
                  </w:r>
                </w:p>
              </w:tc>
              <w:tc>
                <w:tcPr>
                  <w:tcW w:w="5738" w:type="dxa"/>
                  <w:vAlign w:val="center"/>
                </w:tcPr>
                <w:p>
                  <w:pPr>
                    <w:jc w:val="center"/>
                    <w:rPr>
                      <w:sz w:val="21"/>
                      <w:szCs w:val="21"/>
                      <w:u w:val="none"/>
                    </w:rPr>
                  </w:pPr>
                  <w:r>
                    <w:rPr>
                      <w:sz w:val="21"/>
                      <w:szCs w:val="21"/>
                      <w:u w:val="none"/>
                    </w:rPr>
                    <w:t>评价工作分级判据</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一级评级</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18" w:hRule="atLeast"/>
                <w:jc w:val="center"/>
              </w:trPr>
              <w:tc>
                <w:tcPr>
                  <w:tcW w:w="2642" w:type="dxa"/>
                  <w:vAlign w:val="center"/>
                </w:tcPr>
                <w:p>
                  <w:pPr>
                    <w:jc w:val="center"/>
                    <w:rPr>
                      <w:sz w:val="21"/>
                      <w:szCs w:val="21"/>
                      <w:u w:val="none"/>
                    </w:rPr>
                  </w:pPr>
                  <w:r>
                    <w:rPr>
                      <w:sz w:val="21"/>
                      <w:szCs w:val="21"/>
                      <w:u w:val="none"/>
                    </w:rPr>
                    <w:t>二级评价</w:t>
                  </w:r>
                </w:p>
              </w:tc>
              <w:tc>
                <w:tcPr>
                  <w:tcW w:w="5738" w:type="dxa"/>
                  <w:vAlign w:val="center"/>
                </w:tcPr>
                <w:p>
                  <w:pPr>
                    <w:jc w:val="center"/>
                    <w:rPr>
                      <w:sz w:val="21"/>
                      <w:szCs w:val="21"/>
                      <w:u w:val="none"/>
                    </w:rPr>
                  </w:pPr>
                  <w:r>
                    <w:rPr>
                      <w:sz w:val="21"/>
                      <w:szCs w:val="21"/>
                      <w:u w:val="none"/>
                    </w:rPr>
                    <w:t>1%≤P</w:t>
                  </w:r>
                  <w:r>
                    <w:rPr>
                      <w:sz w:val="21"/>
                      <w:szCs w:val="21"/>
                      <w:u w:val="none"/>
                      <w:vertAlign w:val="subscript"/>
                    </w:rPr>
                    <w:t>max</w:t>
                  </w:r>
                  <w:r>
                    <w:rPr>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7" w:hRule="atLeast"/>
                <w:jc w:val="center"/>
              </w:trPr>
              <w:tc>
                <w:tcPr>
                  <w:tcW w:w="2642" w:type="dxa"/>
                  <w:vAlign w:val="center"/>
                </w:tcPr>
                <w:p>
                  <w:pPr>
                    <w:jc w:val="center"/>
                    <w:rPr>
                      <w:sz w:val="21"/>
                      <w:szCs w:val="21"/>
                      <w:u w:val="none"/>
                    </w:rPr>
                  </w:pPr>
                  <w:r>
                    <w:rPr>
                      <w:sz w:val="21"/>
                      <w:szCs w:val="21"/>
                      <w:u w:val="none"/>
                    </w:rPr>
                    <w:t>三级评价</w:t>
                  </w:r>
                </w:p>
              </w:tc>
              <w:tc>
                <w:tcPr>
                  <w:tcW w:w="5738" w:type="dxa"/>
                  <w:vAlign w:val="center"/>
                </w:tcPr>
                <w:p>
                  <w:pPr>
                    <w:jc w:val="center"/>
                    <w:rPr>
                      <w:sz w:val="21"/>
                      <w:szCs w:val="21"/>
                      <w:u w:val="none"/>
                    </w:rPr>
                  </w:pPr>
                  <w:r>
                    <w:rPr>
                      <w:sz w:val="21"/>
                      <w:szCs w:val="21"/>
                      <w:u w:val="none"/>
                    </w:rPr>
                    <w:t>P</w:t>
                  </w:r>
                  <w:r>
                    <w:rPr>
                      <w:sz w:val="21"/>
                      <w:szCs w:val="21"/>
                      <w:u w:val="none"/>
                      <w:vertAlign w:val="subscript"/>
                    </w:rPr>
                    <w:t>max</w:t>
                  </w:r>
                  <w:r>
                    <w:rPr>
                      <w:sz w:val="21"/>
                      <w:szCs w:val="21"/>
                      <w:u w:val="none"/>
                    </w:rPr>
                    <w:t>＜1%</w:t>
                  </w:r>
                </w:p>
              </w:tc>
            </w:tr>
          </w:tbl>
          <w:p>
            <w:pPr>
              <w:spacing w:line="480" w:lineRule="exact"/>
              <w:ind w:firstLine="480" w:firstLineChars="200"/>
              <w:rPr>
                <w:rFonts w:hint="eastAsia"/>
                <w:sz w:val="24"/>
                <w:szCs w:val="28"/>
                <w:u w:val="none"/>
                <w:shd w:val="clear" w:color="auto" w:fill="auto"/>
              </w:rPr>
            </w:pPr>
            <w:r>
              <w:rPr>
                <w:rFonts w:hint="eastAsia"/>
                <w:sz w:val="24"/>
                <w:szCs w:val="28"/>
                <w:u w:val="none"/>
                <w:shd w:val="clear" w:color="auto" w:fill="auto"/>
              </w:rPr>
              <w:t>项目废气污染物呈无组织方式排放，为了减小污染影响，本工程设计通过绿化隔</w:t>
            </w:r>
          </w:p>
          <w:p>
            <w:pPr>
              <w:spacing w:line="480" w:lineRule="exact"/>
              <w:rPr>
                <w:rFonts w:hint="eastAsia"/>
                <w:sz w:val="24"/>
                <w:szCs w:val="28"/>
                <w:u w:val="none"/>
                <w:shd w:val="clear" w:color="auto" w:fill="auto"/>
              </w:rPr>
            </w:pPr>
            <w:r>
              <w:rPr>
                <w:rFonts w:hint="eastAsia"/>
                <w:sz w:val="24"/>
                <w:szCs w:val="28"/>
                <w:u w:val="none"/>
                <w:shd w:val="clear" w:color="auto" w:fill="auto"/>
              </w:rPr>
              <w:t>断，优化厂区布局来减少臭气影响。产生臭气的工段主要为调节池、贮泥池，由于臭气产量较小，且调节池、储泥池上方均为密封结构，仅通过通气孔与大气相连，能避</w:t>
            </w:r>
          </w:p>
          <w:p>
            <w:pPr>
              <w:spacing w:line="480" w:lineRule="exact"/>
              <w:rPr>
                <w:sz w:val="24"/>
                <w:szCs w:val="28"/>
                <w:u w:val="none"/>
                <w:shd w:val="clear" w:color="FFFFFF" w:fill="D9D9D9"/>
              </w:rPr>
            </w:pPr>
            <w:r>
              <w:rPr>
                <w:rFonts w:hint="eastAsia"/>
                <w:sz w:val="24"/>
                <w:szCs w:val="28"/>
                <w:u w:val="none"/>
                <w:shd w:val="clear" w:color="auto" w:fill="auto"/>
              </w:rPr>
              <w:t>免臭气大规模扩散。</w:t>
            </w:r>
          </w:p>
          <w:p>
            <w:pPr>
              <w:spacing w:line="480" w:lineRule="exact"/>
              <w:ind w:firstLine="480" w:firstLineChars="200"/>
              <w:rPr>
                <w:sz w:val="24"/>
                <w:u w:val="none"/>
                <w:shd w:val="clear" w:color="auto" w:fill="auto"/>
              </w:rPr>
            </w:pPr>
            <w:r>
              <w:rPr>
                <w:sz w:val="24"/>
                <w:szCs w:val="28"/>
                <w:u w:val="none"/>
                <w:shd w:val="clear" w:color="auto" w:fill="auto"/>
              </w:rPr>
              <w:t>根据导则要求：同一项目有多个污染源（两个及以上，下同）时，则按各污染源分别确定评价等级，并取评价等级最高者作为项目的评价等级。</w:t>
            </w:r>
            <w:r>
              <w:rPr>
                <w:sz w:val="24"/>
                <w:u w:val="none"/>
                <w:shd w:val="clear" w:color="auto" w:fill="auto"/>
              </w:rPr>
              <w:t>本环评采用AERSCREEN估算模型计算项目污染源的最大环境影响。拟建项目估算模式参数详见表</w:t>
            </w:r>
            <w:r>
              <w:rPr>
                <w:rFonts w:hint="eastAsia"/>
                <w:sz w:val="24"/>
                <w:u w:val="none"/>
                <w:shd w:val="clear" w:color="auto" w:fill="auto"/>
                <w:lang w:val="en-US" w:eastAsia="zh-CN"/>
              </w:rPr>
              <w:t>29</w:t>
            </w:r>
            <w:r>
              <w:rPr>
                <w:sz w:val="24"/>
                <w:u w:val="none"/>
                <w:shd w:val="clear" w:color="auto" w:fill="auto"/>
              </w:rPr>
              <w:t>，</w:t>
            </w:r>
            <w:r>
              <w:rPr>
                <w:rFonts w:hint="eastAsia"/>
                <w:sz w:val="24"/>
                <w:u w:val="none"/>
                <w:shd w:val="clear" w:color="auto" w:fill="auto"/>
              </w:rPr>
              <w:t>无</w:t>
            </w:r>
            <w:r>
              <w:rPr>
                <w:sz w:val="24"/>
                <w:u w:val="none"/>
                <w:shd w:val="clear" w:color="auto" w:fill="auto"/>
              </w:rPr>
              <w:t>组织污染源估算</w:t>
            </w:r>
            <w:r>
              <w:rPr>
                <w:rFonts w:hint="eastAsia"/>
                <w:sz w:val="24"/>
                <w:u w:val="none"/>
                <w:shd w:val="clear" w:color="auto" w:fill="auto"/>
              </w:rPr>
              <w:t>因子源强</w:t>
            </w:r>
            <w:r>
              <w:rPr>
                <w:sz w:val="24"/>
                <w:u w:val="none"/>
                <w:shd w:val="clear" w:color="auto" w:fill="auto"/>
              </w:rPr>
              <w:t>详见表</w:t>
            </w:r>
            <w:r>
              <w:rPr>
                <w:rFonts w:hint="eastAsia"/>
                <w:sz w:val="24"/>
                <w:u w:val="none"/>
                <w:shd w:val="clear" w:color="auto" w:fill="auto"/>
                <w:lang w:val="en-US" w:eastAsia="zh-CN"/>
              </w:rPr>
              <w:t>30</w:t>
            </w:r>
            <w:r>
              <w:rPr>
                <w:sz w:val="24"/>
                <w:u w:val="none"/>
                <w:shd w:val="clear" w:color="auto" w:fill="auto"/>
              </w:rPr>
              <w:t>。</w:t>
            </w:r>
          </w:p>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zh-CN"/>
              </w:rPr>
              <w:t>表</w:t>
            </w:r>
            <w:r>
              <w:rPr>
                <w:rFonts w:hint="eastAsia" w:cs="宋体"/>
                <w:b/>
                <w:snapToGrid w:val="0"/>
                <w:color w:val="auto"/>
                <w:kern w:val="0"/>
                <w:sz w:val="24"/>
                <w:szCs w:val="24"/>
                <w:lang w:val="en-US" w:eastAsia="zh-CN"/>
              </w:rPr>
              <w:t>29</w:t>
            </w:r>
            <w:r>
              <w:rPr>
                <w:rFonts w:hint="eastAsia" w:cs="宋体"/>
                <w:b/>
                <w:snapToGrid w:val="0"/>
                <w:color w:val="auto"/>
                <w:kern w:val="0"/>
                <w:sz w:val="24"/>
                <w:szCs w:val="24"/>
                <w:lang w:val="zh-CN"/>
              </w:rPr>
              <w:t xml:space="preserve">   估算模型参数表</w:t>
            </w:r>
          </w:p>
          <w:tbl>
            <w:tblPr>
              <w:tblStyle w:val="29"/>
              <w:tblW w:w="830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2635"/>
              <w:gridCol w:w="3437"/>
              <w:gridCol w:w="222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7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参数</w:t>
                  </w:r>
                </w:p>
              </w:tc>
              <w:tc>
                <w:tcPr>
                  <w:tcW w:w="2228" w:type="dxa"/>
                  <w:vAlign w:val="center"/>
                </w:tcPr>
                <w:p>
                  <w:pPr>
                    <w:pStyle w:val="119"/>
                    <w:spacing w:line="240" w:lineRule="auto"/>
                    <w:ind w:firstLine="0" w:firstLineChars="0"/>
                    <w:jc w:val="center"/>
                    <w:rPr>
                      <w:sz w:val="21"/>
                      <w:szCs w:val="21"/>
                      <w:u w:val="none"/>
                    </w:rPr>
                  </w:pPr>
                  <w:r>
                    <w:rPr>
                      <w:sz w:val="21"/>
                      <w:szCs w:val="21"/>
                      <w:u w:val="none"/>
                    </w:rPr>
                    <w:t>取值</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119"/>
                    <w:spacing w:line="240" w:lineRule="auto"/>
                    <w:ind w:firstLine="0" w:firstLineChars="0"/>
                    <w:jc w:val="center"/>
                    <w:rPr>
                      <w:sz w:val="21"/>
                      <w:szCs w:val="21"/>
                      <w:u w:val="none"/>
                    </w:rPr>
                  </w:pPr>
                  <w:r>
                    <w:rPr>
                      <w:sz w:val="21"/>
                      <w:szCs w:val="21"/>
                      <w:u w:val="none"/>
                    </w:rPr>
                    <w:t>城市/农村选项</w:t>
                  </w:r>
                </w:p>
              </w:tc>
              <w:tc>
                <w:tcPr>
                  <w:tcW w:w="3437" w:type="dxa"/>
                  <w:vAlign w:val="center"/>
                </w:tcPr>
                <w:p>
                  <w:pPr>
                    <w:pStyle w:val="119"/>
                    <w:spacing w:line="240" w:lineRule="auto"/>
                    <w:ind w:firstLine="0" w:firstLineChars="0"/>
                    <w:jc w:val="center"/>
                    <w:rPr>
                      <w:sz w:val="21"/>
                      <w:szCs w:val="21"/>
                      <w:u w:val="none"/>
                    </w:rPr>
                  </w:pPr>
                  <w:r>
                    <w:rPr>
                      <w:sz w:val="21"/>
                      <w:szCs w:val="21"/>
                      <w:u w:val="none"/>
                    </w:rPr>
                    <w:t>城市/农村</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eastAsia="zh-CN"/>
                    </w:rPr>
                    <w:t>农村</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119"/>
                    <w:spacing w:line="240" w:lineRule="auto"/>
                    <w:ind w:firstLine="0" w:firstLineChars="0"/>
                    <w:jc w:val="center"/>
                    <w:rPr>
                      <w:sz w:val="21"/>
                      <w:szCs w:val="21"/>
                      <w:u w:val="none"/>
                    </w:rPr>
                  </w:pPr>
                </w:p>
              </w:tc>
              <w:tc>
                <w:tcPr>
                  <w:tcW w:w="3437" w:type="dxa"/>
                  <w:vAlign w:val="center"/>
                </w:tcPr>
                <w:p>
                  <w:pPr>
                    <w:pStyle w:val="119"/>
                    <w:spacing w:line="240" w:lineRule="auto"/>
                    <w:ind w:firstLine="0" w:firstLineChars="0"/>
                    <w:jc w:val="center"/>
                    <w:rPr>
                      <w:sz w:val="21"/>
                      <w:szCs w:val="21"/>
                      <w:u w:val="none"/>
                    </w:rPr>
                  </w:pPr>
                  <w:r>
                    <w:rPr>
                      <w:sz w:val="21"/>
                      <w:szCs w:val="21"/>
                      <w:u w:val="none"/>
                    </w:rPr>
                    <w:t>人口数（城市选项时）</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最高环境温度/℃</w:t>
                  </w:r>
                </w:p>
              </w:tc>
              <w:tc>
                <w:tcPr>
                  <w:tcW w:w="2228" w:type="dxa"/>
                  <w:vAlign w:val="center"/>
                </w:tcPr>
                <w:p>
                  <w:pPr>
                    <w:pStyle w:val="119"/>
                    <w:spacing w:line="240" w:lineRule="auto"/>
                    <w:ind w:firstLine="0" w:firstLineChars="0"/>
                    <w:jc w:val="center"/>
                    <w:rPr>
                      <w:rFonts w:hint="default" w:eastAsia="宋体"/>
                      <w:sz w:val="21"/>
                      <w:szCs w:val="21"/>
                      <w:u w:val="none"/>
                      <w:lang w:val="en-US" w:eastAsia="zh-CN"/>
                    </w:rPr>
                  </w:pPr>
                  <w:r>
                    <w:rPr>
                      <w:rFonts w:hint="eastAsia"/>
                      <w:sz w:val="21"/>
                      <w:szCs w:val="21"/>
                      <w:u w:val="none"/>
                      <w:lang w:val="en-US" w:eastAsia="zh-CN"/>
                    </w:rPr>
                    <w:t>40.1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最低环境温度/℃</w:t>
                  </w:r>
                </w:p>
              </w:tc>
              <w:tc>
                <w:tcPr>
                  <w:tcW w:w="2228" w:type="dxa"/>
                  <w:vAlign w:val="center"/>
                </w:tcPr>
                <w:p>
                  <w:pPr>
                    <w:pStyle w:val="119"/>
                    <w:spacing w:line="240" w:lineRule="auto"/>
                    <w:ind w:firstLine="0" w:firstLineChars="0"/>
                    <w:jc w:val="center"/>
                    <w:rPr>
                      <w:rFonts w:hint="default" w:eastAsia="宋体"/>
                      <w:sz w:val="21"/>
                      <w:szCs w:val="21"/>
                      <w:u w:val="none"/>
                      <w:lang w:val="en-US" w:eastAsia="zh-CN"/>
                    </w:rPr>
                  </w:pPr>
                  <w:r>
                    <w:rPr>
                      <w:sz w:val="21"/>
                      <w:szCs w:val="21"/>
                      <w:u w:val="none"/>
                    </w:rPr>
                    <w:t>-</w:t>
                  </w:r>
                  <w:r>
                    <w:rPr>
                      <w:rFonts w:hint="eastAsia"/>
                      <w:sz w:val="21"/>
                      <w:szCs w:val="21"/>
                      <w:u w:val="none"/>
                      <w:lang w:val="en-US" w:eastAsia="zh-CN"/>
                    </w:rPr>
                    <w:t>14.7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土地利用类型</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6072" w:type="dxa"/>
                  <w:gridSpan w:val="2"/>
                  <w:vAlign w:val="center"/>
                </w:tcPr>
                <w:p>
                  <w:pPr>
                    <w:pStyle w:val="119"/>
                    <w:spacing w:line="240" w:lineRule="auto"/>
                    <w:ind w:firstLine="0" w:firstLineChars="0"/>
                    <w:jc w:val="center"/>
                    <w:rPr>
                      <w:sz w:val="21"/>
                      <w:szCs w:val="21"/>
                      <w:u w:val="none"/>
                    </w:rPr>
                  </w:pPr>
                  <w:r>
                    <w:rPr>
                      <w:sz w:val="21"/>
                      <w:szCs w:val="21"/>
                      <w:u w:val="none"/>
                    </w:rPr>
                    <w:t>区域湿度条件</w:t>
                  </w:r>
                </w:p>
              </w:tc>
              <w:tc>
                <w:tcPr>
                  <w:tcW w:w="2228" w:type="dxa"/>
                  <w:vAlign w:val="center"/>
                </w:tcPr>
                <w:p>
                  <w:pPr>
                    <w:pStyle w:val="119"/>
                    <w:spacing w:line="240" w:lineRule="auto"/>
                    <w:ind w:firstLine="0" w:firstLineChars="0"/>
                    <w:jc w:val="center"/>
                    <w:rPr>
                      <w:rFonts w:hint="eastAsia" w:eastAsia="宋体"/>
                      <w:sz w:val="21"/>
                      <w:szCs w:val="21"/>
                      <w:u w:val="none"/>
                      <w:lang w:eastAsia="zh-CN"/>
                    </w:rPr>
                  </w:pPr>
                  <w:r>
                    <w:rPr>
                      <w:rFonts w:hint="eastAsia"/>
                      <w:sz w:val="21"/>
                      <w:szCs w:val="21"/>
                      <w:u w:val="none"/>
                      <w:lang w:val="en-US" w:eastAsia="zh-CN"/>
                    </w:rPr>
                    <w:t>潮湿</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119"/>
                    <w:spacing w:line="240" w:lineRule="auto"/>
                    <w:ind w:firstLine="0" w:firstLineChars="0"/>
                    <w:jc w:val="center"/>
                    <w:rPr>
                      <w:sz w:val="21"/>
                      <w:szCs w:val="21"/>
                      <w:u w:val="none"/>
                    </w:rPr>
                  </w:pPr>
                  <w:r>
                    <w:rPr>
                      <w:sz w:val="21"/>
                      <w:szCs w:val="21"/>
                      <w:u w:val="none"/>
                    </w:rPr>
                    <w:t>是否考虑地形</w:t>
                  </w:r>
                </w:p>
              </w:tc>
              <w:tc>
                <w:tcPr>
                  <w:tcW w:w="3437" w:type="dxa"/>
                  <w:vAlign w:val="center"/>
                </w:tcPr>
                <w:p>
                  <w:pPr>
                    <w:pStyle w:val="119"/>
                    <w:spacing w:line="240" w:lineRule="auto"/>
                    <w:ind w:firstLine="0" w:firstLineChars="0"/>
                    <w:jc w:val="center"/>
                    <w:rPr>
                      <w:sz w:val="21"/>
                      <w:szCs w:val="21"/>
                      <w:u w:val="none"/>
                    </w:rPr>
                  </w:pPr>
                  <w:r>
                    <w:rPr>
                      <w:sz w:val="21"/>
                      <w:szCs w:val="21"/>
                      <w:u w:val="none"/>
                    </w:rPr>
                    <w:t>考虑地形</w:t>
                  </w:r>
                </w:p>
              </w:tc>
              <w:tc>
                <w:tcPr>
                  <w:tcW w:w="2228" w:type="dxa"/>
                  <w:vAlign w:val="center"/>
                </w:tcPr>
                <w:p>
                  <w:pPr>
                    <w:pStyle w:val="119"/>
                    <w:spacing w:line="240" w:lineRule="auto"/>
                    <w:ind w:firstLine="0" w:firstLineChars="0"/>
                    <w:jc w:val="center"/>
                    <w:rPr>
                      <w:sz w:val="21"/>
                      <w:szCs w:val="21"/>
                      <w:u w:val="none"/>
                    </w:rPr>
                  </w:pPr>
                  <w:r>
                    <w:rPr>
                      <w:sz w:val="21"/>
                      <w:szCs w:val="21"/>
                      <w:u w:val="none"/>
                    </w:rPr>
                    <w:t xml:space="preserve">口是   </w:t>
                  </w:r>
                  <w:r>
                    <w:rPr>
                      <w:sz w:val="21"/>
                      <w:szCs w:val="21"/>
                      <w:u w:val="none"/>
                    </w:rPr>
                    <w:sym w:font="Wingdings 2" w:char="0052"/>
                  </w:r>
                  <w:r>
                    <w:rPr>
                      <w:sz w:val="21"/>
                      <w:szCs w:val="21"/>
                      <w:u w:val="none"/>
                    </w:rPr>
                    <w:t>否</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continue"/>
                  <w:vAlign w:val="center"/>
                </w:tcPr>
                <w:p>
                  <w:pPr>
                    <w:pStyle w:val="119"/>
                    <w:spacing w:line="240" w:lineRule="auto"/>
                    <w:ind w:firstLine="0" w:firstLineChars="0"/>
                    <w:jc w:val="center"/>
                    <w:rPr>
                      <w:sz w:val="21"/>
                      <w:szCs w:val="21"/>
                      <w:u w:val="none"/>
                    </w:rPr>
                  </w:pPr>
                </w:p>
              </w:tc>
              <w:tc>
                <w:tcPr>
                  <w:tcW w:w="3437" w:type="dxa"/>
                  <w:vAlign w:val="center"/>
                </w:tcPr>
                <w:p>
                  <w:pPr>
                    <w:pStyle w:val="119"/>
                    <w:spacing w:line="240" w:lineRule="auto"/>
                    <w:ind w:firstLine="0" w:firstLineChars="0"/>
                    <w:jc w:val="center"/>
                    <w:rPr>
                      <w:sz w:val="21"/>
                      <w:szCs w:val="21"/>
                      <w:u w:val="none"/>
                    </w:rPr>
                  </w:pPr>
                  <w:r>
                    <w:rPr>
                      <w:sz w:val="21"/>
                      <w:szCs w:val="21"/>
                      <w:u w:val="none"/>
                    </w:rPr>
                    <w:t>地形数据分辨率/m</w:t>
                  </w:r>
                </w:p>
              </w:tc>
              <w:tc>
                <w:tcPr>
                  <w:tcW w:w="2228" w:type="dxa"/>
                  <w:vAlign w:val="center"/>
                </w:tcPr>
                <w:p>
                  <w:pPr>
                    <w:pStyle w:val="119"/>
                    <w:spacing w:line="240" w:lineRule="auto"/>
                    <w:ind w:firstLine="0" w:firstLineChars="0"/>
                    <w:jc w:val="center"/>
                    <w:rPr>
                      <w:sz w:val="21"/>
                      <w:szCs w:val="21"/>
                      <w:u w:val="none"/>
                    </w:rPr>
                  </w:pPr>
                  <w:r>
                    <w:rPr>
                      <w:sz w:val="21"/>
                      <w:szCs w:val="21"/>
                      <w:u w:val="none"/>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1" w:hRule="atLeast"/>
                <w:jc w:val="center"/>
              </w:trPr>
              <w:tc>
                <w:tcPr>
                  <w:tcW w:w="2635" w:type="dxa"/>
                  <w:vMerge w:val="restart"/>
                  <w:vAlign w:val="center"/>
                </w:tcPr>
                <w:p>
                  <w:pPr>
                    <w:pStyle w:val="119"/>
                    <w:spacing w:line="240" w:lineRule="auto"/>
                    <w:ind w:firstLine="0" w:firstLineChars="0"/>
                    <w:jc w:val="center"/>
                    <w:rPr>
                      <w:sz w:val="21"/>
                      <w:szCs w:val="21"/>
                      <w:u w:val="none"/>
                    </w:rPr>
                  </w:pPr>
                  <w:r>
                    <w:rPr>
                      <w:sz w:val="21"/>
                      <w:szCs w:val="21"/>
                      <w:u w:val="none"/>
                    </w:rPr>
                    <w:t>是否考虑岸线熏烟</w:t>
                  </w:r>
                </w:p>
              </w:tc>
              <w:tc>
                <w:tcPr>
                  <w:tcW w:w="3437" w:type="dxa"/>
                  <w:vAlign w:val="center"/>
                </w:tcPr>
                <w:p>
                  <w:pPr>
                    <w:pStyle w:val="119"/>
                    <w:spacing w:line="240" w:lineRule="auto"/>
                    <w:ind w:firstLine="0" w:firstLineChars="0"/>
                    <w:jc w:val="center"/>
                    <w:rPr>
                      <w:sz w:val="21"/>
                      <w:szCs w:val="21"/>
                      <w:u w:val="none"/>
                    </w:rPr>
                  </w:pPr>
                  <w:r>
                    <w:rPr>
                      <w:sz w:val="21"/>
                      <w:szCs w:val="21"/>
                      <w:u w:val="none"/>
                    </w:rPr>
                    <w:t>考虑岸线熏烟/km</w:t>
                  </w:r>
                </w:p>
              </w:tc>
              <w:tc>
                <w:tcPr>
                  <w:tcW w:w="2228" w:type="dxa"/>
                  <w:vAlign w:val="center"/>
                </w:tcPr>
                <w:p>
                  <w:pPr>
                    <w:pStyle w:val="119"/>
                    <w:spacing w:line="240" w:lineRule="auto"/>
                    <w:ind w:firstLine="0" w:firstLineChars="0"/>
                    <w:jc w:val="center"/>
                    <w:rPr>
                      <w:sz w:val="21"/>
                      <w:szCs w:val="21"/>
                      <w:u w:val="none"/>
                    </w:rPr>
                  </w:pPr>
                  <w:r>
                    <w:rPr>
                      <w:sz w:val="21"/>
                      <w:szCs w:val="21"/>
                      <w:u w:val="none"/>
                    </w:rPr>
                    <w:t xml:space="preserve">口是   </w:t>
                  </w:r>
                  <w:r>
                    <w:rPr>
                      <w:sz w:val="21"/>
                      <w:szCs w:val="21"/>
                      <w:u w:val="none"/>
                    </w:rPr>
                    <w:sym w:font="Wingdings 2" w:char="0052"/>
                  </w:r>
                  <w:r>
                    <w:rPr>
                      <w:sz w:val="21"/>
                      <w:szCs w:val="21"/>
                      <w:u w:val="none"/>
                    </w:rPr>
                    <w:t>否</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81" w:hRule="atLeast"/>
                <w:jc w:val="center"/>
              </w:trPr>
              <w:tc>
                <w:tcPr>
                  <w:tcW w:w="2635" w:type="dxa"/>
                  <w:vMerge w:val="continue"/>
                  <w:vAlign w:val="center"/>
                </w:tcPr>
                <w:p>
                  <w:pPr>
                    <w:pStyle w:val="119"/>
                    <w:spacing w:line="240" w:lineRule="auto"/>
                    <w:ind w:firstLine="0" w:firstLineChars="0"/>
                    <w:jc w:val="center"/>
                    <w:rPr>
                      <w:sz w:val="21"/>
                      <w:szCs w:val="21"/>
                      <w:u w:val="none"/>
                    </w:rPr>
                  </w:pPr>
                </w:p>
              </w:tc>
              <w:tc>
                <w:tcPr>
                  <w:tcW w:w="3437" w:type="dxa"/>
                  <w:vAlign w:val="center"/>
                </w:tcPr>
                <w:p>
                  <w:pPr>
                    <w:pStyle w:val="119"/>
                    <w:spacing w:line="240" w:lineRule="auto"/>
                    <w:ind w:firstLine="0" w:firstLineChars="0"/>
                    <w:jc w:val="center"/>
                    <w:rPr>
                      <w:sz w:val="21"/>
                      <w:szCs w:val="21"/>
                      <w:u w:val="none"/>
                    </w:rPr>
                  </w:pPr>
                  <w:r>
                    <w:rPr>
                      <w:sz w:val="21"/>
                      <w:szCs w:val="21"/>
                      <w:u w:val="none"/>
                    </w:rPr>
                    <w:t>岸线方向/°</w:t>
                  </w:r>
                </w:p>
              </w:tc>
              <w:tc>
                <w:tcPr>
                  <w:tcW w:w="2228" w:type="dxa"/>
                  <w:vAlign w:val="center"/>
                </w:tcPr>
                <w:p>
                  <w:pPr>
                    <w:pStyle w:val="119"/>
                    <w:spacing w:line="240" w:lineRule="auto"/>
                    <w:ind w:firstLine="0" w:firstLineChars="0"/>
                    <w:jc w:val="center"/>
                    <w:rPr>
                      <w:sz w:val="21"/>
                      <w:szCs w:val="21"/>
                      <w:u w:val="none"/>
                    </w:rPr>
                  </w:pPr>
                  <w:r>
                    <w:rPr>
                      <w:sz w:val="21"/>
                      <w:szCs w:val="21"/>
                      <w:u w:val="none"/>
                    </w:rPr>
                    <w:t>/</w:t>
                  </w:r>
                </w:p>
              </w:tc>
            </w:tr>
          </w:tbl>
          <w:p>
            <w:pPr>
              <w:adjustRightInd w:val="0"/>
              <w:snapToGrid w:val="0"/>
              <w:spacing w:line="460" w:lineRule="exact"/>
              <w:jc w:val="center"/>
              <w:rPr>
                <w:rFonts w:hint="eastAsia" w:cs="宋体"/>
                <w:b/>
                <w:snapToGrid w:val="0"/>
                <w:color w:val="auto"/>
                <w:kern w:val="0"/>
                <w:sz w:val="24"/>
                <w:szCs w:val="24"/>
                <w:lang w:val="zh-CN"/>
              </w:rPr>
            </w:pPr>
            <w:r>
              <w:rPr>
                <w:rFonts w:hint="eastAsia" w:cs="宋体"/>
                <w:b/>
                <w:snapToGrid w:val="0"/>
                <w:color w:val="auto"/>
                <w:kern w:val="0"/>
                <w:sz w:val="24"/>
                <w:szCs w:val="24"/>
                <w:lang w:val="en-US" w:eastAsia="zh-CN"/>
              </w:rPr>
              <w:t>表30</w:t>
            </w:r>
            <w:r>
              <w:rPr>
                <w:rFonts w:hint="eastAsia" w:cs="宋体"/>
                <w:b/>
                <w:snapToGrid w:val="0"/>
                <w:color w:val="auto"/>
                <w:kern w:val="0"/>
                <w:sz w:val="24"/>
                <w:szCs w:val="24"/>
                <w:lang w:val="zh-CN"/>
              </w:rPr>
              <w:t xml:space="preserve">   面源参数表</w:t>
            </w:r>
          </w:p>
          <w:tbl>
            <w:tblPr>
              <w:tblStyle w:val="29"/>
              <w:tblW w:w="8340"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210"/>
              <w:gridCol w:w="1167"/>
              <w:gridCol w:w="1100"/>
              <w:gridCol w:w="1367"/>
              <w:gridCol w:w="983"/>
              <w:gridCol w:w="1083"/>
              <w:gridCol w:w="1430"/>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PrEx>
              <w:trPr>
                <w:trHeight w:val="766" w:hRule="atLeast"/>
                <w:jc w:val="center"/>
              </w:trPr>
              <w:tc>
                <w:tcPr>
                  <w:tcW w:w="1210" w:type="dxa"/>
                  <w:vAlign w:val="center"/>
                </w:tcPr>
                <w:p>
                  <w:pPr>
                    <w:jc w:val="center"/>
                    <w:rPr>
                      <w:sz w:val="21"/>
                      <w:szCs w:val="21"/>
                      <w:u w:val="none"/>
                    </w:rPr>
                  </w:pPr>
                  <w:r>
                    <w:rPr>
                      <w:sz w:val="21"/>
                      <w:szCs w:val="21"/>
                      <w:u w:val="none"/>
                    </w:rPr>
                    <w:t>污染源</w:t>
                  </w:r>
                </w:p>
              </w:tc>
              <w:tc>
                <w:tcPr>
                  <w:tcW w:w="1167" w:type="dxa"/>
                  <w:vAlign w:val="center"/>
                </w:tcPr>
                <w:p>
                  <w:pPr>
                    <w:jc w:val="center"/>
                    <w:rPr>
                      <w:sz w:val="21"/>
                      <w:szCs w:val="21"/>
                      <w:u w:val="none"/>
                    </w:rPr>
                  </w:pPr>
                  <w:r>
                    <w:rPr>
                      <w:sz w:val="21"/>
                      <w:szCs w:val="21"/>
                      <w:u w:val="none"/>
                    </w:rPr>
                    <w:t>面源长度/m</w:t>
                  </w:r>
                </w:p>
              </w:tc>
              <w:tc>
                <w:tcPr>
                  <w:tcW w:w="1100" w:type="dxa"/>
                  <w:vAlign w:val="center"/>
                </w:tcPr>
                <w:p>
                  <w:pPr>
                    <w:jc w:val="center"/>
                    <w:rPr>
                      <w:sz w:val="21"/>
                      <w:szCs w:val="21"/>
                      <w:u w:val="none"/>
                    </w:rPr>
                  </w:pPr>
                  <w:r>
                    <w:rPr>
                      <w:sz w:val="21"/>
                      <w:szCs w:val="21"/>
                      <w:u w:val="none"/>
                    </w:rPr>
                    <w:t>面源宽度/m</w:t>
                  </w:r>
                </w:p>
              </w:tc>
              <w:tc>
                <w:tcPr>
                  <w:tcW w:w="1367" w:type="dxa"/>
                  <w:vAlign w:val="center"/>
                </w:tcPr>
                <w:p>
                  <w:pPr>
                    <w:jc w:val="center"/>
                    <w:rPr>
                      <w:sz w:val="21"/>
                      <w:szCs w:val="21"/>
                      <w:u w:val="none"/>
                    </w:rPr>
                  </w:pPr>
                  <w:r>
                    <w:rPr>
                      <w:sz w:val="21"/>
                      <w:szCs w:val="21"/>
                      <w:u w:val="none"/>
                    </w:rPr>
                    <w:t>面源有效排放高度/m</w:t>
                  </w:r>
                </w:p>
              </w:tc>
              <w:tc>
                <w:tcPr>
                  <w:tcW w:w="983" w:type="dxa"/>
                  <w:vAlign w:val="center"/>
                </w:tcPr>
                <w:p>
                  <w:pPr>
                    <w:jc w:val="center"/>
                    <w:rPr>
                      <w:sz w:val="21"/>
                      <w:szCs w:val="21"/>
                      <w:u w:val="none"/>
                    </w:rPr>
                  </w:pPr>
                  <w:r>
                    <w:rPr>
                      <w:sz w:val="21"/>
                      <w:szCs w:val="21"/>
                      <w:u w:val="none"/>
                    </w:rPr>
                    <w:t>污染物</w:t>
                  </w:r>
                </w:p>
              </w:tc>
              <w:tc>
                <w:tcPr>
                  <w:tcW w:w="1083" w:type="dxa"/>
                  <w:vAlign w:val="center"/>
                </w:tcPr>
                <w:p>
                  <w:pPr>
                    <w:jc w:val="center"/>
                    <w:rPr>
                      <w:sz w:val="21"/>
                      <w:szCs w:val="21"/>
                      <w:u w:val="none"/>
                    </w:rPr>
                  </w:pPr>
                  <w:r>
                    <w:rPr>
                      <w:sz w:val="21"/>
                      <w:szCs w:val="21"/>
                      <w:u w:val="none"/>
                    </w:rPr>
                    <w:t>排放速率</w:t>
                  </w:r>
                </w:p>
                <w:p>
                  <w:pPr>
                    <w:jc w:val="center"/>
                    <w:rPr>
                      <w:sz w:val="21"/>
                      <w:szCs w:val="21"/>
                      <w:u w:val="none"/>
                    </w:rPr>
                  </w:pPr>
                  <w:r>
                    <w:rPr>
                      <w:sz w:val="21"/>
                      <w:szCs w:val="21"/>
                      <w:u w:val="none"/>
                    </w:rPr>
                    <w:t>/kg/h</w:t>
                  </w:r>
                </w:p>
              </w:tc>
              <w:tc>
                <w:tcPr>
                  <w:tcW w:w="1430" w:type="dxa"/>
                  <w:vAlign w:val="center"/>
                </w:tcPr>
                <w:p>
                  <w:pPr>
                    <w:jc w:val="center"/>
                    <w:rPr>
                      <w:sz w:val="21"/>
                      <w:szCs w:val="21"/>
                      <w:u w:val="none"/>
                    </w:rPr>
                  </w:pPr>
                  <w:r>
                    <w:rPr>
                      <w:sz w:val="21"/>
                      <w:szCs w:val="21"/>
                      <w:u w:val="none"/>
                    </w:rPr>
                    <w:t>1h评价标准μg/m</w:t>
                  </w:r>
                  <w:r>
                    <w:rPr>
                      <w:sz w:val="21"/>
                      <w:szCs w:val="21"/>
                      <w:u w:val="none"/>
                      <w:vertAlign w:val="superscript"/>
                    </w:rPr>
                    <w:t>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67" w:hRule="atLeast"/>
                <w:jc w:val="center"/>
              </w:trPr>
              <w:tc>
                <w:tcPr>
                  <w:tcW w:w="1210" w:type="dxa"/>
                  <w:vMerge w:val="restart"/>
                  <w:vAlign w:val="center"/>
                </w:tcPr>
                <w:p>
                  <w:pPr>
                    <w:jc w:val="center"/>
                    <w:rPr>
                      <w:sz w:val="21"/>
                      <w:szCs w:val="21"/>
                      <w:highlight w:val="yellow"/>
                      <w:u w:val="none"/>
                    </w:rPr>
                  </w:pPr>
                  <w:r>
                    <w:rPr>
                      <w:rFonts w:hint="eastAsia"/>
                      <w:sz w:val="21"/>
                      <w:szCs w:val="21"/>
                      <w:u w:val="none"/>
                    </w:rPr>
                    <w:t>污水处理厂构筑物及污泥脱水间</w:t>
                  </w:r>
                </w:p>
              </w:tc>
              <w:tc>
                <w:tcPr>
                  <w:tcW w:w="1167" w:type="dxa"/>
                  <w:vMerge w:val="restart"/>
                  <w:vAlign w:val="center"/>
                </w:tcPr>
                <w:p>
                  <w:pPr>
                    <w:jc w:val="center"/>
                    <w:rPr>
                      <w:rFonts w:hint="default"/>
                      <w:sz w:val="21"/>
                      <w:szCs w:val="21"/>
                      <w:u w:val="none"/>
                      <w:lang w:val="en-US" w:eastAsia="zh-CN"/>
                    </w:rPr>
                  </w:pPr>
                  <w:r>
                    <w:rPr>
                      <w:rFonts w:hint="eastAsia"/>
                      <w:sz w:val="21"/>
                      <w:szCs w:val="21"/>
                      <w:u w:val="none"/>
                    </w:rPr>
                    <w:t>43.58</w:t>
                  </w:r>
                </w:p>
              </w:tc>
              <w:tc>
                <w:tcPr>
                  <w:tcW w:w="1100" w:type="dxa"/>
                  <w:vMerge w:val="restart"/>
                  <w:vAlign w:val="center"/>
                </w:tcPr>
                <w:p>
                  <w:pPr>
                    <w:jc w:val="center"/>
                    <w:rPr>
                      <w:rFonts w:hint="default"/>
                      <w:sz w:val="21"/>
                      <w:szCs w:val="21"/>
                      <w:u w:val="none"/>
                      <w:lang w:val="en-US" w:eastAsia="zh-CN"/>
                    </w:rPr>
                  </w:pPr>
                  <w:r>
                    <w:rPr>
                      <w:rFonts w:hint="eastAsia"/>
                      <w:sz w:val="21"/>
                      <w:szCs w:val="21"/>
                      <w:u w:val="none"/>
                    </w:rPr>
                    <w:t>18.84</w:t>
                  </w:r>
                </w:p>
              </w:tc>
              <w:tc>
                <w:tcPr>
                  <w:tcW w:w="1367" w:type="dxa"/>
                  <w:vMerge w:val="restart"/>
                  <w:vAlign w:val="center"/>
                </w:tcPr>
                <w:p>
                  <w:pPr>
                    <w:jc w:val="center"/>
                    <w:rPr>
                      <w:rFonts w:hint="default"/>
                      <w:sz w:val="21"/>
                      <w:szCs w:val="21"/>
                      <w:u w:val="none"/>
                      <w:lang w:val="en-US" w:eastAsia="zh-CN"/>
                    </w:rPr>
                  </w:pPr>
                  <w:r>
                    <w:rPr>
                      <w:rFonts w:hint="eastAsia"/>
                      <w:sz w:val="21"/>
                      <w:szCs w:val="21"/>
                      <w:u w:val="none"/>
                    </w:rPr>
                    <w:t>10.00</w:t>
                  </w:r>
                </w:p>
              </w:tc>
              <w:tc>
                <w:tcPr>
                  <w:tcW w:w="983" w:type="dxa"/>
                  <w:vAlign w:val="center"/>
                </w:tcPr>
                <w:p>
                  <w:pPr>
                    <w:jc w:val="center"/>
                    <w:rPr>
                      <w:sz w:val="21"/>
                      <w:szCs w:val="21"/>
                      <w:u w:val="none"/>
                    </w:rPr>
                  </w:pPr>
                  <w:r>
                    <w:rPr>
                      <w:rFonts w:hint="eastAsia"/>
                      <w:sz w:val="21"/>
                      <w:szCs w:val="21"/>
                      <w:u w:val="none"/>
                    </w:rPr>
                    <w:t>H</w:t>
                  </w:r>
                  <w:r>
                    <w:rPr>
                      <w:rFonts w:hint="eastAsia"/>
                      <w:sz w:val="21"/>
                      <w:szCs w:val="21"/>
                      <w:u w:val="none"/>
                      <w:vertAlign w:val="subscript"/>
                    </w:rPr>
                    <w:t>2</w:t>
                  </w:r>
                  <w:r>
                    <w:rPr>
                      <w:rFonts w:hint="eastAsia"/>
                      <w:sz w:val="21"/>
                      <w:szCs w:val="21"/>
                      <w:u w:val="none"/>
                    </w:rPr>
                    <w:t>S</w:t>
                  </w:r>
                </w:p>
              </w:tc>
              <w:tc>
                <w:tcPr>
                  <w:tcW w:w="1083" w:type="dxa"/>
                  <w:vAlign w:val="center"/>
                </w:tcPr>
                <w:p>
                  <w:pPr>
                    <w:jc w:val="center"/>
                    <w:rPr>
                      <w:rFonts w:hint="default" w:eastAsia="宋体"/>
                      <w:sz w:val="21"/>
                      <w:szCs w:val="21"/>
                      <w:u w:val="none"/>
                      <w:lang w:val="en-US" w:eastAsia="zh-CN"/>
                    </w:rPr>
                  </w:pPr>
                  <w:r>
                    <w:rPr>
                      <w:rFonts w:hint="eastAsia"/>
                      <w:sz w:val="21"/>
                      <w:szCs w:val="21"/>
                      <w:u w:val="none"/>
                      <w:lang w:val="en-US" w:eastAsia="zh-CN"/>
                    </w:rPr>
                    <w:t>0.00017</w:t>
                  </w:r>
                </w:p>
              </w:tc>
              <w:tc>
                <w:tcPr>
                  <w:tcW w:w="1430" w:type="dxa"/>
                  <w:vAlign w:val="center"/>
                </w:tcPr>
                <w:p>
                  <w:pPr>
                    <w:jc w:val="center"/>
                    <w:rPr>
                      <w:sz w:val="21"/>
                      <w:szCs w:val="21"/>
                      <w:u w:val="none"/>
                    </w:rPr>
                  </w:pPr>
                  <w:r>
                    <w:rPr>
                      <w:rFonts w:hint="eastAsia"/>
                      <w:sz w:val="21"/>
                      <w:szCs w:val="21"/>
                      <w:u w:val="none"/>
                    </w:rPr>
                    <w:t>10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59" w:hRule="atLeast"/>
                <w:jc w:val="center"/>
              </w:trPr>
              <w:tc>
                <w:tcPr>
                  <w:tcW w:w="1210" w:type="dxa"/>
                  <w:vMerge w:val="continue"/>
                  <w:vAlign w:val="center"/>
                </w:tcPr>
                <w:p>
                  <w:pPr>
                    <w:jc w:val="center"/>
                    <w:rPr>
                      <w:sz w:val="21"/>
                      <w:szCs w:val="21"/>
                      <w:highlight w:val="yellow"/>
                      <w:u w:val="none"/>
                    </w:rPr>
                  </w:pPr>
                </w:p>
              </w:tc>
              <w:tc>
                <w:tcPr>
                  <w:tcW w:w="1167" w:type="dxa"/>
                  <w:vMerge w:val="continue"/>
                  <w:vAlign w:val="center"/>
                </w:tcPr>
                <w:p>
                  <w:pPr>
                    <w:jc w:val="center"/>
                    <w:rPr>
                      <w:sz w:val="21"/>
                      <w:szCs w:val="21"/>
                      <w:u w:val="none"/>
                    </w:rPr>
                  </w:pPr>
                </w:p>
              </w:tc>
              <w:tc>
                <w:tcPr>
                  <w:tcW w:w="1100" w:type="dxa"/>
                  <w:vMerge w:val="continue"/>
                  <w:vAlign w:val="center"/>
                </w:tcPr>
                <w:p>
                  <w:pPr>
                    <w:jc w:val="center"/>
                    <w:rPr>
                      <w:sz w:val="21"/>
                      <w:szCs w:val="21"/>
                      <w:u w:val="none"/>
                    </w:rPr>
                  </w:pPr>
                </w:p>
              </w:tc>
              <w:tc>
                <w:tcPr>
                  <w:tcW w:w="1367" w:type="dxa"/>
                  <w:vMerge w:val="continue"/>
                  <w:vAlign w:val="center"/>
                </w:tcPr>
                <w:p>
                  <w:pPr>
                    <w:jc w:val="center"/>
                    <w:rPr>
                      <w:sz w:val="21"/>
                      <w:szCs w:val="21"/>
                      <w:u w:val="none"/>
                    </w:rPr>
                  </w:pPr>
                </w:p>
              </w:tc>
              <w:tc>
                <w:tcPr>
                  <w:tcW w:w="983" w:type="dxa"/>
                  <w:vAlign w:val="center"/>
                </w:tcPr>
                <w:p>
                  <w:pPr>
                    <w:jc w:val="center"/>
                    <w:rPr>
                      <w:sz w:val="21"/>
                      <w:szCs w:val="21"/>
                      <w:u w:val="none"/>
                    </w:rPr>
                  </w:pPr>
                  <w:r>
                    <w:rPr>
                      <w:sz w:val="21"/>
                      <w:szCs w:val="21"/>
                      <w:u w:val="none"/>
                    </w:rPr>
                    <w:t>N</w:t>
                  </w:r>
                  <w:r>
                    <w:rPr>
                      <w:rFonts w:hint="eastAsia"/>
                      <w:sz w:val="21"/>
                      <w:szCs w:val="21"/>
                      <w:u w:val="none"/>
                    </w:rPr>
                    <w:t>H</w:t>
                  </w:r>
                  <w:r>
                    <w:rPr>
                      <w:rFonts w:hint="eastAsia"/>
                      <w:sz w:val="21"/>
                      <w:szCs w:val="21"/>
                      <w:u w:val="none"/>
                      <w:vertAlign w:val="subscript"/>
                    </w:rPr>
                    <w:t>3</w:t>
                  </w:r>
                </w:p>
              </w:tc>
              <w:tc>
                <w:tcPr>
                  <w:tcW w:w="1083" w:type="dxa"/>
                  <w:vAlign w:val="center"/>
                </w:tcPr>
                <w:p>
                  <w:pPr>
                    <w:jc w:val="center"/>
                    <w:rPr>
                      <w:rFonts w:hint="default" w:eastAsia="宋体"/>
                      <w:sz w:val="21"/>
                      <w:szCs w:val="21"/>
                      <w:u w:val="none"/>
                      <w:lang w:val="en-US" w:eastAsia="zh-CN"/>
                    </w:rPr>
                  </w:pPr>
                  <w:r>
                    <w:rPr>
                      <w:rFonts w:hint="eastAsia"/>
                      <w:sz w:val="21"/>
                      <w:szCs w:val="21"/>
                      <w:u w:val="none"/>
                    </w:rPr>
                    <w:t>0.0</w:t>
                  </w:r>
                  <w:r>
                    <w:rPr>
                      <w:rFonts w:hint="eastAsia"/>
                      <w:sz w:val="21"/>
                      <w:szCs w:val="21"/>
                      <w:u w:val="none"/>
                      <w:lang w:val="en-US" w:eastAsia="zh-CN"/>
                    </w:rPr>
                    <w:t>0445</w:t>
                  </w:r>
                </w:p>
              </w:tc>
              <w:tc>
                <w:tcPr>
                  <w:tcW w:w="1430" w:type="dxa"/>
                  <w:vAlign w:val="center"/>
                </w:tcPr>
                <w:p>
                  <w:pPr>
                    <w:jc w:val="center"/>
                    <w:rPr>
                      <w:sz w:val="21"/>
                      <w:szCs w:val="21"/>
                      <w:u w:val="none"/>
                    </w:rPr>
                  </w:pPr>
                  <w:r>
                    <w:rPr>
                      <w:rFonts w:hint="eastAsia"/>
                      <w:sz w:val="21"/>
                      <w:szCs w:val="21"/>
                      <w:u w:val="none"/>
                    </w:rPr>
                    <w:t>200</w:t>
                  </w:r>
                </w:p>
              </w:tc>
            </w:tr>
          </w:tbl>
          <w:p>
            <w:pPr>
              <w:pStyle w:val="9"/>
              <w:spacing w:line="480" w:lineRule="exact"/>
              <w:ind w:firstLine="480" w:firstLineChars="200"/>
              <w:jc w:val="left"/>
              <w:rPr>
                <w:sz w:val="24"/>
                <w:szCs w:val="16"/>
                <w:u w:val="none"/>
              </w:rPr>
            </w:pPr>
            <w:r>
              <w:rPr>
                <w:bCs/>
                <w:sz w:val="24"/>
                <w:szCs w:val="18"/>
                <w:u w:val="none"/>
              </w:rPr>
              <w:t>注：</w:t>
            </w:r>
            <w:r>
              <w:rPr>
                <w:rFonts w:hint="eastAsia"/>
                <w:sz w:val="24"/>
                <w:szCs w:val="16"/>
                <w:u w:val="none"/>
              </w:rPr>
              <w:t>H</w:t>
            </w:r>
            <w:r>
              <w:rPr>
                <w:rFonts w:hint="eastAsia"/>
                <w:sz w:val="24"/>
                <w:szCs w:val="16"/>
                <w:u w:val="none"/>
                <w:vertAlign w:val="subscript"/>
              </w:rPr>
              <w:t>2</w:t>
            </w:r>
            <w:r>
              <w:rPr>
                <w:rFonts w:hint="eastAsia"/>
                <w:sz w:val="24"/>
                <w:szCs w:val="16"/>
                <w:u w:val="none"/>
              </w:rPr>
              <w:t>S、NH</w:t>
            </w:r>
            <w:r>
              <w:rPr>
                <w:rFonts w:hint="eastAsia"/>
                <w:sz w:val="24"/>
                <w:szCs w:val="16"/>
                <w:u w:val="none"/>
                <w:vertAlign w:val="subscript"/>
              </w:rPr>
              <w:t>3</w:t>
            </w:r>
            <w:r>
              <w:rPr>
                <w:rFonts w:hint="eastAsia"/>
                <w:sz w:val="24"/>
                <w:szCs w:val="16"/>
                <w:u w:val="none"/>
              </w:rPr>
              <w:t>取</w:t>
            </w:r>
            <w:r>
              <w:rPr>
                <w:sz w:val="24"/>
                <w:szCs w:val="16"/>
                <w:u w:val="none"/>
              </w:rPr>
              <w:t>《环境影响评价技术导则 大气环境》（HJ2.2-2018）附录D其他污染物空气质量浓度参考限值中的</w:t>
            </w:r>
            <w:r>
              <w:rPr>
                <w:rFonts w:hint="eastAsia"/>
                <w:sz w:val="24"/>
                <w:szCs w:val="16"/>
                <w:u w:val="none"/>
              </w:rPr>
              <w:t>1小时浓度</w:t>
            </w:r>
            <w:r>
              <w:rPr>
                <w:sz w:val="24"/>
                <w:szCs w:val="16"/>
                <w:u w:val="none"/>
              </w:rPr>
              <w:t>值。</w:t>
            </w:r>
          </w:p>
          <w:p>
            <w:pPr>
              <w:pStyle w:val="9"/>
              <w:spacing w:line="480" w:lineRule="exact"/>
              <w:ind w:firstLine="480" w:firstLineChars="200"/>
              <w:jc w:val="left"/>
              <w:rPr>
                <w:sz w:val="24"/>
                <w:u w:val="none"/>
              </w:rPr>
            </w:pPr>
            <w:r>
              <w:rPr>
                <w:bCs/>
                <w:sz w:val="24"/>
                <w:szCs w:val="18"/>
                <w:u w:val="none"/>
              </w:rPr>
              <w:t>本项目Pmax最大值出现为矩形面源排放的NH3Pmax值为0.8238%,Cmax为1.6477μg/m³,根据《环境影响评价技术导则 大气环境》（HJ2.2-2018）分级判据，确定本项目大气环境影响评价工作等级为三级</w:t>
            </w:r>
            <w:r>
              <w:rPr>
                <w:rFonts w:hint="eastAsia"/>
                <w:bCs/>
                <w:sz w:val="24"/>
                <w:szCs w:val="18"/>
                <w:u w:val="none"/>
                <w:lang w:eastAsia="zh-CN"/>
              </w:rPr>
              <w:t>。</w:t>
            </w:r>
          </w:p>
          <w:p>
            <w:pPr>
              <w:spacing w:line="360" w:lineRule="auto"/>
              <w:ind w:firstLine="480" w:firstLineChars="200"/>
              <w:rPr>
                <w:sz w:val="24"/>
                <w:u w:val="none"/>
              </w:rPr>
            </w:pPr>
            <w:r>
              <w:rPr>
                <w:sz w:val="24"/>
                <w:u w:val="none"/>
              </w:rPr>
              <w:t>（2）评价范围</w:t>
            </w:r>
          </w:p>
          <w:p>
            <w:pPr>
              <w:pStyle w:val="120"/>
              <w:rPr>
                <w:rFonts w:ascii="Times New Roman"/>
                <w:u w:val="none"/>
              </w:rPr>
            </w:pPr>
            <w:r>
              <w:rPr>
                <w:rFonts w:ascii="Times New Roman"/>
                <w:u w:val="none"/>
              </w:rPr>
              <w:t>环境空气评价范围：根据《环境影响评价技术导则 大气环境》（HJ2.2-2018），</w:t>
            </w:r>
            <w:r>
              <w:rPr>
                <w:rFonts w:hint="eastAsia" w:ascii="Times New Roman"/>
                <w:u w:val="none"/>
                <w:lang w:val="en-US" w:eastAsia="zh-CN"/>
              </w:rPr>
              <w:t>三级评价项目不需设置大气环境评价范围。</w:t>
            </w:r>
          </w:p>
          <w:p>
            <w:pPr>
              <w:keepNext w:val="0"/>
              <w:keepLines w:val="0"/>
              <w:pageBreakBefore w:val="0"/>
              <w:widowControl w:val="0"/>
              <w:kinsoku/>
              <w:wordWrap/>
              <w:overflowPunct/>
              <w:topLinePunct w:val="0"/>
              <w:bidi w:val="0"/>
              <w:snapToGrid/>
              <w:spacing w:line="360" w:lineRule="auto"/>
              <w:ind w:firstLine="482"/>
              <w:textAlignment w:val="auto"/>
              <w:rPr>
                <w:b/>
                <w:sz w:val="24"/>
                <w:szCs w:val="22"/>
                <w:u w:val="none"/>
              </w:rPr>
            </w:pPr>
            <w:r>
              <w:rPr>
                <w:b/>
                <w:sz w:val="24"/>
                <w:szCs w:val="22"/>
                <w:u w:val="none"/>
              </w:rPr>
              <w:t>1.2污染物排放量核算</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sz w:val="24"/>
                <w:u w:val="none"/>
                <w:lang w:eastAsia="zh-CN"/>
              </w:rPr>
            </w:pPr>
            <w:r>
              <w:rPr>
                <w:sz w:val="24"/>
                <w:u w:val="none"/>
              </w:rPr>
              <w:t>本项目大气环境影响评价工作等级为</w:t>
            </w:r>
            <w:r>
              <w:rPr>
                <w:rFonts w:hint="eastAsia"/>
                <w:sz w:val="24"/>
                <w:u w:val="none"/>
                <w:lang w:val="en-US" w:eastAsia="zh-CN"/>
              </w:rPr>
              <w:t>三</w:t>
            </w:r>
            <w:r>
              <w:rPr>
                <w:sz w:val="24"/>
                <w:u w:val="none"/>
              </w:rPr>
              <w:t>级，根据《环境影响评价技术导则  大气环境》（HJ2.2-2018）中8.1.2内容：</w:t>
            </w:r>
            <w:r>
              <w:rPr>
                <w:rFonts w:hint="eastAsia"/>
                <w:sz w:val="24"/>
                <w:u w:val="none"/>
                <w:lang w:val="en-US" w:eastAsia="zh-CN"/>
              </w:rPr>
              <w:t>三</w:t>
            </w:r>
            <w:r>
              <w:rPr>
                <w:sz w:val="24"/>
                <w:u w:val="none"/>
              </w:rPr>
              <w:t>级评价项目不进行进一步预测与评价</w:t>
            </w:r>
            <w:r>
              <w:rPr>
                <w:rFonts w:hint="eastAsia"/>
                <w:sz w:val="24"/>
                <w:u w:val="none"/>
                <w:lang w:eastAsia="zh-CN"/>
              </w:rPr>
              <w:t>。</w:t>
            </w:r>
          </w:p>
          <w:p>
            <w:pPr>
              <w:spacing w:line="360" w:lineRule="auto"/>
              <w:ind w:firstLine="482"/>
              <w:rPr>
                <w:b/>
                <w:sz w:val="24"/>
                <w:szCs w:val="22"/>
                <w:u w:val="none"/>
              </w:rPr>
            </w:pPr>
            <w:r>
              <w:rPr>
                <w:b/>
                <w:sz w:val="24"/>
                <w:szCs w:val="22"/>
                <w:u w:val="none"/>
              </w:rPr>
              <w:t>1.3大气环境防护距离</w:t>
            </w:r>
          </w:p>
          <w:p>
            <w:pPr>
              <w:pStyle w:val="25"/>
              <w:widowControl w:val="0"/>
              <w:spacing w:before="0" w:beforeAutospacing="0" w:after="0" w:afterAutospacing="0" w:line="360" w:lineRule="auto"/>
              <w:ind w:firstLine="480" w:firstLineChars="200"/>
              <w:jc w:val="both"/>
              <w:rPr>
                <w:rFonts w:hint="default" w:ascii="Times New Roman" w:hAnsi="Times New Roman" w:cs="Times New Roman"/>
                <w:bCs/>
                <w:color w:val="auto"/>
                <w:highlight w:val="none"/>
                <w:u w:val="none"/>
              </w:rPr>
            </w:pPr>
            <w:r>
              <w:rPr>
                <w:rFonts w:hint="default" w:ascii="Times New Roman" w:hAnsi="Times New Roman" w:cs="Times New Roman"/>
                <w:sz w:val="24"/>
                <w:u w:val="none"/>
              </w:rPr>
              <w:t>本项目建设性质为</w:t>
            </w:r>
            <w:r>
              <w:rPr>
                <w:rFonts w:hint="default" w:ascii="Times New Roman" w:hAnsi="Times New Roman" w:cs="Times New Roman"/>
                <w:sz w:val="24"/>
                <w:u w:val="none"/>
                <w:lang w:eastAsia="zh-CN"/>
              </w:rPr>
              <w:t>新建</w:t>
            </w:r>
            <w:r>
              <w:rPr>
                <w:rFonts w:hint="default" w:ascii="Times New Roman" w:hAnsi="Times New Roman" w:cs="Times New Roman"/>
                <w:sz w:val="24"/>
                <w:u w:val="none"/>
              </w:rPr>
              <w:t>，项目厂界的占标率小于质量浓度，无需设置大气防护距离。</w:t>
            </w:r>
            <w:r>
              <w:rPr>
                <w:rFonts w:hint="default" w:ascii="Times New Roman" w:hAnsi="Times New Roman" w:cs="Times New Roman"/>
                <w:bCs/>
                <w:color w:val="auto"/>
                <w:highlight w:val="none"/>
                <w:u w:val="none"/>
              </w:rPr>
              <w:t>本项目污水处理厂产生的恶臭中的硫化氢、氨等的最大落地浓度，均出未出现超标现象，项目污染源排放的大气污染物最大地面浓度远远小于评价标准，贡献值很小。因此，本项目大气污染物经处理后排放，对评价范围内的大气环境影响较小，不会改变评价范围内的大气环境功能</w:t>
            </w:r>
            <w:r>
              <w:rPr>
                <w:rFonts w:hint="eastAsia" w:ascii="Times New Roman" w:hAnsi="Times New Roman" w:cs="Times New Roman"/>
                <w:bCs/>
                <w:color w:val="auto"/>
                <w:highlight w:val="none"/>
                <w:u w:val="none"/>
                <w:lang w:eastAsia="zh-CN"/>
              </w:rPr>
              <w:t>，</w:t>
            </w:r>
            <w:r>
              <w:rPr>
                <w:rFonts w:hint="eastAsia" w:ascii="Times New Roman" w:hAnsi="Times New Roman" w:cs="Times New Roman"/>
                <w:bCs/>
                <w:color w:val="auto"/>
                <w:highlight w:val="none"/>
                <w:u w:val="none"/>
                <w:shd w:val="clear" w:color="auto" w:fill="auto"/>
                <w:lang w:val="en-US" w:eastAsia="zh-CN"/>
              </w:rPr>
              <w:t>本项目不设置大气防护距离。</w:t>
            </w:r>
          </w:p>
          <w:p>
            <w:pPr>
              <w:spacing w:line="360" w:lineRule="auto"/>
              <w:ind w:firstLine="480" w:firstLineChars="200"/>
              <w:rPr>
                <w:rFonts w:hint="eastAsia" w:cs="宋体"/>
                <w:b/>
                <w:bCs/>
                <w:color w:val="auto"/>
                <w:kern w:val="2"/>
                <w:sz w:val="24"/>
                <w:szCs w:val="24"/>
                <w:highlight w:val="none"/>
                <w:u w:val="none"/>
                <w:lang w:val="en-US" w:eastAsia="zh-CN"/>
              </w:rPr>
            </w:pPr>
            <w:r>
              <w:rPr>
                <w:sz w:val="24"/>
                <w:u w:val="none"/>
              </w:rPr>
              <w:t>综上所述，本项目经过废气处理设施处理及空气稀释扩散后，大气</w:t>
            </w:r>
            <w:r>
              <w:rPr>
                <w:rFonts w:hint="eastAsia"/>
                <w:sz w:val="24"/>
                <w:u w:val="none"/>
              </w:rPr>
              <w:t>污染物</w:t>
            </w:r>
            <w:r>
              <w:rPr>
                <w:sz w:val="24"/>
                <w:u w:val="none"/>
              </w:rPr>
              <w:t>占标率小于质量浓度</w:t>
            </w:r>
            <w:r>
              <w:rPr>
                <w:rFonts w:hint="eastAsia"/>
                <w:sz w:val="24"/>
                <w:u w:val="none"/>
              </w:rPr>
              <w:t>，</w:t>
            </w:r>
            <w:r>
              <w:rPr>
                <w:sz w:val="24"/>
                <w:u w:val="none"/>
              </w:rPr>
              <w:t>大气污染物对周围敏感目标影响较小。</w:t>
            </w:r>
          </w:p>
          <w:p>
            <w:pPr>
              <w:pStyle w:val="14"/>
              <w:spacing w:line="460" w:lineRule="exact"/>
              <w:rPr>
                <w:rFonts w:hint="eastAsia" w:eastAsia="宋体" w:cs="宋体"/>
                <w:b/>
                <w:bCs/>
                <w:color w:val="auto"/>
                <w:kern w:val="2"/>
                <w:sz w:val="24"/>
                <w:szCs w:val="24"/>
                <w:highlight w:val="none"/>
                <w:u w:val="none"/>
                <w:lang w:eastAsia="zh-CN"/>
              </w:rPr>
            </w:pPr>
            <w:r>
              <w:rPr>
                <w:rFonts w:hint="eastAsia" w:cs="宋体"/>
                <w:b/>
                <w:bCs/>
                <w:color w:val="auto"/>
                <w:kern w:val="2"/>
                <w:sz w:val="24"/>
                <w:szCs w:val="24"/>
                <w:highlight w:val="none"/>
                <w:u w:val="none"/>
                <w:lang w:val="en-US" w:eastAsia="zh-CN"/>
              </w:rPr>
              <w:t>1.4废气</w:t>
            </w:r>
            <w:r>
              <w:rPr>
                <w:rFonts w:hint="eastAsia" w:cs="宋体"/>
                <w:b/>
                <w:bCs/>
                <w:color w:val="auto"/>
                <w:kern w:val="2"/>
                <w:sz w:val="24"/>
                <w:szCs w:val="24"/>
                <w:highlight w:val="none"/>
                <w:u w:val="none"/>
                <w:lang w:eastAsia="zh-CN"/>
              </w:rPr>
              <w:t>防治措施分析</w:t>
            </w:r>
          </w:p>
          <w:p>
            <w:pPr>
              <w:spacing w:line="460" w:lineRule="exact"/>
              <w:ind w:firstLine="484" w:firstLineChars="202"/>
              <w:rPr>
                <w:rFonts w:cs="宋体"/>
                <w:color w:val="auto"/>
                <w:sz w:val="24"/>
                <w:szCs w:val="24"/>
                <w:highlight w:val="none"/>
                <w:u w:val="single"/>
                <w:shd w:val="clear" w:color="auto" w:fill="auto"/>
              </w:rPr>
            </w:pPr>
            <w:r>
              <w:rPr>
                <w:rFonts w:hint="eastAsia" w:cs="宋体"/>
                <w:color w:val="auto"/>
                <w:sz w:val="24"/>
                <w:szCs w:val="24"/>
                <w:highlight w:val="none"/>
                <w:u w:val="single"/>
                <w:shd w:val="clear" w:color="auto" w:fill="auto"/>
              </w:rPr>
              <w:t>污水处理厂生化处理采用 A2/O 工艺，它采用是底部曝气溶氧的方式，产生 H2S 气味很少。另外，尽管池内有厌氧反应过程，由于其厌氧反应时间短，所产生的 H2S 气体较少，加之厂区四周开阔，空气扩散速度较快，</w:t>
            </w:r>
            <w:r>
              <w:rPr>
                <w:rFonts w:hint="eastAsia" w:cs="宋体"/>
                <w:color w:val="auto"/>
                <w:sz w:val="24"/>
                <w:szCs w:val="24"/>
                <w:highlight w:val="none"/>
                <w:u w:val="single"/>
                <w:shd w:val="clear" w:color="auto" w:fill="auto"/>
                <w:lang w:val="en-US" w:eastAsia="zh-CN"/>
              </w:rPr>
              <w:t>本项目一体化设备全部加盖，</w:t>
            </w:r>
            <w:r>
              <w:rPr>
                <w:rFonts w:hint="eastAsia" w:cs="宋体"/>
                <w:color w:val="auto"/>
                <w:sz w:val="24"/>
                <w:szCs w:val="24"/>
                <w:highlight w:val="none"/>
                <w:u w:val="single"/>
                <w:shd w:val="clear" w:color="auto" w:fill="auto"/>
              </w:rPr>
              <w:t>再加上厂区内部及周围大面积绿化带的吸收，产生的气味对周边环境不会造成大的影响。</w:t>
            </w:r>
          </w:p>
          <w:p>
            <w:pPr>
              <w:pStyle w:val="14"/>
              <w:spacing w:line="460" w:lineRule="exact"/>
              <w:rPr>
                <w:rFonts w:cs="宋体"/>
                <w:b/>
                <w:bCs/>
                <w:color w:val="auto"/>
                <w:kern w:val="2"/>
                <w:sz w:val="24"/>
                <w:szCs w:val="24"/>
                <w:highlight w:val="none"/>
              </w:rPr>
            </w:pPr>
            <w:r>
              <w:rPr>
                <w:rFonts w:hint="eastAsia" w:cs="宋体"/>
                <w:b/>
                <w:bCs/>
                <w:color w:val="auto"/>
                <w:kern w:val="2"/>
                <w:sz w:val="24"/>
                <w:szCs w:val="24"/>
                <w:highlight w:val="none"/>
                <w:lang w:val="en-US" w:eastAsia="zh-CN"/>
              </w:rPr>
              <w:t>1.5</w:t>
            </w:r>
            <w:r>
              <w:rPr>
                <w:rFonts w:hint="eastAsia" w:cs="宋体"/>
                <w:b/>
                <w:bCs/>
                <w:color w:val="auto"/>
                <w:kern w:val="2"/>
                <w:sz w:val="24"/>
                <w:szCs w:val="24"/>
                <w:highlight w:val="none"/>
              </w:rPr>
              <w:t>控制措施</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a.污泥脱水后及时用密闭车辆清运，减少污泥堆放量；</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b.加强运行操作管理，产生臭气的设施密封，负压集中收集；</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c.在污染源水面喷洒除味剂，掩蔽恶臭；</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d.污泥脱水间安装机械排风装置；</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e.厂区内种植除臭效果良好的树种、花草；</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f.要求在工作过程中强化管理，运行时关好门窗；</w:t>
            </w:r>
          </w:p>
          <w:p>
            <w:pPr>
              <w:pStyle w:val="14"/>
              <w:spacing w:line="460" w:lineRule="exact"/>
              <w:rPr>
                <w:rFonts w:cs="宋体"/>
                <w:color w:val="auto"/>
                <w:kern w:val="2"/>
                <w:sz w:val="24"/>
                <w:szCs w:val="24"/>
                <w:highlight w:val="none"/>
              </w:rPr>
            </w:pPr>
            <w:r>
              <w:rPr>
                <w:rFonts w:hint="eastAsia" w:cs="宋体"/>
                <w:color w:val="auto"/>
                <w:kern w:val="2"/>
                <w:sz w:val="24"/>
                <w:szCs w:val="24"/>
                <w:highlight w:val="none"/>
              </w:rPr>
              <w:t>g.较强卫生保护，重视消毒、杀毒及杀灭蚊蝇工作；</w:t>
            </w:r>
          </w:p>
          <w:p>
            <w:pPr>
              <w:pStyle w:val="14"/>
              <w:spacing w:line="460" w:lineRule="exact"/>
              <w:rPr>
                <w:rFonts w:hint="eastAsia" w:cs="宋体"/>
                <w:color w:val="auto"/>
                <w:kern w:val="2"/>
                <w:sz w:val="24"/>
                <w:szCs w:val="24"/>
                <w:highlight w:val="none"/>
              </w:rPr>
            </w:pPr>
            <w:r>
              <w:rPr>
                <w:rFonts w:hint="eastAsia" w:cs="宋体"/>
                <w:color w:val="auto"/>
                <w:kern w:val="2"/>
                <w:sz w:val="24"/>
                <w:szCs w:val="24"/>
                <w:highlight w:val="none"/>
              </w:rPr>
              <w:t>h.在现有的总平面布局上，建议将污泥池、污泥脱水间等安排在厂区西北侧，远离厂前区和周边居民点，尽量减少恶臭对附近居民的影响。</w:t>
            </w:r>
          </w:p>
          <w:p>
            <w:pPr>
              <w:pStyle w:val="14"/>
              <w:spacing w:line="460" w:lineRule="exact"/>
              <w:rPr>
                <w:rFonts w:hint="default" w:eastAsia="宋体" w:cs="宋体"/>
                <w:color w:val="auto"/>
                <w:kern w:val="2"/>
                <w:sz w:val="24"/>
                <w:szCs w:val="24"/>
                <w:highlight w:val="none"/>
                <w:u w:val="single"/>
                <w:lang w:val="en-US" w:eastAsia="zh-CN"/>
              </w:rPr>
            </w:pPr>
            <w:r>
              <w:rPr>
                <w:rFonts w:hint="eastAsia" w:cs="宋体"/>
                <w:color w:val="auto"/>
                <w:kern w:val="2"/>
                <w:sz w:val="24"/>
                <w:szCs w:val="24"/>
                <w:highlight w:val="none"/>
                <w:u w:val="single"/>
                <w:lang w:val="en-US" w:eastAsia="zh-CN"/>
              </w:rPr>
              <w:t>i.本环评要求在厂区附近禁止新建建筑。</w:t>
            </w:r>
          </w:p>
          <w:p>
            <w:pPr>
              <w:keepNext w:val="0"/>
              <w:keepLines w:val="0"/>
              <w:pageBreakBefore w:val="0"/>
              <w:widowControl w:val="0"/>
              <w:kinsoku/>
              <w:wordWrap/>
              <w:overflowPunct/>
              <w:topLinePunct w:val="0"/>
              <w:autoSpaceDE/>
              <w:autoSpaceDN/>
              <w:bidi w:val="0"/>
              <w:adjustRightInd/>
              <w:snapToGrid/>
              <w:spacing w:line="460" w:lineRule="atLeast"/>
              <w:ind w:firstLine="482" w:firstLineChars="200"/>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2</w:t>
            </w:r>
            <w:r>
              <w:rPr>
                <w:rFonts w:hint="eastAsia" w:cs="宋体"/>
                <w:b/>
                <w:bCs/>
                <w:color w:val="auto"/>
                <w:sz w:val="24"/>
                <w:szCs w:val="24"/>
                <w:highlight w:val="none"/>
              </w:rPr>
              <w:t>水环境影响分析</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left"/>
              <w:textAlignment w:val="auto"/>
              <w:rPr>
                <w:bCs/>
                <w:color w:val="auto"/>
                <w:sz w:val="24"/>
                <w:highlight w:val="none"/>
              </w:rPr>
            </w:pPr>
            <w:bookmarkStart w:id="11" w:name="_Toc161286005"/>
            <w:r>
              <w:rPr>
                <w:rFonts w:hint="eastAsia"/>
                <w:bCs/>
                <w:color w:val="auto"/>
                <w:sz w:val="24"/>
                <w:highlight w:val="none"/>
              </w:rPr>
              <w:t>2.2.1</w:t>
            </w:r>
            <w:r>
              <w:rPr>
                <w:bCs/>
                <w:color w:val="auto"/>
                <w:sz w:val="24"/>
                <w:highlight w:val="none"/>
              </w:rPr>
              <w:t>本项目废水产生情况</w:t>
            </w:r>
          </w:p>
          <w:p>
            <w:pPr>
              <w:pStyle w:val="2"/>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eastAsia="宋体" w:cs="宋体"/>
                <w:color w:val="auto"/>
                <w:spacing w:val="0"/>
                <w:sz w:val="24"/>
                <w:szCs w:val="24"/>
                <w:highlight w:val="none"/>
              </w:rPr>
            </w:pPr>
            <w:r>
              <w:rPr>
                <w:rFonts w:hint="eastAsia" w:eastAsia="宋体" w:cs="宋体"/>
                <w:color w:val="auto"/>
                <w:spacing w:val="0"/>
                <w:sz w:val="24"/>
                <w:szCs w:val="24"/>
                <w:highlight w:val="none"/>
              </w:rPr>
              <w:t>本项目产生的污水主要为员工生活污水以及污泥压滤水、压滤设备清洗废水等；生活污水经化粪池预处理，混合污泥压滤水、设备清洗废水进入厂区污水处理系统。</w:t>
            </w:r>
          </w:p>
          <w:p>
            <w:pPr>
              <w:pStyle w:val="2"/>
              <w:spacing w:before="5"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项目本身为废水处理工程，项目产生的所有污水最后进入污水处理系统进行处理； 因本项目产生废水量较少，与纳污范围产生的废水相比，可忽略不计，因此本项目不对其进行定量分析。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eastAsia="宋体" w:cs="宋体"/>
                <w:color w:val="auto"/>
                <w:spacing w:val="0"/>
                <w:sz w:val="24"/>
                <w:szCs w:val="24"/>
                <w:highlight w:val="none"/>
              </w:rPr>
            </w:pPr>
            <w:r>
              <w:rPr>
                <w:rFonts w:hint="eastAsia" w:eastAsia="宋体" w:cs="宋体"/>
                <w:color w:val="auto"/>
                <w:spacing w:val="0"/>
                <w:sz w:val="24"/>
                <w:szCs w:val="24"/>
                <w:highlight w:val="none"/>
              </w:rPr>
              <w:t>拟</w:t>
            </w:r>
            <w:r>
              <w:rPr>
                <w:rFonts w:hint="eastAsia" w:cs="宋体"/>
                <w:color w:val="auto"/>
                <w:spacing w:val="0"/>
                <w:sz w:val="24"/>
                <w:szCs w:val="24"/>
                <w:highlight w:val="none"/>
                <w:lang w:val="en-US" w:eastAsia="zh-CN"/>
              </w:rPr>
              <w:t>湘滨</w:t>
            </w:r>
            <w:r>
              <w:rPr>
                <w:rFonts w:hint="eastAsia" w:eastAsia="宋体" w:cs="宋体"/>
                <w:color w:val="auto"/>
                <w:spacing w:val="0"/>
                <w:sz w:val="24"/>
                <w:szCs w:val="24"/>
                <w:highlight w:val="none"/>
                <w:lang w:val="en-US" w:eastAsia="zh-CN"/>
              </w:rPr>
              <w:t>镇</w:t>
            </w:r>
            <w:r>
              <w:rPr>
                <w:rFonts w:hint="eastAsia" w:eastAsia="宋体" w:cs="宋体"/>
                <w:color w:val="auto"/>
                <w:spacing w:val="0"/>
                <w:sz w:val="24"/>
                <w:szCs w:val="24"/>
                <w:highlight w:val="none"/>
              </w:rPr>
              <w:t>污水处理厂及配套的污水管网建成后，将收集区域污水集中处理达到《城镇污水处理厂污染物排放标准》（GB18918-2002）及其修改单表 1 中一级标准 A 标</w:t>
            </w:r>
            <w:r>
              <w:rPr>
                <w:rFonts w:hint="eastAsia" w:eastAsia="宋体" w:cs="宋体"/>
                <w:color w:val="auto"/>
                <w:spacing w:val="0"/>
                <w:sz w:val="24"/>
                <w:szCs w:val="24"/>
                <w:highlight w:val="none"/>
                <w:shd w:val="clear" w:color="auto" w:fill="auto"/>
              </w:rPr>
              <w:t>准后进入</w:t>
            </w:r>
            <w:r>
              <w:rPr>
                <w:rFonts w:hint="eastAsia" w:eastAsia="宋体" w:cs="宋体"/>
                <w:color w:val="auto"/>
                <w:spacing w:val="0"/>
                <w:sz w:val="24"/>
                <w:szCs w:val="24"/>
                <w:highlight w:val="none"/>
                <w:shd w:val="clear" w:color="auto" w:fill="auto"/>
                <w:lang w:val="en-US" w:eastAsia="zh-CN"/>
              </w:rPr>
              <w:t>新泉村灌溉渠</w:t>
            </w:r>
            <w:r>
              <w:rPr>
                <w:rFonts w:hint="eastAsia" w:eastAsia="宋体" w:cs="宋体"/>
                <w:color w:val="auto"/>
                <w:spacing w:val="0"/>
                <w:sz w:val="24"/>
                <w:szCs w:val="24"/>
                <w:highlight w:val="none"/>
                <w:shd w:val="clear" w:color="auto" w:fill="auto"/>
              </w:rPr>
              <w:t>，</w:t>
            </w:r>
            <w:r>
              <w:rPr>
                <w:rFonts w:hint="default" w:ascii="Times New Roman" w:hAnsi="Times New Roman" w:eastAsia="宋体" w:cs="Times New Roman"/>
                <w:sz w:val="24"/>
                <w:szCs w:val="24"/>
                <w:lang w:val="en-US" w:eastAsia="zh-CN"/>
              </w:rPr>
              <w:t>废水排放形式为</w:t>
            </w:r>
            <w:r>
              <w:rPr>
                <w:rFonts w:hint="default" w:eastAsia="宋体" w:cs="宋体"/>
                <w:color w:val="auto"/>
                <w:spacing w:val="0"/>
                <w:sz w:val="24"/>
                <w:szCs w:val="24"/>
                <w:highlight w:val="none"/>
                <w:lang w:val="en-US" w:eastAsia="zh-CN"/>
              </w:rPr>
              <w:t>直接排放</w:t>
            </w:r>
            <w:r>
              <w:rPr>
                <w:rFonts w:hint="eastAsia" w:eastAsia="宋体" w:cs="宋体"/>
                <w:color w:val="auto"/>
                <w:spacing w:val="0"/>
                <w:sz w:val="24"/>
                <w:szCs w:val="24"/>
                <w:highlight w:val="none"/>
                <w:lang w:val="en-US" w:eastAsia="zh-CN"/>
              </w:rPr>
              <w:t>，废水排放量为300m</w:t>
            </w:r>
            <w:r>
              <w:rPr>
                <w:rFonts w:hint="eastAsia" w:eastAsia="宋体" w:cs="宋体"/>
                <w:color w:val="auto"/>
                <w:spacing w:val="0"/>
                <w:sz w:val="24"/>
                <w:szCs w:val="24"/>
                <w:highlight w:val="none"/>
                <w:vertAlign w:val="superscript"/>
                <w:lang w:val="en-US" w:eastAsia="zh-CN"/>
              </w:rPr>
              <w:t>3</w:t>
            </w:r>
            <w:r>
              <w:rPr>
                <w:rFonts w:hint="eastAsia" w:eastAsia="宋体" w:cs="宋体"/>
                <w:color w:val="auto"/>
                <w:spacing w:val="0"/>
                <w:sz w:val="24"/>
                <w:szCs w:val="24"/>
                <w:highlight w:val="none"/>
                <w:lang w:val="en-US" w:eastAsia="zh-CN"/>
              </w:rPr>
              <w:t>/d，</w:t>
            </w:r>
            <w:r>
              <w:rPr>
                <w:rFonts w:hint="default" w:eastAsia="宋体" w:cs="宋体"/>
                <w:color w:val="auto"/>
                <w:spacing w:val="0"/>
                <w:sz w:val="24"/>
                <w:szCs w:val="24"/>
                <w:highlight w:val="none"/>
                <w:lang w:val="en-US" w:eastAsia="zh-CN"/>
              </w:rPr>
              <w:t>水污染物当量数</w:t>
            </w:r>
            <w:r>
              <w:rPr>
                <w:rFonts w:hint="eastAsia" w:eastAsia="宋体" w:cs="宋体"/>
                <w:color w:val="auto"/>
                <w:spacing w:val="0"/>
                <w:sz w:val="24"/>
                <w:szCs w:val="24"/>
                <w:highlight w:val="none"/>
                <w:lang w:val="en-US" w:eastAsia="zh-CN"/>
              </w:rPr>
              <w:t>W=</w:t>
            </w:r>
            <w:r>
              <w:rPr>
                <w:rFonts w:hint="default" w:eastAsia="宋体" w:cs="宋体"/>
                <w:color w:val="auto"/>
                <w:spacing w:val="0"/>
                <w:sz w:val="24"/>
                <w:szCs w:val="24"/>
                <w:highlight w:val="none"/>
                <w:lang w:val="en-US" w:eastAsia="zh-CN"/>
              </w:rPr>
              <w:t>年排放量</w:t>
            </w:r>
            <w:r>
              <w:rPr>
                <w:rFonts w:hint="eastAsia" w:eastAsia="宋体" w:cs="宋体"/>
                <w:color w:val="auto"/>
                <w:spacing w:val="0"/>
                <w:sz w:val="24"/>
                <w:szCs w:val="24"/>
                <w:highlight w:val="none"/>
                <w:lang w:val="en-US" w:eastAsia="zh-CN"/>
              </w:rPr>
              <w:t>/</w:t>
            </w:r>
            <w:r>
              <w:rPr>
                <w:rFonts w:hint="default" w:eastAsia="宋体" w:cs="宋体"/>
                <w:color w:val="auto"/>
                <w:spacing w:val="0"/>
                <w:sz w:val="24"/>
                <w:szCs w:val="24"/>
                <w:highlight w:val="none"/>
                <w:lang w:val="en-US" w:eastAsia="zh-CN"/>
              </w:rPr>
              <w:t>污染物的污染当量值</w:t>
            </w:r>
            <w:r>
              <w:rPr>
                <w:rFonts w:hint="eastAsia" w:eastAsia="宋体" w:cs="宋体"/>
                <w:color w:val="auto"/>
                <w:spacing w:val="0"/>
                <w:sz w:val="24"/>
                <w:szCs w:val="24"/>
                <w:highlight w:val="none"/>
                <w:lang w:val="en-US" w:eastAsia="zh-CN"/>
              </w:rPr>
              <w:t>=</w:t>
            </w:r>
            <w:r>
              <w:rPr>
                <w:rFonts w:hint="eastAsia" w:cs="宋体"/>
                <w:color w:val="auto"/>
                <w:spacing w:val="0"/>
                <w:sz w:val="24"/>
                <w:szCs w:val="24"/>
                <w:highlight w:val="none"/>
                <w:lang w:val="en-US" w:eastAsia="zh-CN"/>
              </w:rPr>
              <w:t>5475</w:t>
            </w:r>
            <w:r>
              <w:rPr>
                <w:rFonts w:hint="eastAsia" w:eastAsia="宋体" w:cs="宋体"/>
                <w:color w:val="auto"/>
                <w:spacing w:val="0"/>
                <w:sz w:val="24"/>
                <w:szCs w:val="24"/>
                <w:highlight w:val="none"/>
                <w:lang w:val="en-US" w:eastAsia="zh-CN"/>
              </w:rPr>
              <w:t>/1=5475</w:t>
            </w:r>
            <w:r>
              <w:rPr>
                <w:rFonts w:hint="eastAsia" w:eastAsia="宋体" w:cs="宋体"/>
                <w:color w:val="auto"/>
                <w:spacing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jc w:val="center"/>
              <w:textAlignment w:val="auto"/>
              <w:outlineLvl w:val="9"/>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表7-</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lang w:val="en-US" w:eastAsia="zh-CN"/>
              </w:rPr>
              <w:t xml:space="preserve"> 水污染影响型建设项目评价等级判定</w:t>
            </w:r>
          </w:p>
          <w:tbl>
            <w:tblPr>
              <w:tblStyle w:val="29"/>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21"/>
              <w:gridCol w:w="5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评价等级</w:t>
                  </w:r>
                </w:p>
              </w:tc>
              <w:tc>
                <w:tcPr>
                  <w:tcW w:w="421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排放方式</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废水排放量Q/（m</w:t>
                  </w:r>
                  <w:r>
                    <w:rPr>
                      <w:rFonts w:hint="eastAsia" w:ascii="Times New Roman" w:hAnsi="Times New Roman" w:eastAsia="宋体" w:cs="Times New Roman"/>
                      <w:sz w:val="21"/>
                      <w:szCs w:val="21"/>
                      <w:vertAlign w:val="superscript"/>
                      <w:lang w:val="en-US" w:eastAsia="zh-CN"/>
                    </w:rPr>
                    <w:t>3</w:t>
                  </w:r>
                  <w:r>
                    <w:rPr>
                      <w:rFonts w:hint="default" w:ascii="Times New Roman" w:hAnsi="Times New Roman" w:eastAsia="宋体" w:cs="Times New Roman"/>
                      <w:sz w:val="21"/>
                      <w:szCs w:val="21"/>
                      <w:lang w:val="en-US" w:eastAsia="zh-CN"/>
                    </w:rPr>
                    <w:t>/d）；水污染物当量数W/（无纲量）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一级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二级</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三级A</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Q＜200且W＜6000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三级B</w:t>
                  </w:r>
                </w:p>
              </w:tc>
              <w:tc>
                <w:tcPr>
                  <w:tcW w:w="10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间接排放</w:t>
                  </w:r>
                </w:p>
              </w:tc>
              <w:tc>
                <w:tcPr>
                  <w:tcW w:w="32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注：水污染物当量数等于该污染物的年排放量除以该污染物的污染当量值（见附录A）</w:t>
                  </w:r>
                </w:p>
              </w:tc>
            </w:tr>
          </w:tbl>
          <w:p>
            <w:pPr>
              <w:pStyle w:val="2"/>
              <w:spacing w:line="460" w:lineRule="exact"/>
              <w:rPr>
                <w:rFonts w:hint="eastAsia" w:eastAsia="宋体" w:cs="宋体"/>
                <w:color w:val="auto"/>
                <w:spacing w:val="0"/>
                <w:sz w:val="24"/>
                <w:szCs w:val="24"/>
                <w:highlight w:val="none"/>
                <w:u w:val="none"/>
              </w:rPr>
            </w:pP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2.2.2尾水达标性分析</w:t>
            </w: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根据工艺论证，污水处理厂最终确定的处理工艺为：格栅渠-调节池+</w:t>
            </w:r>
            <w:r>
              <w:rPr>
                <w:rFonts w:hint="eastAsia" w:eastAsia="宋体" w:cs="宋体"/>
                <w:color w:val="auto"/>
                <w:spacing w:val="0"/>
                <w:sz w:val="24"/>
                <w:szCs w:val="24"/>
                <w:highlight w:val="none"/>
                <w:u w:val="none"/>
                <w:lang w:val="en-US" w:eastAsia="zh-CN"/>
              </w:rPr>
              <w:t>A2/O</w:t>
            </w:r>
            <w:r>
              <w:rPr>
                <w:rFonts w:hint="eastAsia" w:eastAsia="宋体" w:cs="宋体"/>
                <w:color w:val="auto"/>
                <w:spacing w:val="0"/>
                <w:sz w:val="24"/>
                <w:szCs w:val="24"/>
                <w:highlight w:val="none"/>
                <w:u w:val="none"/>
              </w:rPr>
              <w:t>处理系统+软性固定填料过滤模块+ 紫外消毒处理+计量出水。本项目根据各工程特性、同类工程实际运行情况分析本工程水处理的达标性。</w:t>
            </w: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1）预处理工艺为格栅渠和调节池，经过同类污水处理厂广泛验证是可靠的，能够满足生活污水预处理要求。</w:t>
            </w: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2）二级处</w:t>
            </w:r>
            <w:r>
              <w:rPr>
                <w:rFonts w:hint="eastAsia" w:eastAsia="宋体" w:cs="宋体"/>
                <w:color w:val="auto"/>
                <w:spacing w:val="0"/>
                <w:sz w:val="24"/>
                <w:szCs w:val="24"/>
                <w:highlight w:val="none"/>
                <w:u w:val="none"/>
                <w:shd w:val="clear" w:color="auto" w:fill="auto"/>
              </w:rPr>
              <w:t>理工艺采用</w:t>
            </w:r>
            <w:r>
              <w:rPr>
                <w:rFonts w:hint="eastAsia" w:eastAsia="宋体" w:cs="宋体"/>
                <w:color w:val="auto"/>
                <w:spacing w:val="0"/>
                <w:sz w:val="24"/>
                <w:szCs w:val="24"/>
                <w:highlight w:val="none"/>
                <w:u w:val="none"/>
                <w:shd w:val="clear" w:color="auto" w:fill="auto"/>
                <w:lang w:val="en-US" w:eastAsia="zh-CN"/>
              </w:rPr>
              <w:t>A2O</w:t>
            </w:r>
            <w:r>
              <w:rPr>
                <w:rFonts w:hint="eastAsia" w:eastAsia="宋体" w:cs="宋体"/>
                <w:color w:val="auto"/>
                <w:spacing w:val="0"/>
                <w:sz w:val="24"/>
                <w:szCs w:val="24"/>
                <w:highlight w:val="none"/>
                <w:u w:val="none"/>
                <w:shd w:val="clear" w:color="auto" w:fill="auto"/>
              </w:rPr>
              <w:t>系统处理工艺，A2O 工艺在占地</w:t>
            </w:r>
            <w:r>
              <w:rPr>
                <w:rFonts w:hint="eastAsia" w:eastAsia="宋体" w:cs="宋体"/>
                <w:color w:val="auto"/>
                <w:spacing w:val="0"/>
                <w:sz w:val="24"/>
                <w:szCs w:val="24"/>
                <w:highlight w:val="none"/>
                <w:u w:val="none"/>
              </w:rPr>
              <w:t>、施工难度、工程投资、操作 维护管理以及抗污染物冲洗负荷能力等多方面都有优势。并且 A2O 工艺具有很多成熟运转经验与实例，工艺成熟，经验丰富，效果稳定，能保证出水满足深度处理设施进水水质要求。</w:t>
            </w: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3）深度处理工艺采用软性固定填料过滤模块，软性固定填料过滤单元</w:t>
            </w:r>
            <w:r>
              <w:rPr>
                <w:rFonts w:hint="eastAsia" w:eastAsia="宋体" w:cs="宋体"/>
                <w:color w:val="auto"/>
                <w:spacing w:val="0"/>
                <w:sz w:val="24"/>
                <w:szCs w:val="24"/>
                <w:highlight w:val="none"/>
                <w:u w:val="none"/>
                <w:lang w:val="en-US" w:eastAsia="zh-CN"/>
              </w:rPr>
              <w:t>可以和一体化设备组装在一起，占地面积小，</w:t>
            </w:r>
            <w:r>
              <w:rPr>
                <w:rFonts w:hint="eastAsia" w:eastAsia="宋体" w:cs="宋体"/>
                <w:color w:val="auto"/>
                <w:spacing w:val="0"/>
                <w:sz w:val="24"/>
                <w:szCs w:val="24"/>
                <w:highlight w:val="none"/>
                <w:u w:val="none"/>
              </w:rPr>
              <w:t>除可以保证出水 SS 稳定控制在 10mg/L 以下，还可以使 COD、总氮、总磷分别下降 5.5mg/L、0.38mg/L、0.09mg/L</w:t>
            </w:r>
            <w:r>
              <w:rPr>
                <w:rFonts w:hint="eastAsia" w:eastAsia="宋体" w:cs="宋体"/>
                <w:color w:val="auto"/>
                <w:spacing w:val="0"/>
                <w:sz w:val="24"/>
                <w:szCs w:val="24"/>
                <w:highlight w:val="none"/>
                <w:u w:val="none"/>
                <w:lang w:val="en-US" w:eastAsia="zh-CN"/>
              </w:rPr>
              <w:t>，</w:t>
            </w:r>
            <w:r>
              <w:rPr>
                <w:rFonts w:hint="eastAsia" w:eastAsia="宋体" w:cs="宋体"/>
                <w:color w:val="auto"/>
                <w:spacing w:val="0"/>
                <w:sz w:val="24"/>
                <w:szCs w:val="24"/>
                <w:highlight w:val="none"/>
                <w:u w:val="none"/>
              </w:rPr>
              <w:t>能够保证出水水质满足要求。</w:t>
            </w: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4）消毒工艺采用紫外线消毒，该法同样经同类污水处理厂广泛验证是可靠的，能够满足生活污水消毒要求。</w:t>
            </w:r>
          </w:p>
          <w:p>
            <w:pPr>
              <w:pStyle w:val="2"/>
              <w:spacing w:line="460" w:lineRule="exact"/>
              <w:ind w:firstLine="480" w:firstLineChars="200"/>
              <w:rPr>
                <w:rFonts w:eastAsia="宋体" w:cs="宋体"/>
                <w:color w:val="auto"/>
                <w:spacing w:val="0"/>
                <w:sz w:val="24"/>
                <w:szCs w:val="24"/>
                <w:highlight w:val="none"/>
                <w:u w:val="none"/>
                <w:shd w:val="clear" w:color="auto" w:fill="auto"/>
              </w:rPr>
            </w:pPr>
            <w:r>
              <w:rPr>
                <w:rFonts w:hint="eastAsia" w:eastAsia="宋体" w:cs="宋体"/>
                <w:color w:val="auto"/>
                <w:spacing w:val="0"/>
                <w:sz w:val="24"/>
                <w:szCs w:val="24"/>
                <w:highlight w:val="none"/>
                <w:u w:val="none"/>
              </w:rPr>
              <w:t>综合上述分析和同类工程实例，本项目选用的污水处理工艺对保证厂区出水</w:t>
            </w:r>
            <w:r>
              <w:rPr>
                <w:rFonts w:hint="eastAsia" w:eastAsia="宋体" w:cs="宋体"/>
                <w:color w:val="auto"/>
                <w:spacing w:val="0"/>
                <w:sz w:val="24"/>
                <w:szCs w:val="24"/>
                <w:highlight w:val="none"/>
                <w:u w:val="none"/>
                <w:shd w:val="clear" w:color="auto" w:fill="auto"/>
              </w:rPr>
              <w:t>达到</w:t>
            </w:r>
            <w:r>
              <w:rPr>
                <w:rFonts w:hint="eastAsia" w:eastAsia="宋体" w:cs="宋体"/>
                <w:color w:val="auto"/>
                <w:spacing w:val="0"/>
                <w:sz w:val="24"/>
                <w:szCs w:val="24"/>
                <w:highlight w:val="none"/>
                <w:u w:val="none"/>
                <w:shd w:val="clear" w:color="auto" w:fill="auto"/>
                <w:lang w:val="en-US" w:eastAsia="zh-CN"/>
              </w:rPr>
              <w:t>相应</w:t>
            </w:r>
            <w:r>
              <w:rPr>
                <w:rFonts w:hint="eastAsia" w:eastAsia="宋体" w:cs="宋体"/>
                <w:color w:val="auto"/>
                <w:spacing w:val="0"/>
                <w:sz w:val="24"/>
                <w:szCs w:val="24"/>
                <w:highlight w:val="none"/>
                <w:u w:val="none"/>
                <w:shd w:val="clear" w:color="auto" w:fill="auto"/>
              </w:rPr>
              <w:t>标准是可行和可靠的。</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为保证污水处理厂正常运行，进一步保护该区域的水环境，本环评建议应落实如下措施：</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（1）项目运行期间加强管理及日常监测，确保出水达标，防止二次污染；</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（2）事故状态预防措施：污水处理厂在正常运行状态下发生事故排污的可能性小， 风险排污往往发生在停电、设备故障等情况，运行过程应加强管理，建立监督责任制， 防止人为造成的污水不处理直接排放。</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（3）厂区污水处理措施：针对区域污染现状，环保部门应加强监督和管理，严禁工业废水排入本污水处理厂。污水处理厂采用</w:t>
            </w:r>
            <w:r>
              <w:rPr>
                <w:rFonts w:hint="eastAsia" w:eastAsia="宋体" w:cs="宋体"/>
                <w:color w:val="auto"/>
                <w:spacing w:val="0"/>
                <w:sz w:val="24"/>
                <w:szCs w:val="24"/>
                <w:highlight w:val="none"/>
                <w:lang w:val="en-US" w:eastAsia="zh-CN"/>
              </w:rPr>
              <w:t>A2O</w:t>
            </w:r>
            <w:r>
              <w:rPr>
                <w:rFonts w:hint="eastAsia" w:eastAsia="宋体" w:cs="宋体"/>
                <w:color w:val="auto"/>
                <w:spacing w:val="0"/>
                <w:sz w:val="24"/>
                <w:szCs w:val="24"/>
                <w:highlight w:val="none"/>
              </w:rPr>
              <w:t>处理工艺，处理规模为</w:t>
            </w:r>
            <w:r>
              <w:rPr>
                <w:rFonts w:hint="eastAsia" w:eastAsia="宋体" w:cs="宋体"/>
                <w:color w:val="auto"/>
                <w:spacing w:val="0"/>
                <w:sz w:val="24"/>
                <w:szCs w:val="24"/>
                <w:highlight w:val="none"/>
                <w:lang w:val="en-US" w:eastAsia="zh-CN"/>
              </w:rPr>
              <w:t>300</w:t>
            </w:r>
            <w:r>
              <w:rPr>
                <w:rFonts w:hint="eastAsia" w:eastAsia="宋体" w:cs="宋体"/>
                <w:color w:val="auto"/>
                <w:spacing w:val="0"/>
                <w:sz w:val="24"/>
                <w:szCs w:val="24"/>
                <w:highlight w:val="none"/>
              </w:rPr>
              <w:t>m</w:t>
            </w:r>
            <w:r>
              <w:rPr>
                <w:rFonts w:hint="eastAsia" w:eastAsia="宋体" w:cs="宋体"/>
                <w:color w:val="auto"/>
                <w:spacing w:val="0"/>
                <w:sz w:val="24"/>
                <w:szCs w:val="24"/>
                <w:highlight w:val="none"/>
                <w:vertAlign w:val="superscript"/>
              </w:rPr>
              <w:t>3</w:t>
            </w:r>
            <w:r>
              <w:rPr>
                <w:rFonts w:hint="eastAsia" w:eastAsia="宋体" w:cs="宋体"/>
                <w:color w:val="auto"/>
                <w:spacing w:val="0"/>
                <w:sz w:val="24"/>
                <w:szCs w:val="24"/>
                <w:highlight w:val="none"/>
              </w:rPr>
              <w:t>/d，经处理达到《城镇污水处理厂污染物排放标准》（GB18918-2002）一级 A 标准标准后</w:t>
            </w:r>
            <w:r>
              <w:rPr>
                <w:rFonts w:hint="eastAsia" w:eastAsia="宋体" w:cs="宋体"/>
                <w:color w:val="auto"/>
                <w:spacing w:val="0"/>
                <w:sz w:val="24"/>
                <w:szCs w:val="24"/>
                <w:highlight w:val="none"/>
                <w:shd w:val="clear" w:color="auto" w:fill="auto"/>
              </w:rPr>
              <w:t>经专用管道排入</w:t>
            </w:r>
            <w:r>
              <w:rPr>
                <w:rFonts w:hint="eastAsia" w:eastAsia="宋体" w:cs="宋体"/>
                <w:color w:val="auto"/>
                <w:spacing w:val="0"/>
                <w:sz w:val="24"/>
                <w:szCs w:val="24"/>
                <w:highlight w:val="none"/>
                <w:shd w:val="clear" w:color="auto" w:fill="auto"/>
                <w:lang w:val="en-US" w:eastAsia="zh-CN"/>
              </w:rPr>
              <w:t>粟塘社区农田灌溉渠</w:t>
            </w:r>
            <w:r>
              <w:rPr>
                <w:rFonts w:hint="eastAsia" w:eastAsia="宋体" w:cs="宋体"/>
                <w:color w:val="auto"/>
                <w:spacing w:val="0"/>
                <w:sz w:val="24"/>
                <w:szCs w:val="24"/>
                <w:highlight w:val="none"/>
                <w:shd w:val="clear" w:color="auto" w:fill="auto"/>
              </w:rPr>
              <w:t>。生产设备</w:t>
            </w:r>
            <w:r>
              <w:rPr>
                <w:rFonts w:hint="eastAsia" w:eastAsia="宋体" w:cs="宋体"/>
                <w:color w:val="auto"/>
                <w:spacing w:val="0"/>
                <w:sz w:val="24"/>
                <w:szCs w:val="24"/>
                <w:highlight w:val="none"/>
              </w:rPr>
              <w:t>均配套备用设备，以保证污水处理的稳定运行，实现尾水的达标排放。</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（4）总排管在线监测系统：为监控本项目尾水达标排放，建议在项目总排口处设置污染因子在线监测系统。监测因子为：pH、COD、NH</w:t>
            </w:r>
            <w:r>
              <w:rPr>
                <w:rFonts w:hint="eastAsia" w:eastAsia="宋体" w:cs="宋体"/>
                <w:color w:val="auto"/>
                <w:spacing w:val="0"/>
                <w:sz w:val="24"/>
                <w:szCs w:val="24"/>
                <w:highlight w:val="none"/>
                <w:vertAlign w:val="subscript"/>
              </w:rPr>
              <w:t>3</w:t>
            </w:r>
            <w:r>
              <w:rPr>
                <w:rFonts w:hint="eastAsia" w:eastAsia="宋体" w:cs="宋体"/>
                <w:color w:val="auto"/>
                <w:spacing w:val="0"/>
                <w:sz w:val="24"/>
                <w:szCs w:val="24"/>
                <w:highlight w:val="none"/>
              </w:rPr>
              <w:t>-N。</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5）污水处理厂要制定污水处理装置操作管理规程、岗位责任制、奖惩条例等规章制度，对污水处理厂实现规范化、制度化管理，操作人员严格执行操作管理规程，最大限度控制由于操作失误造成的废水事故性排放发生。工作人员定期对污水处理装置进行检查和维修，使其始终处于正常工作状态。</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在落实以上措施及污水处理厂中各个处理工艺均有备用机器，加上污水处理厂的中控系统，本项目尾水可以达标排放。</w:t>
            </w:r>
          </w:p>
          <w:p>
            <w:pPr>
              <w:pStyle w:val="2"/>
              <w:spacing w:line="460" w:lineRule="exact"/>
              <w:ind w:firstLine="480" w:firstLineChars="200"/>
              <w:rPr>
                <w:rFonts w:eastAsia="宋体" w:cs="宋体"/>
                <w:color w:val="auto"/>
                <w:spacing w:val="0"/>
                <w:sz w:val="24"/>
                <w:szCs w:val="24"/>
                <w:highlight w:val="none"/>
                <w:u w:val="single" w:color="auto"/>
                <w:shd w:val="clear" w:color="auto" w:fill="auto"/>
              </w:rPr>
            </w:pPr>
            <w:r>
              <w:rPr>
                <w:rFonts w:hint="eastAsia" w:eastAsia="宋体" w:cs="宋体"/>
                <w:color w:val="auto"/>
                <w:spacing w:val="0"/>
                <w:sz w:val="24"/>
                <w:szCs w:val="24"/>
                <w:highlight w:val="none"/>
                <w:u w:val="single" w:color="auto"/>
                <w:shd w:val="clear" w:color="auto" w:fill="auto"/>
              </w:rPr>
              <w:t>2.2.3项目对纳污水体的影响分析</w:t>
            </w:r>
          </w:p>
          <w:p>
            <w:pPr>
              <w:pStyle w:val="2"/>
              <w:spacing w:line="460" w:lineRule="exact"/>
              <w:ind w:firstLine="480" w:firstLineChars="200"/>
              <w:rPr>
                <w:rFonts w:hint="default" w:eastAsia="宋体" w:cs="宋体"/>
                <w:color w:val="auto"/>
                <w:spacing w:val="0"/>
                <w:sz w:val="24"/>
                <w:szCs w:val="24"/>
                <w:highlight w:val="none"/>
                <w:u w:val="single" w:color="auto"/>
                <w:shd w:val="clear" w:color="auto" w:fill="auto"/>
                <w:lang w:val="en-US" w:eastAsia="zh-CN"/>
              </w:rPr>
            </w:pPr>
            <w:r>
              <w:rPr>
                <w:rFonts w:hint="eastAsia" w:eastAsia="宋体" w:cs="宋体"/>
                <w:color w:val="auto"/>
                <w:spacing w:val="0"/>
                <w:sz w:val="24"/>
                <w:szCs w:val="24"/>
                <w:highlight w:val="none"/>
                <w:u w:val="single" w:color="auto"/>
                <w:shd w:val="clear" w:color="auto" w:fill="auto"/>
                <w:lang w:val="en-US" w:eastAsia="zh-CN"/>
              </w:rPr>
              <w:t>拟建工程入河排污口建于厂区东南侧旁粟塘社区农田灌溉渠道。处理达标后得污水经过长度约15m，管径为DN400得排水管排入湘滨灌溉渠。</w:t>
            </w:r>
          </w:p>
          <w:p>
            <w:pPr>
              <w:pStyle w:val="2"/>
              <w:spacing w:line="460" w:lineRule="exact"/>
              <w:ind w:firstLine="480" w:firstLineChars="200"/>
              <w:rPr>
                <w:rFonts w:eastAsia="宋体" w:cs="宋体"/>
                <w:color w:val="auto"/>
                <w:spacing w:val="0"/>
                <w:sz w:val="24"/>
                <w:szCs w:val="24"/>
                <w:highlight w:val="none"/>
                <w:u w:val="single" w:color="auto"/>
                <w:shd w:val="clear" w:color="auto" w:fill="auto"/>
              </w:rPr>
            </w:pPr>
            <w:r>
              <w:rPr>
                <w:rFonts w:hint="eastAsia" w:eastAsia="宋体" w:cs="宋体"/>
                <w:color w:val="auto"/>
                <w:spacing w:val="0"/>
                <w:sz w:val="24"/>
                <w:szCs w:val="24"/>
                <w:highlight w:val="none"/>
                <w:u w:val="single" w:color="auto"/>
                <w:shd w:val="clear" w:color="auto" w:fill="auto"/>
              </w:rPr>
              <w:t>拟建工程尾水排入</w:t>
            </w:r>
            <w:r>
              <w:rPr>
                <w:rFonts w:hint="eastAsia" w:eastAsia="宋体" w:cs="宋体"/>
                <w:color w:val="auto"/>
                <w:spacing w:val="0"/>
                <w:sz w:val="24"/>
                <w:szCs w:val="24"/>
                <w:highlight w:val="none"/>
                <w:u w:val="single" w:color="auto"/>
                <w:shd w:val="clear" w:color="auto" w:fill="auto"/>
                <w:lang w:val="en-US" w:eastAsia="zh-CN"/>
              </w:rPr>
              <w:t>粟塘社区灌溉渠最终受纳水体为湘江</w:t>
            </w:r>
            <w:r>
              <w:rPr>
                <w:rFonts w:hint="eastAsia" w:eastAsia="宋体" w:cs="宋体"/>
                <w:color w:val="auto"/>
                <w:spacing w:val="0"/>
                <w:sz w:val="24"/>
                <w:szCs w:val="24"/>
                <w:highlight w:val="none"/>
                <w:u w:val="single" w:color="auto"/>
                <w:shd w:val="clear" w:color="auto" w:fill="auto"/>
              </w:rPr>
              <w:t>，该水域功能为 III类水体，经监测本项目拟建排污口上下游监测断面各监测断面的各监测因子监测值均达到《地表水环境质量标准》（GB3838—2002）中 III 类标准。</w:t>
            </w:r>
          </w:p>
          <w:p>
            <w:pPr>
              <w:pStyle w:val="2"/>
              <w:spacing w:line="460" w:lineRule="exact"/>
              <w:ind w:firstLine="480" w:firstLineChars="200"/>
              <w:rPr>
                <w:rFonts w:eastAsia="宋体" w:cs="宋体"/>
                <w:color w:val="auto"/>
                <w:spacing w:val="0"/>
                <w:sz w:val="24"/>
                <w:szCs w:val="24"/>
                <w:highlight w:val="none"/>
                <w:u w:val="single" w:color="auto"/>
                <w:shd w:val="clear" w:color="auto" w:fill="auto"/>
              </w:rPr>
            </w:pPr>
            <w:r>
              <w:rPr>
                <w:rFonts w:hint="eastAsia" w:eastAsia="宋体" w:cs="宋体"/>
                <w:color w:val="auto"/>
                <w:spacing w:val="0"/>
                <w:sz w:val="24"/>
                <w:szCs w:val="24"/>
                <w:highlight w:val="none"/>
                <w:u w:val="single" w:color="auto"/>
                <w:shd w:val="clear" w:color="auto" w:fill="auto"/>
              </w:rPr>
              <w:t>项目废水经</w:t>
            </w:r>
            <w:r>
              <w:rPr>
                <w:rFonts w:hint="eastAsia" w:eastAsia="宋体" w:cs="宋体"/>
                <w:color w:val="auto"/>
                <w:spacing w:val="0"/>
                <w:sz w:val="24"/>
                <w:szCs w:val="24"/>
                <w:highlight w:val="none"/>
                <w:u w:val="single" w:color="auto"/>
                <w:shd w:val="clear" w:color="auto" w:fill="auto"/>
                <w:lang w:val="en-US" w:eastAsia="zh-CN"/>
              </w:rPr>
              <w:t>灌溉渠后</w:t>
            </w:r>
            <w:r>
              <w:rPr>
                <w:rFonts w:hint="eastAsia" w:eastAsia="宋体" w:cs="宋体"/>
                <w:color w:val="auto"/>
                <w:spacing w:val="0"/>
                <w:sz w:val="24"/>
                <w:szCs w:val="24"/>
                <w:highlight w:val="none"/>
                <w:u w:val="single" w:color="auto"/>
                <w:shd w:val="clear" w:color="auto" w:fill="auto"/>
              </w:rPr>
              <w:t>汇入</w:t>
            </w:r>
            <w:r>
              <w:rPr>
                <w:rFonts w:hint="eastAsia" w:eastAsia="宋体" w:cs="宋体"/>
                <w:color w:val="auto"/>
                <w:spacing w:val="0"/>
                <w:sz w:val="24"/>
                <w:szCs w:val="24"/>
                <w:highlight w:val="none"/>
                <w:u w:val="single" w:color="auto"/>
                <w:shd w:val="clear" w:color="auto" w:fill="auto"/>
                <w:lang w:val="en-US" w:eastAsia="zh-CN"/>
              </w:rPr>
              <w:t>王家河</w:t>
            </w:r>
            <w:r>
              <w:rPr>
                <w:rFonts w:hint="eastAsia" w:eastAsia="宋体" w:cs="宋体"/>
                <w:color w:val="auto"/>
                <w:spacing w:val="0"/>
                <w:sz w:val="24"/>
                <w:szCs w:val="24"/>
                <w:highlight w:val="none"/>
                <w:u w:val="single" w:color="auto"/>
                <w:shd w:val="clear" w:color="auto" w:fill="auto"/>
              </w:rPr>
              <w:t>，多年平均流量2.52立方米/秒，最小流量为 0.5~1.0m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/s。项目预测以枯水期流量进行预测，即 0.5m</w:t>
            </w:r>
            <w:r>
              <w:rPr>
                <w:rFonts w:hint="eastAsia" w:eastAsia="宋体" w:cs="宋体"/>
                <w:color w:val="auto"/>
                <w:spacing w:val="0"/>
                <w:sz w:val="24"/>
                <w:szCs w:val="24"/>
                <w:highlight w:val="none"/>
                <w:u w:val="single" w:color="auto"/>
                <w:shd w:val="clear" w:color="auto" w:fill="auto"/>
                <w:vertAlign w:val="superscript"/>
              </w:rPr>
              <w:t>3</w:t>
            </w:r>
            <w:r>
              <w:rPr>
                <w:rFonts w:hint="eastAsia" w:eastAsia="宋体" w:cs="宋体"/>
                <w:color w:val="auto"/>
                <w:spacing w:val="0"/>
                <w:sz w:val="24"/>
                <w:szCs w:val="24"/>
                <w:highlight w:val="none"/>
                <w:u w:val="single" w:color="auto"/>
                <w:shd w:val="clear" w:color="auto" w:fill="auto"/>
              </w:rPr>
              <w:t>/s。</w:t>
            </w:r>
          </w:p>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拟建工程规模为</w:t>
            </w:r>
            <w:r>
              <w:rPr>
                <w:rFonts w:hint="eastAsia" w:eastAsia="宋体" w:cs="宋体"/>
                <w:color w:val="auto"/>
                <w:spacing w:val="0"/>
                <w:sz w:val="24"/>
                <w:szCs w:val="24"/>
                <w:highlight w:val="none"/>
                <w:u w:val="single" w:color="auto"/>
                <w:lang w:val="en-US" w:eastAsia="zh-CN"/>
              </w:rPr>
              <w:t>3</w:t>
            </w:r>
            <w:r>
              <w:rPr>
                <w:rFonts w:hint="eastAsia" w:eastAsia="宋体" w:cs="宋体"/>
                <w:color w:val="auto"/>
                <w:spacing w:val="0"/>
                <w:sz w:val="24"/>
                <w:szCs w:val="24"/>
                <w:highlight w:val="none"/>
                <w:u w:val="single" w:color="auto"/>
              </w:rPr>
              <w:t>00m</w:t>
            </w:r>
            <w:r>
              <w:rPr>
                <w:rFonts w:hint="eastAsia" w:eastAsia="宋体" w:cs="宋体"/>
                <w:color w:val="auto"/>
                <w:spacing w:val="0"/>
                <w:sz w:val="24"/>
                <w:szCs w:val="24"/>
                <w:highlight w:val="none"/>
                <w:u w:val="single" w:color="auto"/>
                <w:vertAlign w:val="superscript"/>
              </w:rPr>
              <w:t>3</w:t>
            </w:r>
            <w:r>
              <w:rPr>
                <w:rFonts w:hint="eastAsia" w:eastAsia="宋体" w:cs="宋体"/>
                <w:color w:val="auto"/>
                <w:spacing w:val="0"/>
                <w:sz w:val="24"/>
                <w:szCs w:val="24"/>
                <w:highlight w:val="none"/>
                <w:u w:val="single" w:color="auto"/>
              </w:rPr>
              <w:t>/d，其污水排放源强见表</w:t>
            </w:r>
            <w:r>
              <w:rPr>
                <w:rFonts w:hint="eastAsia" w:eastAsia="宋体" w:cs="宋体"/>
                <w:color w:val="auto"/>
                <w:spacing w:val="0"/>
                <w:sz w:val="24"/>
                <w:szCs w:val="24"/>
                <w:highlight w:val="none"/>
                <w:u w:val="single" w:color="auto"/>
                <w:lang w:val="en-US" w:eastAsia="zh-CN"/>
              </w:rPr>
              <w:t>7-7</w:t>
            </w:r>
            <w:r>
              <w:rPr>
                <w:rFonts w:hint="eastAsia" w:eastAsia="宋体" w:cs="宋体"/>
                <w:color w:val="auto"/>
                <w:spacing w:val="0"/>
                <w:sz w:val="24"/>
                <w:szCs w:val="24"/>
                <w:highlight w:val="none"/>
                <w:u w:val="single" w:color="auto"/>
              </w:rPr>
              <w:t>。</w:t>
            </w:r>
          </w:p>
          <w:p>
            <w:pPr>
              <w:pStyle w:val="2"/>
              <w:spacing w:line="460" w:lineRule="exact"/>
              <w:ind w:firstLine="482" w:firstLineChars="200"/>
              <w:jc w:val="center"/>
              <w:rPr>
                <w:rFonts w:ascii="Times New Roman" w:hAnsi="Times New Roman" w:eastAsia="宋体" w:cs="Times New Roman"/>
                <w:b/>
                <w:spacing w:val="0"/>
                <w:kern w:val="0"/>
                <w:sz w:val="24"/>
                <w:szCs w:val="24"/>
                <w:u w:val="single" w:color="auto"/>
                <w:lang w:val="en-US" w:eastAsia="zh-CN" w:bidi="ar-SA"/>
              </w:rPr>
            </w:pPr>
            <w:r>
              <w:rPr>
                <w:rFonts w:hint="eastAsia" w:ascii="Times New Roman" w:hAnsi="Times New Roman" w:eastAsia="宋体" w:cs="Times New Roman"/>
                <w:b/>
                <w:spacing w:val="0"/>
                <w:kern w:val="0"/>
                <w:sz w:val="24"/>
                <w:szCs w:val="24"/>
                <w:u w:val="single" w:color="auto"/>
                <w:lang w:val="en-US" w:eastAsia="zh-CN" w:bidi="ar-SA"/>
              </w:rPr>
              <w:t xml:space="preserve">表 </w:t>
            </w:r>
            <w:r>
              <w:rPr>
                <w:rFonts w:hint="eastAsia" w:eastAsia="宋体" w:cs="Times New Roman"/>
                <w:b/>
                <w:spacing w:val="0"/>
                <w:kern w:val="0"/>
                <w:sz w:val="24"/>
                <w:szCs w:val="24"/>
                <w:u w:val="single" w:color="auto"/>
                <w:lang w:val="en-US" w:eastAsia="zh-CN" w:bidi="ar-SA"/>
              </w:rPr>
              <w:t>7-7</w:t>
            </w:r>
            <w:r>
              <w:rPr>
                <w:rFonts w:hint="eastAsia" w:ascii="Times New Roman" w:hAnsi="Times New Roman" w:eastAsia="宋体" w:cs="Times New Roman"/>
                <w:b/>
                <w:spacing w:val="0"/>
                <w:kern w:val="0"/>
                <w:sz w:val="24"/>
                <w:szCs w:val="24"/>
                <w:u w:val="single" w:color="auto"/>
                <w:lang w:val="en-US" w:eastAsia="zh-CN" w:bidi="ar-SA"/>
              </w:rPr>
              <w:tab/>
            </w:r>
            <w:r>
              <w:rPr>
                <w:rFonts w:hint="eastAsia" w:ascii="Times New Roman" w:hAnsi="Times New Roman" w:eastAsia="宋体" w:cs="Times New Roman"/>
                <w:b/>
                <w:spacing w:val="0"/>
                <w:kern w:val="0"/>
                <w:sz w:val="24"/>
                <w:szCs w:val="24"/>
                <w:u w:val="single" w:color="auto"/>
                <w:lang w:val="en-US" w:eastAsia="zh-CN" w:bidi="ar-SA"/>
              </w:rPr>
              <w:t>废水源强（单位：mg/L）</w:t>
            </w:r>
          </w:p>
          <w:tbl>
            <w:tblPr>
              <w:tblStyle w:val="29"/>
              <w:tblW w:w="76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69"/>
              <w:gridCol w:w="1207"/>
              <w:gridCol w:w="1388"/>
              <w:gridCol w:w="1387"/>
              <w:gridCol w:w="1161"/>
              <w:gridCol w:w="11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jc w:val="center"/>
              </w:trPr>
              <w:tc>
                <w:tcPr>
                  <w:tcW w:w="1369" w:type="dxa"/>
                </w:tcPr>
                <w:p>
                  <w:pPr>
                    <w:pStyle w:val="107"/>
                    <w:spacing w:line="320" w:lineRule="exact"/>
                    <w:jc w:val="center"/>
                    <w:rPr>
                      <w:color w:val="auto"/>
                      <w:sz w:val="21"/>
                      <w:highlight w:val="none"/>
                      <w:u w:val="single" w:color="auto"/>
                    </w:rPr>
                  </w:pPr>
                  <w:r>
                    <w:rPr>
                      <w:color w:val="auto"/>
                      <w:sz w:val="21"/>
                      <w:highlight w:val="none"/>
                      <w:u w:val="single" w:color="auto"/>
                    </w:rPr>
                    <w:t>污染物</w:t>
                  </w:r>
                </w:p>
              </w:tc>
              <w:tc>
                <w:tcPr>
                  <w:tcW w:w="1207" w:type="dxa"/>
                </w:tcPr>
                <w:p>
                  <w:pPr>
                    <w:pStyle w:val="107"/>
                    <w:spacing w:before="13" w:line="320" w:lineRule="exact"/>
                    <w:jc w:val="center"/>
                    <w:rPr>
                      <w:rFonts w:ascii="Times New Roman"/>
                      <w:color w:val="auto"/>
                      <w:sz w:val="21"/>
                      <w:highlight w:val="none"/>
                      <w:u w:val="single" w:color="auto"/>
                    </w:rPr>
                  </w:pPr>
                  <w:r>
                    <w:rPr>
                      <w:rFonts w:ascii="Times New Roman"/>
                      <w:color w:val="auto"/>
                      <w:sz w:val="21"/>
                      <w:highlight w:val="none"/>
                      <w:u w:val="single" w:color="auto"/>
                    </w:rPr>
                    <w:t>CODcr</w:t>
                  </w:r>
                </w:p>
              </w:tc>
              <w:tc>
                <w:tcPr>
                  <w:tcW w:w="1388" w:type="dxa"/>
                </w:tcPr>
                <w:p>
                  <w:pPr>
                    <w:pStyle w:val="107"/>
                    <w:spacing w:before="12" w:line="320" w:lineRule="exact"/>
                    <w:jc w:val="center"/>
                    <w:rPr>
                      <w:rFonts w:ascii="Times New Roman"/>
                      <w:color w:val="auto"/>
                      <w:sz w:val="21"/>
                      <w:highlight w:val="none"/>
                      <w:u w:val="single" w:color="auto"/>
                    </w:rPr>
                  </w:pPr>
                  <w:r>
                    <w:rPr>
                      <w:rFonts w:ascii="Times New Roman"/>
                      <w:color w:val="auto"/>
                      <w:position w:val="2"/>
                      <w:sz w:val="21"/>
                      <w:highlight w:val="none"/>
                      <w:u w:val="single" w:color="auto"/>
                    </w:rPr>
                    <w:t>BOD</w:t>
                  </w:r>
                  <w:r>
                    <w:rPr>
                      <w:rFonts w:ascii="Times New Roman"/>
                      <w:color w:val="auto"/>
                      <w:position w:val="2"/>
                      <w:sz w:val="21"/>
                      <w:highlight w:val="none"/>
                      <w:u w:val="single" w:color="auto"/>
                      <w:vertAlign w:val="subscript"/>
                    </w:rPr>
                    <w:t>5</w:t>
                  </w:r>
                </w:p>
              </w:tc>
              <w:tc>
                <w:tcPr>
                  <w:tcW w:w="1387" w:type="dxa"/>
                </w:tcPr>
                <w:p>
                  <w:pPr>
                    <w:pStyle w:val="107"/>
                    <w:spacing w:before="13" w:line="320" w:lineRule="exact"/>
                    <w:jc w:val="center"/>
                    <w:rPr>
                      <w:rFonts w:ascii="Times New Roman"/>
                      <w:color w:val="auto"/>
                      <w:sz w:val="21"/>
                      <w:highlight w:val="none"/>
                      <w:u w:val="single" w:color="auto"/>
                    </w:rPr>
                  </w:pPr>
                  <w:r>
                    <w:rPr>
                      <w:rFonts w:ascii="Times New Roman"/>
                      <w:color w:val="auto"/>
                      <w:sz w:val="21"/>
                      <w:highlight w:val="none"/>
                      <w:u w:val="single" w:color="auto"/>
                    </w:rPr>
                    <w:t>TP</w:t>
                  </w:r>
                </w:p>
              </w:tc>
              <w:tc>
                <w:tcPr>
                  <w:tcW w:w="1161" w:type="dxa"/>
                </w:tcPr>
                <w:p>
                  <w:pPr>
                    <w:pStyle w:val="107"/>
                    <w:spacing w:before="12" w:line="320" w:lineRule="exact"/>
                    <w:jc w:val="center"/>
                    <w:rPr>
                      <w:rFonts w:ascii="Times New Roman"/>
                      <w:color w:val="auto"/>
                      <w:sz w:val="21"/>
                      <w:highlight w:val="none"/>
                      <w:u w:val="single" w:color="auto"/>
                    </w:rPr>
                  </w:pPr>
                  <w:r>
                    <w:rPr>
                      <w:rFonts w:ascii="Times New Roman"/>
                      <w:color w:val="auto"/>
                      <w:position w:val="2"/>
                      <w:sz w:val="21"/>
                      <w:highlight w:val="none"/>
                      <w:u w:val="single" w:color="auto"/>
                    </w:rPr>
                    <w:t>NH</w:t>
                  </w:r>
                  <w:r>
                    <w:rPr>
                      <w:rFonts w:ascii="Times New Roman"/>
                      <w:color w:val="auto"/>
                      <w:position w:val="2"/>
                      <w:sz w:val="21"/>
                      <w:highlight w:val="none"/>
                      <w:u w:val="single" w:color="auto"/>
                      <w:vertAlign w:val="subscript"/>
                    </w:rPr>
                    <w:t>3</w:t>
                  </w:r>
                  <w:r>
                    <w:rPr>
                      <w:rFonts w:ascii="Times New Roman"/>
                      <w:color w:val="auto"/>
                      <w:position w:val="2"/>
                      <w:sz w:val="21"/>
                      <w:highlight w:val="none"/>
                      <w:u w:val="single" w:color="auto"/>
                    </w:rPr>
                    <w:t>-N</w:t>
                  </w:r>
                </w:p>
              </w:tc>
              <w:tc>
                <w:tcPr>
                  <w:tcW w:w="1160" w:type="dxa"/>
                </w:tcPr>
                <w:p>
                  <w:pPr>
                    <w:pStyle w:val="107"/>
                    <w:spacing w:before="13" w:line="320" w:lineRule="exact"/>
                    <w:jc w:val="center"/>
                    <w:rPr>
                      <w:rFonts w:ascii="Times New Roman"/>
                      <w:color w:val="auto"/>
                      <w:sz w:val="21"/>
                      <w:highlight w:val="none"/>
                      <w:u w:val="single" w:color="auto"/>
                    </w:rPr>
                  </w:pPr>
                  <w:r>
                    <w:rPr>
                      <w:rFonts w:ascii="Times New Roman"/>
                      <w:color w:val="auto"/>
                      <w:w w:val="95"/>
                      <w:sz w:val="21"/>
                      <w:highlight w:val="none"/>
                      <w:u w:val="single" w:color="auto"/>
                    </w:rPr>
                    <w:t>SS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2" w:hRule="atLeast"/>
                <w:jc w:val="center"/>
              </w:trPr>
              <w:tc>
                <w:tcPr>
                  <w:tcW w:w="1369" w:type="dxa"/>
                </w:tcPr>
                <w:p>
                  <w:pPr>
                    <w:pStyle w:val="107"/>
                    <w:spacing w:line="320" w:lineRule="exact"/>
                    <w:jc w:val="center"/>
                    <w:rPr>
                      <w:color w:val="auto"/>
                      <w:sz w:val="21"/>
                      <w:highlight w:val="none"/>
                      <w:u w:val="single" w:color="auto"/>
                    </w:rPr>
                  </w:pPr>
                  <w:r>
                    <w:rPr>
                      <w:color w:val="auto"/>
                      <w:sz w:val="21"/>
                      <w:highlight w:val="none"/>
                      <w:u w:val="single" w:color="auto"/>
                    </w:rPr>
                    <w:t>正常排放</w:t>
                  </w:r>
                </w:p>
              </w:tc>
              <w:tc>
                <w:tcPr>
                  <w:tcW w:w="1207"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50</w:t>
                  </w:r>
                </w:p>
              </w:tc>
              <w:tc>
                <w:tcPr>
                  <w:tcW w:w="1388"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10</w:t>
                  </w:r>
                </w:p>
              </w:tc>
              <w:tc>
                <w:tcPr>
                  <w:tcW w:w="1387"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0.5</w:t>
                  </w:r>
                </w:p>
              </w:tc>
              <w:tc>
                <w:tcPr>
                  <w:tcW w:w="1161" w:type="dxa"/>
                </w:tcPr>
                <w:p>
                  <w:pPr>
                    <w:pStyle w:val="107"/>
                    <w:spacing w:before="14" w:line="320" w:lineRule="exact"/>
                    <w:jc w:val="center"/>
                    <w:rPr>
                      <w:rFonts w:ascii="Times New Roman"/>
                      <w:color w:val="auto"/>
                      <w:sz w:val="21"/>
                      <w:highlight w:val="none"/>
                      <w:u w:val="single" w:color="auto"/>
                    </w:rPr>
                  </w:pPr>
                  <w:r>
                    <w:rPr>
                      <w:rFonts w:hint="eastAsia" w:ascii="Times New Roman"/>
                      <w:color w:val="auto"/>
                      <w:sz w:val="21"/>
                      <w:highlight w:val="none"/>
                      <w:u w:val="single" w:color="auto"/>
                    </w:rPr>
                    <w:t>5</w:t>
                  </w:r>
                </w:p>
              </w:tc>
              <w:tc>
                <w:tcPr>
                  <w:tcW w:w="1160" w:type="dxa"/>
                </w:tcPr>
                <w:p>
                  <w:pPr>
                    <w:pStyle w:val="107"/>
                    <w:spacing w:before="14" w:line="320" w:lineRule="exact"/>
                    <w:jc w:val="center"/>
                    <w:rPr>
                      <w:rFonts w:ascii="Times New Roman"/>
                      <w:color w:val="auto"/>
                      <w:sz w:val="21"/>
                      <w:highlight w:val="none"/>
                      <w:u w:val="single" w:color="auto"/>
                    </w:rPr>
                  </w:pPr>
                  <w:r>
                    <w:rPr>
                      <w:rFonts w:ascii="Times New Roman"/>
                      <w:color w:val="auto"/>
                      <w:sz w:val="21"/>
                      <w:highlight w:val="none"/>
                      <w:u w:val="single" w:color="auto"/>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jc w:val="center"/>
              </w:trPr>
              <w:tc>
                <w:tcPr>
                  <w:tcW w:w="1369" w:type="dxa"/>
                </w:tcPr>
                <w:p>
                  <w:pPr>
                    <w:pStyle w:val="107"/>
                    <w:spacing w:before="1" w:line="320" w:lineRule="exact"/>
                    <w:jc w:val="center"/>
                    <w:rPr>
                      <w:color w:val="auto"/>
                      <w:sz w:val="21"/>
                      <w:highlight w:val="none"/>
                      <w:u w:val="single" w:color="auto"/>
                    </w:rPr>
                  </w:pPr>
                  <w:r>
                    <w:rPr>
                      <w:color w:val="auto"/>
                      <w:sz w:val="21"/>
                      <w:highlight w:val="none"/>
                      <w:u w:val="single" w:color="auto"/>
                    </w:rPr>
                    <w:t>事故行排放</w:t>
                  </w:r>
                </w:p>
              </w:tc>
              <w:tc>
                <w:tcPr>
                  <w:tcW w:w="1207" w:type="dxa"/>
                </w:tcPr>
                <w:p>
                  <w:pPr>
                    <w:pStyle w:val="107"/>
                    <w:spacing w:before="15" w:line="320" w:lineRule="exact"/>
                    <w:jc w:val="center"/>
                    <w:rPr>
                      <w:rFonts w:ascii="Times New Roman"/>
                      <w:color w:val="auto"/>
                      <w:sz w:val="21"/>
                      <w:highlight w:val="none"/>
                      <w:u w:val="single" w:color="auto"/>
                    </w:rPr>
                  </w:pPr>
                  <w:r>
                    <w:rPr>
                      <w:rFonts w:hint="eastAsia" w:ascii="Times New Roman"/>
                      <w:color w:val="auto"/>
                      <w:sz w:val="21"/>
                      <w:highlight w:val="none"/>
                      <w:u w:val="single" w:color="auto"/>
                    </w:rPr>
                    <w:t>220</w:t>
                  </w:r>
                </w:p>
              </w:tc>
              <w:tc>
                <w:tcPr>
                  <w:tcW w:w="1388"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125</w:t>
                  </w:r>
                </w:p>
              </w:tc>
              <w:tc>
                <w:tcPr>
                  <w:tcW w:w="1387"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3.0</w:t>
                  </w:r>
                </w:p>
              </w:tc>
              <w:tc>
                <w:tcPr>
                  <w:tcW w:w="1161"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35</w:t>
                  </w:r>
                </w:p>
              </w:tc>
              <w:tc>
                <w:tcPr>
                  <w:tcW w:w="1160" w:type="dxa"/>
                </w:tcPr>
                <w:p>
                  <w:pPr>
                    <w:pStyle w:val="107"/>
                    <w:spacing w:before="15" w:line="320" w:lineRule="exact"/>
                    <w:jc w:val="center"/>
                    <w:rPr>
                      <w:rFonts w:hint="default" w:ascii="Times New Roman" w:eastAsia="宋体"/>
                      <w:color w:val="auto"/>
                      <w:sz w:val="21"/>
                      <w:highlight w:val="none"/>
                      <w:u w:val="single" w:color="auto"/>
                      <w:lang w:val="en-US" w:eastAsia="zh-CN"/>
                    </w:rPr>
                  </w:pPr>
                  <w:r>
                    <w:rPr>
                      <w:rFonts w:hint="eastAsia" w:ascii="Times New Roman"/>
                      <w:color w:val="auto"/>
                      <w:sz w:val="21"/>
                      <w:highlight w:val="none"/>
                      <w:u w:val="single" w:color="auto"/>
                      <w:lang w:val="en-US" w:eastAsia="zh-CN"/>
                    </w:rPr>
                    <w:t>135</w:t>
                  </w:r>
                </w:p>
              </w:tc>
            </w:tr>
          </w:tbl>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（2）预测因子：</w:t>
            </w:r>
          </w:p>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本评价预测因子选择 CODcr、NH</w:t>
            </w:r>
            <w:r>
              <w:rPr>
                <w:rFonts w:hint="eastAsia" w:eastAsia="宋体" w:cs="宋体"/>
                <w:color w:val="auto"/>
                <w:spacing w:val="0"/>
                <w:sz w:val="24"/>
                <w:szCs w:val="24"/>
                <w:highlight w:val="none"/>
                <w:u w:val="single" w:color="auto"/>
                <w:vertAlign w:val="subscript"/>
              </w:rPr>
              <w:t>3</w:t>
            </w:r>
            <w:r>
              <w:rPr>
                <w:rFonts w:hint="eastAsia" w:eastAsia="宋体" w:cs="宋体"/>
                <w:color w:val="auto"/>
                <w:spacing w:val="0"/>
                <w:sz w:val="24"/>
                <w:szCs w:val="24"/>
                <w:highlight w:val="none"/>
                <w:u w:val="single" w:color="auto"/>
              </w:rPr>
              <w:t>-N。</w:t>
            </w:r>
          </w:p>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（3）预测内容：</w:t>
            </w:r>
          </w:p>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根据正常排放情况时污染物的排放源强，计算污染物在预测河段各断面的净增值。</w:t>
            </w:r>
          </w:p>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根据事故排放情况（处理设施运行完全失效状态）时污染物的排放量，计算污染物在预测河段各断面的净增值，以此反映在不同情况下污染物对</w:t>
            </w:r>
            <w:r>
              <w:rPr>
                <w:rFonts w:hint="eastAsia" w:eastAsia="宋体" w:cs="宋体"/>
                <w:color w:val="auto"/>
                <w:spacing w:val="0"/>
                <w:sz w:val="24"/>
                <w:szCs w:val="24"/>
                <w:highlight w:val="none"/>
                <w:u w:val="single" w:color="auto"/>
                <w:lang w:val="en-US" w:eastAsia="zh-CN"/>
              </w:rPr>
              <w:t>湘江</w:t>
            </w:r>
            <w:r>
              <w:rPr>
                <w:rFonts w:hint="eastAsia" w:eastAsia="宋体" w:cs="宋体"/>
                <w:color w:val="auto"/>
                <w:spacing w:val="0"/>
                <w:sz w:val="24"/>
                <w:szCs w:val="24"/>
                <w:highlight w:val="none"/>
                <w:u w:val="single" w:color="auto"/>
              </w:rPr>
              <w:t>的污染贡献程度，确定影响范围。</w:t>
            </w:r>
          </w:p>
          <w:p>
            <w:pPr>
              <w:pStyle w:val="2"/>
              <w:spacing w:line="460" w:lineRule="exact"/>
              <w:ind w:firstLine="480" w:firstLineChars="200"/>
              <w:rPr>
                <w:rFonts w:eastAsia="宋体" w:cs="宋体"/>
                <w:color w:val="auto"/>
                <w:spacing w:val="0"/>
                <w:sz w:val="24"/>
                <w:szCs w:val="24"/>
                <w:highlight w:val="none"/>
                <w:u w:val="single" w:color="auto"/>
              </w:rPr>
            </w:pPr>
            <w:r>
              <w:rPr>
                <w:rFonts w:hint="eastAsia" w:eastAsia="宋体" w:cs="宋体"/>
                <w:color w:val="auto"/>
                <w:spacing w:val="0"/>
                <w:sz w:val="24"/>
                <w:szCs w:val="24"/>
                <w:highlight w:val="none"/>
                <w:u w:val="single" w:color="auto"/>
              </w:rPr>
              <w:t>（4）预测模式及结果</w:t>
            </w:r>
          </w:p>
          <w:p>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宋体"/>
                <w:color w:val="auto"/>
                <w:spacing w:val="0"/>
                <w:sz w:val="24"/>
                <w:szCs w:val="24"/>
                <w:highlight w:val="none"/>
                <w:u w:val="single" w:color="auto"/>
                <w:lang w:eastAsia="zh-CN"/>
              </w:rPr>
            </w:pPr>
            <w:r>
              <w:rPr>
                <w:rFonts w:hint="default" w:ascii="Times New Roman" w:hAnsi="Times New Roman" w:eastAsia="宋体" w:cs="宋体"/>
                <w:color w:val="auto"/>
                <w:spacing w:val="0"/>
                <w:sz w:val="24"/>
                <w:szCs w:val="24"/>
                <w:highlight w:val="none"/>
                <w:u w:val="single" w:color="auto"/>
                <w:lang w:eastAsia="zh-CN"/>
              </w:rPr>
              <w:t>混合过程段长度估算公式：</w:t>
            </w:r>
          </w:p>
          <w:p>
            <w:pPr>
              <w:pStyle w:val="2"/>
              <w:spacing w:line="460" w:lineRule="exact"/>
              <w:ind w:firstLine="482" w:firstLineChars="200"/>
              <w:jc w:val="center"/>
              <w:rPr>
                <w:rFonts w:hint="eastAsia" w:ascii="Times New Roman" w:hAnsi="Times New Roman" w:eastAsia="宋体" w:cs="Times New Roman"/>
                <w:b/>
                <w:spacing w:val="0"/>
                <w:kern w:val="0"/>
                <w:sz w:val="24"/>
                <w:szCs w:val="24"/>
                <w:u w:val="single" w:color="auto"/>
                <w:lang w:val="en-US" w:eastAsia="zh-CN" w:bidi="ar-SA"/>
              </w:rPr>
            </w:pPr>
            <w:r>
              <w:rPr>
                <w:rFonts w:hint="eastAsia" w:ascii="Times New Roman" w:hAnsi="Times New Roman" w:eastAsia="宋体" w:cs="Times New Roman"/>
                <w:b/>
                <w:spacing w:val="0"/>
                <w:kern w:val="0"/>
                <w:sz w:val="24"/>
                <w:szCs w:val="24"/>
                <w:u w:val="single" w:color="auto"/>
                <w:lang w:val="en-US" w:eastAsia="zh-CN" w:bidi="ar-SA"/>
              </w:rPr>
              <w:t>表</w:t>
            </w:r>
            <w:r>
              <w:rPr>
                <w:rFonts w:hint="eastAsia" w:eastAsia="宋体" w:cs="Times New Roman"/>
                <w:b/>
                <w:spacing w:val="0"/>
                <w:kern w:val="0"/>
                <w:sz w:val="24"/>
                <w:szCs w:val="24"/>
                <w:u w:val="single" w:color="auto"/>
                <w:lang w:val="en-US" w:eastAsia="zh-CN" w:bidi="ar-SA"/>
              </w:rPr>
              <w:t>7-8</w:t>
            </w:r>
            <w:r>
              <w:rPr>
                <w:rFonts w:hint="eastAsia" w:ascii="Times New Roman" w:hAnsi="Times New Roman" w:eastAsia="宋体" w:cs="Times New Roman"/>
                <w:b/>
                <w:spacing w:val="0"/>
                <w:kern w:val="0"/>
                <w:sz w:val="24"/>
                <w:szCs w:val="24"/>
                <w:u w:val="single" w:color="auto"/>
                <w:lang w:val="en-US" w:eastAsia="zh-CN" w:bidi="ar-SA"/>
              </w:rPr>
              <w:t xml:space="preserve"> 预测因子参数表</w:t>
            </w:r>
          </w:p>
          <w:p>
            <w:pPr>
              <w:spacing w:line="460" w:lineRule="exact"/>
              <w:ind w:firstLine="504"/>
              <w:rPr>
                <w:rFonts w:hint="eastAsia" w:cs="宋体"/>
                <w:color w:val="auto"/>
                <w:sz w:val="24"/>
                <w:szCs w:val="24"/>
                <w:highlight w:val="none"/>
                <w:u w:val="single" w:color="auto"/>
              </w:rPr>
            </w:pPr>
          </w:p>
          <w:p>
            <w:pPr>
              <w:spacing w:line="240" w:lineRule="auto"/>
              <w:ind w:firstLine="504"/>
              <w:rPr>
                <w:rFonts w:hint="eastAsia" w:cs="宋体"/>
                <w:color w:val="auto"/>
                <w:sz w:val="24"/>
                <w:szCs w:val="24"/>
                <w:highlight w:val="none"/>
                <w:u w:val="single" w:color="auto"/>
              </w:rPr>
            </w:pPr>
            <w:r>
              <w:rPr>
                <w:rFonts w:hint="eastAsia" w:cs="宋体"/>
                <w:color w:val="auto"/>
                <w:sz w:val="24"/>
                <w:szCs w:val="24"/>
                <w:highlight w:val="none"/>
                <w:u w:val="single" w:color="auto"/>
              </w:rPr>
              <w:drawing>
                <wp:inline distT="0" distB="0" distL="114300" distR="114300">
                  <wp:extent cx="5285105" cy="2677795"/>
                  <wp:effectExtent l="0" t="0" r="10795" b="8255"/>
                  <wp:docPr id="38" name="图片 3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片2"/>
                          <pic:cNvPicPr>
                            <a:picLocks noChangeAspect="1"/>
                          </pic:cNvPicPr>
                        </pic:nvPicPr>
                        <pic:blipFill>
                          <a:blip r:embed="rId19"/>
                          <a:stretch>
                            <a:fillRect/>
                          </a:stretch>
                        </pic:blipFill>
                        <pic:spPr>
                          <a:xfrm>
                            <a:off x="0" y="0"/>
                            <a:ext cx="5285105" cy="2677795"/>
                          </a:xfrm>
                          <a:prstGeom prst="rect">
                            <a:avLst/>
                          </a:prstGeom>
                        </pic:spPr>
                      </pic:pic>
                    </a:graphicData>
                  </a:graphic>
                </wp:inline>
              </w:drawing>
            </w:r>
          </w:p>
          <w:p>
            <w:pPr>
              <w:pStyle w:val="2"/>
              <w:spacing w:line="460" w:lineRule="exact"/>
              <w:ind w:firstLine="480" w:firstLineChars="200"/>
              <w:rPr>
                <w:rFonts w:hint="eastAsia"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参考《湘江长沙综合枢纽工程环境影响报告书》等相关水文资料，湘江多年平均流量约1800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/s，枯水期流量500 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/s，90%保证率的年最枯流量400m</w:t>
            </w:r>
            <w:r>
              <w:rPr>
                <w:rFonts w:hint="default" w:ascii="Times New Roman" w:hAnsi="Times New Roman" w:eastAsia="宋体" w:cs="宋体"/>
                <w:color w:val="auto"/>
                <w:spacing w:val="0"/>
                <w:sz w:val="24"/>
                <w:szCs w:val="24"/>
                <w:highlight w:val="none"/>
                <w:u w:val="single" w:color="auto"/>
                <w:vertAlign w:val="superscript"/>
                <w:lang w:eastAsia="zh-CN"/>
              </w:rPr>
              <w:t>3</w:t>
            </w:r>
            <w:r>
              <w:rPr>
                <w:rFonts w:hint="default" w:ascii="Times New Roman" w:hAnsi="Times New Roman" w:eastAsia="宋体" w:cs="宋体"/>
                <w:color w:val="auto"/>
                <w:spacing w:val="0"/>
                <w:sz w:val="24"/>
                <w:szCs w:val="24"/>
                <w:highlight w:val="none"/>
                <w:u w:val="single" w:color="auto"/>
                <w:lang w:eastAsia="zh-CN"/>
              </w:rPr>
              <w:t>/s；枯水期流速0.24 m/s，枯水期水面宽约400m，水深约1.8m。相关水文资料见表</w:t>
            </w:r>
            <w:r>
              <w:rPr>
                <w:rFonts w:hint="eastAsia" w:ascii="Times New Roman" w:hAnsi="Times New Roman" w:eastAsia="宋体" w:cs="宋体"/>
                <w:color w:val="auto"/>
                <w:spacing w:val="0"/>
                <w:sz w:val="24"/>
                <w:szCs w:val="24"/>
                <w:highlight w:val="none"/>
                <w:u w:val="single" w:color="auto"/>
                <w:lang w:val="en-US" w:eastAsia="zh-CN"/>
              </w:rPr>
              <w:t>7-6。</w:t>
            </w:r>
          </w:p>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4"/>
                <w:u w:val="single" w:color="auto"/>
                <w:lang w:val="en-US" w:eastAsia="zh-CN"/>
              </w:rPr>
              <w:t xml:space="preserve">表7-6  </w:t>
            </w:r>
            <w:r>
              <w:rPr>
                <w:rFonts w:hint="eastAsia" w:cs="Times New Roman"/>
                <w:b/>
                <w:kern w:val="0"/>
                <w:sz w:val="24"/>
                <w:u w:val="single" w:color="auto"/>
                <w:lang w:val="en-US" w:eastAsia="zh-CN"/>
              </w:rPr>
              <w:t>王家河</w:t>
            </w:r>
            <w:r>
              <w:rPr>
                <w:rFonts w:hint="eastAsia" w:ascii="Times New Roman" w:hAnsi="Times New Roman" w:eastAsia="宋体" w:cs="Times New Roman"/>
                <w:b/>
                <w:kern w:val="0"/>
                <w:sz w:val="24"/>
                <w:u w:val="single" w:color="auto"/>
                <w:lang w:val="en-US" w:eastAsia="zh-CN"/>
              </w:rPr>
              <w:t>水文参数表</w:t>
            </w:r>
          </w:p>
          <w:tbl>
            <w:tblPr>
              <w:tblStyle w:val="29"/>
              <w:tblW w:w="4997" w:type="pct"/>
              <w:tblInd w:w="15"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778"/>
              <w:gridCol w:w="1763"/>
              <w:gridCol w:w="1655"/>
              <w:gridCol w:w="1714"/>
              <w:gridCol w:w="1738"/>
              <w:gridCol w:w="1359"/>
            </w:tblGrid>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参数</w:t>
                  </w:r>
                </w:p>
              </w:tc>
              <w:tc>
                <w:tcPr>
                  <w:tcW w:w="97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U（m/s）</w:t>
                  </w:r>
                </w:p>
              </w:tc>
              <w:tc>
                <w:tcPr>
                  <w:tcW w:w="91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水力坡降（‰）</w:t>
                  </w:r>
                </w:p>
              </w:tc>
              <w:tc>
                <w:tcPr>
                  <w:tcW w:w="951"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kern w:val="2"/>
                      <w:sz w:val="21"/>
                      <w:szCs w:val="30"/>
                      <w:highlight w:val="none"/>
                      <w:u w:val="single" w:color="auto"/>
                      <w:lang w:val="en-US" w:eastAsia="zh-CN" w:bidi="ar-SA"/>
                    </w:rPr>
                  </w:pPr>
                  <w:r>
                    <w:rPr>
                      <w:rFonts w:hint="default" w:ascii="Times New Roman" w:hAnsi="Times New Roman" w:eastAsia="宋体" w:cs="Times New Roman"/>
                      <w:color w:val="auto"/>
                      <w:sz w:val="21"/>
                      <w:highlight w:val="none"/>
                      <w:u w:val="single" w:color="auto"/>
                      <w:lang w:val="en-US" w:eastAsia="zh-CN"/>
                    </w:rPr>
                    <w:t>B（m）</w:t>
                  </w:r>
                </w:p>
              </w:tc>
              <w:tc>
                <w:tcPr>
                  <w:tcW w:w="96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H（m）</w:t>
                  </w:r>
                </w:p>
              </w:tc>
              <w:tc>
                <w:tcPr>
                  <w:tcW w:w="75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横向扩散系数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312" w:hRule="atLeast"/>
              </w:trPr>
              <w:tc>
                <w:tcPr>
                  <w:tcW w:w="432"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eastAsia="zh-CN"/>
                    </w:rPr>
                  </w:pPr>
                  <w:r>
                    <w:rPr>
                      <w:rFonts w:hint="default" w:ascii="Times New Roman" w:hAnsi="Times New Roman" w:eastAsia="宋体" w:cs="Times New Roman"/>
                      <w:color w:val="auto"/>
                      <w:sz w:val="21"/>
                      <w:highlight w:val="none"/>
                      <w:u w:val="single" w:color="auto"/>
                      <w:lang w:val="en-US" w:eastAsia="zh-CN"/>
                    </w:rPr>
                    <w:t>湘江</w:t>
                  </w:r>
                </w:p>
              </w:tc>
              <w:tc>
                <w:tcPr>
                  <w:tcW w:w="97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eastAsia" w:ascii="Times New Roman" w:hAnsi="Times New Roman" w:cs="Times New Roman"/>
                      <w:color w:val="auto"/>
                      <w:sz w:val="21"/>
                      <w:highlight w:val="none"/>
                      <w:u w:val="single" w:color="auto"/>
                      <w:lang w:val="en-US" w:eastAsia="zh-CN"/>
                    </w:rPr>
                    <w:t>0.06</w:t>
                  </w:r>
                </w:p>
              </w:tc>
              <w:tc>
                <w:tcPr>
                  <w:tcW w:w="918"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eastAsia" w:ascii="Times New Roman" w:hAnsi="Times New Roman" w:cs="Times New Roman"/>
                      <w:color w:val="auto"/>
                      <w:sz w:val="21"/>
                      <w:highlight w:val="none"/>
                      <w:u w:val="single" w:color="auto"/>
                      <w:lang w:val="en-US" w:eastAsia="zh-CN"/>
                    </w:rPr>
                    <w:t>0.0033</w:t>
                  </w:r>
                </w:p>
              </w:tc>
              <w:tc>
                <w:tcPr>
                  <w:tcW w:w="951"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eastAsia" w:ascii="Times New Roman" w:hAnsi="Times New Roman" w:cs="Times New Roman"/>
                      <w:color w:val="auto"/>
                      <w:sz w:val="21"/>
                      <w:highlight w:val="none"/>
                      <w:u w:val="single" w:color="auto"/>
                      <w:lang w:val="en-US" w:eastAsia="zh-CN"/>
                    </w:rPr>
                    <w:t>10</w:t>
                  </w:r>
                </w:p>
              </w:tc>
              <w:tc>
                <w:tcPr>
                  <w:tcW w:w="96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1.8</w:t>
                  </w:r>
                </w:p>
              </w:tc>
              <w:tc>
                <w:tcPr>
                  <w:tcW w:w="754" w:type="pct"/>
                  <w:tcBorders>
                    <w:tl2br w:val="nil"/>
                    <w:tr2bl w:val="nil"/>
                  </w:tcBorders>
                  <w:tcMar>
                    <w:left w:w="17" w:type="dxa"/>
                    <w:right w:w="17" w:type="dxa"/>
                  </w:tcMar>
                  <w:vAlign w:val="center"/>
                </w:tcPr>
                <w:p>
                  <w:pPr>
                    <w:pStyle w:val="107"/>
                    <w:spacing w:before="1" w:line="320" w:lineRule="exact"/>
                    <w:jc w:val="center"/>
                    <w:rPr>
                      <w:rFonts w:hint="default" w:ascii="Times New Roman" w:hAnsi="Times New Roman" w:eastAsia="宋体" w:cs="Times New Roman"/>
                      <w:color w:val="auto"/>
                      <w:sz w:val="21"/>
                      <w:highlight w:val="none"/>
                      <w:u w:val="single" w:color="auto"/>
                      <w:lang w:val="en-US" w:eastAsia="zh-CN"/>
                    </w:rPr>
                  </w:pPr>
                  <w:r>
                    <w:rPr>
                      <w:rFonts w:hint="default" w:ascii="Times New Roman" w:hAnsi="Times New Roman" w:eastAsia="宋体" w:cs="Times New Roman"/>
                      <w:color w:val="auto"/>
                      <w:sz w:val="21"/>
                      <w:highlight w:val="none"/>
                      <w:u w:val="single" w:color="auto"/>
                      <w:lang w:val="en-US" w:eastAsia="zh-CN"/>
                    </w:rPr>
                    <w:t>0.0762</w:t>
                  </w:r>
                </w:p>
              </w:tc>
            </w:tr>
          </w:tbl>
          <w:p>
            <w:pPr>
              <w:pStyle w:val="2"/>
              <w:spacing w:line="460" w:lineRule="exact"/>
              <w:ind w:firstLine="480" w:firstLineChars="200"/>
              <w:rPr>
                <w:rFonts w:hint="default" w:ascii="Times New Roman" w:hAnsi="Times New Roman" w:eastAsia="宋体" w:cs="宋体"/>
                <w:color w:val="auto"/>
                <w:spacing w:val="0"/>
                <w:sz w:val="24"/>
                <w:szCs w:val="24"/>
                <w:highlight w:val="none"/>
                <w:u w:val="single" w:color="auto"/>
                <w:lang w:val="en-US" w:eastAsia="zh-CN"/>
              </w:rPr>
            </w:pPr>
            <w:r>
              <w:rPr>
                <w:rFonts w:hint="default" w:ascii="Times New Roman" w:hAnsi="Times New Roman" w:eastAsia="宋体" w:cs="宋体"/>
                <w:color w:val="auto"/>
                <w:spacing w:val="0"/>
                <w:sz w:val="24"/>
                <w:szCs w:val="24"/>
                <w:highlight w:val="none"/>
                <w:u w:val="single" w:color="auto"/>
                <w:lang w:eastAsia="zh-CN"/>
              </w:rPr>
              <w:t>混合段长度</w:t>
            </w:r>
            <w:r>
              <w:rPr>
                <w:rFonts w:hint="default" w:ascii="Times New Roman" w:hAnsi="Times New Roman" w:eastAsia="宋体" w:cs="宋体"/>
                <w:color w:val="auto"/>
                <w:spacing w:val="0"/>
                <w:sz w:val="24"/>
                <w:szCs w:val="24"/>
                <w:highlight w:val="none"/>
                <w:u w:val="single" w:color="auto"/>
                <w:lang w:val="en-US" w:eastAsia="zh-CN"/>
              </w:rPr>
              <w:t>Lm约</w:t>
            </w:r>
            <w:r>
              <w:rPr>
                <w:rFonts w:hint="default" w:ascii="Times New Roman" w:hAnsi="Times New Roman" w:eastAsia="宋体" w:cs="宋体"/>
                <w:color w:val="auto"/>
                <w:spacing w:val="0"/>
                <w:sz w:val="24"/>
                <w:szCs w:val="24"/>
                <w:highlight w:val="none"/>
                <w:u w:val="single" w:color="auto"/>
                <w:lang w:eastAsia="zh-CN"/>
              </w:rPr>
              <w:t>为</w:t>
            </w:r>
            <w:r>
              <w:rPr>
                <w:rFonts w:hint="eastAsia" w:ascii="Times New Roman" w:hAnsi="Times New Roman" w:eastAsia="宋体" w:cs="宋体"/>
                <w:color w:val="auto"/>
                <w:spacing w:val="0"/>
                <w:sz w:val="24"/>
                <w:szCs w:val="24"/>
                <w:highlight w:val="none"/>
                <w:u w:val="single" w:color="auto"/>
                <w:lang w:val="en-US" w:eastAsia="zh-CN"/>
              </w:rPr>
              <w:t>242951.799</w:t>
            </w:r>
            <w:r>
              <w:rPr>
                <w:rFonts w:hint="default" w:ascii="Times New Roman" w:hAnsi="Times New Roman" w:eastAsia="宋体" w:cs="宋体"/>
                <w:color w:val="auto"/>
                <w:spacing w:val="0"/>
                <w:sz w:val="24"/>
                <w:szCs w:val="24"/>
                <w:highlight w:val="none"/>
                <w:u w:val="single" w:color="auto"/>
                <w:lang w:val="en-US" w:eastAsia="zh-CN"/>
              </w:rPr>
              <w:t>m。</w:t>
            </w:r>
          </w:p>
          <w:p>
            <w:pPr>
              <w:pStyle w:val="2"/>
              <w:spacing w:line="460" w:lineRule="exact"/>
              <w:ind w:firstLine="480" w:firstLineChars="200"/>
              <w:rPr>
                <w:rFonts w:hint="eastAsia"/>
                <w:u w:val="single" w:color="auto"/>
              </w:rPr>
            </w:pPr>
            <w:r>
              <w:rPr>
                <w:rFonts w:hint="default" w:ascii="Times New Roman" w:hAnsi="Times New Roman" w:eastAsia="宋体" w:cs="宋体"/>
                <w:color w:val="auto"/>
                <w:spacing w:val="0"/>
                <w:sz w:val="24"/>
                <w:szCs w:val="24"/>
                <w:highlight w:val="none"/>
                <w:u w:val="single" w:color="auto"/>
              </w:rPr>
              <w:t>根据《环境影响评价技术导则地面水环境》（HJ 2.3-2018），在混合过程段需采用二维或三维模式进行预测。本评价对湘江的预测采用二维连续稳定排放模型（考虑岸边反射影响的宽浅型平直恒定均匀河流，尾水排入湘江为岸边点源稳定</w:t>
            </w:r>
            <w:r>
              <w:rPr>
                <w:rFonts w:hint="eastAsia" w:ascii="Times New Roman" w:hAnsi="Times New Roman" w:eastAsia="宋体" w:cs="宋体"/>
                <w:color w:val="auto"/>
                <w:spacing w:val="0"/>
                <w:sz w:val="24"/>
                <w:szCs w:val="24"/>
                <w:highlight w:val="none"/>
                <w:u w:val="single" w:color="auto"/>
                <w:lang w:val="en-US" w:eastAsia="zh-CN"/>
              </w:rPr>
              <w:t>排放</w:t>
            </w:r>
            <w:r>
              <w:rPr>
                <w:rFonts w:hint="default" w:ascii="Times New Roman" w:hAnsi="Times New Roman" w:eastAsia="宋体" w:cs="宋体"/>
                <w:color w:val="auto"/>
                <w:spacing w:val="0"/>
                <w:sz w:val="24"/>
                <w:szCs w:val="24"/>
                <w:highlight w:val="none"/>
                <w:u w:val="single" w:color="auto"/>
              </w:rPr>
              <w:t>，预测模式如下：</w:t>
            </w:r>
          </w:p>
          <w:p>
            <w:pPr>
              <w:spacing w:line="240" w:lineRule="auto"/>
              <w:ind w:firstLine="482"/>
              <w:rPr>
                <w:rFonts w:hint="eastAsia" w:eastAsia="宋体" w:cs="宋体"/>
                <w:color w:val="auto"/>
                <w:sz w:val="24"/>
                <w:szCs w:val="24"/>
                <w:highlight w:val="none"/>
                <w:u w:val="single" w:color="auto"/>
                <w:lang w:eastAsia="zh-CN"/>
              </w:rPr>
            </w:pPr>
            <w:r>
              <w:rPr>
                <w:rFonts w:hint="eastAsia" w:eastAsia="宋体" w:cs="宋体"/>
                <w:color w:val="auto"/>
                <w:sz w:val="24"/>
                <w:szCs w:val="24"/>
                <w:highlight w:val="none"/>
                <w:u w:val="single" w:color="auto"/>
                <w:lang w:eastAsia="zh-CN"/>
              </w:rPr>
              <w:drawing>
                <wp:inline distT="0" distB="0" distL="114300" distR="114300">
                  <wp:extent cx="5272405" cy="1026160"/>
                  <wp:effectExtent l="0" t="0" r="4445" b="2540"/>
                  <wp:docPr id="41" name="图片 4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1"/>
                          <pic:cNvPicPr>
                            <a:picLocks noChangeAspect="1"/>
                          </pic:cNvPicPr>
                        </pic:nvPicPr>
                        <pic:blipFill>
                          <a:blip r:embed="rId20"/>
                          <a:stretch>
                            <a:fillRect/>
                          </a:stretch>
                        </pic:blipFill>
                        <pic:spPr>
                          <a:xfrm>
                            <a:off x="0" y="0"/>
                            <a:ext cx="5272405" cy="1026160"/>
                          </a:xfrm>
                          <a:prstGeom prst="rect">
                            <a:avLst/>
                          </a:prstGeom>
                        </pic:spPr>
                      </pic:pic>
                    </a:graphicData>
                  </a:graphic>
                </wp:inline>
              </w:drawing>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式中：C——纵向距离x、横向距离y 点的污染物浓度，mg/L；</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Ch——河流上游污染物浓度，mg/L；</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m——污染物排放速率，g/s；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h——断面水深，m；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u——对应于轴的平均流速分量，m/s；</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x——笛卡尔坐标系X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y——笛卡尔坐标系Y 向的坐标，m；</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k——污染物综合衰减系数，s-1；</w:t>
            </w:r>
          </w:p>
          <w:p>
            <w:pPr>
              <w:spacing w:line="460" w:lineRule="exact"/>
              <w:ind w:firstLine="482"/>
              <w:rPr>
                <w:rFonts w:hint="default" w:ascii="Times New Roman" w:hAnsi="Times New Roman" w:eastAsia="宋体" w:cs="宋体"/>
                <w:color w:val="auto"/>
                <w:sz w:val="24"/>
                <w:szCs w:val="24"/>
                <w:highlight w:val="none"/>
                <w:u w:val="single" w:color="auto"/>
                <w:lang w:val="zh-CN" w:eastAsia="zh-CN"/>
              </w:rPr>
            </w:pPr>
            <w:r>
              <w:rPr>
                <w:rFonts w:hint="default" w:ascii="Times New Roman" w:hAnsi="Times New Roman" w:eastAsia="宋体" w:cs="宋体"/>
                <w:color w:val="auto"/>
                <w:sz w:val="24"/>
                <w:szCs w:val="24"/>
                <w:highlight w:val="none"/>
                <w:u w:val="single" w:color="auto"/>
                <w:lang w:val="zh-CN" w:eastAsia="zh-CN"/>
              </w:rPr>
              <w:t>n——河道糙率，量纲一； 其它符号同上。</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本次论证对新建入河排污口水质影响范围进行计算，计算考虑正常工况和非正常工况2 种情况进行预测：</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正常工况：</w:t>
            </w:r>
            <w:r>
              <w:rPr>
                <w:rFonts w:hint="eastAsia" w:ascii="Times New Roman" w:hAnsi="Times New Roman" w:eastAsia="宋体" w:cs="宋体"/>
                <w:color w:val="auto"/>
                <w:sz w:val="24"/>
                <w:szCs w:val="24"/>
                <w:highlight w:val="none"/>
                <w:u w:val="single" w:color="auto"/>
                <w:lang w:val="en-US" w:eastAsia="zh-CN"/>
              </w:rPr>
              <w:t>湘阴县</w:t>
            </w:r>
            <w:r>
              <w:rPr>
                <w:rFonts w:hint="eastAsia" w:cs="宋体"/>
                <w:color w:val="auto"/>
                <w:sz w:val="24"/>
                <w:szCs w:val="24"/>
                <w:highlight w:val="none"/>
                <w:u w:val="single" w:color="auto"/>
                <w:lang w:val="en-US" w:eastAsia="zh-CN"/>
              </w:rPr>
              <w:t>湘滨</w:t>
            </w:r>
            <w:r>
              <w:rPr>
                <w:rFonts w:hint="eastAsia" w:ascii="Times New Roman" w:hAnsi="Times New Roman" w:eastAsia="宋体" w:cs="宋体"/>
                <w:color w:val="auto"/>
                <w:sz w:val="24"/>
                <w:szCs w:val="24"/>
                <w:highlight w:val="none"/>
                <w:u w:val="single" w:color="auto"/>
                <w:lang w:val="en-US" w:eastAsia="zh-CN"/>
              </w:rPr>
              <w:t>镇污水处理工程</w:t>
            </w:r>
            <w:r>
              <w:rPr>
                <w:rFonts w:hint="default" w:ascii="Times New Roman" w:hAnsi="Times New Roman" w:eastAsia="宋体" w:cs="宋体"/>
                <w:color w:val="auto"/>
                <w:sz w:val="24"/>
                <w:szCs w:val="24"/>
                <w:highlight w:val="none"/>
                <w:u w:val="single" w:color="auto"/>
                <w:lang w:val="en-US" w:eastAsia="zh-CN"/>
              </w:rPr>
              <w:t>正常运行，污染物达标排放的情况下，入河污染物对湘江水质的影响程度；</w:t>
            </w:r>
          </w:p>
          <w:p>
            <w:pPr>
              <w:spacing w:line="460" w:lineRule="exact"/>
              <w:ind w:firstLine="482"/>
              <w:rPr>
                <w:rFonts w:hint="default" w:ascii="Times New Roman" w:hAnsi="Times New Roman" w:eastAsia="宋体" w:cs="宋体"/>
                <w:color w:val="auto"/>
                <w:sz w:val="24"/>
                <w:szCs w:val="24"/>
                <w:highlight w:val="none"/>
                <w:u w:val="single" w:color="auto"/>
                <w:lang w:val="en-US" w:eastAsia="zh-CN"/>
              </w:rPr>
            </w:pPr>
            <w:r>
              <w:rPr>
                <w:rFonts w:hint="default" w:ascii="Times New Roman" w:hAnsi="Times New Roman" w:eastAsia="宋体" w:cs="宋体"/>
                <w:color w:val="auto"/>
                <w:sz w:val="24"/>
                <w:szCs w:val="24"/>
                <w:highlight w:val="none"/>
                <w:u w:val="single" w:color="auto"/>
                <w:lang w:val="en-US" w:eastAsia="zh-CN"/>
              </w:rPr>
              <w:t>非正常工况：</w:t>
            </w:r>
            <w:r>
              <w:rPr>
                <w:rFonts w:hint="eastAsia" w:ascii="Times New Roman" w:hAnsi="Times New Roman" w:eastAsia="宋体" w:cs="宋体"/>
                <w:color w:val="auto"/>
                <w:sz w:val="24"/>
                <w:szCs w:val="24"/>
                <w:highlight w:val="none"/>
                <w:u w:val="single" w:color="auto"/>
                <w:lang w:val="en-US" w:eastAsia="zh-CN"/>
              </w:rPr>
              <w:t>湘阴县湘滨镇污水处理工程</w:t>
            </w:r>
            <w:r>
              <w:rPr>
                <w:rFonts w:hint="default" w:ascii="Times New Roman" w:hAnsi="Times New Roman" w:eastAsia="宋体" w:cs="宋体"/>
                <w:color w:val="auto"/>
                <w:sz w:val="24"/>
                <w:szCs w:val="24"/>
                <w:highlight w:val="none"/>
                <w:u w:val="single" w:color="auto"/>
                <w:lang w:val="en-US" w:eastAsia="zh-CN"/>
              </w:rPr>
              <w:t>非正常运行时，考虑污水处理厂出现异常情况，污水未经处理直接，出水水质按照污水处理厂进水水质计算，其污水排放对湘江水质的影响程度。</w:t>
            </w:r>
          </w:p>
          <w:p>
            <w:pPr>
              <w:autoSpaceDE w:val="0"/>
              <w:autoSpaceDN w:val="0"/>
              <w:adjustRightInd w:val="0"/>
              <w:jc w:val="center"/>
              <w:rPr>
                <w:rFonts w:hint="default" w:ascii="Times New Roman" w:hAnsi="Times New Roman" w:eastAsia="宋体" w:cs="Times New Roman"/>
                <w:b/>
                <w:kern w:val="0"/>
                <w:sz w:val="21"/>
                <w:szCs w:val="20"/>
                <w:u w:val="single" w:color="auto"/>
                <w:lang w:val="en-US" w:eastAsia="zh-CN"/>
              </w:rPr>
            </w:pPr>
            <w:r>
              <w:rPr>
                <w:rFonts w:hint="default" w:ascii="Times New Roman" w:hAnsi="Times New Roman" w:eastAsia="宋体" w:cs="Times New Roman"/>
                <w:b/>
                <w:kern w:val="0"/>
                <w:sz w:val="21"/>
                <w:szCs w:val="20"/>
                <w:u w:val="single" w:color="auto"/>
                <w:lang w:val="en-US" w:eastAsia="zh-CN"/>
              </w:rPr>
              <w:t>表</w:t>
            </w:r>
            <w:r>
              <w:rPr>
                <w:rFonts w:hint="eastAsia" w:ascii="Times New Roman" w:hAnsi="Times New Roman" w:eastAsia="宋体" w:cs="Times New Roman"/>
                <w:b/>
                <w:kern w:val="0"/>
                <w:sz w:val="21"/>
                <w:szCs w:val="20"/>
                <w:u w:val="single" w:color="auto"/>
                <w:lang w:val="en-US" w:eastAsia="zh-CN"/>
              </w:rPr>
              <w:t>7-7</w:t>
            </w:r>
            <w:r>
              <w:rPr>
                <w:rFonts w:hint="default" w:ascii="Times New Roman" w:hAnsi="Times New Roman" w:eastAsia="宋体" w:cs="Times New Roman"/>
                <w:b/>
                <w:kern w:val="0"/>
                <w:sz w:val="21"/>
                <w:szCs w:val="20"/>
                <w:u w:val="single" w:color="auto"/>
                <w:lang w:val="en-US" w:eastAsia="zh-CN"/>
              </w:rPr>
              <w:t xml:space="preserve"> 污染物排放（</w:t>
            </w:r>
            <w:r>
              <w:rPr>
                <w:rFonts w:hint="eastAsia" w:ascii="Times New Roman" w:hAnsi="Times New Roman" w:eastAsia="宋体" w:cs="Times New Roman"/>
                <w:b/>
                <w:kern w:val="0"/>
                <w:sz w:val="21"/>
                <w:szCs w:val="20"/>
                <w:u w:val="single" w:color="auto"/>
                <w:lang w:val="en-US" w:eastAsia="zh-CN"/>
              </w:rPr>
              <w:t>3</w:t>
            </w:r>
            <w:r>
              <w:rPr>
                <w:rFonts w:hint="default" w:ascii="Times New Roman" w:hAnsi="Times New Roman" w:eastAsia="宋体" w:cs="Times New Roman"/>
                <w:b/>
                <w:kern w:val="0"/>
                <w:sz w:val="21"/>
                <w:szCs w:val="20"/>
                <w:u w:val="single" w:color="auto"/>
                <w:lang w:val="en-US" w:eastAsia="zh-CN"/>
              </w:rPr>
              <w:t>00m</w:t>
            </w:r>
            <w:r>
              <w:rPr>
                <w:rFonts w:hint="default" w:ascii="Times New Roman" w:hAnsi="Times New Roman" w:eastAsia="宋体" w:cs="Times New Roman"/>
                <w:b/>
                <w:kern w:val="0"/>
                <w:sz w:val="21"/>
                <w:szCs w:val="20"/>
                <w:u w:val="single" w:color="auto"/>
                <w:vertAlign w:val="superscript"/>
                <w:lang w:val="en-US" w:eastAsia="zh-CN"/>
              </w:rPr>
              <w:t>3</w:t>
            </w:r>
            <w:r>
              <w:rPr>
                <w:rFonts w:hint="default" w:ascii="Times New Roman" w:hAnsi="Times New Roman" w:eastAsia="宋体" w:cs="Times New Roman"/>
                <w:b/>
                <w:kern w:val="0"/>
                <w:sz w:val="21"/>
                <w:szCs w:val="20"/>
                <w:u w:val="single" w:color="auto"/>
                <w:vertAlign w:val="baseline"/>
                <w:lang w:val="en-US" w:eastAsia="zh-CN"/>
              </w:rPr>
              <w:t>/d正常和非正常工况</w:t>
            </w:r>
            <w:r>
              <w:rPr>
                <w:rFonts w:hint="default" w:ascii="Times New Roman" w:hAnsi="Times New Roman" w:eastAsia="宋体" w:cs="Times New Roman"/>
                <w:b/>
                <w:kern w:val="0"/>
                <w:sz w:val="21"/>
                <w:szCs w:val="20"/>
                <w:u w:val="single" w:color="auto"/>
                <w:lang w:val="en-US" w:eastAsia="zh-CN"/>
              </w:rPr>
              <w:t>）至湘江中COD浓度预测值 mg/L</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24"/>
              <w:gridCol w:w="1153"/>
              <w:gridCol w:w="1155"/>
              <w:gridCol w:w="1169"/>
              <w:gridCol w:w="858"/>
              <w:gridCol w:w="1149"/>
              <w:gridCol w:w="11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36"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c>
                <w:tcPr>
                  <w:tcW w:w="1768"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294"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kern w:val="2"/>
                      <w:sz w:val="21"/>
                      <w:szCs w:val="21"/>
                      <w:highlight w:val="none"/>
                      <w:u w:val="single" w:color="auto"/>
                      <w:vertAlign w:val="baseline"/>
                      <w:lang w:val="en-US" w:eastAsia="zh-CN" w:bidi="ar-SA"/>
                    </w:rPr>
                    <w:t>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vertAlign w:val="baseline"/>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20.7644</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13.1222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11.9893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11.5325</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11.3040</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11.1793</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11.1079</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11.0041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11.0658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11.0040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11.0406</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11.0035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iCs w:val="0"/>
                      <w:color w:val="auto"/>
                      <w:kern w:val="2"/>
                      <w:sz w:val="21"/>
                      <w:szCs w:val="21"/>
                      <w:highlight w:val="none"/>
                      <w:u w:val="single" w:color="auto"/>
                      <w:lang w:val="en-US" w:eastAsia="zh-CN" w:bidi="ar-SA"/>
                    </w:rPr>
                    <w:t>11.0252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11.0252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11.0158</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11.0022</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42"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11.0002</w:t>
                  </w:r>
                </w:p>
              </w:tc>
              <w:tc>
                <w:tcPr>
                  <w:tcW w:w="6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c>
                <w:tcPr>
                  <w:tcW w:w="47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iCs w:val="0"/>
                      <w:color w:val="auto"/>
                      <w:kern w:val="0"/>
                      <w:sz w:val="21"/>
                      <w:szCs w:val="21"/>
                      <w:highlight w:val="none"/>
                      <w:u w:val="single" w:color="auto"/>
                      <w:lang w:val="en-US" w:eastAsia="zh-CN" w:bidi="ar"/>
                    </w:rPr>
                    <w:t>11.0002</w:t>
                  </w:r>
                </w:p>
              </w:tc>
              <w:tc>
                <w:tcPr>
                  <w:tcW w:w="63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ascii="Times New Roman" w:hAnsi="Times New Roman" w:eastAsia="宋体" w:cs="Times New Roman"/>
                      <w:i w:val="0"/>
                      <w:color w:val="000000"/>
                      <w:kern w:val="0"/>
                      <w:sz w:val="21"/>
                      <w:szCs w:val="21"/>
                      <w:u w:val="single" w:color="auto"/>
                      <w:lang w:val="en-US" w:eastAsia="zh-CN" w:bidi="ar"/>
                    </w:rPr>
                    <w:t>11.0001</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ascii="Times New Roman" w:hAnsi="Times New Roman" w:eastAsia="宋体" w:cs="Times New Roman"/>
                      <w:i w:val="0"/>
                      <w:color w:val="000000"/>
                      <w:kern w:val="0"/>
                      <w:sz w:val="21"/>
                      <w:szCs w:val="21"/>
                      <w:u w:val="single" w:color="auto"/>
                      <w:lang w:val="en-US" w:eastAsia="zh-CN" w:bidi="ar"/>
                    </w:rPr>
                    <w:t>11.0000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2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705"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≤20mg/L</w:t>
                  </w:r>
                </w:p>
              </w:tc>
            </w:tr>
          </w:tbl>
          <w:p>
            <w:pPr>
              <w:autoSpaceDE w:val="0"/>
              <w:autoSpaceDN w:val="0"/>
              <w:adjustRightInd w:val="0"/>
              <w:jc w:val="center"/>
              <w:rPr>
                <w:rFonts w:hint="default" w:ascii="Times New Roman" w:hAnsi="Times New Roman" w:eastAsia="宋体" w:cs="Times New Roman"/>
                <w:b/>
                <w:kern w:val="0"/>
                <w:sz w:val="24"/>
                <w:u w:val="single" w:color="auto"/>
                <w:lang w:val="en-US" w:eastAsia="zh-CN"/>
              </w:rPr>
            </w:pPr>
            <w:r>
              <w:rPr>
                <w:rFonts w:hint="eastAsia" w:ascii="Times New Roman" w:hAnsi="Times New Roman" w:eastAsia="宋体" w:cs="Times New Roman"/>
                <w:b/>
                <w:kern w:val="0"/>
                <w:sz w:val="21"/>
                <w:szCs w:val="20"/>
                <w:u w:val="single" w:color="auto"/>
                <w:lang w:val="en-US" w:eastAsia="zh-CN"/>
              </w:rPr>
              <w:t>表7-8 污染物排放（</w:t>
            </w:r>
            <w:r>
              <w:rPr>
                <w:rFonts w:hint="eastAsia" w:cs="Times New Roman"/>
                <w:b/>
                <w:kern w:val="0"/>
                <w:sz w:val="21"/>
                <w:szCs w:val="20"/>
                <w:u w:val="single" w:color="auto"/>
                <w:lang w:val="en-US" w:eastAsia="zh-CN"/>
              </w:rPr>
              <w:t>3</w:t>
            </w:r>
            <w:r>
              <w:rPr>
                <w:rFonts w:hint="eastAsia" w:ascii="Times New Roman" w:hAnsi="Times New Roman" w:eastAsia="宋体" w:cs="Times New Roman"/>
                <w:b/>
                <w:kern w:val="0"/>
                <w:sz w:val="21"/>
                <w:szCs w:val="20"/>
                <w:u w:val="single" w:color="auto"/>
                <w:lang w:val="en-US" w:eastAsia="zh-CN"/>
              </w:rPr>
              <w:t>00m</w:t>
            </w:r>
            <w:r>
              <w:rPr>
                <w:rFonts w:hint="eastAsia" w:ascii="Times New Roman" w:hAnsi="Times New Roman" w:eastAsia="宋体" w:cs="Times New Roman"/>
                <w:b/>
                <w:kern w:val="0"/>
                <w:sz w:val="21"/>
                <w:szCs w:val="20"/>
                <w:u w:val="single" w:color="auto"/>
                <w:vertAlign w:val="superscript"/>
                <w:lang w:val="en-US" w:eastAsia="zh-CN"/>
              </w:rPr>
              <w:t>3</w:t>
            </w:r>
            <w:r>
              <w:rPr>
                <w:rFonts w:hint="eastAsia" w:ascii="Times New Roman" w:hAnsi="Times New Roman" w:eastAsia="宋体" w:cs="Times New Roman"/>
                <w:b/>
                <w:kern w:val="0"/>
                <w:sz w:val="21"/>
                <w:szCs w:val="20"/>
                <w:u w:val="single" w:color="auto"/>
                <w:vertAlign w:val="baseline"/>
                <w:lang w:val="en-US" w:eastAsia="zh-CN"/>
              </w:rPr>
              <w:t>/d正常和非正常工况</w:t>
            </w:r>
            <w:r>
              <w:rPr>
                <w:rFonts w:hint="eastAsia" w:ascii="Times New Roman" w:hAnsi="Times New Roman" w:eastAsia="宋体" w:cs="Times New Roman"/>
                <w:b/>
                <w:kern w:val="0"/>
                <w:sz w:val="21"/>
                <w:szCs w:val="20"/>
                <w:u w:val="single" w:color="auto"/>
                <w:lang w:val="en-US" w:eastAsia="zh-CN"/>
              </w:rPr>
              <w:t>）至湘江中氨氮浓度预测值 mg/L</w:t>
            </w:r>
          </w:p>
          <w:tbl>
            <w:tblPr>
              <w:tblStyle w:val="29"/>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30"/>
              <w:gridCol w:w="1172"/>
              <w:gridCol w:w="1174"/>
              <w:gridCol w:w="1183"/>
              <w:gridCol w:w="751"/>
              <w:gridCol w:w="1167"/>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排放情况</w:t>
                  </w:r>
                </w:p>
              </w:tc>
              <w:tc>
                <w:tcPr>
                  <w:tcW w:w="1969"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非正常</w:t>
                  </w:r>
                </w:p>
              </w:tc>
              <w:tc>
                <w:tcPr>
                  <w:tcW w:w="1730" w:type="pct"/>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t>正常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300" w:type="pct"/>
                  <w:tcBorders>
                    <w:tl2br w:val="nil"/>
                    <w:tr2bl w:val="nil"/>
                  </w:tcBorders>
                  <w:shd w:val="clear" w:color="auto" w:fill="auto"/>
                  <w:noWrap/>
                  <w:tcMar>
                    <w:top w:w="15" w:type="dxa"/>
                    <w:left w:w="15" w:type="dxa"/>
                    <w:right w:w="15"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mc:AlternateContent>
                      <mc:Choice Requires="wpsCustomData">
                        <wpsCustomData:diagonalParaType/>
                      </mc:Choice>
                    </mc:AlternateContent>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纵向（x、m）</w:t>
                  </w:r>
                </w:p>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横向（y，m）</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default" w:ascii="Times New Roman" w:hAnsi="Times New Roman" w:eastAsia="宋体" w:cs="Times New Roman"/>
                      <w:i w:val="0"/>
                      <w:iCs w:val="0"/>
                      <w:color w:val="auto"/>
                      <w:sz w:val="21"/>
                      <w:szCs w:val="21"/>
                      <w:highlight w:val="none"/>
                      <w:u w:val="single" w:color="auto"/>
                      <w:vertAlign w:val="baseline"/>
                      <w:lang w:val="en-US" w:eastAsia="zh-CN"/>
                    </w:rPr>
                    <w:t>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2"/>
                      <w:sz w:val="21"/>
                      <w:szCs w:val="21"/>
                      <w:highlight w:val="none"/>
                      <w:u w:val="single" w:color="auto"/>
                      <w:vertAlign w:val="baseline"/>
                      <w:lang w:val="en-US" w:eastAsia="zh-CN" w:bidi="ar-SA"/>
                    </w:rPr>
                  </w:pPr>
                  <w:r>
                    <w:rPr>
                      <w:rFonts w:hint="eastAsia" w:ascii="Times New Roman" w:hAnsi="Times New Roman" w:eastAsia="宋体" w:cs="Times New Roman"/>
                      <w:i w:val="0"/>
                      <w:iCs w:val="0"/>
                      <w:color w:val="auto"/>
                      <w:sz w:val="21"/>
                      <w:szCs w:val="21"/>
                      <w:highlight w:val="none"/>
                      <w:u w:val="single" w:color="auto"/>
                      <w:vertAlign w:val="baseline"/>
                      <w:lang w:val="en-US" w:eastAsia="zh-CN"/>
                    </w:rPr>
                    <w:t>50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ascii="Times New Roman" w:hAnsi="Times New Roman" w:eastAsia="宋体" w:cs="Times New Roman"/>
                      <w:i w:val="0"/>
                      <w:iCs w:val="0"/>
                      <w:color w:val="auto"/>
                      <w:kern w:val="0"/>
                      <w:sz w:val="21"/>
                      <w:szCs w:val="21"/>
                      <w:highlight w:val="none"/>
                      <w:u w:val="single" w:color="auto"/>
                      <w:vertAlign w:val="baseline"/>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4"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iCs w:val="0"/>
                      <w:color w:val="auto"/>
                      <w:kern w:val="2"/>
                      <w:sz w:val="21"/>
                      <w:szCs w:val="21"/>
                      <w:highlight w:val="none"/>
                      <w:u w:val="single" w:color="auto"/>
                      <w:lang w:val="en-US" w:eastAsia="zh-CN" w:bidi="ar-SA"/>
                    </w:rPr>
                    <w:t>0.2521</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vertAlign w:val="baseline"/>
                      <w:lang w:val="en-US" w:eastAsia="zh-CN" w:bidi="ar"/>
                    </w:rPr>
                  </w:pPr>
                  <w:r>
                    <w:rPr>
                      <w:rFonts w:hint="eastAsia" w:cs="Times New Roman"/>
                      <w:i w:val="0"/>
                      <w:color w:val="000000"/>
                      <w:kern w:val="0"/>
                      <w:sz w:val="21"/>
                      <w:szCs w:val="21"/>
                      <w:u w:val="single" w:color="auto"/>
                      <w:lang w:val="en-US" w:eastAsia="zh-CN" w:bidi="ar"/>
                    </w:rPr>
                    <w:t>0.1757</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100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0.1911</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0.1670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200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0.1829</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0.1658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300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0.1792</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0.1653</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400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0.1770</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0.1650</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500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0.1755</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0.1632</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0.1648</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600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0.1744</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0.1634</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0.1646</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700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0.1736</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0.1636</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0.4645</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b w:val="0"/>
                      <w:bCs w:val="0"/>
                      <w:i w:val="0"/>
                      <w:iCs w:val="0"/>
                      <w:color w:val="auto"/>
                      <w:kern w:val="2"/>
                      <w:sz w:val="21"/>
                      <w:szCs w:val="21"/>
                      <w:highlight w:val="none"/>
                      <w:u w:val="single" w:color="auto"/>
                      <w:lang w:val="en-US" w:eastAsia="zh-CN" w:bidi="ar-SA"/>
                    </w:rPr>
                    <w:t>0.1631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800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iCs w:val="0"/>
                      <w:color w:val="auto"/>
                      <w:kern w:val="2"/>
                      <w:sz w:val="21"/>
                      <w:szCs w:val="21"/>
                      <w:highlight w:val="none"/>
                      <w:u w:val="single" w:color="auto"/>
                      <w:lang w:val="en-US" w:eastAsia="zh-CN" w:bidi="ar-SA"/>
                    </w:rPr>
                    <w:t>0.1729</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0.1638</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0.4644</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ascii="Times New Roman" w:hAnsi="Times New Roman" w:eastAsia="宋体" w:cs="Times New Roman"/>
                      <w:i w:val="0"/>
                      <w:iCs w:val="0"/>
                      <w:color w:val="auto"/>
                      <w:sz w:val="21"/>
                      <w:szCs w:val="21"/>
                      <w:highlight w:val="none"/>
                      <w:u w:val="single" w:color="auto"/>
                      <w:lang w:val="en-US" w:eastAsia="zh-CN"/>
                    </w:rPr>
                    <w:t>900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0.1723</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0.1640</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iCs w:val="0"/>
                      <w:color w:val="auto"/>
                      <w:kern w:val="0"/>
                      <w:sz w:val="21"/>
                      <w:szCs w:val="21"/>
                      <w:highlight w:val="none"/>
                      <w:u w:val="single" w:color="auto"/>
                      <w:lang w:val="en-US" w:eastAsia="zh-CN" w:bidi="ar"/>
                    </w:rPr>
                    <w:t>0.1643</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b w:val="0"/>
                      <w:bCs w:val="0"/>
                      <w:i w:val="0"/>
                      <w:iCs w:val="0"/>
                      <w:color w:val="auto"/>
                      <w:kern w:val="2"/>
                      <w:sz w:val="21"/>
                      <w:szCs w:val="21"/>
                      <w:highlight w:val="none"/>
                      <w:u w:val="single" w:color="auto"/>
                      <w:lang w:val="en-US" w:eastAsia="zh-CN" w:bidi="ar-SA"/>
                    </w:rPr>
                    <w:t>0.1631</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1000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0.1718</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0.1642</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color w:val="000000"/>
                      <w:kern w:val="0"/>
                      <w:sz w:val="21"/>
                      <w:szCs w:val="21"/>
                      <w:u w:val="single" w:color="auto"/>
                      <w:lang w:val="en-US" w:eastAsia="zh-CN" w:bidi="ar"/>
                    </w:rPr>
                    <w:t>0.1639</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0.1632</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vertAlign w:val="baseline"/>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2</w:t>
                  </w:r>
                  <w:r>
                    <w:rPr>
                      <w:rFonts w:hint="eastAsia" w:ascii="Times New Roman" w:hAnsi="Times New Roman" w:eastAsia="宋体" w:cs="Times New Roman"/>
                      <w:i w:val="0"/>
                      <w:iCs w:val="0"/>
                      <w:color w:val="auto"/>
                      <w:sz w:val="21"/>
                      <w:szCs w:val="21"/>
                      <w:highlight w:val="none"/>
                      <w:u w:val="single" w:color="auto"/>
                      <w:lang w:val="en-US" w:eastAsia="zh-CN"/>
                    </w:rPr>
                    <w:t>0</w:t>
                  </w:r>
                  <w:r>
                    <w:rPr>
                      <w:rFonts w:hint="default" w:ascii="Times New Roman" w:hAnsi="Times New Roman" w:eastAsia="宋体" w:cs="Times New Roman"/>
                      <w:i w:val="0"/>
                      <w:iCs w:val="0"/>
                      <w:color w:val="auto"/>
                      <w:sz w:val="21"/>
                      <w:szCs w:val="21"/>
                      <w:highlight w:val="none"/>
                      <w:u w:val="single" w:color="auto"/>
                      <w:lang w:val="en-US" w:eastAsia="zh-CN"/>
                    </w:rPr>
                    <w:t>00</w:t>
                  </w:r>
                </w:p>
              </w:tc>
              <w:tc>
                <w:tcPr>
                  <w:tcW w:w="65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eastAsia" w:cs="Times New Roman"/>
                      <w:i w:val="0"/>
                      <w:color w:val="000000"/>
                      <w:kern w:val="0"/>
                      <w:sz w:val="21"/>
                      <w:szCs w:val="21"/>
                      <w:u w:val="single" w:color="auto"/>
                      <w:lang w:val="en-US" w:eastAsia="zh-CN" w:bidi="ar"/>
                    </w:rPr>
                    <w:t>0.1692</w:t>
                  </w:r>
                </w:p>
              </w:tc>
              <w:tc>
                <w:tcPr>
                  <w:tcW w:w="65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0.1653</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c>
                <w:tcPr>
                  <w:tcW w:w="4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single" w:color="auto"/>
                      <w:lang w:val="en-US" w:eastAsia="zh-CN" w:bidi="ar"/>
                    </w:rPr>
                  </w:pPr>
                  <w:r>
                    <w:rPr>
                      <w:rFonts w:hint="eastAsia" w:cs="Times New Roman"/>
                      <w:i w:val="0"/>
                      <w:iCs w:val="0"/>
                      <w:color w:val="auto"/>
                      <w:kern w:val="0"/>
                      <w:sz w:val="21"/>
                      <w:szCs w:val="21"/>
                      <w:highlight w:val="none"/>
                      <w:u w:val="single" w:color="auto"/>
                      <w:lang w:val="en-US" w:eastAsia="zh-CN" w:bidi="ar"/>
                    </w:rPr>
                    <w:t>0.1637</w:t>
                  </w:r>
                </w:p>
              </w:tc>
              <w:tc>
                <w:tcPr>
                  <w:tcW w:w="65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b w:val="0"/>
                      <w:bCs w:val="0"/>
                      <w:i w:val="0"/>
                      <w:iCs w:val="0"/>
                      <w:color w:val="auto"/>
                      <w:kern w:val="2"/>
                      <w:sz w:val="21"/>
                      <w:szCs w:val="21"/>
                      <w:highlight w:val="none"/>
                      <w:u w:val="single" w:color="auto"/>
                      <w:lang w:val="en-US" w:eastAsia="zh-CN" w:bidi="ar-SA"/>
                    </w:rPr>
                    <w:t>0.1633</w:t>
                  </w:r>
                </w:p>
              </w:tc>
              <w:tc>
                <w:tcPr>
                  <w:tcW w:w="66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single" w:color="auto"/>
                      <w:lang w:val="en-US" w:eastAsia="zh-CN" w:bidi="ar-SA"/>
                    </w:rPr>
                  </w:pPr>
                  <w:r>
                    <w:rPr>
                      <w:rFonts w:hint="eastAsia" w:cs="Times New Roman"/>
                      <w:i w:val="0"/>
                      <w:color w:val="000000"/>
                      <w:kern w:val="0"/>
                      <w:sz w:val="21"/>
                      <w:szCs w:val="21"/>
                      <w:u w:val="single" w:color="auto"/>
                      <w:lang w:val="en-US" w:eastAsia="zh-CN" w:bidi="ar"/>
                    </w:rPr>
                    <w:t>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0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spacing w:line="240" w:lineRule="atLeast"/>
                    <w:ind w:firstLine="0" w:firstLineChars="0"/>
                    <w:jc w:val="center"/>
                    <w:textAlignment w:val="center"/>
                    <w:rPr>
                      <w:rFonts w:hint="default" w:ascii="Times New Roman" w:hAnsi="Times New Roman" w:eastAsia="宋体" w:cs="Times New Roman"/>
                      <w:i w:val="0"/>
                      <w:iCs w:val="0"/>
                      <w:color w:val="auto"/>
                      <w:sz w:val="21"/>
                      <w:szCs w:val="21"/>
                      <w:highlight w:val="none"/>
                      <w:u w:val="single" w:color="auto"/>
                      <w:lang w:val="en-US" w:eastAsia="zh-CN"/>
                    </w:rPr>
                  </w:pPr>
                  <w:r>
                    <w:rPr>
                      <w:rFonts w:hint="default" w:ascii="Times New Roman" w:hAnsi="Times New Roman" w:eastAsia="宋体" w:cs="Times New Roman"/>
                      <w:i w:val="0"/>
                      <w:iCs w:val="0"/>
                      <w:color w:val="auto"/>
                      <w:sz w:val="21"/>
                      <w:szCs w:val="21"/>
                      <w:highlight w:val="none"/>
                      <w:u w:val="single" w:color="auto"/>
                      <w:lang w:val="en-US" w:eastAsia="zh-CN"/>
                    </w:rPr>
                    <w:t>标准值（Ⅲ类）</w:t>
                  </w:r>
                </w:p>
              </w:tc>
              <w:tc>
                <w:tcPr>
                  <w:tcW w:w="3699" w:type="pct"/>
                  <w:gridSpan w:val="6"/>
                  <w:tcBorders>
                    <w:tl2br w:val="nil"/>
                    <w:tr2bl w:val="nil"/>
                  </w:tcBorders>
                  <w:shd w:val="clear" w:color="auto" w:fill="auto"/>
                  <w:noWrap/>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single" w:color="auto"/>
                      <w:lang w:val="en-US" w:eastAsia="zh-CN" w:bidi="ar"/>
                    </w:rPr>
                  </w:pPr>
                  <w:r>
                    <w:rPr>
                      <w:rFonts w:hint="default" w:ascii="Times New Roman" w:hAnsi="Times New Roman" w:eastAsia="宋体" w:cs="Times New Roman"/>
                      <w:i w:val="0"/>
                      <w:iCs w:val="0"/>
                      <w:color w:val="auto"/>
                      <w:kern w:val="0"/>
                      <w:sz w:val="21"/>
                      <w:szCs w:val="21"/>
                      <w:highlight w:val="none"/>
                      <w:u w:val="single" w:color="auto"/>
                      <w:lang w:val="en-US" w:eastAsia="zh-CN" w:bidi="ar"/>
                    </w:rPr>
                    <w:t>≤</w:t>
                  </w:r>
                  <w:r>
                    <w:rPr>
                      <w:rFonts w:hint="eastAsia" w:ascii="Times New Roman" w:hAnsi="Times New Roman" w:eastAsia="宋体" w:cs="Times New Roman"/>
                      <w:i w:val="0"/>
                      <w:iCs w:val="0"/>
                      <w:color w:val="auto"/>
                      <w:kern w:val="0"/>
                      <w:sz w:val="21"/>
                      <w:szCs w:val="21"/>
                      <w:highlight w:val="none"/>
                      <w:u w:val="single" w:color="auto"/>
                      <w:lang w:val="en-US" w:eastAsia="zh-CN" w:bidi="ar"/>
                    </w:rPr>
                    <w:t>1.0</w:t>
                  </w:r>
                  <w:r>
                    <w:rPr>
                      <w:rFonts w:hint="default" w:ascii="Times New Roman" w:hAnsi="Times New Roman" w:eastAsia="宋体" w:cs="Times New Roman"/>
                      <w:i w:val="0"/>
                      <w:iCs w:val="0"/>
                      <w:color w:val="auto"/>
                      <w:kern w:val="0"/>
                      <w:sz w:val="21"/>
                      <w:szCs w:val="21"/>
                      <w:highlight w:val="none"/>
                      <w:u w:val="single" w:color="auto"/>
                      <w:lang w:val="en-US" w:eastAsia="zh-CN" w:bidi="ar"/>
                    </w:rPr>
                    <w:t>mg/L</w:t>
                  </w:r>
                </w:p>
              </w:tc>
            </w:tr>
          </w:tbl>
          <w:p>
            <w:pPr>
              <w:spacing w:line="360" w:lineRule="auto"/>
              <w:ind w:firstLine="504"/>
              <w:rPr>
                <w:rFonts w:hint="default" w:ascii="Times New Roman" w:hAnsi="Times New Roman" w:eastAsia="宋体" w:cs="Times New Roman"/>
                <w:sz w:val="24"/>
                <w:szCs w:val="24"/>
                <w:u w:val="single" w:color="auto"/>
              </w:rPr>
            </w:pPr>
          </w:p>
          <w:p>
            <w:pPr>
              <w:spacing w:line="360" w:lineRule="auto"/>
              <w:ind w:firstLine="504"/>
              <w:rPr>
                <w:rFonts w:hint="eastAsia" w:cs="宋体"/>
                <w:color w:val="auto"/>
                <w:sz w:val="24"/>
                <w:szCs w:val="24"/>
                <w:highlight w:val="none"/>
                <w:u w:val="single" w:color="auto"/>
                <w:lang w:val="en-US" w:eastAsia="zh-CN"/>
              </w:rPr>
            </w:pPr>
            <w:r>
              <w:rPr>
                <w:rFonts w:hint="default" w:ascii="Times New Roman" w:hAnsi="Times New Roman" w:eastAsia="宋体" w:cs="Times New Roman"/>
                <w:sz w:val="24"/>
                <w:szCs w:val="24"/>
                <w:u w:val="single" w:color="auto"/>
              </w:rPr>
              <w:t>根据预测结果可知，项目污水正常排放至</w:t>
            </w:r>
            <w:r>
              <w:rPr>
                <w:rFonts w:hint="eastAsia" w:ascii="Times New Roman" w:hAnsi="Times New Roman" w:eastAsia="宋体" w:cs="Times New Roman"/>
                <w:sz w:val="24"/>
                <w:szCs w:val="24"/>
                <w:u w:val="single" w:color="auto"/>
                <w:lang w:eastAsia="zh-CN"/>
              </w:rPr>
              <w:t>湘江</w:t>
            </w:r>
            <w:r>
              <w:rPr>
                <w:rFonts w:hint="default" w:ascii="Times New Roman" w:hAnsi="Times New Roman" w:eastAsia="宋体" w:cs="Times New Roman"/>
                <w:sz w:val="24"/>
                <w:szCs w:val="24"/>
                <w:u w:val="single" w:color="auto"/>
              </w:rPr>
              <w:t>与河水充分混合后，CODcr、NH</w:t>
            </w:r>
            <w:r>
              <w:rPr>
                <w:rFonts w:hint="default" w:ascii="Times New Roman" w:hAnsi="Times New Roman" w:eastAsia="宋体" w:cs="Times New Roman"/>
                <w:sz w:val="24"/>
                <w:szCs w:val="24"/>
                <w:u w:val="single" w:color="auto"/>
                <w:vertAlign w:val="subscript"/>
              </w:rPr>
              <w:t>3</w:t>
            </w:r>
            <w:r>
              <w:rPr>
                <w:rFonts w:hint="default" w:ascii="Times New Roman" w:hAnsi="Times New Roman" w:eastAsia="宋体" w:cs="Times New Roman"/>
                <w:sz w:val="24"/>
                <w:szCs w:val="24"/>
                <w:u w:val="single" w:color="auto"/>
              </w:rPr>
              <w:t>-N可以达到《地表水环境质量标准》（GB3838-2002）中III类标准，项目污水经达标处理后对</w:t>
            </w:r>
            <w:r>
              <w:rPr>
                <w:rFonts w:hint="eastAsia" w:ascii="Times New Roman" w:hAnsi="Times New Roman" w:eastAsia="宋体" w:cs="Times New Roman"/>
                <w:sz w:val="24"/>
                <w:szCs w:val="24"/>
                <w:u w:val="single" w:color="auto"/>
                <w:lang w:val="en-US" w:eastAsia="zh-CN"/>
              </w:rPr>
              <w:t>湘江</w:t>
            </w:r>
            <w:r>
              <w:rPr>
                <w:rFonts w:hint="default" w:ascii="Times New Roman" w:hAnsi="Times New Roman" w:eastAsia="宋体" w:cs="Times New Roman"/>
                <w:sz w:val="24"/>
                <w:szCs w:val="24"/>
                <w:u w:val="single" w:color="auto"/>
              </w:rPr>
              <w:t>水质影响不大。</w:t>
            </w:r>
            <w:r>
              <w:rPr>
                <w:rFonts w:hint="default" w:ascii="Times New Roman" w:hAnsi="Times New Roman" w:eastAsia="宋体" w:cs="Times New Roman"/>
                <w:color w:val="auto"/>
                <w:sz w:val="24"/>
                <w:szCs w:val="24"/>
                <w:u w:val="single" w:color="auto"/>
              </w:rPr>
              <w:t>污水在事故状态下排放至</w:t>
            </w:r>
            <w:r>
              <w:rPr>
                <w:rFonts w:hint="eastAsia" w:ascii="Times New Roman" w:hAnsi="Times New Roman" w:eastAsia="宋体" w:cs="Times New Roman"/>
                <w:color w:val="auto"/>
                <w:sz w:val="24"/>
                <w:szCs w:val="24"/>
                <w:u w:val="single" w:color="auto"/>
                <w:lang w:eastAsia="zh-CN"/>
              </w:rPr>
              <w:t>湘江</w:t>
            </w:r>
            <w:r>
              <w:rPr>
                <w:rFonts w:hint="default" w:ascii="Times New Roman" w:hAnsi="Times New Roman" w:eastAsia="宋体" w:cs="Times New Roman"/>
                <w:color w:val="auto"/>
                <w:sz w:val="24"/>
                <w:szCs w:val="24"/>
                <w:u w:val="single" w:color="auto"/>
              </w:rPr>
              <w:t>即污水没有结果处理的情况下，CODcr超过了《地表水环境质量标准》（GB3838-2002）中III类标准，</w:t>
            </w:r>
            <w:r>
              <w:rPr>
                <w:rFonts w:hint="eastAsia" w:ascii="Times New Roman" w:hAnsi="Times New Roman" w:eastAsia="宋体" w:cs="Times New Roman"/>
                <w:color w:val="auto"/>
                <w:sz w:val="24"/>
                <w:szCs w:val="24"/>
                <w:u w:val="single" w:color="auto"/>
                <w:lang w:eastAsia="zh-CN"/>
              </w:rPr>
              <w:t>而</w:t>
            </w:r>
            <w:r>
              <w:rPr>
                <w:rFonts w:hint="default" w:ascii="Times New Roman" w:hAnsi="Times New Roman" w:eastAsia="宋体" w:cs="Times New Roman"/>
                <w:color w:val="auto"/>
                <w:sz w:val="24"/>
                <w:szCs w:val="24"/>
                <w:u w:val="single" w:color="auto"/>
              </w:rPr>
              <w:t>NH</w:t>
            </w:r>
            <w:r>
              <w:rPr>
                <w:rFonts w:hint="default" w:ascii="Times New Roman" w:hAnsi="Times New Roman" w:eastAsia="宋体" w:cs="Times New Roman"/>
                <w:color w:val="auto"/>
                <w:sz w:val="24"/>
                <w:szCs w:val="24"/>
                <w:u w:val="single" w:color="auto"/>
                <w:vertAlign w:val="subscript"/>
              </w:rPr>
              <w:t>3</w:t>
            </w:r>
            <w:r>
              <w:rPr>
                <w:rFonts w:hint="default" w:ascii="Times New Roman" w:hAnsi="Times New Roman" w:eastAsia="宋体" w:cs="Times New Roman"/>
                <w:color w:val="auto"/>
                <w:sz w:val="24"/>
                <w:szCs w:val="24"/>
                <w:u w:val="single" w:color="auto"/>
              </w:rPr>
              <w:t>-N</w:t>
            </w:r>
            <w:r>
              <w:rPr>
                <w:rFonts w:hint="eastAsia" w:ascii="Times New Roman" w:hAnsi="Times New Roman" w:eastAsia="宋体" w:cs="Times New Roman"/>
                <w:color w:val="auto"/>
                <w:sz w:val="24"/>
                <w:szCs w:val="24"/>
                <w:u w:val="single" w:color="auto"/>
                <w:lang w:eastAsia="zh-CN"/>
              </w:rPr>
              <w:t>符合</w:t>
            </w:r>
            <w:r>
              <w:rPr>
                <w:rFonts w:hint="default" w:ascii="Times New Roman" w:hAnsi="Times New Roman" w:eastAsia="宋体" w:cs="Times New Roman"/>
                <w:color w:val="auto"/>
                <w:sz w:val="24"/>
                <w:szCs w:val="24"/>
                <w:u w:val="single" w:color="auto"/>
              </w:rPr>
              <w:t>《地表水环境质量标准》（GB3838-2002）中III类标准</w:t>
            </w:r>
            <w:r>
              <w:rPr>
                <w:rFonts w:hint="eastAsia" w:ascii="Times New Roman" w:hAnsi="Times New Roman" w:eastAsia="宋体" w:cs="Times New Roman"/>
                <w:color w:val="auto"/>
                <w:sz w:val="24"/>
                <w:szCs w:val="24"/>
                <w:u w:val="single" w:color="auto"/>
                <w:lang w:eastAsia="zh-CN"/>
              </w:rPr>
              <w:t>。</w:t>
            </w:r>
            <w:r>
              <w:rPr>
                <w:rFonts w:hint="default" w:ascii="Times New Roman" w:hAnsi="Times New Roman" w:eastAsia="宋体" w:cs="Times New Roman"/>
                <w:color w:val="auto"/>
                <w:sz w:val="24"/>
                <w:szCs w:val="24"/>
                <w:u w:val="single" w:color="auto"/>
              </w:rPr>
              <w:t>故污水处理厂若发生事故，污水直接排入</w:t>
            </w:r>
            <w:r>
              <w:rPr>
                <w:rFonts w:hint="eastAsia" w:ascii="Times New Roman" w:hAnsi="Times New Roman" w:eastAsia="宋体" w:cs="Times New Roman"/>
                <w:color w:val="auto"/>
                <w:sz w:val="24"/>
                <w:szCs w:val="24"/>
                <w:u w:val="single" w:color="auto"/>
                <w:lang w:eastAsia="zh-CN"/>
              </w:rPr>
              <w:t>湘江将对湘江</w:t>
            </w:r>
            <w:r>
              <w:rPr>
                <w:rFonts w:hint="default" w:ascii="Times New Roman" w:hAnsi="Times New Roman" w:eastAsia="宋体" w:cs="Times New Roman"/>
                <w:color w:val="auto"/>
                <w:sz w:val="24"/>
                <w:szCs w:val="24"/>
                <w:u w:val="single" w:color="auto"/>
              </w:rPr>
              <w:t>的水质造成影响。</w:t>
            </w:r>
          </w:p>
          <w:p>
            <w:pPr>
              <w:spacing w:line="240" w:lineRule="auto"/>
              <w:ind w:firstLine="504"/>
              <w:rPr>
                <w:rFonts w:cs="宋体"/>
                <w:color w:val="auto"/>
                <w:sz w:val="24"/>
                <w:szCs w:val="24"/>
                <w:highlight w:val="none"/>
              </w:rPr>
            </w:pPr>
          </w:p>
          <w:bookmarkEnd w:id="11"/>
          <w:p>
            <w:pPr>
              <w:spacing w:line="420" w:lineRule="exact"/>
              <w:ind w:firstLine="482" w:firstLineChars="200"/>
              <w:rPr>
                <w:b/>
                <w:bCs/>
                <w:color w:val="auto"/>
                <w:sz w:val="24"/>
                <w:szCs w:val="24"/>
                <w:highlight w:val="none"/>
              </w:rPr>
            </w:pPr>
            <w:bookmarkStart w:id="12" w:name="_Toc161286014"/>
            <w:r>
              <w:rPr>
                <w:rFonts w:hint="eastAsia" w:cs="宋体"/>
                <w:b/>
                <w:bCs/>
                <w:color w:val="auto"/>
                <w:sz w:val="24"/>
                <w:szCs w:val="24"/>
                <w:highlight w:val="none"/>
              </w:rPr>
              <w:t>2.2.4小结</w:t>
            </w:r>
            <w:bookmarkEnd w:id="12"/>
          </w:p>
          <w:p>
            <w:pPr>
              <w:spacing w:line="460" w:lineRule="exact"/>
              <w:ind w:firstLine="480" w:firstLineChars="200"/>
              <w:rPr>
                <w:color w:val="auto"/>
                <w:sz w:val="24"/>
                <w:szCs w:val="24"/>
                <w:highlight w:val="none"/>
              </w:rPr>
            </w:pPr>
            <w:r>
              <w:rPr>
                <w:rFonts w:hint="eastAsia" w:cs="宋体"/>
                <w:color w:val="auto"/>
                <w:sz w:val="24"/>
                <w:szCs w:val="24"/>
                <w:highlight w:val="none"/>
              </w:rPr>
              <w:t>通过预测本工程排污对湘江可能产生的影响，得出以下几点结论：</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）工程建成投产后，在</w:t>
            </w:r>
            <w:r>
              <w:rPr>
                <w:rFonts w:hint="eastAsia" w:cs="宋体"/>
                <w:color w:val="auto"/>
                <w:sz w:val="24"/>
                <w:szCs w:val="24"/>
                <w:highlight w:val="none"/>
                <w:shd w:val="clear" w:color="auto" w:fill="auto"/>
              </w:rPr>
              <w:t>正常排污时，外排废水对</w:t>
            </w:r>
            <w:r>
              <w:rPr>
                <w:rFonts w:hint="eastAsia" w:cs="宋体"/>
                <w:color w:val="auto"/>
                <w:sz w:val="24"/>
                <w:szCs w:val="24"/>
                <w:highlight w:val="none"/>
                <w:shd w:val="clear" w:color="auto" w:fill="auto"/>
                <w:lang w:val="en-US" w:eastAsia="zh-CN"/>
              </w:rPr>
              <w:t>灌溉渠</w:t>
            </w:r>
            <w:r>
              <w:rPr>
                <w:rFonts w:hint="eastAsia" w:cs="宋体"/>
                <w:color w:val="auto"/>
                <w:sz w:val="24"/>
                <w:szCs w:val="24"/>
                <w:highlight w:val="none"/>
                <w:shd w:val="clear" w:color="auto" w:fill="auto"/>
              </w:rPr>
              <w:t>水质影响很小；</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）当本工程出现事故运行，导致处理效率下降造成非正常排污时，特别是污水未经处理直接排入</w:t>
            </w:r>
            <w:r>
              <w:rPr>
                <w:rFonts w:hint="eastAsia" w:cs="宋体"/>
                <w:color w:val="auto"/>
                <w:sz w:val="24"/>
                <w:szCs w:val="24"/>
                <w:highlight w:val="none"/>
                <w:lang w:val="en-US" w:eastAsia="zh-CN"/>
              </w:rPr>
              <w:t>灌溉渠</w:t>
            </w:r>
            <w:r>
              <w:rPr>
                <w:rFonts w:hint="eastAsia" w:cs="宋体"/>
                <w:color w:val="auto"/>
                <w:sz w:val="24"/>
                <w:szCs w:val="24"/>
                <w:highlight w:val="none"/>
              </w:rPr>
              <w:t>时，将对排污口下游水体造成较大影响；</w:t>
            </w:r>
          </w:p>
          <w:p>
            <w:pPr>
              <w:spacing w:line="460" w:lineRule="exact"/>
              <w:ind w:firstLine="482"/>
              <w:rPr>
                <w:rFonts w:cs="宋体"/>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）本工程的建设，大大削减了进入</w:t>
            </w:r>
            <w:r>
              <w:rPr>
                <w:rFonts w:hint="eastAsia" w:cs="宋体"/>
                <w:color w:val="auto"/>
                <w:sz w:val="24"/>
                <w:szCs w:val="24"/>
                <w:highlight w:val="none"/>
                <w:lang w:val="en-US" w:eastAsia="zh-CN"/>
              </w:rPr>
              <w:t>湘江的</w:t>
            </w:r>
            <w:r>
              <w:rPr>
                <w:rFonts w:hint="eastAsia" w:cs="宋体"/>
                <w:color w:val="auto"/>
                <w:sz w:val="24"/>
                <w:szCs w:val="24"/>
                <w:highlight w:val="none"/>
              </w:rPr>
              <w:t>生活污水中的污染物总量。</w:t>
            </w:r>
          </w:p>
          <w:p>
            <w:pPr>
              <w:spacing w:line="460" w:lineRule="exact"/>
              <w:ind w:firstLine="482" w:firstLineChars="200"/>
              <w:rPr>
                <w:rFonts w:cs="宋体"/>
                <w:b/>
                <w:bCs/>
                <w:color w:val="auto"/>
                <w:sz w:val="24"/>
                <w:szCs w:val="24"/>
                <w:highlight w:val="none"/>
              </w:rPr>
            </w:pPr>
            <w:r>
              <w:rPr>
                <w:rFonts w:hint="eastAsia" w:cs="宋体"/>
                <w:b/>
                <w:bCs/>
                <w:color w:val="auto"/>
                <w:sz w:val="24"/>
                <w:szCs w:val="24"/>
                <w:highlight w:val="none"/>
              </w:rPr>
              <w:t>2.3 地下水环境影响分析</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运营期厂区处理车间污水在处理的过程中，会通过土壤向下渗透，从而造成地下水的污染。为了防止对地下水环境的污染，所以必须对水处理构筑物进行防渗处理。</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（1）废水收集、处理与排放设施设计、施工中，严格执行高标准防渗要求，做到废水不下渗。</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污水处理厂各污水处理设施地面必须采取硬化、防渗处理，确保污水不下渗。本工程的贮水构筑物采用现浇钢筋混凝土结构，对大型水池类构筑物留设沉降缝或温度收缩缝，对建（构）筑物受力的关键部位，予以适当加强，并在缝内设钢板止水带，必要时使用一些混凝土抗裂防渗外加剂，提高混凝土的抗渗性能。通过上述措施，能确保污水不会渗入地下，从而对地下水造成污染。</w:t>
            </w:r>
          </w:p>
          <w:p>
            <w:pPr>
              <w:spacing w:line="46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（3）加强管理，选用符合标准的污水管道，加强对污水管道检查。</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本次主要根据建设项目场地天然包气带防污性能、污染控制难易程度和污染物特性，提出防渗技术要求进行防渗分区。</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实际情况，结合导则 HJ610-2016 表 5 要求，对地下水环境有污染的废水渗漏后，可及时发现和处理，因此污染物控制难易程度为易。</w:t>
            </w:r>
          </w:p>
          <w:p>
            <w:pPr>
              <w:spacing w:line="460" w:lineRule="exact"/>
              <w:ind w:firstLine="480" w:firstLineChars="200"/>
              <w:rPr>
                <w:rFonts w:hint="eastAsia" w:cs="宋体"/>
                <w:color w:val="auto"/>
                <w:sz w:val="24"/>
                <w:szCs w:val="24"/>
                <w:highlight w:val="none"/>
                <w:u w:val="none"/>
              </w:rPr>
            </w:pPr>
            <w:r>
              <w:rPr>
                <w:rFonts w:hint="eastAsia" w:cs="宋体"/>
                <w:color w:val="auto"/>
                <w:sz w:val="24"/>
                <w:szCs w:val="24"/>
                <w:highlight w:val="none"/>
                <w:u w:val="none"/>
              </w:rPr>
              <w:t>根据建设项目场地天然包气带防污性能（防污性能中等）、污染控制难易程度（污染难控制）和污染物特性（主要污染因子为COD），对</w:t>
            </w:r>
            <w:r>
              <w:rPr>
                <w:rFonts w:hint="eastAsia" w:cs="宋体"/>
                <w:color w:val="auto"/>
                <w:sz w:val="24"/>
                <w:szCs w:val="24"/>
                <w:highlight w:val="none"/>
                <w:u w:val="none"/>
                <w:lang w:val="en-US" w:eastAsia="zh-CN"/>
              </w:rPr>
              <w:t>污水处理厂</w:t>
            </w:r>
            <w:r>
              <w:rPr>
                <w:rFonts w:hint="eastAsia" w:cs="宋体"/>
                <w:color w:val="auto"/>
                <w:sz w:val="24"/>
                <w:szCs w:val="24"/>
                <w:highlight w:val="none"/>
                <w:u w:val="none"/>
              </w:rPr>
              <w:t>进行防渗区域划分以及提出防渗技术要求（具体参照 HJ610-2016 ），将</w:t>
            </w:r>
            <w:r>
              <w:rPr>
                <w:rFonts w:hint="eastAsia" w:cs="宋体"/>
                <w:color w:val="auto"/>
                <w:sz w:val="24"/>
                <w:szCs w:val="24"/>
                <w:highlight w:val="none"/>
                <w:u w:val="none"/>
                <w:lang w:val="en-US" w:eastAsia="zh-CN"/>
              </w:rPr>
              <w:t>污水处理厂分为重点防渗区，办公室等地面分为一般防渗区</w:t>
            </w:r>
            <w:r>
              <w:rPr>
                <w:rFonts w:hint="eastAsia" w:cs="宋体"/>
                <w:color w:val="auto"/>
                <w:sz w:val="24"/>
                <w:szCs w:val="24"/>
                <w:highlight w:val="none"/>
                <w:u w:val="none"/>
              </w:rPr>
              <w:t>。本项目各区的地下水防渗技术要求见表</w:t>
            </w:r>
            <w:r>
              <w:rPr>
                <w:rFonts w:hint="eastAsia" w:cs="宋体"/>
                <w:color w:val="auto"/>
                <w:sz w:val="24"/>
                <w:szCs w:val="24"/>
                <w:highlight w:val="none"/>
                <w:u w:val="none"/>
                <w:lang w:val="en-US" w:eastAsia="zh-CN"/>
              </w:rPr>
              <w:t>7-5</w:t>
            </w:r>
            <w:r>
              <w:rPr>
                <w:rFonts w:hint="eastAsia" w:cs="宋体"/>
                <w:color w:val="auto"/>
                <w:sz w:val="24"/>
                <w:szCs w:val="24"/>
                <w:highlight w:val="none"/>
                <w:u w:val="none"/>
              </w:rPr>
              <w:t>。</w:t>
            </w:r>
          </w:p>
          <w:p>
            <w:pPr>
              <w:autoSpaceDE w:val="0"/>
              <w:autoSpaceDN w:val="0"/>
              <w:adjustRightInd w:val="0"/>
              <w:jc w:val="center"/>
              <w:rPr>
                <w:rFonts w:hint="default" w:ascii="Times New Roman" w:hAnsi="Times New Roman" w:eastAsia="宋体" w:cs="Times New Roman"/>
                <w:b/>
                <w:kern w:val="0"/>
                <w:sz w:val="24"/>
                <w:u w:val="none"/>
                <w:lang w:val="en-US" w:eastAsia="zh-CN"/>
              </w:rPr>
            </w:pPr>
            <w:r>
              <w:rPr>
                <w:rFonts w:hint="eastAsia" w:ascii="Times New Roman" w:hAnsi="Times New Roman" w:eastAsia="宋体" w:cs="Times New Roman"/>
                <w:b/>
                <w:kern w:val="0"/>
                <w:sz w:val="24"/>
                <w:u w:val="none"/>
                <w:lang w:val="en-US" w:eastAsia="zh-CN"/>
              </w:rPr>
              <w:t>表7-5 地下水防渗技术要求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28"/>
              <w:gridCol w:w="1185"/>
              <w:gridCol w:w="4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88" w:type="dxa"/>
                </w:tcPr>
                <w:p>
                  <w:pPr>
                    <w:pStyle w:val="107"/>
                    <w:spacing w:before="1" w:line="320" w:lineRule="exact"/>
                    <w:jc w:val="center"/>
                    <w:rPr>
                      <w:rFonts w:hint="eastAsia"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序号</w:t>
                  </w:r>
                </w:p>
              </w:tc>
              <w:tc>
                <w:tcPr>
                  <w:tcW w:w="2228"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防渗区域或部位</w:t>
                  </w:r>
                </w:p>
              </w:tc>
              <w:tc>
                <w:tcPr>
                  <w:tcW w:w="1185"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防渗等级</w:t>
                  </w:r>
                </w:p>
              </w:tc>
              <w:tc>
                <w:tcPr>
                  <w:tcW w:w="4459"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eastAsia="宋体" w:cs="Times New Roman"/>
                      <w:color w:val="auto"/>
                      <w:sz w:val="21"/>
                      <w:highlight w:val="none"/>
                      <w:u w:val="none"/>
                      <w:lang w:val="en-US" w:eastAsia="zh-CN"/>
                    </w:rPr>
                    <w:t>防渗技术要求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1</w:t>
                  </w:r>
                </w:p>
              </w:tc>
              <w:tc>
                <w:tcPr>
                  <w:tcW w:w="2228" w:type="dxa"/>
                  <w:vAlign w:val="top"/>
                </w:tcPr>
                <w:p>
                  <w:pPr>
                    <w:pStyle w:val="107"/>
                    <w:spacing w:before="1" w:line="320" w:lineRule="exact"/>
                    <w:jc w:val="center"/>
                    <w:rPr>
                      <w:rFonts w:hint="default"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污水处理厂</w:t>
                  </w:r>
                </w:p>
              </w:tc>
              <w:tc>
                <w:tcPr>
                  <w:tcW w:w="1185"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一般防渗区</w:t>
                  </w:r>
                </w:p>
              </w:tc>
              <w:tc>
                <w:tcPr>
                  <w:tcW w:w="4459" w:type="dxa"/>
                </w:tcPr>
                <w:p>
                  <w:pPr>
                    <w:pStyle w:val="107"/>
                    <w:spacing w:before="1" w:line="320" w:lineRule="exact"/>
                    <w:jc w:val="center"/>
                    <w:rPr>
                      <w:rFonts w:hint="default" w:ascii="Times New Roman" w:hAnsi="Times New Roman" w:eastAsia="宋体"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等效黏土防渗层厚≥1.5m，渗透系数≤1.0×10</w:t>
                  </w:r>
                  <w:r>
                    <w:rPr>
                      <w:rFonts w:hint="eastAsia" w:ascii="Times New Roman" w:hAnsi="Times New Roman" w:cs="Times New Roman"/>
                      <w:color w:val="auto"/>
                      <w:sz w:val="21"/>
                      <w:highlight w:val="none"/>
                      <w:u w:val="none"/>
                      <w:vertAlign w:val="superscript"/>
                      <w:lang w:val="en-US" w:eastAsia="zh-CN"/>
                    </w:rPr>
                    <w:t>-7</w:t>
                  </w:r>
                  <w:r>
                    <w:rPr>
                      <w:rFonts w:hint="eastAsia" w:ascii="Times New Roman" w:hAnsi="Times New Roman" w:cs="Times New Roman"/>
                      <w:color w:val="auto"/>
                      <w:sz w:val="21"/>
                      <w:highlight w:val="none"/>
                      <w:u w:val="none"/>
                      <w:lang w:val="en-US" w:eastAsia="zh-CN"/>
                    </w:rPr>
                    <w:t>cm/s；或者参考GB16889执行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8" w:type="dxa"/>
                </w:tcPr>
                <w:p>
                  <w:pPr>
                    <w:pStyle w:val="107"/>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2</w:t>
                  </w:r>
                </w:p>
              </w:tc>
              <w:tc>
                <w:tcPr>
                  <w:tcW w:w="2228" w:type="dxa"/>
                  <w:vAlign w:val="top"/>
                </w:tcPr>
                <w:p>
                  <w:pPr>
                    <w:pStyle w:val="107"/>
                    <w:spacing w:before="1" w:line="320" w:lineRule="exact"/>
                    <w:jc w:val="center"/>
                    <w:rPr>
                      <w:rFonts w:hint="eastAsia" w:ascii="Times New Roman" w:hAnsi="Times New Roman" w:eastAsia="宋体" w:cs="Times New Roman"/>
                      <w:color w:val="auto"/>
                      <w:kern w:val="2"/>
                      <w:sz w:val="21"/>
                      <w:szCs w:val="30"/>
                      <w:highlight w:val="none"/>
                      <w:u w:val="none"/>
                      <w:lang w:val="en-US" w:eastAsia="zh-CN" w:bidi="ar-SA"/>
                    </w:rPr>
                  </w:pPr>
                  <w:r>
                    <w:rPr>
                      <w:rFonts w:hint="eastAsia" w:ascii="Times New Roman" w:hAnsi="Times New Roman" w:cs="Times New Roman"/>
                      <w:color w:val="auto"/>
                      <w:sz w:val="21"/>
                      <w:highlight w:val="none"/>
                      <w:u w:val="none"/>
                      <w:lang w:val="en-US" w:eastAsia="zh-CN"/>
                    </w:rPr>
                    <w:t>办公区等地面</w:t>
                  </w:r>
                </w:p>
              </w:tc>
              <w:tc>
                <w:tcPr>
                  <w:tcW w:w="1185" w:type="dxa"/>
                </w:tcPr>
                <w:p>
                  <w:pPr>
                    <w:pStyle w:val="107"/>
                    <w:spacing w:before="1" w:line="320" w:lineRule="exact"/>
                    <w:jc w:val="center"/>
                    <w:rPr>
                      <w:rFonts w:hint="default" w:ascii="Times New Roman" w:hAnsi="Times New Roman" w:cs="Times New Roman"/>
                      <w:color w:val="auto"/>
                      <w:sz w:val="21"/>
                      <w:highlight w:val="none"/>
                      <w:u w:val="none"/>
                      <w:lang w:val="en-US" w:eastAsia="zh-CN"/>
                    </w:rPr>
                  </w:pPr>
                  <w:r>
                    <w:rPr>
                      <w:rFonts w:hint="eastAsia" w:ascii="Times New Roman" w:hAnsi="Times New Roman" w:cs="Times New Roman"/>
                      <w:color w:val="auto"/>
                      <w:sz w:val="21"/>
                      <w:highlight w:val="none"/>
                      <w:u w:val="none"/>
                      <w:lang w:val="en-US" w:eastAsia="zh-CN"/>
                    </w:rPr>
                    <w:t>简单防渗区</w:t>
                  </w:r>
                </w:p>
              </w:tc>
              <w:tc>
                <w:tcPr>
                  <w:tcW w:w="4459" w:type="dxa"/>
                </w:tcPr>
                <w:p>
                  <w:pPr>
                    <w:pStyle w:val="107"/>
                    <w:spacing w:before="1" w:line="320" w:lineRule="exact"/>
                    <w:jc w:val="center"/>
                    <w:rPr>
                      <w:rFonts w:hint="eastAsia" w:ascii="Times New Roman" w:hAnsi="Times New Roman" w:cs="Times New Roman"/>
                      <w:color w:val="auto"/>
                      <w:sz w:val="21"/>
                      <w:highlight w:val="none"/>
                      <w:u w:val="none"/>
                      <w:lang w:val="en-US" w:eastAsia="zh-CN"/>
                    </w:rPr>
                  </w:pPr>
                  <w:r>
                    <w:rPr>
                      <w:rFonts w:hint="eastAsia" w:ascii="Times New Roman" w:hAnsi="Times New Roman"/>
                      <w:bCs/>
                      <w:color w:val="000000"/>
                      <w:sz w:val="21"/>
                      <w:szCs w:val="21"/>
                    </w:rPr>
                    <w:t>一般地面硬化</w:t>
                  </w:r>
                </w:p>
              </w:tc>
            </w:tr>
          </w:tbl>
          <w:p>
            <w:pPr>
              <w:spacing w:line="460" w:lineRule="exact"/>
              <w:ind w:firstLine="480" w:firstLineChars="200"/>
              <w:rPr>
                <w:rFonts w:hint="default" w:ascii="Times New Roman" w:hAnsi="Times New Roman" w:eastAsia="宋体" w:cs="Times New Roman"/>
                <w:sz w:val="24"/>
                <w:szCs w:val="24"/>
              </w:rPr>
            </w:pPr>
          </w:p>
          <w:p>
            <w:pPr>
              <w:spacing w:line="460" w:lineRule="exact"/>
              <w:ind w:firstLine="480" w:firstLineChars="200"/>
              <w:rPr>
                <w:rFonts w:hint="eastAsia" w:eastAsia="宋体"/>
                <w:b/>
                <w:bCs/>
                <w:color w:val="auto"/>
                <w:sz w:val="24"/>
                <w:szCs w:val="24"/>
                <w:highlight w:val="none"/>
                <w:u w:val="none"/>
                <w:lang w:eastAsia="zh-CN"/>
              </w:rPr>
            </w:pPr>
            <w:r>
              <w:rPr>
                <w:rFonts w:hint="default" w:ascii="Times New Roman" w:hAnsi="Times New Roman" w:eastAsia="宋体" w:cs="Times New Roman"/>
                <w:sz w:val="24"/>
                <w:szCs w:val="24"/>
              </w:rPr>
              <w:t>综上所述，本项目属环保工程，为减排项目，项目运营期只要能够做到达标排放， 对于改善区域地下水水质具有积极作用，具有环境正效益</w:t>
            </w:r>
            <w:r>
              <w:rPr>
                <w:rFonts w:hint="eastAsia" w:cs="Times New Roman"/>
                <w:sz w:val="24"/>
                <w:szCs w:val="24"/>
                <w:lang w:eastAsia="zh-CN"/>
              </w:rPr>
              <w:t>。</w:t>
            </w:r>
          </w:p>
          <w:p>
            <w:pPr>
              <w:spacing w:line="460" w:lineRule="exact"/>
              <w:ind w:firstLine="482" w:firstLineChars="200"/>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 xml:space="preserve">4 </w:t>
            </w:r>
            <w:r>
              <w:rPr>
                <w:rFonts w:hint="eastAsia" w:cs="宋体"/>
                <w:b/>
                <w:bCs/>
                <w:color w:val="auto"/>
                <w:sz w:val="24"/>
                <w:szCs w:val="24"/>
                <w:highlight w:val="none"/>
              </w:rPr>
              <w:t>声环境影响分析</w:t>
            </w:r>
          </w:p>
          <w:p>
            <w:pPr>
              <w:spacing w:line="460" w:lineRule="exact"/>
              <w:ind w:firstLine="480" w:firstLineChars="200"/>
              <w:rPr>
                <w:rFonts w:cs="宋体"/>
                <w:color w:val="auto"/>
                <w:sz w:val="24"/>
                <w:szCs w:val="24"/>
                <w:highlight w:val="none"/>
                <w:shd w:val="clear" w:color="auto" w:fill="auto"/>
              </w:rPr>
            </w:pPr>
            <w:r>
              <w:rPr>
                <w:rFonts w:hint="eastAsia" w:cs="宋体"/>
                <w:color w:val="auto"/>
                <w:sz w:val="24"/>
                <w:szCs w:val="24"/>
                <w:highlight w:val="none"/>
              </w:rPr>
              <w:t>本项目运营期噪声污染源主要为鼓风机、引风机和水泵等高噪声设备，预计噪声强源在 70-90 dB(A)之</w:t>
            </w:r>
            <w:r>
              <w:rPr>
                <w:rFonts w:hint="eastAsia" w:cs="宋体"/>
                <w:color w:val="auto"/>
                <w:sz w:val="24"/>
                <w:szCs w:val="24"/>
                <w:highlight w:val="none"/>
                <w:shd w:val="clear" w:color="auto" w:fill="auto"/>
              </w:rPr>
              <w:t>间</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rPr>
              <w:t>经过减震、安装消声器并置于机房中等措施，本项目设备运行噪声将削减约20-30dB(A)，再经距离衰减和绿化带隔声后，运营期噪声达到《工业企业厂界环境噪声排放标准》（GB12348-2008）中 2 类标准。</w:t>
            </w:r>
          </w:p>
          <w:p>
            <w:pPr>
              <w:pStyle w:val="2"/>
              <w:spacing w:line="460" w:lineRule="exact"/>
              <w:ind w:firstLine="480" w:firstLineChars="200"/>
              <w:rPr>
                <w:rFonts w:eastAsia="宋体" w:cs="宋体"/>
                <w:color w:val="auto"/>
                <w:spacing w:val="0"/>
                <w:sz w:val="24"/>
                <w:szCs w:val="24"/>
                <w:highlight w:val="none"/>
                <w:shd w:val="clear" w:color="auto" w:fill="auto"/>
              </w:rPr>
            </w:pPr>
            <w:r>
              <w:rPr>
                <w:rFonts w:hint="eastAsia" w:eastAsia="宋体" w:cs="宋体"/>
                <w:color w:val="auto"/>
                <w:spacing w:val="0"/>
                <w:sz w:val="24"/>
                <w:szCs w:val="24"/>
                <w:highlight w:val="none"/>
                <w:shd w:val="clear" w:color="auto" w:fill="auto"/>
              </w:rPr>
              <w:t>根据现场勘查，项目 200 米范围内居民点有</w:t>
            </w:r>
            <w:r>
              <w:rPr>
                <w:rFonts w:hint="eastAsia" w:eastAsia="宋体" w:cs="宋体"/>
                <w:color w:val="auto"/>
                <w:spacing w:val="0"/>
                <w:sz w:val="24"/>
                <w:szCs w:val="24"/>
                <w:highlight w:val="none"/>
                <w:shd w:val="clear" w:color="auto" w:fill="auto"/>
                <w:lang w:val="en-US" w:eastAsia="zh-CN"/>
              </w:rPr>
              <w:t>西侧40m的湘滨镇居民</w:t>
            </w:r>
            <w:r>
              <w:rPr>
                <w:rFonts w:hint="eastAsia" w:eastAsia="宋体" w:cs="宋体"/>
                <w:color w:val="auto"/>
                <w:spacing w:val="0"/>
                <w:sz w:val="24"/>
                <w:szCs w:val="24"/>
                <w:highlight w:val="none"/>
                <w:shd w:val="clear" w:color="auto" w:fill="auto"/>
              </w:rPr>
              <w:t>，项目噪声经减震、隔声和距离衰减后，对该居民点的贡献值约 42dB(A)，对居民点的影响较小。</w:t>
            </w:r>
          </w:p>
          <w:p>
            <w:pPr>
              <w:pStyle w:val="2"/>
              <w:spacing w:line="460" w:lineRule="exact"/>
              <w:ind w:firstLine="480" w:firstLineChars="200"/>
              <w:rPr>
                <w:rFonts w:eastAsia="宋体" w:cs="宋体"/>
                <w:color w:val="auto"/>
                <w:spacing w:val="0"/>
                <w:sz w:val="24"/>
                <w:szCs w:val="24"/>
                <w:highlight w:val="none"/>
                <w:shd w:val="clear" w:color="auto" w:fill="auto"/>
              </w:rPr>
            </w:pPr>
            <w:r>
              <w:rPr>
                <w:rFonts w:hint="eastAsia" w:eastAsia="宋体" w:cs="宋体"/>
                <w:color w:val="auto"/>
                <w:spacing w:val="0"/>
                <w:sz w:val="24"/>
                <w:szCs w:val="24"/>
                <w:highlight w:val="none"/>
                <w:shd w:val="clear" w:color="auto" w:fill="auto"/>
              </w:rPr>
              <w:t>为了减小本项目运营期噪声对周围环境的影响，故环评要求应采取如下措施减小运营期噪声：</w:t>
            </w:r>
          </w:p>
          <w:p>
            <w:pPr>
              <w:pStyle w:val="2"/>
              <w:spacing w:line="460" w:lineRule="exact"/>
              <w:ind w:firstLine="480" w:firstLineChars="200"/>
              <w:rPr>
                <w:rFonts w:eastAsia="宋体" w:cs="宋体"/>
                <w:color w:val="auto"/>
                <w:spacing w:val="0"/>
                <w:sz w:val="24"/>
                <w:szCs w:val="24"/>
                <w:highlight w:val="none"/>
                <w:shd w:val="clear" w:color="auto" w:fill="auto"/>
              </w:rPr>
            </w:pPr>
            <w:r>
              <w:rPr>
                <w:rFonts w:hint="eastAsia" w:eastAsia="宋体" w:cs="宋体"/>
                <w:color w:val="auto"/>
                <w:spacing w:val="0"/>
                <w:sz w:val="24"/>
                <w:szCs w:val="24"/>
                <w:highlight w:val="none"/>
                <w:shd w:val="clear" w:color="auto" w:fill="auto"/>
              </w:rPr>
              <w:t>①选购设备时，应选取低噪声低能耗设备；</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②在设计时将主要噪声设备空压机、鼓风机、引风机安置在厂房内或独立的隔声间内，如在室外应加装隔声罩；</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③做到对设备及时维护检修，避免故障产生高分贝噪音；</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④对水泵等高噪声设备设置减振基础。</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综上所述，建设单位做好以上防治措施，噪声均能达到《工业企业厂界环境噪声标准》（GB12348-2008）中 2 类标准，本项目噪声对周围环境影响较小。</w:t>
            </w:r>
          </w:p>
          <w:p>
            <w:pPr>
              <w:spacing w:line="460" w:lineRule="exact"/>
              <w:ind w:firstLine="482" w:firstLineChars="200"/>
              <w:rPr>
                <w:b/>
                <w:bCs/>
                <w:color w:val="auto"/>
                <w:sz w:val="24"/>
                <w:szCs w:val="24"/>
                <w:highlight w:val="none"/>
              </w:rPr>
            </w:pPr>
            <w:r>
              <w:rPr>
                <w:rFonts w:hint="eastAsia"/>
                <w:b/>
                <w:bCs/>
                <w:color w:val="auto"/>
                <w:sz w:val="24"/>
                <w:szCs w:val="24"/>
                <w:highlight w:val="none"/>
              </w:rPr>
              <w:t>2</w:t>
            </w:r>
            <w:r>
              <w:rPr>
                <w:b/>
                <w:bCs/>
                <w:color w:val="auto"/>
                <w:sz w:val="24"/>
                <w:szCs w:val="24"/>
                <w:highlight w:val="none"/>
              </w:rPr>
              <w:t>.</w:t>
            </w:r>
            <w:r>
              <w:rPr>
                <w:rFonts w:hint="eastAsia"/>
                <w:b/>
                <w:bCs/>
                <w:color w:val="auto"/>
                <w:sz w:val="24"/>
                <w:szCs w:val="24"/>
                <w:highlight w:val="none"/>
              </w:rPr>
              <w:t xml:space="preserve">5 </w:t>
            </w:r>
            <w:r>
              <w:rPr>
                <w:rFonts w:hint="eastAsia" w:cs="宋体"/>
                <w:b/>
                <w:bCs/>
                <w:color w:val="auto"/>
                <w:sz w:val="24"/>
                <w:szCs w:val="24"/>
                <w:highlight w:val="none"/>
              </w:rPr>
              <w:t>固体废物环境影响分析</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污水处理厂在运行过程中产生的固体废弃物种类有栅渣及脱水污泥。栅渣来自于格栅间截获的进水中较大杂物、漂浮物、悬浮物等，多为生活杂质；脱水污泥来自于污泥泵房。</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1、污泥</w:t>
            </w:r>
          </w:p>
          <w:p>
            <w:pPr>
              <w:spacing w:line="460" w:lineRule="exact"/>
              <w:ind w:firstLine="480" w:firstLineChars="200"/>
              <w:rPr>
                <w:rFonts w:cs="宋体"/>
                <w:snapToGrid w:val="0"/>
                <w:color w:val="auto"/>
                <w:kern w:val="0"/>
                <w:sz w:val="24"/>
                <w:szCs w:val="24"/>
                <w:highlight w:val="none"/>
                <w:shd w:val="clear" w:color="auto" w:fill="auto"/>
              </w:rPr>
            </w:pPr>
            <w:r>
              <w:rPr>
                <w:rFonts w:hint="eastAsia" w:cs="宋体"/>
                <w:snapToGrid w:val="0"/>
                <w:color w:val="auto"/>
                <w:kern w:val="0"/>
                <w:sz w:val="24"/>
                <w:szCs w:val="24"/>
                <w:highlight w:val="none"/>
              </w:rPr>
              <w:t>（1）本项</w:t>
            </w:r>
            <w:r>
              <w:rPr>
                <w:rFonts w:hint="eastAsia" w:cs="宋体"/>
                <w:snapToGrid w:val="0"/>
                <w:color w:val="auto"/>
                <w:kern w:val="0"/>
                <w:sz w:val="24"/>
                <w:szCs w:val="24"/>
                <w:highlight w:val="none"/>
                <w:shd w:val="clear" w:color="auto" w:fill="auto"/>
              </w:rPr>
              <w:t>目的污泥处理措施分析</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污水处理过程会产生大量的剩余污泥，污泥中含有细菌.病原微生物.寄生虫卵.重金属离子等有毒物质和氮.磷.钾等有用物质，需要及时处理和处置，以达到变害为利，综合利用和保护环境的目的。《室外排水设计规范》规定：城市污水处理厂污泥处置方法的选定，首先应考虑用作农田肥料。目前我国城市污水处理厂污泥的最终处置大都为经无害化处 理后堆放或用于农田，国外许多国家对污泥处理采用较多的是焚烧.填埋.堆肥和投海等。</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 xml:space="preserve">焚烧技术一次性投资巨大，操作管理复杂，能耗高，运行费用高，不太适合我国目前的国情。 </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 xml:space="preserve">污泥与城市生活垃圾混合高温堆肥，污泥熟化程度高，病原体和寄生虫卵去除较彻底。有利于污泥农用，是适合我国国情的污泥稳定处理工艺。但污泥堆肥不易被农户接受。 </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污泥卫生填埋.终结覆盖，是处理污水处理厂脱水污泥较为有效的方法之一， 也是现行较为常用的污泥处置方法。</w:t>
            </w:r>
          </w:p>
          <w:p>
            <w:pPr>
              <w:spacing w:line="460" w:lineRule="exact"/>
              <w:ind w:firstLine="480" w:firstLineChars="200"/>
              <w:rPr>
                <w:rFonts w:hint="eastAsia" w:cs="宋体"/>
                <w:snapToGrid w:val="0"/>
                <w:color w:val="auto"/>
                <w:kern w:val="0"/>
                <w:sz w:val="24"/>
                <w:szCs w:val="24"/>
                <w:highlight w:val="none"/>
              </w:rPr>
            </w:pPr>
            <w:r>
              <w:rPr>
                <w:rFonts w:hint="eastAsia" w:cs="宋体"/>
                <w:snapToGrid w:val="0"/>
                <w:color w:val="auto"/>
                <w:kern w:val="0"/>
                <w:sz w:val="24"/>
                <w:szCs w:val="24"/>
                <w:highlight w:val="none"/>
              </w:rPr>
              <w:t>由于湘滨镇污水厂规模小，根据实际情况，湘滨镇污水处理厂的污泥采用移 动式污泥脱水车脱水至 80%，然后掺粉煤灰送至垃圾焚烧厂最终处置。</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（2）污泥堆存环境影响及防治措施分析</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污泥在厂区大量堆存会产生一系列不良后果，主要表现为产生恶臭气体和遇雨对水体造成污染。评价建议在厂区设置废渣、污泥临时堆放场，采取一定防扬尘、防流失、防渗漏及堆场排水措施，尽量避免污泥在厂区长期堆存。具体措施如下：</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a 污泥临时堆场地面应硬化，设顶棚和围墙，防止扬散、流失、渗漏。临时堆场面积及高度不要过大，以污泥可存放15天为宜，集中堆存的污泥应统一及时的外运填埋。</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b 格栅渠及污泥浓缩、脱水机房均有废弃物产生，这几部分废弃物应与污泥分开堆放，及时外运填埋，避免对厂区内其它部位的污染。污泥经脱水后堆放，其污水返回厂内处理。</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c 堆放场地需进行地面硬化，设置围墙和顶棚，达到不渗漏、不流失、不扬散的要求，污泥堆放场应设排水系统，溢出污水经收集汇入处理厂处理后达标排放。</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d 污泥外运必须采取防范措施，建议采用密闭式罐装机，杜绝污泥流失到自然环境中。</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f 委托具有道路运输经营许可证及相关运营资质污泥运输单位进行外厂污泥收集运输；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g 应采用防渗漏、防遗撒、无尖锐边角、易于装卸和清洁的专用密闭式污泥运输车辆进行运输，以有效防止恶臭逸散。运输车辆具有明显的严控废物警示标志。运输过程中 全过程监控和管理，防止因裸露、散落或泄露造成二次污染；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h 污泥收集入车后，应在装好污泥的运输车辆行驶前对污泥喷洒生物除臭液，能从源头抑制臭味产生；</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i 污泥运输按相关部门批准的路线和时间行驶，运输路线尽量避开人群密集区、交通集中区和居民住宅等环境敏感区；运送污泥的时间避开上下班、上下学、等交通高峰期，以减少污泥运输恶臭对周边敏感点的影响；</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j 运输途中不停靠和中转，严禁将污泥向环境中倾倒、丢弃、遗洒；</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k 所委托的污泥运输单位必须安排专职人员对污泥途径路段进行定时巡查。若污泥运输过程中发生污泥流失、泄漏、扩散时，污泥产生单位和污泥集中处置单位应当立即采取紧急处理措施，并及时向市环保部门报告；</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l.运送污泥的专用车辆使用后，应当在污泥集中处置场所内及时进行清洁，对清洁产生的污染物妥善处理，防止二次污染。</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2、栅渣和沉砂</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格栅渠拦截的栅渣多为块状固体物质，包括无机物质和有机物质，性状类似生活垃圾，与砂粒经过除污、压榨后，与生活垃圾一并交由环卫部门处理。</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3、生活垃圾</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生活垃圾全部实行袋装化，且由专人负责收集，送至指定的垃圾点堆放，再由垃圾清运车及时运至垃圾场进行处理，垃圾在储存过程中应注意密闭，确保日产日清。</w:t>
            </w:r>
          </w:p>
          <w:p>
            <w:pPr>
              <w:spacing w:line="460" w:lineRule="exact"/>
              <w:ind w:firstLine="480" w:firstLineChars="200"/>
              <w:rPr>
                <w:rFonts w:cs="宋体"/>
                <w:snapToGrid w:val="0"/>
                <w:color w:val="auto"/>
                <w:kern w:val="0"/>
                <w:sz w:val="24"/>
                <w:szCs w:val="24"/>
                <w:highlight w:val="none"/>
              </w:rPr>
            </w:pPr>
            <w:r>
              <w:rPr>
                <w:rFonts w:hint="eastAsia" w:cs="宋体"/>
                <w:snapToGrid w:val="0"/>
                <w:color w:val="auto"/>
                <w:kern w:val="0"/>
                <w:sz w:val="24"/>
                <w:szCs w:val="24"/>
                <w:highlight w:val="none"/>
              </w:rPr>
              <w:t>由此可见，只要该项目在营运过程中做好固废的分类收集、管理及处置工作，并加强管理，该项目产生的固废不会造成二次污染。</w:t>
            </w:r>
          </w:p>
          <w:p>
            <w:pPr>
              <w:pStyle w:val="99"/>
              <w:rPr>
                <w:color w:val="auto"/>
                <w:kern w:val="2"/>
                <w:sz w:val="24"/>
                <w:szCs w:val="24"/>
                <w:highlight w:val="none"/>
              </w:rPr>
            </w:pPr>
            <w:r>
              <w:rPr>
                <w:rFonts w:hint="eastAsia" w:cs="宋体"/>
                <w:color w:val="auto"/>
                <w:kern w:val="2"/>
                <w:sz w:val="24"/>
                <w:szCs w:val="24"/>
                <w:highlight w:val="none"/>
              </w:rPr>
              <w:t>因此，</w:t>
            </w:r>
            <w:r>
              <w:rPr>
                <w:rFonts w:cs="宋体"/>
                <w:color w:val="auto"/>
                <w:kern w:val="2"/>
                <w:sz w:val="24"/>
                <w:szCs w:val="24"/>
                <w:highlight w:val="none"/>
              </w:rPr>
              <w:t>本</w:t>
            </w:r>
            <w:r>
              <w:rPr>
                <w:rFonts w:hint="eastAsia" w:cs="宋体"/>
                <w:color w:val="auto"/>
                <w:kern w:val="2"/>
                <w:sz w:val="24"/>
                <w:szCs w:val="24"/>
                <w:highlight w:val="none"/>
              </w:rPr>
              <w:t>项目</w:t>
            </w:r>
            <w:r>
              <w:rPr>
                <w:rFonts w:cs="宋体"/>
                <w:color w:val="auto"/>
                <w:kern w:val="2"/>
                <w:sz w:val="24"/>
                <w:szCs w:val="24"/>
                <w:highlight w:val="none"/>
              </w:rPr>
              <w:t>的固废均得到合理处置，不会对环境产生影响</w:t>
            </w:r>
            <w:r>
              <w:rPr>
                <w:rFonts w:hint="eastAsia" w:cs="宋体"/>
                <w:color w:val="auto"/>
                <w:kern w:val="2"/>
                <w:sz w:val="24"/>
                <w:szCs w:val="24"/>
                <w:highlight w:val="none"/>
              </w:rPr>
              <w:t>。</w:t>
            </w:r>
          </w:p>
          <w:p>
            <w:pPr>
              <w:spacing w:line="460" w:lineRule="exact"/>
              <w:ind w:firstLine="482" w:firstLineChars="200"/>
              <w:rPr>
                <w:rFonts w:cs="宋体"/>
                <w:b/>
                <w:color w:val="auto"/>
                <w:sz w:val="24"/>
                <w:szCs w:val="24"/>
                <w:highlight w:val="none"/>
                <w:u w:val="none"/>
              </w:rPr>
            </w:pPr>
            <w:r>
              <w:rPr>
                <w:rFonts w:hint="eastAsia" w:cs="宋体"/>
                <w:b/>
                <w:color w:val="auto"/>
                <w:sz w:val="24"/>
                <w:szCs w:val="24"/>
                <w:highlight w:val="none"/>
                <w:u w:val="none"/>
              </w:rPr>
              <w:t>2.6</w:t>
            </w:r>
            <w:r>
              <w:rPr>
                <w:rFonts w:hint="eastAsia" w:cs="宋体"/>
                <w:b/>
                <w:color w:val="auto"/>
                <w:sz w:val="24"/>
                <w:szCs w:val="24"/>
                <w:highlight w:val="none"/>
                <w:u w:val="none"/>
                <w:lang w:val="en-US" w:eastAsia="zh-CN"/>
              </w:rPr>
              <w:t>土壤</w:t>
            </w:r>
            <w:r>
              <w:rPr>
                <w:rFonts w:hint="eastAsia" w:cs="宋体"/>
                <w:b/>
                <w:color w:val="auto"/>
                <w:sz w:val="24"/>
                <w:szCs w:val="24"/>
                <w:highlight w:val="none"/>
                <w:u w:val="none"/>
              </w:rPr>
              <w:t>影响分析</w:t>
            </w:r>
          </w:p>
          <w:p>
            <w:pPr>
              <w:spacing w:line="460" w:lineRule="exact"/>
              <w:ind w:firstLine="480" w:firstLineChars="200"/>
              <w:rPr>
                <w:rFonts w:hint="eastAsia" w:cs="宋体"/>
                <w:b/>
                <w:color w:val="auto"/>
                <w:sz w:val="24"/>
                <w:szCs w:val="24"/>
                <w:highlight w:val="none"/>
              </w:rPr>
            </w:pPr>
            <w:r>
              <w:rPr>
                <w:rFonts w:hint="eastAsia" w:cs="宋体"/>
                <w:color w:val="auto"/>
                <w:sz w:val="24"/>
                <w:szCs w:val="24"/>
                <w:highlight w:val="none"/>
                <w:u w:val="none"/>
              </w:rPr>
              <w:t>本项目主要为</w:t>
            </w:r>
            <w:r>
              <w:rPr>
                <w:rFonts w:hint="eastAsia" w:cs="宋体"/>
                <w:color w:val="auto"/>
                <w:sz w:val="24"/>
                <w:szCs w:val="24"/>
                <w:highlight w:val="none"/>
                <w:u w:val="none"/>
                <w:lang w:val="en-US" w:eastAsia="zh-CN"/>
              </w:rPr>
              <w:t>污水处理站</w:t>
            </w:r>
            <w:r>
              <w:rPr>
                <w:rFonts w:hint="eastAsia" w:cs="宋体"/>
                <w:color w:val="auto"/>
                <w:sz w:val="24"/>
                <w:szCs w:val="24"/>
                <w:highlight w:val="none"/>
                <w:u w:val="none"/>
              </w:rPr>
              <w:t>，属于水的生产和供应业行业。项目类别为III类。本项目属于土壤污染影响型项目，</w:t>
            </w:r>
            <w:r>
              <w:rPr>
                <w:rFonts w:hint="eastAsia" w:cs="宋体"/>
                <w:color w:val="auto"/>
                <w:sz w:val="24"/>
                <w:szCs w:val="24"/>
              </w:rPr>
              <w:t>总占地面积</w:t>
            </w:r>
            <w:r>
              <w:rPr>
                <w:rFonts w:hint="eastAsia"/>
                <w:color w:val="auto"/>
                <w:sz w:val="24"/>
                <w:szCs w:val="24"/>
                <w:lang w:val="en-US" w:eastAsia="zh-CN"/>
              </w:rPr>
              <w:t>1406.67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近期占地1286.67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highlight w:val="none"/>
                <w:u w:val="none"/>
                <w:vertAlign w:val="baseline"/>
                <w:lang w:eastAsia="zh-CN"/>
              </w:rPr>
              <w:t>，</w:t>
            </w:r>
            <w:r>
              <w:rPr>
                <w:rFonts w:hint="eastAsia" w:cs="宋体"/>
                <w:color w:val="auto"/>
                <w:sz w:val="24"/>
                <w:szCs w:val="24"/>
                <w:highlight w:val="none"/>
                <w:u w:val="none"/>
                <w:lang w:val="en-US" w:eastAsia="zh-CN"/>
              </w:rPr>
              <w:t>小于5ha</w:t>
            </w:r>
            <w:r>
              <w:rPr>
                <w:rFonts w:hint="eastAsia" w:cs="宋体"/>
                <w:color w:val="auto"/>
                <w:sz w:val="24"/>
                <w:szCs w:val="24"/>
                <w:highlight w:val="none"/>
                <w:u w:val="none"/>
                <w:vertAlign w:val="superscript"/>
                <w:lang w:val="en-US" w:eastAsia="zh-CN"/>
              </w:rPr>
              <w:t>2</w:t>
            </w:r>
            <w:r>
              <w:rPr>
                <w:rFonts w:hint="eastAsia" w:cs="宋体"/>
                <w:color w:val="auto"/>
                <w:sz w:val="24"/>
                <w:szCs w:val="24"/>
                <w:highlight w:val="none"/>
                <w:u w:val="none"/>
                <w:vertAlign w:val="baseline"/>
                <w:lang w:val="en-US" w:eastAsia="zh-CN"/>
              </w:rPr>
              <w:t>，</w:t>
            </w:r>
            <w:r>
              <w:rPr>
                <w:rFonts w:hint="eastAsia" w:cs="宋体"/>
                <w:color w:val="auto"/>
                <w:sz w:val="24"/>
                <w:szCs w:val="24"/>
                <w:highlight w:val="none"/>
                <w:u w:val="none"/>
              </w:rPr>
              <w:t>占地规模为小型。项目</w:t>
            </w:r>
            <w:r>
              <w:rPr>
                <w:rFonts w:hint="eastAsia" w:cs="宋体"/>
                <w:color w:val="auto"/>
                <w:sz w:val="24"/>
                <w:szCs w:val="24"/>
                <w:highlight w:val="none"/>
                <w:u w:val="none"/>
                <w:lang w:val="en-US" w:eastAsia="zh-CN"/>
              </w:rPr>
              <w:t>位于湘滨镇西侧，</w:t>
            </w:r>
            <w:r>
              <w:rPr>
                <w:rFonts w:hint="eastAsia" w:cs="宋体"/>
                <w:color w:val="auto"/>
                <w:sz w:val="24"/>
                <w:szCs w:val="24"/>
                <w:highlight w:val="none"/>
                <w:u w:val="none"/>
              </w:rPr>
              <w:t>周边</w:t>
            </w:r>
            <w:r>
              <w:rPr>
                <w:rFonts w:hint="eastAsia" w:cs="宋体"/>
                <w:color w:val="auto"/>
                <w:sz w:val="24"/>
                <w:szCs w:val="24"/>
                <w:highlight w:val="none"/>
                <w:u w:val="none"/>
                <w:lang w:val="en-US" w:eastAsia="zh-CN"/>
              </w:rPr>
              <w:t>50</w:t>
            </w:r>
            <w:r>
              <w:rPr>
                <w:rFonts w:hint="eastAsia" w:cs="宋体"/>
                <w:color w:val="auto"/>
                <w:sz w:val="24"/>
                <w:szCs w:val="24"/>
                <w:highlight w:val="none"/>
                <w:u w:val="none"/>
              </w:rPr>
              <w:t>米范围内均为建设用地，土壤环境敏感程度定为</w:t>
            </w:r>
            <w:r>
              <w:rPr>
                <w:rFonts w:hint="eastAsia" w:cs="宋体"/>
                <w:color w:val="auto"/>
                <w:sz w:val="24"/>
                <w:szCs w:val="24"/>
                <w:highlight w:val="none"/>
                <w:u w:val="none"/>
                <w:lang w:val="en-US" w:eastAsia="zh-CN"/>
              </w:rPr>
              <w:t>较</w:t>
            </w:r>
            <w:r>
              <w:rPr>
                <w:rFonts w:hint="eastAsia" w:cs="宋体"/>
                <w:color w:val="auto"/>
                <w:sz w:val="24"/>
                <w:szCs w:val="24"/>
                <w:highlight w:val="none"/>
                <w:u w:val="none"/>
              </w:rPr>
              <w:t>敏感</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可不展开分析</w:t>
            </w:r>
            <w:r>
              <w:rPr>
                <w:rFonts w:hint="eastAsia" w:cs="宋体"/>
                <w:color w:val="auto"/>
                <w:sz w:val="24"/>
                <w:szCs w:val="24"/>
                <w:highlight w:val="none"/>
                <w:u w:val="none"/>
              </w:rPr>
              <w:t>。</w:t>
            </w:r>
          </w:p>
          <w:p>
            <w:pPr>
              <w:spacing w:line="360" w:lineRule="auto"/>
              <w:ind w:firstLine="480" w:firstLineChars="200"/>
              <w:rPr>
                <w:rFonts w:hint="eastAsia" w:cs="宋体"/>
                <w:b/>
                <w:color w:val="auto"/>
                <w:sz w:val="24"/>
                <w:szCs w:val="24"/>
                <w:highlight w:val="none"/>
              </w:rPr>
            </w:pPr>
            <w:r>
              <w:rPr>
                <w:rFonts w:hint="default" w:ascii="Times New Roman" w:hAnsi="Times New Roman" w:eastAsia="宋体" w:cs="Times New Roman"/>
                <w:bCs/>
                <w:sz w:val="24"/>
                <w:szCs w:val="22"/>
                <w:u w:val="single"/>
              </w:rPr>
              <w:t>本项目选址位于</w:t>
            </w:r>
            <w:r>
              <w:rPr>
                <w:rFonts w:hint="default" w:ascii="Times New Roman" w:hAnsi="Times New Roman" w:eastAsia="宋体" w:cs="Times New Roman"/>
                <w:bCs/>
                <w:sz w:val="24"/>
                <w:szCs w:val="22"/>
                <w:u w:val="single"/>
                <w:lang w:val="en-US" w:eastAsia="zh-CN"/>
              </w:rPr>
              <w:t>湖南省岳阳市湘阴县</w:t>
            </w:r>
            <w:r>
              <w:rPr>
                <w:rFonts w:hint="eastAsia" w:cs="Times New Roman"/>
                <w:bCs/>
                <w:sz w:val="24"/>
                <w:szCs w:val="22"/>
                <w:u w:val="single"/>
                <w:lang w:val="en-US" w:eastAsia="zh-CN"/>
              </w:rPr>
              <w:t>湘滨</w:t>
            </w:r>
            <w:bookmarkStart w:id="16" w:name="_GoBack"/>
            <w:bookmarkEnd w:id="16"/>
            <w:r>
              <w:rPr>
                <w:rFonts w:hint="default" w:ascii="Times New Roman" w:hAnsi="Times New Roman" w:eastAsia="宋体" w:cs="Times New Roman"/>
                <w:bCs/>
                <w:sz w:val="24"/>
                <w:szCs w:val="22"/>
                <w:u w:val="single"/>
                <w:lang w:val="en-US" w:eastAsia="zh-CN"/>
              </w:rPr>
              <w:t>镇</w:t>
            </w:r>
            <w:r>
              <w:rPr>
                <w:rFonts w:hint="default" w:ascii="Times New Roman" w:hAnsi="Times New Roman" w:eastAsia="宋体" w:cs="Times New Roman"/>
                <w:bCs/>
                <w:sz w:val="24"/>
                <w:szCs w:val="22"/>
                <w:u w:val="single"/>
              </w:rPr>
              <w:t>，区域现状为农村生态环境，项目针对各类污染物均采取了对应的污染治理措施，可确保污染物的达标排放及防止渗漏发生，可从源头上控制项目对区域土壤环境的污染源强，确保项目对区域土壤环境的影响处于可接受水平。</w:t>
            </w:r>
            <w:r>
              <w:rPr>
                <w:rFonts w:hint="default" w:ascii="Times New Roman" w:hAnsi="Times New Roman" w:eastAsia="宋体" w:cs="Times New Roman"/>
                <w:bCs/>
                <w:sz w:val="24"/>
                <w:szCs w:val="22"/>
                <w:u w:val="single"/>
                <w:lang w:eastAsia="zh-CN"/>
              </w:rPr>
              <w:t>同时由于项目用地为建设用地，在其用地</w:t>
            </w:r>
            <w:r>
              <w:rPr>
                <w:rFonts w:hint="default" w:ascii="Times New Roman" w:hAnsi="Times New Roman" w:eastAsia="宋体" w:cs="Times New Roman"/>
                <w:bCs/>
                <w:sz w:val="24"/>
                <w:szCs w:val="22"/>
                <w:u w:val="single"/>
                <w:lang w:val="en-US" w:eastAsia="zh-CN"/>
              </w:rPr>
              <w:t>50m</w:t>
            </w:r>
            <w:r>
              <w:rPr>
                <w:rFonts w:hint="default" w:ascii="Times New Roman" w:hAnsi="Times New Roman" w:eastAsia="宋体" w:cs="Times New Roman"/>
                <w:bCs/>
                <w:sz w:val="24"/>
                <w:szCs w:val="22"/>
                <w:u w:val="single"/>
                <w:lang w:eastAsia="zh-CN"/>
              </w:rPr>
              <w:t>范围内不允许新建居民或学校等敏感目标。</w:t>
            </w:r>
          </w:p>
          <w:p>
            <w:pPr>
              <w:spacing w:line="460" w:lineRule="exact"/>
              <w:ind w:firstLine="482" w:firstLineChars="200"/>
              <w:rPr>
                <w:rFonts w:cs="宋体"/>
                <w:b/>
                <w:color w:val="auto"/>
                <w:sz w:val="24"/>
                <w:szCs w:val="24"/>
                <w:highlight w:val="none"/>
              </w:rPr>
            </w:pPr>
            <w:r>
              <w:rPr>
                <w:rFonts w:hint="eastAsia" w:cs="宋体"/>
                <w:b/>
                <w:color w:val="auto"/>
                <w:sz w:val="24"/>
                <w:szCs w:val="24"/>
                <w:highlight w:val="none"/>
              </w:rPr>
              <w:t>2.</w:t>
            </w:r>
            <w:r>
              <w:rPr>
                <w:rFonts w:hint="eastAsia" w:cs="宋体"/>
                <w:b/>
                <w:color w:val="auto"/>
                <w:sz w:val="24"/>
                <w:szCs w:val="24"/>
                <w:highlight w:val="none"/>
                <w:lang w:val="en-US" w:eastAsia="zh-CN"/>
              </w:rPr>
              <w:t>7</w:t>
            </w:r>
            <w:r>
              <w:rPr>
                <w:rFonts w:hint="eastAsia" w:cs="宋体"/>
                <w:b/>
                <w:color w:val="auto"/>
                <w:sz w:val="24"/>
                <w:szCs w:val="24"/>
                <w:highlight w:val="none"/>
              </w:rPr>
              <w:t>生态影响分析</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本项目完工后，及时对厂区进行植被绿化，以减少项目建设对生态环境的影响。并且项目周边区域未发现有野生国家重点保护植物和古树名木，无需格外保护。</w:t>
            </w:r>
          </w:p>
          <w:p>
            <w:pPr>
              <w:spacing w:line="460" w:lineRule="exact"/>
              <w:ind w:firstLine="480" w:firstLineChars="200"/>
              <w:rPr>
                <w:rFonts w:cs="宋体"/>
                <w:color w:val="auto"/>
                <w:sz w:val="24"/>
                <w:szCs w:val="24"/>
                <w:highlight w:val="none"/>
              </w:rPr>
            </w:pPr>
            <w:r>
              <w:rPr>
                <w:rFonts w:cs="宋体"/>
                <w:color w:val="auto"/>
                <w:sz w:val="24"/>
                <w:szCs w:val="24"/>
                <w:highlight w:val="none"/>
              </w:rPr>
              <w:t>本项目</w:t>
            </w:r>
            <w:r>
              <w:rPr>
                <w:rFonts w:hint="eastAsia" w:cs="宋体"/>
                <w:color w:val="auto"/>
                <w:sz w:val="24"/>
                <w:szCs w:val="24"/>
                <w:highlight w:val="none"/>
              </w:rPr>
              <w:t>属于污水处理工程，工程后对区域水体水质有改善作用，对生态环境影响较小。</w:t>
            </w:r>
          </w:p>
          <w:p>
            <w:pPr>
              <w:spacing w:line="460" w:lineRule="exact"/>
              <w:ind w:firstLine="482" w:firstLineChars="200"/>
              <w:rPr>
                <w:b/>
                <w:bCs/>
                <w:color w:val="auto"/>
                <w:sz w:val="24"/>
                <w:szCs w:val="24"/>
                <w:highlight w:val="none"/>
              </w:rPr>
            </w:pPr>
            <w:r>
              <w:rPr>
                <w:rFonts w:hint="eastAsia"/>
                <w:b/>
                <w:bCs/>
                <w:color w:val="auto"/>
                <w:sz w:val="24"/>
                <w:szCs w:val="24"/>
                <w:highlight w:val="none"/>
              </w:rPr>
              <w:t>2.</w:t>
            </w:r>
            <w:r>
              <w:rPr>
                <w:rFonts w:hint="eastAsia"/>
                <w:b/>
                <w:bCs/>
                <w:color w:val="auto"/>
                <w:sz w:val="24"/>
                <w:szCs w:val="24"/>
                <w:highlight w:val="none"/>
                <w:lang w:val="en-US" w:eastAsia="zh-CN"/>
              </w:rPr>
              <w:t>8</w:t>
            </w:r>
            <w:r>
              <w:rPr>
                <w:rFonts w:hint="eastAsia" w:cs="宋体"/>
                <w:b/>
                <w:bCs/>
                <w:color w:val="auto"/>
                <w:sz w:val="24"/>
                <w:szCs w:val="24"/>
                <w:highlight w:val="none"/>
              </w:rPr>
              <w:t>工程风险影响预测</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val="en-US" w:eastAsia="zh-CN"/>
              </w:rPr>
              <w:t>8</w:t>
            </w:r>
            <w:r>
              <w:rPr>
                <w:rFonts w:hint="eastAsia" w:cs="宋体"/>
                <w:color w:val="auto"/>
                <w:sz w:val="24"/>
                <w:szCs w:val="24"/>
                <w:highlight w:val="none"/>
              </w:rPr>
              <w:t>.1污水处理厂事故原因</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污水处理厂的事故性风险具有突发性的特点，一般污水处理厂运行期发生事故性排放的原因有以下几种：</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（1）由于排水的不均匀性，导致进厂污水水量超过设计能力，污水停留时间减少， 污染负荷去除低于设计去除率，另外，进厂污水水质负荷变化，污染物质浓度升高，也会导致污水处理厂去除率下降，尾水超标排放。温度异常，尤其是冬季，温度低，可导致生化处理效率下降。操作不当，污水处理系统运行不正常，将降低活性污泥浓度，使得生化效率下降，出现事故性排放。</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污水处理厂一旦出现机械故障或停电，会直接影响污水处理厂的正常运行，尤其是生化处理池因机械故障或停电原因长时间不运转会造成微生物批量死亡，而微生物培养需很长一段时间，这段时间污水只能从厂进水井直接溢流排入水体，使水体受到严重污染。</w:t>
            </w:r>
          </w:p>
          <w:p>
            <w:pPr>
              <w:snapToGrid w:val="0"/>
              <w:spacing w:line="460" w:lineRule="exact"/>
              <w:ind w:firstLine="570"/>
              <w:rPr>
                <w:color w:val="auto"/>
                <w:sz w:val="24"/>
                <w:szCs w:val="24"/>
                <w:highlight w:val="none"/>
              </w:rPr>
            </w:pPr>
            <w:r>
              <w:rPr>
                <w:rFonts w:hint="eastAsia" w:cs="宋体"/>
                <w:color w:val="auto"/>
                <w:sz w:val="24"/>
                <w:szCs w:val="24"/>
                <w:highlight w:val="none"/>
              </w:rPr>
              <w:t>处理厂内主要负荷属二级负荷，本工程按 10kV 电压等级供电。应急供电方案采用移动式柴油发电机，尽可能把机械故障及停电给环境造成的影响减少到最小。</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）污水处理系统在维修中突发性事故的发生，会给维护、维修的工作人员造成身体损害，严重时会危及生命。因此，在维护污水处理系统正常运行过程中会有风险发生，应引起高度的重视。</w:t>
            </w:r>
          </w:p>
          <w:p>
            <w:pPr>
              <w:snapToGrid w:val="0"/>
              <w:spacing w:line="460" w:lineRule="exact"/>
              <w:ind w:firstLine="472" w:firstLineChars="197"/>
              <w:rPr>
                <w:color w:val="auto"/>
                <w:sz w:val="24"/>
                <w:szCs w:val="24"/>
                <w:highlight w:val="none"/>
              </w:rPr>
            </w:pPr>
            <w:r>
              <w:rPr>
                <w:rFonts w:hint="eastAsia" w:cs="宋体"/>
                <w:color w:val="auto"/>
                <w:sz w:val="24"/>
                <w:szCs w:val="24"/>
                <w:highlight w:val="none"/>
              </w:rPr>
              <w:t>污水处理系统在运行中，如发生格栅堵塞、水泵不能正常工作等机械故障，以及管道损坏，池子泄漏溢流等情况时，需维护人员及时检修，必要时得进行入管道或井内操作，因污水中含有多种有毒、有害物质，这些物质有些以气体形式存在，如</w:t>
            </w:r>
            <w:r>
              <w:rPr>
                <w:color w:val="auto"/>
                <w:sz w:val="24"/>
                <w:szCs w:val="24"/>
                <w:highlight w:val="none"/>
              </w:rPr>
              <w:t>H</w:t>
            </w:r>
            <w:r>
              <w:rPr>
                <w:color w:val="auto"/>
                <w:sz w:val="24"/>
                <w:szCs w:val="24"/>
                <w:highlight w:val="none"/>
                <w:vertAlign w:val="subscript"/>
              </w:rPr>
              <w:t>2</w:t>
            </w:r>
            <w:r>
              <w:rPr>
                <w:color w:val="auto"/>
                <w:sz w:val="24"/>
                <w:szCs w:val="24"/>
                <w:highlight w:val="none"/>
              </w:rPr>
              <w:t>S</w:t>
            </w:r>
            <w:r>
              <w:rPr>
                <w:rFonts w:hint="eastAsia" w:cs="宋体"/>
                <w:color w:val="auto"/>
                <w:sz w:val="24"/>
                <w:szCs w:val="24"/>
                <w:highlight w:val="none"/>
              </w:rPr>
              <w:t>、</w:t>
            </w:r>
            <w:r>
              <w:rPr>
                <w:rFonts w:hint="eastAsia"/>
                <w:color w:val="auto"/>
                <w:sz w:val="24"/>
                <w:szCs w:val="24"/>
                <w:highlight w:val="none"/>
              </w:rPr>
              <w:t>NH</w:t>
            </w:r>
            <w:r>
              <w:rPr>
                <w:rFonts w:hint="eastAsia"/>
                <w:color w:val="auto"/>
                <w:sz w:val="24"/>
                <w:szCs w:val="24"/>
                <w:highlight w:val="none"/>
                <w:vertAlign w:val="subscript"/>
              </w:rPr>
              <w:t>3</w:t>
            </w:r>
            <w:r>
              <w:rPr>
                <w:rFonts w:hint="eastAsia" w:cs="宋体"/>
                <w:color w:val="auto"/>
                <w:sz w:val="24"/>
                <w:szCs w:val="24"/>
                <w:highlight w:val="none"/>
              </w:rPr>
              <w:t>等，在这种情况下，如操作人员不采取防护措施就会造成中毒、昏迷、甚至死亡。</w:t>
            </w:r>
          </w:p>
          <w:p>
            <w:pPr>
              <w:snapToGrid w:val="0"/>
              <w:spacing w:line="440" w:lineRule="exact"/>
              <w:ind w:firstLine="472" w:firstLineChars="197"/>
              <w:rPr>
                <w:color w:val="auto"/>
                <w:sz w:val="24"/>
                <w:szCs w:val="24"/>
                <w:highlight w:val="none"/>
              </w:rPr>
            </w:pPr>
            <w:r>
              <w:rPr>
                <w:rFonts w:hint="eastAsia" w:cs="宋体"/>
                <w:color w:val="auto"/>
                <w:sz w:val="24"/>
                <w:szCs w:val="24"/>
                <w:highlight w:val="none"/>
              </w:rPr>
              <w:t>本工程在设计中对经常需要维修、自然通风条件差的构筑物设置通风装置，尽可能降低这种风险。处理厂对工人要经常进行安全教育，建立一套合乎实际的管理制度，建议采取下列措施：</w:t>
            </w:r>
          </w:p>
          <w:p>
            <w:pPr>
              <w:snapToGrid w:val="0"/>
              <w:spacing w:line="440" w:lineRule="exact"/>
              <w:ind w:firstLine="472" w:firstLineChars="197"/>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1 \* GB3 </w:instrText>
            </w:r>
            <w:r>
              <w:rPr>
                <w:color w:val="auto"/>
                <w:sz w:val="24"/>
                <w:szCs w:val="24"/>
                <w:highlight w:val="none"/>
              </w:rPr>
              <w:fldChar w:fldCharType="separate"/>
            </w:r>
            <w:r>
              <w:rPr>
                <w:rFonts w:hint="eastAsia" w:ascii="宋体" w:hAnsi="宋体" w:cs="宋体"/>
                <w:color w:val="auto"/>
                <w:sz w:val="24"/>
                <w:szCs w:val="24"/>
                <w:highlight w:val="none"/>
              </w:rPr>
              <w:t>①</w:t>
            </w:r>
            <w:r>
              <w:rPr>
                <w:color w:val="auto"/>
                <w:sz w:val="24"/>
                <w:szCs w:val="24"/>
                <w:highlight w:val="none"/>
              </w:rPr>
              <w:fldChar w:fldCharType="end"/>
            </w:r>
            <w:r>
              <w:rPr>
                <w:rFonts w:hint="eastAsia" w:cs="宋体"/>
                <w:color w:val="auto"/>
                <w:sz w:val="24"/>
                <w:szCs w:val="24"/>
                <w:highlight w:val="none"/>
              </w:rPr>
              <w:t>定期对污水管内的气体进行监测、分析，以便采用相应的维修防护措施；</w:t>
            </w:r>
          </w:p>
          <w:p>
            <w:pPr>
              <w:snapToGrid w:val="0"/>
              <w:spacing w:line="440" w:lineRule="exact"/>
              <w:ind w:firstLine="472" w:firstLineChars="197"/>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2 \* GB3 </w:instrText>
            </w:r>
            <w:r>
              <w:rPr>
                <w:color w:val="auto"/>
                <w:sz w:val="24"/>
                <w:szCs w:val="24"/>
                <w:highlight w:val="none"/>
              </w:rPr>
              <w:fldChar w:fldCharType="separate"/>
            </w:r>
            <w:r>
              <w:rPr>
                <w:rFonts w:hint="eastAsia" w:ascii="宋体" w:hAnsi="宋体" w:cs="宋体"/>
                <w:color w:val="auto"/>
                <w:sz w:val="24"/>
                <w:szCs w:val="24"/>
                <w:highlight w:val="none"/>
              </w:rPr>
              <w:t>②</w:t>
            </w:r>
            <w:r>
              <w:rPr>
                <w:color w:val="auto"/>
                <w:sz w:val="24"/>
                <w:szCs w:val="24"/>
                <w:highlight w:val="none"/>
              </w:rPr>
              <w:fldChar w:fldCharType="end"/>
            </w:r>
            <w:r>
              <w:rPr>
                <w:rFonts w:hint="eastAsia" w:cs="宋体"/>
                <w:color w:val="auto"/>
                <w:sz w:val="24"/>
                <w:szCs w:val="24"/>
                <w:highlight w:val="none"/>
              </w:rPr>
              <w:t>需检修的工段由专人在工作场地负责，并备有必要的急救措施；</w:t>
            </w:r>
          </w:p>
          <w:p>
            <w:pPr>
              <w:snapToGrid w:val="0"/>
              <w:spacing w:line="440" w:lineRule="exact"/>
              <w:ind w:firstLine="472" w:firstLineChars="197"/>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 3 \* GB3 </w:instrText>
            </w:r>
            <w:r>
              <w:rPr>
                <w:color w:val="auto"/>
                <w:sz w:val="24"/>
                <w:szCs w:val="24"/>
                <w:highlight w:val="none"/>
              </w:rPr>
              <w:fldChar w:fldCharType="separate"/>
            </w:r>
            <w:r>
              <w:rPr>
                <w:rFonts w:hint="eastAsia" w:ascii="宋体" w:hAnsi="宋体" w:cs="宋体"/>
                <w:color w:val="auto"/>
                <w:sz w:val="24"/>
                <w:szCs w:val="24"/>
                <w:highlight w:val="none"/>
              </w:rPr>
              <w:t>③</w:t>
            </w:r>
            <w:r>
              <w:rPr>
                <w:color w:val="auto"/>
                <w:sz w:val="24"/>
                <w:szCs w:val="24"/>
                <w:highlight w:val="none"/>
              </w:rPr>
              <w:fldChar w:fldCharType="end"/>
            </w:r>
            <w:r>
              <w:rPr>
                <w:rFonts w:hint="eastAsia" w:cs="宋体"/>
                <w:color w:val="auto"/>
                <w:sz w:val="24"/>
                <w:szCs w:val="24"/>
                <w:highlight w:val="none"/>
              </w:rPr>
              <w:t>戴防毒面具下井，并与地面保持通讯联系，如感不适立即返回地面；</w:t>
            </w:r>
          </w:p>
          <w:p>
            <w:pPr>
              <w:spacing w:line="460" w:lineRule="exact"/>
              <w:ind w:firstLine="480" w:firstLineChars="200"/>
              <w:rPr>
                <w:rFonts w:cs="宋体"/>
                <w:color w:val="auto"/>
                <w:sz w:val="24"/>
                <w:szCs w:val="24"/>
                <w:highlight w:val="none"/>
              </w:rPr>
            </w:pPr>
            <w:r>
              <w:rPr>
                <w:color w:val="auto"/>
                <w:sz w:val="24"/>
                <w:szCs w:val="24"/>
                <w:highlight w:val="none"/>
              </w:rPr>
              <w:fldChar w:fldCharType="begin"/>
            </w:r>
            <w:r>
              <w:rPr>
                <w:color w:val="auto"/>
                <w:sz w:val="24"/>
                <w:szCs w:val="24"/>
                <w:highlight w:val="none"/>
              </w:rPr>
              <w:instrText xml:space="preserve"> = 4 \* GB3 </w:instrText>
            </w:r>
            <w:r>
              <w:rPr>
                <w:color w:val="auto"/>
                <w:sz w:val="24"/>
                <w:szCs w:val="24"/>
                <w:highlight w:val="none"/>
              </w:rPr>
              <w:fldChar w:fldCharType="separate"/>
            </w:r>
            <w:r>
              <w:rPr>
                <w:rFonts w:hint="eastAsia" w:ascii="宋体" w:hAnsi="宋体" w:cs="宋体"/>
                <w:color w:val="auto"/>
                <w:sz w:val="24"/>
                <w:szCs w:val="24"/>
                <w:highlight w:val="none"/>
              </w:rPr>
              <w:t>④</w:t>
            </w:r>
            <w:r>
              <w:rPr>
                <w:color w:val="auto"/>
                <w:sz w:val="24"/>
                <w:szCs w:val="24"/>
                <w:highlight w:val="none"/>
              </w:rPr>
              <w:fldChar w:fldCharType="end"/>
            </w:r>
            <w:r>
              <w:rPr>
                <w:rFonts w:hint="eastAsia" w:cs="宋体"/>
                <w:color w:val="auto"/>
                <w:sz w:val="24"/>
                <w:szCs w:val="24"/>
                <w:highlight w:val="none"/>
              </w:rPr>
              <w:t>提高一线工人营养保健待遇，增强工人体质。</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（4）污水管网损坏。污水外溢直接造成水污染事故。</w:t>
            </w:r>
          </w:p>
          <w:p>
            <w:pPr>
              <w:spacing w:line="460" w:lineRule="exact"/>
              <w:ind w:firstLine="480" w:firstLineChars="200"/>
            </w:pPr>
            <w:r>
              <w:rPr>
                <w:rFonts w:hint="eastAsia" w:cs="宋体"/>
                <w:color w:val="auto"/>
                <w:sz w:val="24"/>
                <w:szCs w:val="24"/>
                <w:highlight w:val="none"/>
              </w:rPr>
              <w:t>（5）不可抗拒的外力影响。如地震等自然灾害的影响，也将给污水处理工程造成破坏性损害，造成水污染事故。</w:t>
            </w:r>
          </w:p>
          <w:p>
            <w:pPr>
              <w:spacing w:line="460" w:lineRule="exact"/>
              <w:ind w:firstLine="480" w:firstLineChars="200"/>
              <w:rPr>
                <w:rFonts w:hint="eastAsia" w:cs="宋体"/>
                <w:color w:val="auto"/>
                <w:sz w:val="24"/>
                <w:szCs w:val="24"/>
                <w:highlight w:val="none"/>
              </w:rPr>
            </w:pP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6</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渗透风险。埋地管道泄漏以及污水处理站地面渗漏会造成地下水的污染。项目应采取分区防渗，按重点污染防治区、一般污染防治区和非污染区防渗措施有区别的防渗原则。在施工过程中加强监督，在实际生产过程中及时做好排查工作，避免渗漏造成的污染。</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w:t>
            </w:r>
            <w:r>
              <w:rPr>
                <w:rFonts w:hint="eastAsia" w:cs="宋体"/>
                <w:color w:val="auto"/>
                <w:sz w:val="24"/>
                <w:szCs w:val="24"/>
                <w:highlight w:val="none"/>
                <w:lang w:val="en-US" w:eastAsia="zh-CN"/>
              </w:rPr>
              <w:t>7</w:t>
            </w:r>
            <w:r>
              <w:rPr>
                <w:rFonts w:hint="eastAsia" w:cs="宋体"/>
                <w:color w:val="auto"/>
                <w:sz w:val="24"/>
                <w:szCs w:val="24"/>
                <w:highlight w:val="none"/>
              </w:rPr>
              <w:t>.2废水事故排放影响分析</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本工程建成后，通常情况下属于正排污但是当发生事故时处理厂水未经过有效处理而排入水体，将对排污口下游水质造成影响。</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2.7.3管网泄露风险分析</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污水干管在营运期会因为未按规范施工、工人操作失误、地温冷热变化、人为破坏等原因发生破裂或渗漏风险。</w:t>
            </w:r>
          </w:p>
          <w:p>
            <w:pPr>
              <w:spacing w:line="460" w:lineRule="exact"/>
              <w:ind w:firstLine="480" w:firstLineChars="200"/>
              <w:rPr>
                <w:rFonts w:cs="宋体"/>
                <w:color w:val="auto"/>
                <w:sz w:val="24"/>
                <w:szCs w:val="24"/>
                <w:highlight w:val="none"/>
              </w:rPr>
            </w:pPr>
            <w:r>
              <w:rPr>
                <w:rFonts w:hint="eastAsia" w:cs="宋体"/>
                <w:color w:val="auto"/>
                <w:sz w:val="24"/>
                <w:szCs w:val="24"/>
                <w:highlight w:val="none"/>
              </w:rPr>
              <w:t>污水主干管若发生破裂或渗漏，污水会进入土壤，渗入地下，会污染地下水，冒出地面则会滋生蚊虫、散发恶臭，对周围居民的生活产生较为严重的影响，流入农田还会改变土壤性质，降低农作物产量，对沿线居民的生产生活造成较大的影响。</w:t>
            </w:r>
          </w:p>
          <w:p>
            <w:pPr>
              <w:spacing w:line="440" w:lineRule="exact"/>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7.4</w:t>
            </w:r>
            <w:r>
              <w:rPr>
                <w:rFonts w:hint="eastAsia" w:cs="宋体"/>
                <w:color w:val="auto"/>
                <w:sz w:val="24"/>
                <w:szCs w:val="24"/>
                <w:highlight w:val="none"/>
              </w:rPr>
              <w:t>事故风险防范</w:t>
            </w:r>
          </w:p>
          <w:p>
            <w:pPr>
              <w:spacing w:line="440" w:lineRule="exact"/>
              <w:ind w:firstLine="480" w:firstLineChars="200"/>
              <w:rPr>
                <w:color w:val="auto"/>
                <w:sz w:val="24"/>
                <w:szCs w:val="24"/>
                <w:highlight w:val="none"/>
              </w:rPr>
            </w:pPr>
            <w:r>
              <w:rPr>
                <w:rFonts w:hint="eastAsia" w:cs="宋体"/>
                <w:color w:val="auto"/>
                <w:sz w:val="24"/>
                <w:szCs w:val="24"/>
                <w:highlight w:val="none"/>
              </w:rPr>
              <w:t>水环境影响预测结果表明，如处置不慎，导致事故排放，则会对下游水体水质造成污染。因此，对污水处理厂事故的防范是污水处理运行管理的重要责任。类比调查表明，进水冲击负荷及设备故障是可能导致污水厂出水水质恶化的主要原因，此外，管网因管道破裂、泵房不正常运行也会导致整个污水工程失效，导致工程风险事故排污。</w:t>
            </w:r>
          </w:p>
          <w:p>
            <w:pPr>
              <w:spacing w:line="440" w:lineRule="exact"/>
              <w:ind w:firstLine="480" w:firstLineChars="200"/>
              <w:rPr>
                <w:color w:val="auto"/>
                <w:sz w:val="24"/>
                <w:szCs w:val="24"/>
                <w:highlight w:val="none"/>
              </w:rPr>
            </w:pPr>
            <w:r>
              <w:rPr>
                <w:rFonts w:hint="eastAsia" w:cs="宋体"/>
                <w:color w:val="auto"/>
                <w:sz w:val="24"/>
                <w:szCs w:val="24"/>
                <w:highlight w:val="none"/>
              </w:rPr>
              <w:t>但工程运营过程中，以上因设备故障及操作不当而导致风险排污，均可以通过加强设备检修、应急设备安装及加强操作管理等进行避免。</w:t>
            </w:r>
          </w:p>
          <w:p>
            <w:pPr>
              <w:spacing w:line="440" w:lineRule="exact"/>
              <w:ind w:firstLine="472" w:firstLineChars="197"/>
              <w:rPr>
                <w:color w:val="auto"/>
                <w:sz w:val="24"/>
                <w:szCs w:val="24"/>
                <w:highlight w:val="none"/>
              </w:rPr>
            </w:pPr>
            <w:r>
              <w:rPr>
                <w:rFonts w:hint="eastAsia" w:cs="宋体"/>
                <w:color w:val="auto"/>
                <w:sz w:val="24"/>
                <w:szCs w:val="24"/>
                <w:highlight w:val="none"/>
              </w:rPr>
              <w:t>主要的事故防范对策如下：</w:t>
            </w:r>
          </w:p>
          <w:p>
            <w:pPr>
              <w:spacing w:line="440" w:lineRule="exact"/>
              <w:ind w:firstLine="472" w:firstLineChars="197"/>
              <w:rPr>
                <w:color w:val="auto"/>
                <w:sz w:val="24"/>
                <w:szCs w:val="24"/>
                <w:highlight w:val="none"/>
              </w:rPr>
            </w:pPr>
            <w:r>
              <w:rPr>
                <w:color w:val="auto"/>
                <w:sz w:val="24"/>
                <w:szCs w:val="24"/>
                <w:highlight w:val="none"/>
              </w:rPr>
              <w:t>1</w:t>
            </w:r>
            <w:r>
              <w:rPr>
                <w:rFonts w:hint="eastAsia" w:cs="宋体"/>
                <w:color w:val="auto"/>
                <w:sz w:val="24"/>
                <w:szCs w:val="24"/>
                <w:highlight w:val="none"/>
              </w:rPr>
              <w:t>、成立应急领导小组，制定事故处理应急方案，落实各工作人员的责任，在平时要进行技术培训和演练，建立技术考核档案，不合格者不得上岗。</w:t>
            </w:r>
          </w:p>
          <w:p>
            <w:pPr>
              <w:spacing w:line="440" w:lineRule="exact"/>
              <w:ind w:firstLine="472" w:firstLineChars="197"/>
              <w:rPr>
                <w:color w:val="auto"/>
                <w:sz w:val="24"/>
                <w:szCs w:val="24"/>
                <w:highlight w:val="none"/>
              </w:rPr>
            </w:pPr>
            <w:r>
              <w:rPr>
                <w:color w:val="auto"/>
                <w:sz w:val="24"/>
                <w:szCs w:val="24"/>
                <w:highlight w:val="none"/>
              </w:rPr>
              <w:t>2</w:t>
            </w:r>
            <w:r>
              <w:rPr>
                <w:rFonts w:hint="eastAsia" w:cs="宋体"/>
                <w:color w:val="auto"/>
                <w:sz w:val="24"/>
                <w:szCs w:val="24"/>
                <w:highlight w:val="none"/>
              </w:rPr>
              <w:t>、在事故发生时，应根据事故处理应急计划，及时通过环保、水利、市政等有关行政部门，通过暂停重点工业污染源向污水干管排放工业废水，减少事故排放量，减轻其对交界断面的影响。</w:t>
            </w:r>
          </w:p>
          <w:p>
            <w:pPr>
              <w:spacing w:line="460" w:lineRule="exact"/>
              <w:ind w:firstLine="472" w:firstLineChars="197"/>
              <w:rPr>
                <w:color w:val="auto"/>
                <w:sz w:val="24"/>
                <w:szCs w:val="24"/>
                <w:highlight w:val="none"/>
              </w:rPr>
            </w:pPr>
            <w:r>
              <w:rPr>
                <w:color w:val="auto"/>
                <w:sz w:val="24"/>
                <w:szCs w:val="24"/>
                <w:highlight w:val="none"/>
              </w:rPr>
              <w:t>3</w:t>
            </w:r>
            <w:r>
              <w:rPr>
                <w:rFonts w:hint="eastAsia" w:cs="宋体"/>
                <w:color w:val="auto"/>
                <w:sz w:val="24"/>
                <w:szCs w:val="24"/>
                <w:highlight w:val="none"/>
              </w:rPr>
              <w:t>、建立可靠的运行监控系统，包括计量、采样、监测、报警等设施，发现异常情况，及时调整运行参数，以控制和避免事故的发生。</w:t>
            </w:r>
          </w:p>
          <w:p>
            <w:pPr>
              <w:spacing w:line="460" w:lineRule="exact"/>
              <w:ind w:firstLine="472" w:firstLineChars="197"/>
              <w:rPr>
                <w:color w:val="auto"/>
                <w:sz w:val="24"/>
                <w:szCs w:val="24"/>
                <w:highlight w:val="none"/>
              </w:rPr>
            </w:pPr>
            <w:r>
              <w:rPr>
                <w:color w:val="auto"/>
                <w:sz w:val="24"/>
                <w:szCs w:val="24"/>
                <w:highlight w:val="none"/>
              </w:rPr>
              <w:t>4</w:t>
            </w:r>
            <w:r>
              <w:rPr>
                <w:rFonts w:hint="eastAsia" w:cs="宋体"/>
                <w:color w:val="auto"/>
                <w:sz w:val="24"/>
                <w:szCs w:val="24"/>
                <w:highlight w:val="none"/>
              </w:rPr>
              <w:t>、为防止废水量过大，造成冲击负荷，以及有毒物质和水温等因素，造成污水处理设施处理率下降，应加强工业污染源的预处理和管理，严格禁止超标排放，确保污水处理设施的正常运行。</w:t>
            </w:r>
          </w:p>
          <w:p>
            <w:pPr>
              <w:spacing w:line="460" w:lineRule="exact"/>
              <w:ind w:firstLine="480" w:firstLineChars="200"/>
              <w:rPr>
                <w:color w:val="auto"/>
                <w:sz w:val="24"/>
                <w:szCs w:val="24"/>
                <w:highlight w:val="none"/>
              </w:rPr>
            </w:pPr>
            <w:r>
              <w:rPr>
                <w:color w:val="auto"/>
                <w:sz w:val="24"/>
                <w:szCs w:val="24"/>
                <w:highlight w:val="none"/>
              </w:rPr>
              <w:t>5</w:t>
            </w:r>
            <w:r>
              <w:rPr>
                <w:rFonts w:hint="eastAsia" w:cs="宋体"/>
                <w:color w:val="auto"/>
                <w:sz w:val="24"/>
                <w:szCs w:val="24"/>
                <w:highlight w:val="none"/>
              </w:rPr>
              <w:t>、在工艺设计中，应采取多套设备，至少</w:t>
            </w:r>
            <w:r>
              <w:rPr>
                <w:color w:val="auto"/>
                <w:sz w:val="24"/>
                <w:szCs w:val="24"/>
                <w:highlight w:val="none"/>
              </w:rPr>
              <w:t>2</w:t>
            </w:r>
            <w:r>
              <w:rPr>
                <w:rFonts w:hint="eastAsia" w:cs="宋体"/>
                <w:color w:val="auto"/>
                <w:sz w:val="24"/>
                <w:szCs w:val="24"/>
                <w:highlight w:val="none"/>
              </w:rPr>
              <w:t>套并联使用，每套均能独立运转。关键设备要有备用（如风机、泵等），设备等检修安排工业生产淡季（一般在</w:t>
            </w:r>
            <w:r>
              <w:rPr>
                <w:color w:val="auto"/>
                <w:sz w:val="24"/>
                <w:szCs w:val="24"/>
                <w:highlight w:val="none"/>
              </w:rPr>
              <w:t>12</w:t>
            </w:r>
            <w:r>
              <w:rPr>
                <w:rFonts w:hint="eastAsia" w:cs="宋体"/>
                <w:color w:val="auto"/>
                <w:sz w:val="24"/>
                <w:szCs w:val="24"/>
                <w:highlight w:val="none"/>
              </w:rPr>
              <w:t>月</w:t>
            </w:r>
            <w:r>
              <w:rPr>
                <w:color w:val="auto"/>
                <w:sz w:val="24"/>
                <w:szCs w:val="24"/>
                <w:highlight w:val="none"/>
              </w:rPr>
              <w:t>~3</w:t>
            </w:r>
            <w:r>
              <w:rPr>
                <w:rFonts w:hint="eastAsia" w:cs="宋体"/>
                <w:color w:val="auto"/>
                <w:sz w:val="24"/>
                <w:szCs w:val="24"/>
                <w:highlight w:val="none"/>
              </w:rPr>
              <w:t>月），一组运转，另一组检修，交替进行。同时要加强设施的维护和管理，提高设备的完好率，关键设备要配备足够的备件，一旦事故发生能够及时处理。另外电源应保证双回路供电。</w:t>
            </w:r>
          </w:p>
          <w:p>
            <w:pPr>
              <w:spacing w:line="460" w:lineRule="exact"/>
              <w:ind w:firstLine="472" w:firstLineChars="200"/>
              <w:rPr>
                <w:color w:val="auto"/>
                <w:sz w:val="24"/>
                <w:szCs w:val="24"/>
                <w:highlight w:val="none"/>
              </w:rPr>
            </w:pPr>
            <w:r>
              <w:rPr>
                <w:color w:val="auto"/>
                <w:spacing w:val="-2"/>
                <w:sz w:val="24"/>
                <w:szCs w:val="24"/>
                <w:highlight w:val="none"/>
              </w:rPr>
              <w:t>6</w:t>
            </w:r>
            <w:r>
              <w:rPr>
                <w:rFonts w:hint="eastAsia" w:cs="宋体"/>
                <w:color w:val="auto"/>
                <w:spacing w:val="-2"/>
                <w:sz w:val="24"/>
                <w:szCs w:val="24"/>
                <w:highlight w:val="none"/>
              </w:rPr>
              <w:t>、要建立完善的档案制度，记录进厂水质水量变化引起污水处理设施的处理效果和尾水水质变化状况，尤其要记录事故的工况，以便总结经验，杜绝事故的再次发生。</w:t>
            </w:r>
          </w:p>
          <w:p>
            <w:pPr>
              <w:spacing w:line="460" w:lineRule="exact"/>
              <w:ind w:firstLine="475" w:firstLineChars="197"/>
              <w:rPr>
                <w:rFonts w:eastAsia="黑体"/>
                <w:color w:val="auto"/>
                <w:sz w:val="44"/>
                <w:szCs w:val="44"/>
                <w:highlight w:val="none"/>
              </w:rPr>
            </w:pPr>
            <w:r>
              <w:rPr>
                <w:b/>
                <w:bCs/>
                <w:color w:val="auto"/>
                <w:sz w:val="24"/>
                <w:szCs w:val="24"/>
                <w:highlight w:val="none"/>
              </w:rPr>
              <w:t>3</w:t>
            </w:r>
            <w:r>
              <w:rPr>
                <w:rFonts w:hint="eastAsia" w:cs="宋体"/>
                <w:b/>
                <w:bCs/>
                <w:color w:val="auto"/>
                <w:sz w:val="24"/>
                <w:szCs w:val="24"/>
                <w:highlight w:val="none"/>
              </w:rPr>
              <w:t>环境影响经济损益分析</w:t>
            </w:r>
          </w:p>
          <w:p>
            <w:pPr>
              <w:numPr>
                <w:ilvl w:val="1"/>
                <w:numId w:val="0"/>
              </w:numPr>
              <w:tabs>
                <w:tab w:val="left" w:pos="720"/>
              </w:tabs>
              <w:adjustRightInd w:val="0"/>
              <w:spacing w:beforeLines="20" w:line="460" w:lineRule="exact"/>
              <w:ind w:left="694" w:leftChars="160" w:hanging="214" w:hangingChars="89"/>
              <w:rPr>
                <w:b/>
                <w:bCs/>
                <w:color w:val="auto"/>
                <w:sz w:val="24"/>
                <w:szCs w:val="24"/>
                <w:highlight w:val="none"/>
              </w:rPr>
            </w:pPr>
            <w:r>
              <w:rPr>
                <w:b/>
                <w:bCs/>
                <w:color w:val="auto"/>
                <w:sz w:val="24"/>
                <w:szCs w:val="24"/>
                <w:highlight w:val="none"/>
              </w:rPr>
              <w:t>3.</w:t>
            </w:r>
            <w:r>
              <w:rPr>
                <w:rFonts w:hint="eastAsia"/>
                <w:b/>
                <w:bCs/>
                <w:color w:val="auto"/>
                <w:sz w:val="24"/>
                <w:szCs w:val="24"/>
                <w:highlight w:val="none"/>
              </w:rPr>
              <w:t>1</w:t>
            </w:r>
            <w:r>
              <w:rPr>
                <w:rFonts w:hint="eastAsia" w:cs="宋体"/>
                <w:b/>
                <w:bCs/>
                <w:color w:val="auto"/>
                <w:sz w:val="24"/>
                <w:szCs w:val="24"/>
                <w:highlight w:val="none"/>
              </w:rPr>
              <w:t>环境影响经济损益分析</w:t>
            </w:r>
          </w:p>
          <w:p>
            <w:pPr>
              <w:spacing w:line="460" w:lineRule="exact"/>
              <w:ind w:firstLine="480" w:firstLineChars="200"/>
              <w:rPr>
                <w:color w:val="auto"/>
                <w:sz w:val="24"/>
                <w:szCs w:val="24"/>
                <w:highlight w:val="none"/>
              </w:rPr>
            </w:pPr>
            <w:r>
              <w:rPr>
                <w:rFonts w:hint="eastAsia" w:cs="宋体"/>
                <w:color w:val="auto"/>
                <w:sz w:val="24"/>
                <w:szCs w:val="24"/>
                <w:highlight w:val="none"/>
              </w:rPr>
              <w:t>污水处理工程是一项技术复杂、投资大、政策性强的基础设施项目。虽然无直接、明显的经济效益，环境效益和长远的社会效益却是无法估量的。本工程既是一项市政设施建设工程，又是一项城市环境综合整治和水环境综合整治的公益性环保工程，特有的环保工程特征决定了其直接投资收益率低，投资的效益较分散，产生的经济效益很难用准确数据表示出来的特征。评价将从社会效益、环境效益及经济效益三方面分析本工程的环境经济损益。</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）社会效益</w:t>
            </w:r>
          </w:p>
          <w:p>
            <w:pPr>
              <w:pStyle w:val="14"/>
              <w:snapToGrid w:val="0"/>
              <w:spacing w:line="460" w:lineRule="exact"/>
              <w:ind w:firstLine="480"/>
              <w:rPr>
                <w:color w:val="auto"/>
                <w:kern w:val="2"/>
                <w:sz w:val="24"/>
                <w:szCs w:val="24"/>
                <w:highlight w:val="none"/>
              </w:rPr>
            </w:pPr>
            <w:r>
              <w:rPr>
                <w:rFonts w:hint="eastAsia" w:cs="宋体"/>
                <w:color w:val="auto"/>
                <w:kern w:val="2"/>
                <w:sz w:val="24"/>
                <w:szCs w:val="24"/>
                <w:highlight w:val="none"/>
              </w:rPr>
              <w:t>环境保护工作已成为我国的一项基本国策，受到社会普遍的关注和重视。城市污水处理工程是一项保护环境、建设文明卫生城市，为子孙后代造福的公用事业工程，其社会效益明显。</w:t>
            </w:r>
          </w:p>
          <w:p>
            <w:pPr>
              <w:pStyle w:val="14"/>
              <w:snapToGrid w:val="0"/>
              <w:spacing w:line="460" w:lineRule="exact"/>
              <w:ind w:firstLine="480"/>
              <w:rPr>
                <w:color w:val="auto"/>
                <w:kern w:val="2"/>
                <w:sz w:val="24"/>
                <w:szCs w:val="24"/>
                <w:highlight w:val="none"/>
              </w:rPr>
            </w:pPr>
            <w:r>
              <w:rPr>
                <w:rFonts w:hint="eastAsia" w:cs="宋体"/>
                <w:color w:val="auto"/>
                <w:kern w:val="2"/>
                <w:sz w:val="24"/>
                <w:szCs w:val="24"/>
                <w:highlight w:val="none"/>
                <w:lang w:val="en-US" w:eastAsia="zh-CN"/>
              </w:rPr>
              <w:t>湘阴县湘滨镇</w:t>
            </w:r>
            <w:r>
              <w:rPr>
                <w:rFonts w:hint="eastAsia" w:cs="宋体"/>
                <w:color w:val="auto"/>
                <w:kern w:val="2"/>
                <w:sz w:val="24"/>
                <w:szCs w:val="24"/>
                <w:highlight w:val="none"/>
              </w:rPr>
              <w:t>污水处理厂的建设，是</w:t>
            </w:r>
            <w:r>
              <w:rPr>
                <w:rFonts w:hint="eastAsia" w:cs="宋体"/>
                <w:color w:val="auto"/>
                <w:kern w:val="2"/>
                <w:sz w:val="24"/>
                <w:szCs w:val="24"/>
                <w:highlight w:val="none"/>
                <w:lang w:val="en-US" w:eastAsia="zh-CN"/>
              </w:rPr>
              <w:t>湘滨镇</w:t>
            </w:r>
            <w:r>
              <w:rPr>
                <w:rFonts w:hint="eastAsia" w:cs="宋体"/>
                <w:color w:val="auto"/>
                <w:kern w:val="2"/>
                <w:sz w:val="24"/>
                <w:szCs w:val="24"/>
                <w:highlight w:val="none"/>
              </w:rPr>
              <w:t>总体规划中城市基础设施建设的重要组成部分，是现代化文明城市的重要标志。该项工程的实施本项目建设成后，将为创建优美、舒适、健康、清洁、人和自然和谐共处的环境起到积极作用，从而有利于保障人民身体健康，提高人民生活质量。项目的建设可进一步加深当地政府和群众的环保意识，促进镇级污水处 理的实施进程。同时对改善</w:t>
            </w:r>
            <w:r>
              <w:rPr>
                <w:rFonts w:hint="eastAsia" w:cs="宋体"/>
                <w:color w:val="auto"/>
                <w:kern w:val="2"/>
                <w:sz w:val="24"/>
                <w:szCs w:val="24"/>
                <w:highlight w:val="none"/>
                <w:lang w:val="en-US" w:eastAsia="zh-CN"/>
              </w:rPr>
              <w:t>湘滨镇</w:t>
            </w:r>
            <w:r>
              <w:rPr>
                <w:rFonts w:hint="eastAsia" w:cs="宋体"/>
                <w:color w:val="auto"/>
                <w:kern w:val="2"/>
                <w:sz w:val="24"/>
                <w:szCs w:val="24"/>
                <w:highlight w:val="none"/>
              </w:rPr>
              <w:t>的投资环境，吸引投资项目，促进经济、贸易和旅游等全面发展。</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）环境效益</w:t>
            </w:r>
          </w:p>
          <w:p>
            <w:pPr>
              <w:pStyle w:val="99"/>
              <w:rPr>
                <w:rFonts w:hint="eastAsia" w:cs="宋体"/>
                <w:snapToGrid w:val="0"/>
                <w:color w:val="auto"/>
                <w:sz w:val="24"/>
                <w:szCs w:val="24"/>
                <w:highlight w:val="none"/>
              </w:rPr>
            </w:pPr>
            <w:r>
              <w:rPr>
                <w:rFonts w:hint="eastAsia" w:cs="宋体"/>
                <w:color w:val="auto"/>
                <w:kern w:val="2"/>
                <w:sz w:val="24"/>
                <w:szCs w:val="24"/>
                <w:highlight w:val="none"/>
              </w:rPr>
              <w:t>湘滨镇污水管网工程投产后，排入水体的污染物大幅度减少，符合湘阴县湘滨镇水环境保护目标要求，环境效益显著。更重要的是减轻了污水对地下 水资源和地面水资源的污染，提高了水资源的利用价值。</w:t>
            </w:r>
          </w:p>
          <w:p>
            <w:pPr>
              <w:pStyle w:val="99"/>
              <w:rPr>
                <w:snapToGrid w:val="0"/>
                <w:color w:val="auto"/>
                <w:sz w:val="24"/>
                <w:szCs w:val="24"/>
                <w:highlight w:val="none"/>
              </w:rPr>
            </w:pPr>
            <w:r>
              <w:rPr>
                <w:rFonts w:hint="eastAsia" w:cs="宋体"/>
                <w:snapToGrid w:val="0"/>
                <w:color w:val="auto"/>
                <w:sz w:val="24"/>
                <w:szCs w:val="24"/>
                <w:highlight w:val="none"/>
              </w:rPr>
              <w:t>该项目的建成可削减污染物排放量，保护下游水体水质，提高人群健康的水平，改善居住环境及卫生条件。并且可使因水污染所造成的健康损失的医药费用、地价损失、农业损失有显著减少。对于贯彻</w:t>
            </w:r>
            <w:r>
              <w:rPr>
                <w:rFonts w:hint="eastAsia" w:cs="宋体"/>
                <w:snapToGrid w:val="0"/>
                <w:color w:val="auto"/>
                <w:sz w:val="24"/>
                <w:szCs w:val="24"/>
                <w:highlight w:val="none"/>
                <w:lang w:val="en-US" w:eastAsia="zh-CN"/>
              </w:rPr>
              <w:t>湘滨镇</w:t>
            </w:r>
            <w:r>
              <w:rPr>
                <w:rFonts w:hint="eastAsia" w:cs="宋体"/>
                <w:snapToGrid w:val="0"/>
                <w:color w:val="auto"/>
                <w:sz w:val="24"/>
                <w:szCs w:val="24"/>
                <w:highlight w:val="none"/>
              </w:rPr>
              <w:t>的经济可持续发展方针，促进经济与环境的和谐发展，保护水体的水质均有显著地效益。</w:t>
            </w:r>
          </w:p>
          <w:p>
            <w:pPr>
              <w:spacing w:line="420" w:lineRule="exact"/>
              <w:ind w:firstLine="480" w:firstLineChars="200"/>
              <w:rPr>
                <w:color w:val="auto"/>
                <w:sz w:val="24"/>
                <w:szCs w:val="24"/>
                <w:highlight w:val="none"/>
                <w:lang w:val="zh-CN"/>
              </w:rPr>
            </w:pPr>
            <w:r>
              <w:rPr>
                <w:rFonts w:hint="eastAsia" w:cs="宋体"/>
                <w:color w:val="auto"/>
                <w:sz w:val="24"/>
                <w:szCs w:val="24"/>
                <w:highlight w:val="none"/>
              </w:rPr>
              <w:t>由此可见，本工程建设具有十分显著的环境效益。</w:t>
            </w:r>
          </w:p>
          <w:p>
            <w:pPr>
              <w:spacing w:line="460" w:lineRule="exact"/>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）经济效益</w:t>
            </w:r>
          </w:p>
          <w:p>
            <w:pPr>
              <w:snapToGrid w:val="0"/>
              <w:spacing w:line="460" w:lineRule="exact"/>
              <w:ind w:firstLine="600"/>
              <w:rPr>
                <w:color w:val="auto"/>
                <w:sz w:val="24"/>
                <w:szCs w:val="24"/>
                <w:highlight w:val="none"/>
              </w:rPr>
            </w:pPr>
            <w:r>
              <w:rPr>
                <w:rFonts w:hint="eastAsia" w:cs="宋体"/>
                <w:color w:val="auto"/>
                <w:sz w:val="24"/>
                <w:szCs w:val="24"/>
                <w:highlight w:val="none"/>
                <w:lang w:val="en-US" w:eastAsia="zh-CN"/>
              </w:rPr>
              <w:t>乡镇</w:t>
            </w:r>
            <w:r>
              <w:rPr>
                <w:rFonts w:hint="eastAsia" w:cs="宋体"/>
                <w:color w:val="auto"/>
                <w:sz w:val="24"/>
                <w:szCs w:val="24"/>
                <w:highlight w:val="none"/>
              </w:rPr>
              <w:t>污水处理厂是一项公益事业，建成投产后它将本着保本微利的原则向用户收取适当的污水治理费，维持自身的正常运转，基本上不产生直接的经济效益。</w:t>
            </w:r>
          </w:p>
          <w:p>
            <w:pPr>
              <w:snapToGrid w:val="0"/>
              <w:spacing w:line="460" w:lineRule="exact"/>
              <w:ind w:firstLine="600"/>
              <w:rPr>
                <w:color w:val="auto"/>
                <w:sz w:val="24"/>
                <w:szCs w:val="24"/>
                <w:highlight w:val="none"/>
              </w:rPr>
            </w:pPr>
            <w:r>
              <w:rPr>
                <w:rFonts w:hint="eastAsia" w:cs="宋体"/>
                <w:color w:val="auto"/>
                <w:sz w:val="24"/>
                <w:szCs w:val="24"/>
                <w:highlight w:val="none"/>
              </w:rPr>
              <w:t>污水处理工程建设后，可以改善城镇环境，促进经济发展，产生长远的间接的和潜在的经济效益。本工程实施后将改善区域水体的环境质量，减轻污水对城市一些地表水源及地下水的污染，提高了水源的可利用程度。同时，随着水质变清，使城市环境优美、整洁、卫生，将创造良好的投资环境，促进经济的发展，产生巨大的间接经济效益。</w:t>
            </w:r>
          </w:p>
          <w:p>
            <w:pPr>
              <w:snapToGrid w:val="0"/>
              <w:spacing w:line="460" w:lineRule="exact"/>
              <w:ind w:firstLine="600"/>
              <w:rPr>
                <w:color w:val="auto"/>
                <w:sz w:val="24"/>
                <w:szCs w:val="24"/>
                <w:highlight w:val="none"/>
              </w:rPr>
            </w:pPr>
            <w:r>
              <w:rPr>
                <w:rFonts w:hint="eastAsia" w:cs="宋体"/>
                <w:color w:val="auto"/>
                <w:sz w:val="24"/>
                <w:szCs w:val="24"/>
                <w:highlight w:val="none"/>
                <w:lang w:val="en-US" w:eastAsia="zh-CN"/>
              </w:rPr>
              <w:t>湘阴县湘滨镇</w:t>
            </w:r>
            <w:r>
              <w:rPr>
                <w:rFonts w:hint="eastAsia" w:cs="宋体"/>
                <w:color w:val="auto"/>
                <w:sz w:val="24"/>
                <w:szCs w:val="24"/>
                <w:highlight w:val="none"/>
              </w:rPr>
              <w:t>污水处理厂的建设还将促进</w:t>
            </w:r>
            <w:r>
              <w:rPr>
                <w:rFonts w:hint="eastAsia" w:cs="宋体"/>
                <w:color w:val="auto"/>
                <w:sz w:val="24"/>
                <w:szCs w:val="24"/>
                <w:highlight w:val="none"/>
                <w:lang w:val="en-US" w:eastAsia="zh-CN"/>
              </w:rPr>
              <w:t>湘滨镇</w:t>
            </w:r>
            <w:r>
              <w:rPr>
                <w:rFonts w:hint="eastAsia" w:cs="宋体"/>
                <w:color w:val="auto"/>
                <w:sz w:val="24"/>
                <w:szCs w:val="24"/>
                <w:highlight w:val="none"/>
              </w:rPr>
              <w:t>规划的污水管网系统的建设，促进城镇基础设施建设。</w:t>
            </w:r>
            <w:r>
              <w:rPr>
                <w:rFonts w:hint="eastAsia" w:cs="宋体"/>
                <w:color w:val="auto"/>
                <w:sz w:val="24"/>
                <w:szCs w:val="24"/>
                <w:highlight w:val="none"/>
                <w:shd w:val="clear" w:color="auto" w:fill="auto"/>
              </w:rPr>
              <w:t>污水经处理后排入</w:t>
            </w:r>
            <w:r>
              <w:rPr>
                <w:rFonts w:hint="eastAsia" w:cs="宋体"/>
                <w:color w:val="auto"/>
                <w:sz w:val="24"/>
                <w:szCs w:val="24"/>
                <w:highlight w:val="none"/>
                <w:shd w:val="clear" w:color="auto" w:fill="auto"/>
                <w:lang w:val="en-US" w:eastAsia="zh-CN"/>
              </w:rPr>
              <w:t>灌溉渠</w:t>
            </w:r>
            <w:r>
              <w:rPr>
                <w:rFonts w:hint="eastAsia" w:cs="宋体"/>
                <w:color w:val="auto"/>
                <w:sz w:val="24"/>
                <w:szCs w:val="24"/>
                <w:highlight w:val="none"/>
              </w:rPr>
              <w:t>，改变了乡镇污水分散直排对</w:t>
            </w:r>
            <w:r>
              <w:rPr>
                <w:rFonts w:hint="eastAsia" w:cs="宋体"/>
                <w:color w:val="auto"/>
                <w:sz w:val="24"/>
                <w:szCs w:val="24"/>
                <w:highlight w:val="none"/>
                <w:lang w:val="en-US" w:eastAsia="zh-CN"/>
              </w:rPr>
              <w:t>周边水体</w:t>
            </w:r>
            <w:r>
              <w:rPr>
                <w:rFonts w:hint="eastAsia" w:cs="宋体"/>
                <w:color w:val="auto"/>
                <w:sz w:val="24"/>
                <w:szCs w:val="24"/>
                <w:highlight w:val="none"/>
              </w:rPr>
              <w:t>的污染，可极大改善周围居民的生活环境。</w:t>
            </w:r>
          </w:p>
          <w:p>
            <w:pPr>
              <w:snapToGrid w:val="0"/>
              <w:spacing w:line="460" w:lineRule="exact"/>
              <w:ind w:firstLine="600"/>
              <w:rPr>
                <w:rFonts w:hint="eastAsia" w:cs="宋体"/>
                <w:color w:val="auto"/>
                <w:sz w:val="24"/>
                <w:szCs w:val="24"/>
                <w:highlight w:val="none"/>
                <w:shd w:val="clear" w:color="auto" w:fill="auto"/>
              </w:rPr>
            </w:pPr>
            <w:r>
              <w:rPr>
                <w:rFonts w:hint="eastAsia" w:cs="宋体"/>
                <w:color w:val="auto"/>
                <w:sz w:val="24"/>
                <w:szCs w:val="24"/>
                <w:highlight w:val="none"/>
                <w:shd w:val="clear" w:color="auto" w:fill="auto"/>
              </w:rPr>
              <w:t>综上所述，</w:t>
            </w:r>
            <w:r>
              <w:rPr>
                <w:rFonts w:hint="eastAsia" w:cs="宋体"/>
                <w:color w:val="auto"/>
                <w:sz w:val="24"/>
                <w:szCs w:val="24"/>
                <w:highlight w:val="none"/>
                <w:shd w:val="clear" w:color="auto" w:fill="auto"/>
                <w:lang w:val="en-US" w:eastAsia="zh-CN"/>
              </w:rPr>
              <w:t>湘阴县湘滨镇</w:t>
            </w:r>
            <w:r>
              <w:rPr>
                <w:rFonts w:hint="eastAsia" w:cs="宋体"/>
                <w:color w:val="auto"/>
                <w:sz w:val="24"/>
                <w:szCs w:val="24"/>
                <w:highlight w:val="none"/>
                <w:shd w:val="clear" w:color="auto" w:fill="auto"/>
              </w:rPr>
              <w:t>污水</w:t>
            </w:r>
            <w:r>
              <w:rPr>
                <w:rFonts w:hint="eastAsia" w:cs="宋体"/>
                <w:color w:val="auto"/>
                <w:sz w:val="24"/>
                <w:szCs w:val="24"/>
                <w:highlight w:val="none"/>
                <w:shd w:val="clear" w:color="auto" w:fill="auto"/>
                <w:lang w:val="en-US" w:eastAsia="zh-CN"/>
              </w:rPr>
              <w:t>处</w:t>
            </w:r>
            <w:r>
              <w:rPr>
                <w:rFonts w:hint="eastAsia" w:cs="宋体"/>
                <w:color w:val="auto"/>
                <w:sz w:val="24"/>
                <w:szCs w:val="24"/>
                <w:highlight w:val="none"/>
                <w:shd w:val="clear" w:color="auto" w:fill="auto"/>
              </w:rPr>
              <w:t>理厂的建设，必将对提高城镇人民的物质和文化生活水平起重大作用，在国民经济的发展中发挥巨大的环境、经济和社会效益。</w:t>
            </w:r>
          </w:p>
          <w:p>
            <w:pPr>
              <w:snapToGrid w:val="0"/>
              <w:spacing w:line="460" w:lineRule="exact"/>
              <w:ind w:firstLine="600"/>
              <w:rPr>
                <w:rFonts w:hint="default"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（4）项目运行成本分析</w:t>
            </w:r>
          </w:p>
          <w:p>
            <w:pPr>
              <w:snapToGrid w:val="0"/>
              <w:spacing w:line="460" w:lineRule="exact"/>
              <w:ind w:firstLine="600"/>
              <w:rPr>
                <w:rFonts w:hint="eastAsia" w:cs="宋体"/>
                <w:color w:val="auto"/>
                <w:sz w:val="24"/>
                <w:szCs w:val="24"/>
                <w:highlight w:val="none"/>
                <w:shd w:val="clear" w:color="auto" w:fill="auto"/>
              </w:rPr>
            </w:pPr>
            <w:r>
              <w:rPr>
                <w:rFonts w:hint="eastAsia" w:cs="宋体"/>
                <w:color w:val="auto"/>
                <w:sz w:val="24"/>
                <w:szCs w:val="24"/>
                <w:highlight w:val="none"/>
                <w:shd w:val="clear" w:color="auto" w:fill="auto"/>
              </w:rPr>
              <w:t>项目成本费用由外购动力燃料费、药剂费、污泥处置费、工资福利及水费构成。</w:t>
            </w:r>
            <w:r>
              <w:rPr>
                <w:rFonts w:hint="eastAsia" w:cs="宋体"/>
                <w:color w:val="auto"/>
                <w:sz w:val="24"/>
                <w:szCs w:val="24"/>
                <w:highlight w:val="none"/>
                <w:shd w:val="clear" w:color="auto" w:fill="auto"/>
              </w:rPr>
              <w:br w:type="textWrapping"/>
            </w:r>
            <w:r>
              <w:rPr>
                <w:rFonts w:hint="eastAsia" w:cs="宋体"/>
                <w:color w:val="auto"/>
                <w:sz w:val="24"/>
                <w:szCs w:val="24"/>
                <w:highlight w:val="none"/>
                <w:shd w:val="clear" w:color="auto" w:fill="auto"/>
              </w:rPr>
              <w:t>其中：</w:t>
            </w:r>
          </w:p>
          <w:p>
            <w:pPr>
              <w:snapToGrid w:val="0"/>
              <w:spacing w:line="460" w:lineRule="exact"/>
              <w:ind w:firstLine="600"/>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rPr>
              <w:t>1）药剂费：污泥处理系统需要每天都加药，污水预处理系统中，只有 进水水质不合格的情况下需要加药，预计每月 2-3 天需要加药。平均每天/吨水的 消耗药剂费约为 0.096 元，全年为 1.05 万元</w:t>
            </w:r>
            <w:r>
              <w:rPr>
                <w:rFonts w:hint="eastAsia" w:cs="宋体"/>
                <w:color w:val="auto"/>
                <w:sz w:val="24"/>
                <w:szCs w:val="24"/>
                <w:highlight w:val="none"/>
                <w:shd w:val="clear" w:color="auto" w:fill="auto"/>
                <w:lang w:val="en-US" w:eastAsia="zh-CN"/>
              </w:rPr>
              <w:t>；</w:t>
            </w:r>
          </w:p>
          <w:p>
            <w:pPr>
              <w:snapToGrid w:val="0"/>
              <w:spacing w:line="460" w:lineRule="exact"/>
              <w:ind w:firstLine="600"/>
              <w:rPr>
                <w:rFonts w:hint="default"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2）外购动力燃料费：污水处理厂的电价按综合电价 0.88 元/度计算，年耗电量 7.74 万度， 全年电费 6.81 万元。；</w:t>
            </w:r>
          </w:p>
          <w:p>
            <w:pPr>
              <w:snapToGrid w:val="0"/>
              <w:spacing w:line="460" w:lineRule="exact"/>
              <w:ind w:firstLine="600"/>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3）污泥外运及处置：年需约 1.15万元。</w:t>
            </w:r>
          </w:p>
          <w:p>
            <w:pPr>
              <w:snapToGrid w:val="0"/>
              <w:spacing w:line="460" w:lineRule="exact"/>
              <w:ind w:firstLine="600"/>
              <w:rPr>
                <w:rFonts w:hint="eastAsia" w:cs="宋体"/>
                <w:color w:val="auto"/>
                <w:sz w:val="24"/>
                <w:szCs w:val="24"/>
                <w:highlight w:val="none"/>
                <w:shd w:val="clear" w:color="auto" w:fill="auto"/>
              </w:rPr>
            </w:pPr>
            <w:r>
              <w:rPr>
                <w:rFonts w:hint="eastAsia" w:cs="宋体"/>
                <w:color w:val="auto"/>
                <w:sz w:val="24"/>
                <w:szCs w:val="24"/>
                <w:highlight w:val="none"/>
                <w:shd w:val="clear" w:color="auto" w:fill="auto"/>
              </w:rPr>
              <w:t xml:space="preserve">4）工资、福利及上缴的社会保障金：劳动定员 </w:t>
            </w:r>
            <w:r>
              <w:rPr>
                <w:rFonts w:hint="eastAsia" w:cs="宋体"/>
                <w:color w:val="auto"/>
                <w:sz w:val="24"/>
                <w:szCs w:val="24"/>
                <w:highlight w:val="none"/>
                <w:shd w:val="clear" w:color="auto" w:fill="auto"/>
                <w:lang w:val="en-US" w:eastAsia="zh-CN"/>
              </w:rPr>
              <w:t>1</w:t>
            </w:r>
            <w:r>
              <w:rPr>
                <w:rFonts w:hint="eastAsia" w:cs="宋体"/>
                <w:color w:val="auto"/>
                <w:sz w:val="24"/>
                <w:szCs w:val="24"/>
                <w:highlight w:val="none"/>
                <w:shd w:val="clear" w:color="auto" w:fill="auto"/>
              </w:rPr>
              <w:t xml:space="preserve"> 人，每人</w:t>
            </w:r>
            <w:r>
              <w:rPr>
                <w:rFonts w:hint="eastAsia" w:cs="宋体"/>
                <w:color w:val="auto"/>
                <w:sz w:val="24"/>
                <w:szCs w:val="24"/>
                <w:highlight w:val="none"/>
                <w:shd w:val="clear" w:color="auto" w:fill="auto"/>
                <w:lang w:val="en-US" w:eastAsia="zh-CN"/>
              </w:rPr>
              <w:t>4.2</w:t>
            </w:r>
            <w:r>
              <w:rPr>
                <w:rFonts w:hint="eastAsia" w:cs="宋体"/>
                <w:color w:val="auto"/>
                <w:sz w:val="24"/>
                <w:szCs w:val="24"/>
                <w:highlight w:val="none"/>
                <w:shd w:val="clear" w:color="auto" w:fill="auto"/>
              </w:rPr>
              <w:t xml:space="preserve"> 万元/年；</w:t>
            </w:r>
          </w:p>
          <w:p>
            <w:pPr>
              <w:snapToGrid w:val="0"/>
              <w:spacing w:line="460" w:lineRule="exact"/>
              <w:ind w:firstLine="600"/>
              <w:rPr>
                <w:rFonts w:hint="eastAsia" w:eastAsia="宋体" w:cs="宋体"/>
                <w:color w:val="auto"/>
                <w:sz w:val="24"/>
                <w:szCs w:val="24"/>
                <w:highlight w:val="none"/>
                <w:shd w:val="clear" w:color="auto" w:fill="auto"/>
                <w:lang w:eastAsia="zh-CN"/>
              </w:rPr>
            </w:pPr>
            <w:r>
              <w:rPr>
                <w:rFonts w:hint="eastAsia" w:cs="宋体"/>
                <w:color w:val="auto"/>
                <w:sz w:val="24"/>
                <w:szCs w:val="24"/>
                <w:highlight w:val="none"/>
                <w:shd w:val="clear" w:color="auto" w:fill="auto"/>
              </w:rPr>
              <w:t>按计费水量折算， 正常年单位成本 10.56 元/吨，正常年单位经营成本 3.58 元/吨</w:t>
            </w:r>
            <w:r>
              <w:rPr>
                <w:rFonts w:hint="eastAsia" w:cs="宋体"/>
                <w:color w:val="auto"/>
                <w:sz w:val="24"/>
                <w:szCs w:val="24"/>
                <w:highlight w:val="none"/>
                <w:shd w:val="clear" w:color="auto" w:fill="auto"/>
                <w:lang w:eastAsia="zh-CN"/>
              </w:rPr>
              <w:t>。</w:t>
            </w:r>
          </w:p>
          <w:p>
            <w:pPr>
              <w:pStyle w:val="79"/>
              <w:spacing w:line="460" w:lineRule="exact"/>
              <w:ind w:firstLine="479" w:firstLineChars="199"/>
              <w:rPr>
                <w:rFonts w:ascii="Times New Roman" w:cs="Times New Roman"/>
                <w:b w:val="0"/>
                <w:bCs w:val="0"/>
                <w:color w:val="auto"/>
                <w:sz w:val="44"/>
                <w:szCs w:val="44"/>
                <w:highlight w:val="none"/>
              </w:rPr>
            </w:pPr>
            <w:r>
              <w:rPr>
                <w:rFonts w:ascii="Times New Roman" w:cs="Times New Roman"/>
                <w:color w:val="auto"/>
                <w:sz w:val="24"/>
                <w:szCs w:val="24"/>
                <w:highlight w:val="none"/>
              </w:rPr>
              <w:t>4</w:t>
            </w:r>
            <w:r>
              <w:rPr>
                <w:rFonts w:hint="eastAsia" w:ascii="Times New Roman" w:cs="宋体"/>
                <w:color w:val="auto"/>
                <w:sz w:val="24"/>
                <w:szCs w:val="24"/>
                <w:highlight w:val="none"/>
              </w:rPr>
              <w:t>环境管理与环境监测计划</w:t>
            </w:r>
          </w:p>
          <w:p>
            <w:pPr>
              <w:spacing w:line="460" w:lineRule="exact"/>
              <w:ind w:firstLine="479" w:firstLineChars="199"/>
              <w:rPr>
                <w:b/>
                <w:bCs/>
                <w:color w:val="auto"/>
                <w:sz w:val="24"/>
                <w:szCs w:val="24"/>
                <w:highlight w:val="none"/>
              </w:rPr>
            </w:pPr>
            <w:r>
              <w:rPr>
                <w:b/>
                <w:bCs/>
                <w:color w:val="auto"/>
                <w:sz w:val="24"/>
                <w:szCs w:val="24"/>
                <w:highlight w:val="none"/>
              </w:rPr>
              <w:t>4.1</w:t>
            </w:r>
            <w:r>
              <w:rPr>
                <w:rFonts w:hint="eastAsia" w:cs="宋体"/>
                <w:b/>
                <w:bCs/>
                <w:color w:val="auto"/>
                <w:sz w:val="24"/>
                <w:szCs w:val="24"/>
                <w:highlight w:val="none"/>
              </w:rPr>
              <w:t>环境管理</w:t>
            </w:r>
          </w:p>
          <w:p>
            <w:pPr>
              <w:snapToGrid w:val="0"/>
              <w:spacing w:line="460" w:lineRule="exact"/>
              <w:ind w:firstLine="600"/>
              <w:rPr>
                <w:rFonts w:cs="宋体"/>
                <w:color w:val="auto"/>
                <w:sz w:val="24"/>
                <w:szCs w:val="24"/>
                <w:highlight w:val="none"/>
              </w:rPr>
            </w:pPr>
            <w:r>
              <w:rPr>
                <w:rFonts w:hint="eastAsia" w:cs="宋体"/>
                <w:color w:val="auto"/>
                <w:sz w:val="24"/>
                <w:szCs w:val="24"/>
                <w:highlight w:val="none"/>
              </w:rPr>
              <w:t>根据清洁生产、总量控制和达标排放的要求，运营期污染控制方案核心是保障污水与污泥处理系统的正常运行，因此，污水处理厂建成后应设置专门的环保部，主要对污水处理厂营运期污染物的产生、控制、排放进行管理和监控，保证污水处理系统的正常运行，尾水达标排放；并负责建立和健全各项规章制度和操作规范，进行技术人员的培训、教育、监督工作，尽量避免人员失误带来的环境污染。</w:t>
            </w:r>
          </w:p>
          <w:p>
            <w:pPr>
              <w:snapToGrid w:val="0"/>
              <w:spacing w:line="460" w:lineRule="exact"/>
              <w:ind w:firstLine="600"/>
              <w:rPr>
                <w:rFonts w:cs="宋体"/>
                <w:color w:val="auto"/>
                <w:sz w:val="24"/>
                <w:szCs w:val="24"/>
                <w:highlight w:val="none"/>
              </w:rPr>
            </w:pPr>
            <w:r>
              <w:rPr>
                <w:rFonts w:hint="eastAsia" w:cs="宋体"/>
                <w:color w:val="auto"/>
                <w:sz w:val="24"/>
                <w:szCs w:val="24"/>
                <w:highlight w:val="none"/>
              </w:rPr>
              <w:t>工程投产后的环境管理工作应做到以下几点：</w:t>
            </w:r>
          </w:p>
          <w:p>
            <w:pPr>
              <w:snapToGrid w:val="0"/>
              <w:spacing w:line="460" w:lineRule="exact"/>
              <w:ind w:firstLine="600"/>
              <w:rPr>
                <w:rFonts w:cs="宋体"/>
                <w:color w:val="auto"/>
                <w:sz w:val="24"/>
                <w:szCs w:val="24"/>
                <w:highlight w:val="none"/>
              </w:rPr>
            </w:pPr>
            <w:r>
              <w:rPr>
                <w:rFonts w:cs="宋体"/>
                <w:color w:val="auto"/>
                <w:sz w:val="24"/>
                <w:szCs w:val="24"/>
                <w:highlight w:val="none"/>
              </w:rPr>
              <w:t>(1</w:t>
            </w:r>
            <w:r>
              <w:rPr>
                <w:rFonts w:hint="eastAsia" w:cs="宋体"/>
                <w:color w:val="auto"/>
                <w:sz w:val="24"/>
                <w:szCs w:val="24"/>
                <w:highlight w:val="none"/>
              </w:rPr>
              <w:t>）按照清洁工程的要求，加强质量管理和环境管理，防止二次污染；</w:t>
            </w:r>
          </w:p>
          <w:p>
            <w:pPr>
              <w:snapToGrid w:val="0"/>
              <w:spacing w:line="460" w:lineRule="exact"/>
              <w:ind w:firstLine="600"/>
              <w:rPr>
                <w:rFonts w:cs="宋体"/>
                <w:color w:val="auto"/>
                <w:sz w:val="24"/>
                <w:szCs w:val="24"/>
                <w:highlight w:val="none"/>
              </w:rPr>
            </w:pPr>
            <w:r>
              <w:rPr>
                <w:rFonts w:cs="宋体"/>
                <w:color w:val="auto"/>
                <w:sz w:val="24"/>
                <w:szCs w:val="24"/>
                <w:highlight w:val="none"/>
              </w:rPr>
              <w:t>(2</w:t>
            </w:r>
            <w:r>
              <w:rPr>
                <w:rFonts w:hint="eastAsia" w:cs="宋体"/>
                <w:color w:val="auto"/>
                <w:sz w:val="24"/>
                <w:szCs w:val="24"/>
                <w:highlight w:val="none"/>
              </w:rPr>
              <w:t>）督促各职能部门落实和实施监控计划，加强</w:t>
            </w:r>
            <w:r>
              <w:rPr>
                <w:rFonts w:cs="宋体"/>
                <w:color w:val="auto"/>
                <w:sz w:val="24"/>
                <w:szCs w:val="24"/>
                <w:highlight w:val="none"/>
              </w:rPr>
              <w:t>运营期投药量</w:t>
            </w:r>
            <w:r>
              <w:rPr>
                <w:rFonts w:hint="eastAsia" w:cs="宋体"/>
                <w:color w:val="auto"/>
                <w:sz w:val="24"/>
                <w:szCs w:val="24"/>
                <w:highlight w:val="none"/>
              </w:rPr>
              <w:t>的</w:t>
            </w:r>
            <w:r>
              <w:rPr>
                <w:rFonts w:cs="宋体"/>
                <w:color w:val="auto"/>
                <w:sz w:val="24"/>
                <w:szCs w:val="24"/>
                <w:highlight w:val="none"/>
              </w:rPr>
              <w:t>监督落实情况</w:t>
            </w:r>
            <w:r>
              <w:rPr>
                <w:rFonts w:hint="eastAsia" w:cs="宋体"/>
                <w:color w:val="auto"/>
                <w:sz w:val="24"/>
                <w:szCs w:val="24"/>
                <w:highlight w:val="none"/>
              </w:rPr>
              <w:t>，</w:t>
            </w:r>
            <w:r>
              <w:rPr>
                <w:rFonts w:cs="宋体"/>
                <w:color w:val="auto"/>
                <w:sz w:val="24"/>
                <w:szCs w:val="24"/>
                <w:highlight w:val="none"/>
              </w:rPr>
              <w:t>注意记录，</w:t>
            </w:r>
            <w:r>
              <w:rPr>
                <w:rFonts w:hint="eastAsia" w:cs="宋体"/>
                <w:color w:val="auto"/>
                <w:sz w:val="24"/>
                <w:szCs w:val="24"/>
                <w:highlight w:val="none"/>
              </w:rPr>
              <w:t>及时</w:t>
            </w:r>
            <w:r>
              <w:rPr>
                <w:rFonts w:cs="宋体"/>
                <w:color w:val="auto"/>
                <w:sz w:val="24"/>
                <w:szCs w:val="24"/>
                <w:highlight w:val="none"/>
              </w:rPr>
              <w:t>维护</w:t>
            </w:r>
            <w:r>
              <w:rPr>
                <w:rFonts w:hint="eastAsia" w:cs="宋体"/>
                <w:color w:val="auto"/>
                <w:sz w:val="24"/>
                <w:szCs w:val="24"/>
                <w:highlight w:val="none"/>
              </w:rPr>
              <w:t>、</w:t>
            </w:r>
            <w:r>
              <w:rPr>
                <w:rFonts w:cs="宋体"/>
                <w:color w:val="auto"/>
                <w:sz w:val="24"/>
                <w:szCs w:val="24"/>
                <w:highlight w:val="none"/>
              </w:rPr>
              <w:t>更换紫外线灯管</w:t>
            </w:r>
            <w:r>
              <w:rPr>
                <w:rFonts w:hint="eastAsia" w:cs="宋体"/>
                <w:color w:val="auto"/>
                <w:sz w:val="24"/>
                <w:szCs w:val="24"/>
                <w:highlight w:val="none"/>
              </w:rPr>
              <w:t>，保证工程的正常运转，使处理后出水水质满足标准要求，落实污泥处置措施，加强污泥的临时堆放管理，防止二次污染；</w:t>
            </w:r>
          </w:p>
          <w:p>
            <w:pPr>
              <w:snapToGrid w:val="0"/>
              <w:spacing w:line="460" w:lineRule="exact"/>
              <w:ind w:firstLine="600"/>
              <w:rPr>
                <w:rFonts w:cs="宋体"/>
                <w:color w:val="auto"/>
                <w:sz w:val="24"/>
                <w:szCs w:val="24"/>
                <w:highlight w:val="none"/>
              </w:rPr>
            </w:pPr>
            <w:r>
              <w:rPr>
                <w:rFonts w:cs="宋体"/>
                <w:color w:val="auto"/>
                <w:sz w:val="24"/>
                <w:szCs w:val="24"/>
                <w:highlight w:val="none"/>
              </w:rPr>
              <w:t>(3</w:t>
            </w:r>
            <w:r>
              <w:rPr>
                <w:rFonts w:hint="eastAsia" w:cs="宋体"/>
                <w:color w:val="auto"/>
                <w:sz w:val="24"/>
                <w:szCs w:val="24"/>
                <w:highlight w:val="none"/>
              </w:rPr>
              <w:t>）搞好厂内环境卫生，制定和实施绿化规划，使之起到降噪和净化空气的作用；</w:t>
            </w:r>
          </w:p>
          <w:p>
            <w:pPr>
              <w:snapToGrid w:val="0"/>
              <w:spacing w:line="460" w:lineRule="exact"/>
              <w:ind w:firstLine="600"/>
              <w:rPr>
                <w:rFonts w:cs="宋体"/>
                <w:color w:val="auto"/>
                <w:sz w:val="24"/>
                <w:szCs w:val="24"/>
                <w:highlight w:val="none"/>
              </w:rPr>
            </w:pPr>
            <w:r>
              <w:rPr>
                <w:rFonts w:cs="宋体"/>
                <w:color w:val="auto"/>
                <w:sz w:val="24"/>
                <w:szCs w:val="24"/>
                <w:highlight w:val="none"/>
              </w:rPr>
              <w:t>(4</w:t>
            </w:r>
            <w:r>
              <w:rPr>
                <w:rFonts w:hint="eastAsia" w:cs="宋体"/>
                <w:color w:val="auto"/>
                <w:sz w:val="24"/>
                <w:szCs w:val="24"/>
                <w:highlight w:val="none"/>
              </w:rPr>
              <w:t>）聘请有经验的专业技术人员负责厂内的技术管理，操作人员上岗前进行专业技术培训；</w:t>
            </w:r>
          </w:p>
          <w:p>
            <w:pPr>
              <w:snapToGrid w:val="0"/>
              <w:spacing w:line="460" w:lineRule="exact"/>
              <w:ind w:firstLine="600"/>
              <w:rPr>
                <w:rFonts w:cs="宋体"/>
                <w:color w:val="auto"/>
                <w:sz w:val="24"/>
                <w:szCs w:val="24"/>
                <w:highlight w:val="none"/>
              </w:rPr>
            </w:pPr>
            <w:r>
              <w:rPr>
                <w:rFonts w:cs="宋体"/>
                <w:color w:val="auto"/>
                <w:sz w:val="24"/>
                <w:szCs w:val="24"/>
                <w:highlight w:val="none"/>
              </w:rPr>
              <w:t>(5</w:t>
            </w:r>
            <w:r>
              <w:rPr>
                <w:rFonts w:hint="eastAsia" w:cs="宋体"/>
                <w:color w:val="auto"/>
                <w:sz w:val="24"/>
                <w:szCs w:val="24"/>
                <w:highlight w:val="none"/>
              </w:rPr>
              <w:t>）制定公用设施使用条例，监督和约束用户合理使用排水设施，以提高排水设施的使用年限；</w:t>
            </w:r>
          </w:p>
          <w:p>
            <w:pPr>
              <w:snapToGrid w:val="0"/>
              <w:spacing w:line="460" w:lineRule="exact"/>
              <w:ind w:firstLine="600"/>
              <w:rPr>
                <w:rFonts w:cs="宋体"/>
                <w:color w:val="auto"/>
                <w:sz w:val="24"/>
                <w:szCs w:val="24"/>
                <w:highlight w:val="none"/>
              </w:rPr>
            </w:pPr>
            <w:r>
              <w:rPr>
                <w:rFonts w:cs="宋体"/>
                <w:color w:val="auto"/>
                <w:sz w:val="24"/>
                <w:szCs w:val="24"/>
                <w:highlight w:val="none"/>
              </w:rPr>
              <w:t>(6</w:t>
            </w:r>
            <w:r>
              <w:rPr>
                <w:rFonts w:hint="eastAsia" w:cs="宋体"/>
                <w:color w:val="auto"/>
                <w:sz w:val="24"/>
                <w:szCs w:val="24"/>
                <w:highlight w:val="none"/>
              </w:rPr>
              <w:t>）理顺排污单位、环保监测站、污水处理厂的相互关系，科学管理，合理调度；</w:t>
            </w:r>
          </w:p>
          <w:p>
            <w:pPr>
              <w:snapToGrid w:val="0"/>
              <w:spacing w:line="460" w:lineRule="exact"/>
              <w:ind w:firstLine="600"/>
              <w:rPr>
                <w:rFonts w:cs="宋体"/>
                <w:color w:val="auto"/>
                <w:sz w:val="24"/>
                <w:szCs w:val="24"/>
                <w:highlight w:val="none"/>
              </w:rPr>
            </w:pPr>
            <w:r>
              <w:rPr>
                <w:rFonts w:cs="宋体"/>
                <w:color w:val="auto"/>
                <w:sz w:val="24"/>
                <w:szCs w:val="24"/>
                <w:highlight w:val="none"/>
              </w:rPr>
              <w:t>(7</w:t>
            </w:r>
            <w:r>
              <w:rPr>
                <w:rFonts w:hint="eastAsia" w:cs="宋体"/>
                <w:color w:val="auto"/>
                <w:sz w:val="24"/>
                <w:szCs w:val="24"/>
                <w:highlight w:val="none"/>
              </w:rPr>
              <w:t>）建立污水排放收费系统，实行排水设施的有偿使用，促进排水系统及污水处理系统的发展和良性循环。</w:t>
            </w:r>
          </w:p>
          <w:p>
            <w:pPr>
              <w:spacing w:line="460" w:lineRule="exact"/>
              <w:ind w:firstLine="361" w:firstLineChars="150"/>
              <w:rPr>
                <w:color w:val="auto"/>
                <w:sz w:val="24"/>
                <w:szCs w:val="24"/>
                <w:highlight w:val="none"/>
                <w:u w:val="none"/>
              </w:rPr>
            </w:pPr>
            <w:r>
              <w:rPr>
                <w:b/>
                <w:bCs/>
                <w:color w:val="auto"/>
                <w:sz w:val="24"/>
                <w:szCs w:val="24"/>
                <w:highlight w:val="none"/>
                <w:u w:val="none"/>
              </w:rPr>
              <w:t>4.2</w:t>
            </w:r>
            <w:r>
              <w:rPr>
                <w:rFonts w:hint="eastAsia" w:cs="宋体"/>
                <w:b/>
                <w:bCs/>
                <w:color w:val="auto"/>
                <w:sz w:val="24"/>
                <w:szCs w:val="24"/>
                <w:highlight w:val="none"/>
                <w:u w:val="none"/>
              </w:rPr>
              <w:t>环境监测</w:t>
            </w:r>
          </w:p>
          <w:p>
            <w:pPr>
              <w:spacing w:line="460" w:lineRule="exact"/>
              <w:ind w:firstLine="420"/>
              <w:rPr>
                <w:color w:val="auto"/>
                <w:sz w:val="24"/>
                <w:szCs w:val="24"/>
                <w:highlight w:val="none"/>
                <w:u w:val="none"/>
                <w:shd w:val="clear" w:color="auto" w:fill="auto"/>
              </w:rPr>
            </w:pPr>
            <w:r>
              <w:rPr>
                <w:rFonts w:hint="eastAsia" w:cs="宋体"/>
                <w:color w:val="auto"/>
                <w:sz w:val="24"/>
                <w:szCs w:val="24"/>
                <w:highlight w:val="none"/>
                <w:u w:val="none"/>
                <w:shd w:val="clear" w:color="auto" w:fill="auto"/>
              </w:rPr>
              <w:t>本工程不设环境监测机构，仅设一水质化验室分析，负责废水处理站出水水质在线监测仪器的数据处理和管理，以及日常化验工作。</w:t>
            </w:r>
          </w:p>
          <w:p>
            <w:pPr>
              <w:pStyle w:val="99"/>
              <w:rPr>
                <w:rFonts w:hint="eastAsia" w:eastAsia="宋体"/>
                <w:snapToGrid w:val="0"/>
                <w:color w:val="auto"/>
                <w:sz w:val="24"/>
                <w:szCs w:val="24"/>
                <w:highlight w:val="none"/>
                <w:u w:val="none"/>
                <w:lang w:eastAsia="zh-CN"/>
              </w:rPr>
            </w:pPr>
            <w:r>
              <w:rPr>
                <w:rFonts w:hint="eastAsia" w:cs="宋体"/>
                <w:snapToGrid w:val="0"/>
                <w:color w:val="auto"/>
                <w:sz w:val="24"/>
                <w:szCs w:val="24"/>
                <w:highlight w:val="none"/>
                <w:u w:val="none"/>
              </w:rPr>
              <w:t>应严格按照《</w:t>
            </w:r>
            <w:r>
              <w:rPr>
                <w:rFonts w:hint="eastAsia" w:cs="宋体"/>
                <w:snapToGrid w:val="0"/>
                <w:color w:val="auto"/>
                <w:sz w:val="24"/>
                <w:szCs w:val="24"/>
                <w:highlight w:val="none"/>
                <w:u w:val="none"/>
                <w:lang w:eastAsia="zh-CN"/>
              </w:rPr>
              <w:t>排污许可证申请与核发技术规范</w:t>
            </w:r>
            <w:r>
              <w:rPr>
                <w:rFonts w:hint="eastAsia" w:cs="宋体"/>
                <w:snapToGrid w:val="0"/>
                <w:color w:val="auto"/>
                <w:sz w:val="24"/>
                <w:szCs w:val="24"/>
                <w:highlight w:val="none"/>
                <w:u w:val="none"/>
                <w:lang w:val="en-US" w:eastAsia="zh-CN"/>
              </w:rPr>
              <w:t xml:space="preserve"> 水处理（试行）</w:t>
            </w:r>
            <w:r>
              <w:rPr>
                <w:rFonts w:hint="eastAsia" w:cs="宋体"/>
                <w:snapToGrid w:val="0"/>
                <w:color w:val="auto"/>
                <w:sz w:val="24"/>
                <w:szCs w:val="24"/>
                <w:highlight w:val="none"/>
                <w:u w:val="none"/>
              </w:rPr>
              <w:t>》</w:t>
            </w:r>
            <w:r>
              <w:rPr>
                <w:rFonts w:hint="eastAsia"/>
                <w:snapToGrid w:val="0"/>
                <w:color w:val="auto"/>
                <w:sz w:val="24"/>
                <w:szCs w:val="24"/>
                <w:highlight w:val="none"/>
                <w:u w:val="none"/>
                <w:lang w:val="en-US" w:eastAsia="zh-CN"/>
              </w:rPr>
              <w:t>HJ978-2018</w:t>
            </w:r>
            <w:r>
              <w:rPr>
                <w:rFonts w:hint="eastAsia" w:cs="宋体"/>
                <w:snapToGrid w:val="0"/>
                <w:color w:val="auto"/>
                <w:sz w:val="24"/>
                <w:szCs w:val="24"/>
                <w:highlight w:val="none"/>
                <w:u w:val="none"/>
              </w:rPr>
              <w:t>规定的污染物</w:t>
            </w:r>
            <w:r>
              <w:rPr>
                <w:rFonts w:hint="eastAsia" w:cs="宋体"/>
                <w:snapToGrid w:val="0"/>
                <w:color w:val="auto"/>
                <w:sz w:val="24"/>
                <w:szCs w:val="24"/>
                <w:highlight w:val="none"/>
                <w:u w:val="none"/>
                <w:lang w:eastAsia="zh-CN"/>
              </w:rPr>
              <w:t>监测要求进行</w:t>
            </w:r>
            <w:r>
              <w:rPr>
                <w:rFonts w:hint="eastAsia" w:cs="宋体"/>
                <w:snapToGrid w:val="0"/>
                <w:color w:val="auto"/>
                <w:sz w:val="24"/>
                <w:szCs w:val="24"/>
                <w:highlight w:val="none"/>
                <w:u w:val="none"/>
              </w:rPr>
              <w:t>监测。设置</w:t>
            </w:r>
            <w:r>
              <w:rPr>
                <w:rFonts w:hint="eastAsia" w:cs="宋体"/>
                <w:snapToGrid w:val="0"/>
                <w:color w:val="auto"/>
                <w:sz w:val="24"/>
                <w:szCs w:val="24"/>
                <w:highlight w:val="none"/>
                <w:u w:val="none"/>
                <w:lang w:eastAsia="zh-CN"/>
              </w:rPr>
              <w:t>进、</w:t>
            </w:r>
            <w:r>
              <w:rPr>
                <w:rFonts w:hint="eastAsia" w:cs="宋体"/>
                <w:snapToGrid w:val="0"/>
                <w:color w:val="auto"/>
                <w:sz w:val="24"/>
                <w:szCs w:val="24"/>
                <w:highlight w:val="none"/>
                <w:u w:val="none"/>
              </w:rPr>
              <w:t>出水水量自动计量装置、自动比例采样装置，安装有</w:t>
            </w:r>
            <w:r>
              <w:rPr>
                <w:snapToGrid w:val="0"/>
                <w:color w:val="auto"/>
                <w:sz w:val="24"/>
                <w:szCs w:val="24"/>
                <w:highlight w:val="none"/>
                <w:u w:val="none"/>
              </w:rPr>
              <w:t>COD</w:t>
            </w:r>
            <w:r>
              <w:rPr>
                <w:snapToGrid w:val="0"/>
                <w:color w:val="auto"/>
                <w:sz w:val="24"/>
                <w:szCs w:val="24"/>
                <w:highlight w:val="none"/>
                <w:u w:val="none"/>
                <w:vertAlign w:val="subscript"/>
              </w:rPr>
              <w:t>Cr</w:t>
            </w:r>
            <w:r>
              <w:rPr>
                <w:rFonts w:hint="eastAsia" w:cs="宋体"/>
                <w:snapToGrid w:val="0"/>
                <w:color w:val="auto"/>
                <w:sz w:val="24"/>
                <w:szCs w:val="24"/>
                <w:highlight w:val="none"/>
                <w:u w:val="none"/>
              </w:rPr>
              <w:t>、</w:t>
            </w:r>
            <w:r>
              <w:rPr>
                <w:snapToGrid w:val="0"/>
                <w:color w:val="auto"/>
                <w:sz w:val="24"/>
                <w:szCs w:val="24"/>
                <w:highlight w:val="none"/>
                <w:u w:val="none"/>
              </w:rPr>
              <w:t>NH</w:t>
            </w:r>
            <w:r>
              <w:rPr>
                <w:snapToGrid w:val="0"/>
                <w:color w:val="auto"/>
                <w:sz w:val="24"/>
                <w:szCs w:val="24"/>
                <w:highlight w:val="none"/>
                <w:u w:val="none"/>
                <w:vertAlign w:val="subscript"/>
              </w:rPr>
              <w:t>3</w:t>
            </w:r>
            <w:r>
              <w:rPr>
                <w:snapToGrid w:val="0"/>
                <w:color w:val="auto"/>
                <w:sz w:val="24"/>
                <w:szCs w:val="24"/>
                <w:highlight w:val="none"/>
                <w:u w:val="none"/>
              </w:rPr>
              <w:t>-N</w:t>
            </w:r>
            <w:r>
              <w:rPr>
                <w:rFonts w:hint="eastAsia" w:cs="宋体"/>
                <w:snapToGrid w:val="0"/>
                <w:color w:val="auto"/>
                <w:sz w:val="24"/>
                <w:szCs w:val="24"/>
                <w:highlight w:val="none"/>
                <w:u w:val="none"/>
              </w:rPr>
              <w:t>等主要水质指标在线监测装置</w:t>
            </w:r>
            <w:r>
              <w:rPr>
                <w:rFonts w:hint="eastAsia" w:cs="宋体"/>
                <w:snapToGrid w:val="0"/>
                <w:color w:val="auto"/>
                <w:sz w:val="24"/>
                <w:szCs w:val="24"/>
                <w:highlight w:val="none"/>
                <w:u w:val="none"/>
                <w:lang w:eastAsia="zh-CN"/>
              </w:rPr>
              <w:t>。</w:t>
            </w:r>
          </w:p>
          <w:p>
            <w:pPr>
              <w:pStyle w:val="99"/>
              <w:rPr>
                <w:rFonts w:cs="宋体"/>
                <w:snapToGrid w:val="0"/>
                <w:color w:val="auto"/>
                <w:sz w:val="24"/>
                <w:szCs w:val="24"/>
                <w:highlight w:val="none"/>
                <w:u w:val="none"/>
              </w:rPr>
            </w:pPr>
            <w:r>
              <w:rPr>
                <w:rFonts w:hint="eastAsia" w:cs="宋体"/>
                <w:snapToGrid w:val="0"/>
                <w:color w:val="auto"/>
                <w:sz w:val="24"/>
                <w:szCs w:val="24"/>
                <w:highlight w:val="none"/>
                <w:u w:val="none"/>
              </w:rPr>
              <w:t>此外，每半年应安排一次大气环境质量检测和厂界噪声监测，建议安排在冬、夏两季实施。大气监测氨、硫化氢和臭气浓度，监测位置为当季下风向；噪声监测昼夜厂界噪声和环境振动，分别于厂界四个方向布点。</w:t>
            </w:r>
          </w:p>
          <w:p>
            <w:pPr>
              <w:pStyle w:val="99"/>
              <w:rPr>
                <w:rFonts w:hint="eastAsia" w:eastAsia="宋体" w:cs="宋体"/>
                <w:snapToGrid w:val="0"/>
                <w:color w:val="auto"/>
                <w:sz w:val="24"/>
                <w:szCs w:val="24"/>
                <w:highlight w:val="none"/>
                <w:u w:val="none"/>
                <w:lang w:val="en-US" w:eastAsia="zh-CN"/>
              </w:rPr>
            </w:pPr>
            <w:r>
              <w:rPr>
                <w:rFonts w:hint="eastAsia" w:cs="宋体"/>
                <w:snapToGrid w:val="0"/>
                <w:color w:val="auto"/>
                <w:sz w:val="24"/>
                <w:szCs w:val="24"/>
                <w:highlight w:val="none"/>
                <w:u w:val="none"/>
              </w:rPr>
              <w:t>根据本项目特点，监测以水环境为主，为对污水处理工艺稳定运行提供所需的各种水质参数，需对尾水的最终排放作安全监测，以在线监测为主，每</w:t>
            </w:r>
            <w:r>
              <w:rPr>
                <w:rFonts w:hint="eastAsia" w:cs="宋体"/>
                <w:snapToGrid w:val="0"/>
                <w:color w:val="auto"/>
                <w:sz w:val="24"/>
                <w:szCs w:val="24"/>
                <w:highlight w:val="none"/>
                <w:u w:val="none"/>
                <w:lang w:eastAsia="zh-CN"/>
              </w:rPr>
              <w:t>季度</w:t>
            </w:r>
            <w:r>
              <w:rPr>
                <w:rFonts w:hint="eastAsia" w:cs="宋体"/>
                <w:snapToGrid w:val="0"/>
                <w:color w:val="auto"/>
                <w:sz w:val="24"/>
                <w:szCs w:val="24"/>
                <w:highlight w:val="none"/>
                <w:u w:val="none"/>
              </w:rPr>
              <w:t>委托有资质单位进行监督性监测。主要监测内容见下表</w:t>
            </w:r>
            <w:r>
              <w:rPr>
                <w:rFonts w:hint="eastAsia" w:cs="宋体"/>
                <w:snapToGrid w:val="0"/>
                <w:color w:val="auto"/>
                <w:sz w:val="24"/>
                <w:szCs w:val="24"/>
                <w:highlight w:val="none"/>
                <w:u w:val="none"/>
                <w:lang w:val="en-US" w:eastAsia="zh-CN"/>
              </w:rPr>
              <w:t>34。</w:t>
            </w:r>
          </w:p>
          <w:p>
            <w:pPr>
              <w:pStyle w:val="99"/>
              <w:jc w:val="center"/>
              <w:rPr>
                <w:rFonts w:cs="宋体"/>
                <w:snapToGrid w:val="0"/>
                <w:color w:val="auto"/>
                <w:sz w:val="24"/>
                <w:szCs w:val="24"/>
                <w:highlight w:val="none"/>
                <w:u w:val="none"/>
              </w:rPr>
            </w:pPr>
            <w:r>
              <w:rPr>
                <w:rFonts w:hint="eastAsia" w:cs="宋体"/>
                <w:snapToGrid w:val="0"/>
                <w:color w:val="auto"/>
                <w:sz w:val="24"/>
                <w:szCs w:val="24"/>
                <w:highlight w:val="none"/>
                <w:u w:val="none"/>
              </w:rPr>
              <w:t>表</w:t>
            </w:r>
            <w:r>
              <w:rPr>
                <w:rFonts w:hint="eastAsia" w:cs="宋体"/>
                <w:snapToGrid w:val="0"/>
                <w:color w:val="auto"/>
                <w:sz w:val="24"/>
                <w:szCs w:val="24"/>
                <w:highlight w:val="none"/>
                <w:u w:val="none"/>
                <w:lang w:val="en-US" w:eastAsia="zh-CN"/>
              </w:rPr>
              <w:t>34</w:t>
            </w:r>
            <w:r>
              <w:rPr>
                <w:rFonts w:hint="eastAsia" w:cs="宋体"/>
                <w:snapToGrid w:val="0"/>
                <w:color w:val="auto"/>
                <w:sz w:val="24"/>
                <w:szCs w:val="24"/>
                <w:highlight w:val="none"/>
                <w:u w:val="none"/>
              </w:rPr>
              <w:t xml:space="preserve">  运营期监测计划</w:t>
            </w:r>
          </w:p>
          <w:tbl>
            <w:tblPr>
              <w:tblStyle w:val="29"/>
              <w:tblW w:w="856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2"/>
              <w:gridCol w:w="5033"/>
              <w:gridCol w:w="179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1732" w:type="dxa"/>
                  <w:vAlign w:val="center"/>
                </w:tcPr>
                <w:p>
                  <w:pPr>
                    <w:pStyle w:val="107"/>
                    <w:spacing w:line="320" w:lineRule="exact"/>
                    <w:jc w:val="center"/>
                    <w:rPr>
                      <w:color w:val="auto"/>
                      <w:sz w:val="21"/>
                      <w:highlight w:val="none"/>
                      <w:u w:val="none"/>
                    </w:rPr>
                  </w:pPr>
                  <w:r>
                    <w:rPr>
                      <w:color w:val="auto"/>
                      <w:sz w:val="21"/>
                      <w:highlight w:val="none"/>
                      <w:u w:val="none"/>
                    </w:rPr>
                    <w:t>监测地点</w:t>
                  </w:r>
                </w:p>
              </w:tc>
              <w:tc>
                <w:tcPr>
                  <w:tcW w:w="5033" w:type="dxa"/>
                  <w:vAlign w:val="center"/>
                </w:tcPr>
                <w:p>
                  <w:pPr>
                    <w:pStyle w:val="107"/>
                    <w:spacing w:line="320" w:lineRule="exact"/>
                    <w:jc w:val="center"/>
                    <w:rPr>
                      <w:color w:val="auto"/>
                      <w:sz w:val="21"/>
                      <w:highlight w:val="none"/>
                      <w:u w:val="none"/>
                    </w:rPr>
                  </w:pPr>
                  <w:r>
                    <w:rPr>
                      <w:color w:val="auto"/>
                      <w:sz w:val="21"/>
                      <w:highlight w:val="none"/>
                      <w:u w:val="none"/>
                    </w:rPr>
                    <w:t>监测项目</w:t>
                  </w:r>
                </w:p>
              </w:tc>
              <w:tc>
                <w:tcPr>
                  <w:tcW w:w="1799" w:type="dxa"/>
                  <w:vAlign w:val="center"/>
                </w:tcPr>
                <w:p>
                  <w:pPr>
                    <w:pStyle w:val="107"/>
                    <w:spacing w:line="320" w:lineRule="exact"/>
                    <w:jc w:val="center"/>
                    <w:rPr>
                      <w:color w:val="auto"/>
                      <w:sz w:val="21"/>
                      <w:highlight w:val="none"/>
                      <w:u w:val="none"/>
                    </w:rPr>
                  </w:pPr>
                  <w:r>
                    <w:rPr>
                      <w:color w:val="auto"/>
                      <w:sz w:val="21"/>
                      <w:highlight w:val="none"/>
                      <w:u w:val="none"/>
                    </w:rPr>
                    <w:t>监测频次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jc w:val="center"/>
              </w:trPr>
              <w:tc>
                <w:tcPr>
                  <w:tcW w:w="1732" w:type="dxa"/>
                  <w:vAlign w:val="center"/>
                </w:tcPr>
                <w:p>
                  <w:pPr>
                    <w:pStyle w:val="107"/>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107"/>
                    <w:spacing w:line="320" w:lineRule="exact"/>
                    <w:jc w:val="center"/>
                    <w:rPr>
                      <w:rFonts w:hint="eastAsia" w:ascii="Times New Roman" w:eastAsia="宋体"/>
                      <w:color w:val="auto"/>
                      <w:sz w:val="21"/>
                      <w:highlight w:val="none"/>
                      <w:u w:val="none"/>
                      <w:lang w:eastAsia="zh-CN"/>
                    </w:rPr>
                  </w:pPr>
                  <w:r>
                    <w:rPr>
                      <w:rFonts w:ascii="Times New Roman" w:eastAsia="Times New Roman"/>
                      <w:color w:val="auto"/>
                      <w:position w:val="2"/>
                      <w:sz w:val="21"/>
                      <w:highlight w:val="none"/>
                      <w:u w:val="none"/>
                    </w:rPr>
                    <w:t>NH</w:t>
                  </w:r>
                  <w:r>
                    <w:rPr>
                      <w:rFonts w:ascii="Times New Roman" w:eastAsia="Times New Roman"/>
                      <w:color w:val="auto"/>
                      <w:position w:val="2"/>
                      <w:sz w:val="21"/>
                      <w:highlight w:val="none"/>
                      <w:u w:val="none"/>
                      <w:vertAlign w:val="subscript"/>
                    </w:rPr>
                    <w:t>3</w:t>
                  </w:r>
                  <w:r>
                    <w:rPr>
                      <w:color w:val="auto"/>
                      <w:position w:val="2"/>
                      <w:sz w:val="21"/>
                      <w:highlight w:val="none"/>
                      <w:u w:val="none"/>
                    </w:rPr>
                    <w:t>、</w:t>
                  </w:r>
                  <w:r>
                    <w:rPr>
                      <w:rFonts w:ascii="Times New Roman" w:eastAsia="Times New Roman"/>
                      <w:color w:val="auto"/>
                      <w:position w:val="2"/>
                      <w:sz w:val="21"/>
                      <w:highlight w:val="none"/>
                      <w:u w:val="none"/>
                    </w:rPr>
                    <w:t>H</w:t>
                  </w:r>
                  <w:r>
                    <w:rPr>
                      <w:rFonts w:ascii="Times New Roman" w:eastAsia="Times New Roman"/>
                      <w:color w:val="auto"/>
                      <w:position w:val="2"/>
                      <w:sz w:val="21"/>
                      <w:highlight w:val="none"/>
                      <w:u w:val="none"/>
                      <w:vertAlign w:val="subscript"/>
                    </w:rPr>
                    <w:t>2</w:t>
                  </w:r>
                  <w:r>
                    <w:rPr>
                      <w:rFonts w:ascii="Times New Roman" w:eastAsia="Times New Roman"/>
                      <w:color w:val="auto"/>
                      <w:position w:val="2"/>
                      <w:sz w:val="21"/>
                      <w:highlight w:val="none"/>
                      <w:u w:val="none"/>
                    </w:rPr>
                    <w:t>S</w:t>
                  </w:r>
                  <w:r>
                    <w:rPr>
                      <w:rFonts w:hint="eastAsia" w:ascii="Times New Roman"/>
                      <w:color w:val="auto"/>
                      <w:position w:val="2"/>
                      <w:sz w:val="21"/>
                      <w:highlight w:val="none"/>
                      <w:u w:val="none"/>
                      <w:lang w:eastAsia="zh-CN"/>
                    </w:rPr>
                    <w:t>、</w:t>
                  </w:r>
                  <w:r>
                    <w:rPr>
                      <w:rFonts w:hint="eastAsia" w:ascii="Times New Roman" w:eastAsiaTheme="minorEastAsia"/>
                      <w:color w:val="auto"/>
                      <w:position w:val="2"/>
                      <w:sz w:val="21"/>
                      <w:highlight w:val="none"/>
                      <w:u w:val="none"/>
                      <w:lang w:eastAsia="zh-CN"/>
                    </w:rPr>
                    <w:t>臭气浓度</w:t>
                  </w:r>
                </w:p>
              </w:tc>
              <w:tc>
                <w:tcPr>
                  <w:tcW w:w="1799" w:type="dxa"/>
                  <w:vAlign w:val="center"/>
                </w:tcPr>
                <w:p>
                  <w:pPr>
                    <w:pStyle w:val="107"/>
                    <w:spacing w:line="320" w:lineRule="exact"/>
                    <w:jc w:val="center"/>
                    <w:rPr>
                      <w:color w:val="auto"/>
                      <w:sz w:val="21"/>
                      <w:highlight w:val="none"/>
                      <w:u w:val="none"/>
                    </w:rPr>
                  </w:pPr>
                  <w:r>
                    <w:rPr>
                      <w:rFonts w:hint="eastAsia"/>
                      <w:color w:val="auto"/>
                      <w:sz w:val="21"/>
                      <w:highlight w:val="none"/>
                      <w:u w:val="none"/>
                      <w:lang w:eastAsia="zh-CN"/>
                    </w:rPr>
                    <w:t>半年</w:t>
                  </w:r>
                  <w:r>
                    <w:rPr>
                      <w:color w:val="auto"/>
                      <w:sz w:val="21"/>
                      <w:highlight w:val="none"/>
                      <w:u w:val="none"/>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jc w:val="center"/>
              </w:trPr>
              <w:tc>
                <w:tcPr>
                  <w:tcW w:w="1732" w:type="dxa"/>
                  <w:vAlign w:val="center"/>
                </w:tcPr>
                <w:p>
                  <w:pPr>
                    <w:pStyle w:val="107"/>
                    <w:spacing w:line="320" w:lineRule="exact"/>
                    <w:jc w:val="center"/>
                    <w:rPr>
                      <w:color w:val="auto"/>
                      <w:sz w:val="21"/>
                      <w:highlight w:val="none"/>
                      <w:u w:val="none"/>
                    </w:rPr>
                  </w:pPr>
                  <w:r>
                    <w:rPr>
                      <w:color w:val="auto"/>
                      <w:sz w:val="21"/>
                      <w:highlight w:val="none"/>
                      <w:u w:val="none"/>
                    </w:rPr>
                    <w:t>厂界</w:t>
                  </w:r>
                </w:p>
              </w:tc>
              <w:tc>
                <w:tcPr>
                  <w:tcW w:w="5033" w:type="dxa"/>
                  <w:vAlign w:val="center"/>
                </w:tcPr>
                <w:p>
                  <w:pPr>
                    <w:pStyle w:val="107"/>
                    <w:spacing w:line="320" w:lineRule="exact"/>
                    <w:jc w:val="center"/>
                    <w:rPr>
                      <w:color w:val="auto"/>
                      <w:sz w:val="21"/>
                      <w:highlight w:val="none"/>
                      <w:u w:val="none"/>
                    </w:rPr>
                  </w:pPr>
                  <w:r>
                    <w:rPr>
                      <w:color w:val="auto"/>
                      <w:sz w:val="21"/>
                      <w:highlight w:val="none"/>
                      <w:u w:val="none"/>
                    </w:rPr>
                    <w:t>噪声</w:t>
                  </w:r>
                </w:p>
              </w:tc>
              <w:tc>
                <w:tcPr>
                  <w:tcW w:w="1799"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107"/>
                    <w:spacing w:line="320" w:lineRule="exact"/>
                    <w:jc w:val="center"/>
                    <w:rPr>
                      <w:color w:val="auto"/>
                      <w:sz w:val="21"/>
                      <w:highlight w:val="none"/>
                      <w:u w:val="none"/>
                    </w:rPr>
                  </w:pPr>
                  <w:r>
                    <w:rPr>
                      <w:color w:val="auto"/>
                      <w:sz w:val="21"/>
                      <w:highlight w:val="none"/>
                      <w:u w:val="none"/>
                    </w:rPr>
                    <w:t>污水处理厂进</w:t>
                  </w:r>
                  <w:r>
                    <w:rPr>
                      <w:rFonts w:hint="eastAsia"/>
                      <w:color w:val="auto"/>
                      <w:sz w:val="21"/>
                      <w:highlight w:val="none"/>
                      <w:u w:val="none"/>
                      <w:lang w:eastAsia="zh-CN"/>
                    </w:rPr>
                    <w:t>水</w:t>
                  </w:r>
                  <w:r>
                    <w:rPr>
                      <w:color w:val="auto"/>
                      <w:sz w:val="21"/>
                      <w:highlight w:val="none"/>
                      <w:u w:val="none"/>
                    </w:rPr>
                    <w:t>口</w:t>
                  </w:r>
                </w:p>
              </w:tc>
              <w:tc>
                <w:tcPr>
                  <w:tcW w:w="5033" w:type="dxa"/>
                  <w:vAlign w:val="center"/>
                </w:tcPr>
                <w:p>
                  <w:pPr>
                    <w:pStyle w:val="107"/>
                    <w:spacing w:line="320" w:lineRule="exact"/>
                    <w:jc w:val="center"/>
                    <w:rPr>
                      <w:rFonts w:ascii="Times New Roman" w:eastAsia="Times New Roman"/>
                      <w:color w:val="auto"/>
                      <w:sz w:val="21"/>
                      <w:highlight w:val="none"/>
                      <w:u w:val="none"/>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COD</w:t>
                  </w:r>
                  <w:r>
                    <w:rPr>
                      <w:color w:val="auto"/>
                      <w:sz w:val="21"/>
                      <w:highlight w:val="none"/>
                      <w:u w:val="none"/>
                    </w:rPr>
                    <w:t>、氨氮</w:t>
                  </w:r>
                </w:p>
              </w:tc>
              <w:tc>
                <w:tcPr>
                  <w:tcW w:w="1799" w:type="dxa"/>
                  <w:vAlign w:val="center"/>
                </w:tcPr>
                <w:p>
                  <w:pPr>
                    <w:pStyle w:val="107"/>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continue"/>
                  <w:vAlign w:val="center"/>
                </w:tcPr>
                <w:p>
                  <w:pPr>
                    <w:pStyle w:val="107"/>
                    <w:spacing w:line="320" w:lineRule="exact"/>
                    <w:jc w:val="center"/>
                    <w:rPr>
                      <w:color w:val="auto"/>
                      <w:sz w:val="21"/>
                      <w:highlight w:val="none"/>
                      <w:u w:val="none"/>
                    </w:rPr>
                  </w:pPr>
                </w:p>
              </w:tc>
              <w:tc>
                <w:tcPr>
                  <w:tcW w:w="5033" w:type="dxa"/>
                  <w:vAlign w:val="center"/>
                </w:tcPr>
                <w:p>
                  <w:pPr>
                    <w:pStyle w:val="107"/>
                    <w:spacing w:line="320" w:lineRule="exact"/>
                    <w:jc w:val="center"/>
                    <w:rPr>
                      <w:rFonts w:hint="eastAsia" w:eastAsia="宋体"/>
                      <w:color w:val="auto"/>
                      <w:sz w:val="21"/>
                      <w:highlight w:val="none"/>
                      <w:u w:val="none"/>
                      <w:lang w:eastAsia="zh-CN"/>
                    </w:rPr>
                  </w:pPr>
                  <w:r>
                    <w:rPr>
                      <w:color w:val="auto"/>
                      <w:sz w:val="21"/>
                      <w:highlight w:val="none"/>
                      <w:u w:val="none"/>
                    </w:rPr>
                    <w:t>总氮、</w:t>
                  </w:r>
                  <w:r>
                    <w:rPr>
                      <w:rFonts w:hint="eastAsia"/>
                      <w:color w:val="auto"/>
                      <w:sz w:val="21"/>
                      <w:highlight w:val="none"/>
                      <w:u w:val="none"/>
                      <w:lang w:eastAsia="zh-CN"/>
                    </w:rPr>
                    <w:t>总磷</w:t>
                  </w:r>
                </w:p>
              </w:tc>
              <w:tc>
                <w:tcPr>
                  <w:tcW w:w="1799"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每天一次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1732" w:type="dxa"/>
                  <w:vMerge w:val="restart"/>
                  <w:vAlign w:val="center"/>
                </w:tcPr>
                <w:p>
                  <w:pPr>
                    <w:pStyle w:val="107"/>
                    <w:spacing w:line="320" w:lineRule="exact"/>
                    <w:jc w:val="center"/>
                    <w:rPr>
                      <w:color w:val="auto"/>
                      <w:sz w:val="2"/>
                      <w:szCs w:val="2"/>
                      <w:highlight w:val="none"/>
                      <w:u w:val="none"/>
                    </w:rPr>
                  </w:pPr>
                  <w:r>
                    <w:rPr>
                      <w:color w:val="auto"/>
                      <w:sz w:val="21"/>
                      <w:highlight w:val="none"/>
                      <w:u w:val="none"/>
                    </w:rPr>
                    <w:t>污水处理厂</w:t>
                  </w:r>
                  <w:r>
                    <w:rPr>
                      <w:rFonts w:hint="eastAsia"/>
                      <w:color w:val="auto"/>
                      <w:sz w:val="21"/>
                      <w:highlight w:val="none"/>
                      <w:u w:val="none"/>
                      <w:lang w:eastAsia="zh-CN"/>
                    </w:rPr>
                    <w:t>出水</w:t>
                  </w:r>
                  <w:r>
                    <w:rPr>
                      <w:color w:val="auto"/>
                      <w:sz w:val="21"/>
                      <w:highlight w:val="none"/>
                      <w:u w:val="none"/>
                    </w:rPr>
                    <w:t>口</w:t>
                  </w:r>
                </w:p>
              </w:tc>
              <w:tc>
                <w:tcPr>
                  <w:tcW w:w="5033"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流</w:t>
                  </w:r>
                  <w:r>
                    <w:rPr>
                      <w:color w:val="auto"/>
                      <w:sz w:val="21"/>
                      <w:highlight w:val="none"/>
                      <w:u w:val="none"/>
                    </w:rPr>
                    <w:t>量、</w:t>
                  </w:r>
                  <w:r>
                    <w:rPr>
                      <w:rFonts w:ascii="Times New Roman" w:eastAsia="Times New Roman"/>
                      <w:color w:val="auto"/>
                      <w:sz w:val="21"/>
                      <w:highlight w:val="none"/>
                      <w:u w:val="none"/>
                    </w:rPr>
                    <w:t>pH</w:t>
                  </w:r>
                  <w:r>
                    <w:rPr>
                      <w:color w:val="auto"/>
                      <w:sz w:val="21"/>
                      <w:highlight w:val="none"/>
                      <w:u w:val="none"/>
                    </w:rPr>
                    <w:t>、</w:t>
                  </w:r>
                  <w:r>
                    <w:rPr>
                      <w:rFonts w:hint="eastAsia"/>
                      <w:color w:val="auto"/>
                      <w:sz w:val="21"/>
                      <w:highlight w:val="none"/>
                      <w:u w:val="none"/>
                      <w:lang w:eastAsia="zh-CN"/>
                    </w:rPr>
                    <w:t>水温、</w:t>
                  </w:r>
                  <w:r>
                    <w:rPr>
                      <w:rFonts w:ascii="Times New Roman" w:eastAsia="Times New Roman"/>
                      <w:color w:val="auto"/>
                      <w:sz w:val="21"/>
                      <w:highlight w:val="none"/>
                      <w:u w:val="none"/>
                    </w:rPr>
                    <w:t>COD</w:t>
                  </w:r>
                  <w:r>
                    <w:rPr>
                      <w:color w:val="auto"/>
                      <w:sz w:val="21"/>
                      <w:highlight w:val="none"/>
                      <w:u w:val="none"/>
                    </w:rPr>
                    <w:t>、氨氮、总氮、</w:t>
                  </w:r>
                  <w:r>
                    <w:rPr>
                      <w:rFonts w:hint="eastAsia" w:ascii="Times New Roman"/>
                      <w:color w:val="auto"/>
                      <w:sz w:val="21"/>
                      <w:highlight w:val="none"/>
                      <w:u w:val="none"/>
                      <w:lang w:eastAsia="zh-CN"/>
                    </w:rPr>
                    <w:t>总磷</w:t>
                  </w:r>
                </w:p>
              </w:tc>
              <w:tc>
                <w:tcPr>
                  <w:tcW w:w="1799" w:type="dxa"/>
                  <w:vAlign w:val="center"/>
                </w:tcPr>
                <w:p>
                  <w:pPr>
                    <w:pStyle w:val="107"/>
                    <w:spacing w:line="320" w:lineRule="exact"/>
                    <w:jc w:val="center"/>
                    <w:rPr>
                      <w:color w:val="auto"/>
                      <w:sz w:val="21"/>
                      <w:highlight w:val="none"/>
                      <w:u w:val="none"/>
                    </w:rPr>
                  </w:pPr>
                  <w:r>
                    <w:rPr>
                      <w:color w:val="auto"/>
                      <w:sz w:val="21"/>
                      <w:highlight w:val="none"/>
                      <w:u w:val="none"/>
                    </w:rPr>
                    <w:t>在线监控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107"/>
                    <w:spacing w:line="320" w:lineRule="exact"/>
                    <w:jc w:val="center"/>
                    <w:rPr>
                      <w:color w:val="auto"/>
                      <w:sz w:val="21"/>
                      <w:highlight w:val="none"/>
                      <w:u w:val="none"/>
                    </w:rPr>
                  </w:pPr>
                  <w:r>
                    <w:rPr>
                      <w:rFonts w:ascii="Times New Roman" w:eastAsia="Times New Roman"/>
                      <w:color w:val="auto"/>
                      <w:position w:val="2"/>
                      <w:sz w:val="21"/>
                      <w:highlight w:val="none"/>
                      <w:u w:val="none"/>
                    </w:rPr>
                    <w:t>SS</w:t>
                  </w:r>
                  <w:r>
                    <w:rPr>
                      <w:color w:val="auto"/>
                      <w:position w:val="2"/>
                      <w:sz w:val="21"/>
                      <w:highlight w:val="none"/>
                      <w:u w:val="none"/>
                    </w:rPr>
                    <w:t>、</w:t>
                  </w:r>
                  <w:r>
                    <w:rPr>
                      <w:rFonts w:hint="eastAsia" w:ascii="Times New Roman"/>
                      <w:color w:val="auto"/>
                      <w:position w:val="2"/>
                      <w:sz w:val="21"/>
                      <w:highlight w:val="none"/>
                      <w:u w:val="none"/>
                      <w:lang w:val="en-US" w:eastAsia="zh-CN"/>
                    </w:rPr>
                    <w:t>BOD</w:t>
                  </w:r>
                  <w:r>
                    <w:rPr>
                      <w:rFonts w:hint="eastAsia" w:ascii="Times New Roman"/>
                      <w:color w:val="auto"/>
                      <w:position w:val="2"/>
                      <w:sz w:val="21"/>
                      <w:highlight w:val="none"/>
                      <w:u w:val="none"/>
                      <w:vertAlign w:val="subscript"/>
                      <w:lang w:val="en-US" w:eastAsia="zh-CN"/>
                    </w:rPr>
                    <w:t>5</w:t>
                  </w:r>
                  <w:r>
                    <w:rPr>
                      <w:color w:val="auto"/>
                      <w:position w:val="2"/>
                      <w:sz w:val="21"/>
                      <w:highlight w:val="none"/>
                      <w:u w:val="none"/>
                    </w:rPr>
                    <w:t>、</w:t>
                  </w:r>
                  <w:r>
                    <w:rPr>
                      <w:color w:val="auto"/>
                      <w:sz w:val="21"/>
                      <w:highlight w:val="none"/>
                      <w:u w:val="none"/>
                    </w:rPr>
                    <w:t>石油类、粪大肠菌群、动植物油、阴离子表面活性剂、色度</w:t>
                  </w:r>
                </w:p>
              </w:tc>
              <w:tc>
                <w:tcPr>
                  <w:tcW w:w="1799" w:type="dxa"/>
                  <w:vAlign w:val="center"/>
                </w:tcPr>
                <w:p>
                  <w:pPr>
                    <w:pStyle w:val="107"/>
                    <w:spacing w:line="320" w:lineRule="exact"/>
                    <w:jc w:val="center"/>
                    <w:rPr>
                      <w:rFonts w:hint="eastAsia" w:eastAsia="宋体"/>
                      <w:color w:val="auto"/>
                      <w:sz w:val="21"/>
                      <w:highlight w:val="none"/>
                      <w:u w:val="none"/>
                      <w:lang w:eastAsia="zh-CN"/>
                    </w:rPr>
                  </w:pPr>
                  <w:r>
                    <w:rPr>
                      <w:rFonts w:hint="eastAsia"/>
                      <w:color w:val="auto"/>
                      <w:sz w:val="21"/>
                      <w:highlight w:val="none"/>
                      <w:u w:val="none"/>
                      <w:lang w:eastAsia="zh-CN"/>
                    </w:rPr>
                    <w:t>每季度一次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4" w:hRule="atLeast"/>
                <w:jc w:val="center"/>
              </w:trPr>
              <w:tc>
                <w:tcPr>
                  <w:tcW w:w="1732" w:type="dxa"/>
                  <w:vMerge w:val="continue"/>
                  <w:vAlign w:val="center"/>
                </w:tcPr>
                <w:p>
                  <w:pPr>
                    <w:spacing w:line="320" w:lineRule="exact"/>
                    <w:jc w:val="center"/>
                    <w:rPr>
                      <w:color w:val="auto"/>
                      <w:sz w:val="2"/>
                      <w:szCs w:val="2"/>
                      <w:highlight w:val="none"/>
                      <w:u w:val="none"/>
                    </w:rPr>
                  </w:pPr>
                </w:p>
              </w:tc>
              <w:tc>
                <w:tcPr>
                  <w:tcW w:w="5033" w:type="dxa"/>
                  <w:vAlign w:val="center"/>
                </w:tcPr>
                <w:p>
                  <w:pPr>
                    <w:pStyle w:val="107"/>
                    <w:spacing w:line="320" w:lineRule="exact"/>
                    <w:jc w:val="center"/>
                    <w:rPr>
                      <w:rFonts w:hint="eastAsia" w:ascii="Times New Roman" w:eastAsia="宋体"/>
                      <w:color w:val="auto"/>
                      <w:position w:val="2"/>
                      <w:sz w:val="21"/>
                      <w:highlight w:val="none"/>
                      <w:u w:val="none"/>
                      <w:lang w:eastAsia="zh-CN"/>
                    </w:rPr>
                  </w:pPr>
                  <w:r>
                    <w:rPr>
                      <w:rFonts w:hint="eastAsia" w:ascii="Times New Roman"/>
                      <w:color w:val="auto"/>
                      <w:position w:val="2"/>
                      <w:sz w:val="21"/>
                      <w:highlight w:val="none"/>
                      <w:u w:val="none"/>
                      <w:lang w:eastAsia="zh-CN"/>
                    </w:rPr>
                    <w:t>总镉、总铬、总汞、总铅、总砷、六价铬、烷基汞</w:t>
                  </w:r>
                </w:p>
              </w:tc>
              <w:tc>
                <w:tcPr>
                  <w:tcW w:w="1799" w:type="dxa"/>
                  <w:vAlign w:val="center"/>
                </w:tcPr>
                <w:p>
                  <w:pPr>
                    <w:pStyle w:val="107"/>
                    <w:spacing w:line="320" w:lineRule="exact"/>
                    <w:jc w:val="center"/>
                    <w:rPr>
                      <w:rFonts w:hint="eastAsia"/>
                      <w:color w:val="auto"/>
                      <w:sz w:val="21"/>
                      <w:highlight w:val="none"/>
                      <w:u w:val="none"/>
                      <w:lang w:eastAsia="zh-CN"/>
                    </w:rPr>
                  </w:pPr>
                  <w:r>
                    <w:rPr>
                      <w:rFonts w:hint="eastAsia"/>
                      <w:color w:val="auto"/>
                      <w:sz w:val="21"/>
                      <w:highlight w:val="none"/>
                      <w:u w:val="none"/>
                      <w:lang w:eastAsia="zh-CN"/>
                    </w:rPr>
                    <w:t>半</w:t>
                  </w:r>
                  <w:r>
                    <w:rPr>
                      <w:color w:val="auto"/>
                      <w:sz w:val="21"/>
                      <w:highlight w:val="none"/>
                      <w:u w:val="none"/>
                    </w:rPr>
                    <w:t>年</w:t>
                  </w:r>
                  <w:r>
                    <w:rPr>
                      <w:rFonts w:hint="eastAsia"/>
                      <w:color w:val="auto"/>
                      <w:sz w:val="21"/>
                      <w:highlight w:val="none"/>
                      <w:u w:val="none"/>
                      <w:lang w:eastAsia="zh-CN"/>
                    </w:rPr>
                    <w:t>一次</w:t>
                  </w:r>
                </w:p>
              </w:tc>
            </w:tr>
          </w:tbl>
          <w:p>
            <w:pPr>
              <w:spacing w:line="420" w:lineRule="exact"/>
              <w:ind w:firstLine="479" w:firstLineChars="199"/>
              <w:rPr>
                <w:b/>
                <w:bCs/>
                <w:color w:val="auto"/>
                <w:sz w:val="24"/>
                <w:szCs w:val="24"/>
                <w:highlight w:val="none"/>
                <w:lang w:val="zh-CN"/>
              </w:rPr>
            </w:pPr>
            <w:r>
              <w:rPr>
                <w:rFonts w:hint="eastAsia"/>
                <w:b/>
                <w:bCs/>
                <w:color w:val="auto"/>
                <w:sz w:val="24"/>
                <w:szCs w:val="24"/>
                <w:highlight w:val="none"/>
              </w:rPr>
              <w:t>5、</w:t>
            </w:r>
            <w:r>
              <w:rPr>
                <w:rFonts w:hint="eastAsia" w:cs="宋体"/>
                <w:b/>
                <w:bCs/>
                <w:color w:val="auto"/>
                <w:sz w:val="24"/>
                <w:szCs w:val="24"/>
                <w:highlight w:val="none"/>
                <w:lang w:val="zh-CN"/>
              </w:rPr>
              <w:t>总图布置合理性分析</w:t>
            </w:r>
          </w:p>
          <w:p>
            <w:pPr>
              <w:spacing w:line="460" w:lineRule="exact"/>
              <w:ind w:firstLine="480" w:firstLineChars="200"/>
              <w:rPr>
                <w:rFonts w:hint="eastAsia" w:cs="宋体"/>
                <w:color w:val="auto"/>
                <w:sz w:val="24"/>
                <w:szCs w:val="24"/>
                <w:highlight w:val="none"/>
                <w:shd w:val="clear" w:color="auto" w:fill="auto"/>
              </w:rPr>
            </w:pPr>
            <w:r>
              <w:rPr>
                <w:rFonts w:hint="eastAsia" w:cs="宋体"/>
                <w:color w:val="auto"/>
                <w:sz w:val="24"/>
                <w:szCs w:val="24"/>
                <w:highlight w:val="none"/>
                <w:u w:val="none"/>
                <w:shd w:val="clear" w:color="auto" w:fill="auto"/>
              </w:rPr>
              <w:t>本设计对污水处理厂中占地面积较大的主体构筑物采用一体化建设型式，平面布置上按功能分区，划分为办公及辅助生产区、污水处理区。根据工艺流程</w:t>
            </w:r>
            <w:r>
              <w:rPr>
                <w:rFonts w:hint="eastAsia" w:cs="宋体"/>
                <w:color w:val="auto"/>
                <w:sz w:val="24"/>
                <w:szCs w:val="24"/>
                <w:highlight w:val="none"/>
                <w:u w:val="none"/>
                <w:shd w:val="clear" w:color="auto" w:fill="auto"/>
                <w:lang w:val="en-US" w:eastAsia="zh-CN"/>
              </w:rPr>
              <w:t>由西向东为一体化设备，消毒池计量槽</w:t>
            </w:r>
            <w:r>
              <w:rPr>
                <w:rFonts w:hint="eastAsia" w:cs="宋体"/>
                <w:color w:val="auto"/>
                <w:sz w:val="24"/>
                <w:szCs w:val="24"/>
                <w:highlight w:val="none"/>
                <w:u w:val="none"/>
                <w:shd w:val="clear" w:color="auto" w:fill="auto"/>
              </w:rPr>
              <w:t>，</w:t>
            </w:r>
            <w:r>
              <w:rPr>
                <w:rFonts w:hint="eastAsia" w:cs="宋体"/>
                <w:color w:val="auto"/>
                <w:sz w:val="24"/>
                <w:szCs w:val="24"/>
                <w:highlight w:val="none"/>
                <w:u w:val="none"/>
                <w:shd w:val="clear" w:color="auto" w:fill="auto"/>
                <w:lang w:val="en-US" w:eastAsia="zh-CN"/>
              </w:rPr>
              <w:t>西南为格栅渠，调蓄池和污泥池，北侧为综合管理用房。</w:t>
            </w:r>
            <w:r>
              <w:rPr>
                <w:rFonts w:hint="eastAsia" w:cs="宋体"/>
                <w:color w:val="auto"/>
                <w:sz w:val="24"/>
                <w:szCs w:val="24"/>
                <w:highlight w:val="none"/>
                <w:u w:val="none"/>
                <w:shd w:val="clear" w:color="auto" w:fill="auto"/>
              </w:rPr>
              <w:t>项目充分考虑已建工程与扩建工程的衔接，避免重复工程和废弃工程。</w:t>
            </w:r>
          </w:p>
          <w:p>
            <w:pPr>
              <w:spacing w:line="460" w:lineRule="exact"/>
              <w:ind w:firstLine="480" w:firstLineChars="200"/>
              <w:rPr>
                <w:color w:val="auto"/>
                <w:sz w:val="24"/>
                <w:szCs w:val="24"/>
                <w:highlight w:val="none"/>
              </w:rPr>
            </w:pPr>
            <w:r>
              <w:rPr>
                <w:rFonts w:hint="eastAsia" w:cs="宋体"/>
                <w:color w:val="auto"/>
                <w:sz w:val="24"/>
                <w:szCs w:val="24"/>
                <w:highlight w:val="none"/>
              </w:rPr>
              <w:t>本项目污水处理厂</w:t>
            </w:r>
            <w:r>
              <w:rPr>
                <w:color w:val="auto"/>
                <w:sz w:val="24"/>
                <w:szCs w:val="24"/>
                <w:highlight w:val="none"/>
              </w:rPr>
              <w:t>按推荐的“</w:t>
            </w:r>
            <w:r>
              <w:rPr>
                <w:rFonts w:hint="eastAsia"/>
                <w:color w:val="auto"/>
                <w:sz w:val="24"/>
                <w:szCs w:val="24"/>
                <w:highlight w:val="none"/>
                <w:lang w:val="en-US" w:eastAsia="zh-CN"/>
              </w:rPr>
              <w:t>A2/O</w:t>
            </w:r>
            <w:r>
              <w:rPr>
                <w:color w:val="auto"/>
                <w:sz w:val="24"/>
                <w:szCs w:val="24"/>
                <w:highlight w:val="none"/>
              </w:rPr>
              <w:t>处理系统”工艺进行总平面布置，根据污水处理工艺特点按功能分区，划分为生活及辅助生产区、污水处理区。</w:t>
            </w:r>
          </w:p>
          <w:p>
            <w:pPr>
              <w:tabs>
                <w:tab w:val="left" w:pos="3660"/>
              </w:tabs>
              <w:spacing w:line="480" w:lineRule="exact"/>
              <w:ind w:firstLine="480" w:firstLineChars="200"/>
              <w:rPr>
                <w:color w:val="auto"/>
                <w:sz w:val="24"/>
                <w:szCs w:val="24"/>
                <w:highlight w:val="none"/>
              </w:rPr>
            </w:pPr>
            <w:r>
              <w:rPr>
                <w:rFonts w:hint="eastAsia"/>
                <w:color w:val="auto"/>
                <w:sz w:val="24"/>
                <w:szCs w:val="24"/>
                <w:highlight w:val="none"/>
              </w:rPr>
              <w:t>生活区位于厂区西侧，污水处理区位于东侧。</w:t>
            </w:r>
            <w:r>
              <w:rPr>
                <w:color w:val="auto"/>
                <w:sz w:val="24"/>
                <w:szCs w:val="24"/>
                <w:highlight w:val="none"/>
              </w:rPr>
              <w:t>厂区的</w:t>
            </w:r>
            <w:r>
              <w:rPr>
                <w:rFonts w:hint="eastAsia"/>
                <w:color w:val="auto"/>
                <w:sz w:val="24"/>
                <w:szCs w:val="24"/>
                <w:highlight w:val="none"/>
              </w:rPr>
              <w:t>污水处理</w:t>
            </w:r>
            <w:r>
              <w:rPr>
                <w:color w:val="auto"/>
                <w:sz w:val="24"/>
                <w:szCs w:val="24"/>
                <w:highlight w:val="none"/>
              </w:rPr>
              <w:t>区，按照工艺流程</w:t>
            </w:r>
            <w:r>
              <w:rPr>
                <w:rFonts w:hint="eastAsia"/>
                <w:color w:val="auto"/>
                <w:sz w:val="24"/>
                <w:szCs w:val="24"/>
                <w:highlight w:val="none"/>
              </w:rPr>
              <w:t>从南向北依次</w:t>
            </w:r>
            <w:r>
              <w:rPr>
                <w:color w:val="auto"/>
                <w:sz w:val="24"/>
                <w:szCs w:val="24"/>
                <w:highlight w:val="none"/>
              </w:rPr>
              <w:t>布置格栅渠、</w:t>
            </w:r>
            <w:r>
              <w:rPr>
                <w:rFonts w:hint="eastAsia"/>
                <w:color w:val="auto"/>
                <w:sz w:val="24"/>
                <w:szCs w:val="24"/>
                <w:highlight w:val="none"/>
              </w:rPr>
              <w:t>组合池（</w:t>
            </w:r>
            <w:r>
              <w:rPr>
                <w:rFonts w:hint="eastAsia"/>
                <w:color w:val="auto"/>
                <w:sz w:val="24"/>
                <w:szCs w:val="24"/>
                <w:highlight w:val="none"/>
                <w:lang w:val="en-US" w:eastAsia="zh-CN"/>
              </w:rPr>
              <w:t>A2/O</w:t>
            </w:r>
            <w:r>
              <w:rPr>
                <w:color w:val="auto"/>
                <w:sz w:val="24"/>
                <w:szCs w:val="24"/>
                <w:highlight w:val="none"/>
              </w:rPr>
              <w:t>处理系统、</w:t>
            </w:r>
            <w:r>
              <w:rPr>
                <w:rFonts w:hint="eastAsia"/>
                <w:color w:val="auto"/>
                <w:sz w:val="24"/>
                <w:szCs w:val="24"/>
                <w:highlight w:val="none"/>
              </w:rPr>
              <w:t>软性固定填料过滤模块）</w:t>
            </w:r>
            <w:r>
              <w:rPr>
                <w:color w:val="auto"/>
                <w:sz w:val="24"/>
                <w:szCs w:val="24"/>
                <w:highlight w:val="none"/>
              </w:rPr>
              <w:t>、紫外消毒系统、出水计量渠等，使得工艺流程较顺畅，管线短、交叉少。</w:t>
            </w:r>
          </w:p>
          <w:p>
            <w:pPr>
              <w:spacing w:line="460" w:lineRule="exact"/>
              <w:ind w:firstLine="480" w:firstLineChars="200"/>
              <w:rPr>
                <w:color w:val="auto"/>
                <w:sz w:val="24"/>
                <w:szCs w:val="24"/>
                <w:highlight w:val="none"/>
              </w:rPr>
            </w:pPr>
            <w:r>
              <w:rPr>
                <w:rFonts w:hint="eastAsia" w:cs="宋体"/>
                <w:color w:val="auto"/>
                <w:sz w:val="24"/>
                <w:szCs w:val="24"/>
                <w:highlight w:val="none"/>
              </w:rPr>
              <w:t>厂区总图布置在充分满足工艺要求的前提下，构建筑物布局紧凑，水力流程顺畅，各管渠、动力线路和交通要道短捷，有效降低了构筑物之间的水头损失，维修管理方便。</w:t>
            </w:r>
          </w:p>
          <w:p>
            <w:pPr>
              <w:pStyle w:val="96"/>
              <w:rPr>
                <w:rFonts w:cs="宋体"/>
                <w:color w:val="auto"/>
                <w:kern w:val="2"/>
                <w:sz w:val="24"/>
                <w:szCs w:val="24"/>
                <w:highlight w:val="none"/>
              </w:rPr>
            </w:pPr>
            <w:r>
              <w:rPr>
                <w:rFonts w:hint="eastAsia" w:cs="宋体"/>
                <w:color w:val="auto"/>
                <w:kern w:val="2"/>
                <w:sz w:val="24"/>
                <w:szCs w:val="24"/>
                <w:highlight w:val="none"/>
              </w:rPr>
              <w:t>为尽量减少恶臭对附近居民的影响，污泥</w:t>
            </w:r>
            <w:r>
              <w:rPr>
                <w:rFonts w:hint="eastAsia" w:cs="宋体"/>
                <w:color w:val="auto"/>
                <w:kern w:val="2"/>
                <w:sz w:val="24"/>
                <w:szCs w:val="24"/>
                <w:highlight w:val="none"/>
                <w:lang w:eastAsia="zh-CN"/>
              </w:rPr>
              <w:t>储存池</w:t>
            </w:r>
            <w:r>
              <w:rPr>
                <w:rFonts w:hint="eastAsia" w:cs="宋体"/>
                <w:color w:val="auto"/>
                <w:kern w:val="2"/>
                <w:sz w:val="24"/>
                <w:szCs w:val="24"/>
                <w:highlight w:val="none"/>
              </w:rPr>
              <w:t>池等安排</w:t>
            </w:r>
            <w:r>
              <w:rPr>
                <w:rFonts w:hint="eastAsia" w:cs="宋体"/>
                <w:color w:val="auto"/>
                <w:kern w:val="2"/>
                <w:sz w:val="24"/>
                <w:szCs w:val="24"/>
                <w:highlight w:val="none"/>
                <w:shd w:val="clear" w:color="auto" w:fill="auto"/>
              </w:rPr>
              <w:t>在厂区</w:t>
            </w:r>
            <w:r>
              <w:rPr>
                <w:rFonts w:hint="eastAsia" w:cs="宋体"/>
                <w:color w:val="auto"/>
                <w:kern w:val="2"/>
                <w:sz w:val="24"/>
                <w:szCs w:val="24"/>
                <w:highlight w:val="none"/>
                <w:shd w:val="clear" w:color="auto" w:fill="auto"/>
                <w:lang w:val="en-US" w:eastAsia="zh-CN"/>
              </w:rPr>
              <w:t>西南侧</w:t>
            </w:r>
            <w:r>
              <w:rPr>
                <w:rFonts w:hint="eastAsia" w:cs="宋体"/>
                <w:color w:val="auto"/>
                <w:kern w:val="2"/>
                <w:sz w:val="24"/>
                <w:szCs w:val="24"/>
                <w:highlight w:val="none"/>
              </w:rPr>
              <w:t>，远离居民区，尽量减少恶臭对附近居民的影响。</w:t>
            </w:r>
          </w:p>
          <w:p>
            <w:pPr>
              <w:pStyle w:val="96"/>
              <w:rPr>
                <w:color w:val="auto"/>
                <w:kern w:val="2"/>
                <w:sz w:val="24"/>
                <w:szCs w:val="24"/>
                <w:highlight w:val="none"/>
              </w:rPr>
            </w:pPr>
            <w:r>
              <w:rPr>
                <w:rFonts w:hint="eastAsia" w:cs="宋体"/>
                <w:color w:val="auto"/>
                <w:kern w:val="2"/>
                <w:sz w:val="24"/>
                <w:szCs w:val="24"/>
                <w:highlight w:val="none"/>
              </w:rPr>
              <w:t>因此，从环保角度看，项目平面布局是合理的。</w:t>
            </w:r>
          </w:p>
          <w:p>
            <w:pPr>
              <w:spacing w:line="420" w:lineRule="exact"/>
              <w:ind w:firstLine="479" w:firstLineChars="199"/>
              <w:rPr>
                <w:b/>
                <w:bCs/>
                <w:color w:val="auto"/>
                <w:sz w:val="24"/>
                <w:szCs w:val="24"/>
                <w:highlight w:val="none"/>
              </w:rPr>
            </w:pPr>
            <w:r>
              <w:rPr>
                <w:rFonts w:hint="eastAsia"/>
                <w:b/>
                <w:bCs/>
                <w:color w:val="auto"/>
                <w:sz w:val="24"/>
                <w:szCs w:val="24"/>
                <w:highlight w:val="none"/>
              </w:rPr>
              <w:t>6、工程可行性分析</w:t>
            </w:r>
          </w:p>
          <w:p>
            <w:pPr>
              <w:pStyle w:val="107"/>
              <w:spacing w:line="460" w:lineRule="exact"/>
              <w:ind w:firstLine="482"/>
              <w:rPr>
                <w:rFonts w:ascii="Times New Roman" w:hAnsi="Times New Roman"/>
                <w:color w:val="auto"/>
                <w:sz w:val="24"/>
                <w:szCs w:val="24"/>
                <w:highlight w:val="none"/>
              </w:rPr>
            </w:pPr>
            <w:r>
              <w:rPr>
                <w:rFonts w:hint="eastAsia" w:ascii="Times New Roman" w:hAnsi="Times New Roman"/>
                <w:color w:val="auto"/>
                <w:sz w:val="24"/>
                <w:szCs w:val="24"/>
                <w:highlight w:val="none"/>
              </w:rPr>
              <w:t>6.1产业政策分析</w:t>
            </w:r>
          </w:p>
          <w:p>
            <w:pPr>
              <w:pStyle w:val="107"/>
              <w:spacing w:line="460" w:lineRule="exact"/>
              <w:ind w:firstLine="482"/>
              <w:rPr>
                <w:rFonts w:ascii="Times New Roman" w:hAnsi="Times New Roman"/>
                <w:color w:val="auto"/>
                <w:sz w:val="24"/>
                <w:szCs w:val="24"/>
                <w:highlight w:val="none"/>
              </w:rPr>
            </w:pPr>
            <w:r>
              <w:rPr>
                <w:rFonts w:hint="eastAsia" w:ascii="Times New Roman" w:hAnsi="Times New Roman"/>
                <w:color w:val="auto"/>
                <w:sz w:val="24"/>
                <w:szCs w:val="24"/>
                <w:highlight w:val="none"/>
              </w:rPr>
              <w:t>2017 年 1 月，湖南省农村污水治理县域推进现场会在郴州市苏仙区举行， 会上确定湖南省从今年起，实施重点镇污水处理设施建设三年行动计划。力争到 2018 年底前，新建（改造）集镇污水处理设施 187 处，新增污水日处理能力 48.96 万吨，配套建设管网 1688 公里等。以此带动，力争到“十三五”末，实现重点 区域和重点镇污水处理设施全覆盖，建制镇污水处理率达到 80%。会议要求各地 各有关部门迅速行动起来，全面提速农村污水治理。</w:t>
            </w:r>
          </w:p>
          <w:p>
            <w:pPr>
              <w:pStyle w:val="107"/>
              <w:spacing w:line="460" w:lineRule="exact"/>
              <w:ind w:firstLine="482"/>
              <w:rPr>
                <w:rFonts w:ascii="Times New Roman" w:hAnsi="Times New Roman"/>
                <w:color w:val="auto"/>
                <w:sz w:val="24"/>
                <w:szCs w:val="24"/>
                <w:highlight w:val="none"/>
              </w:rPr>
            </w:pPr>
            <w:r>
              <w:rPr>
                <w:rFonts w:ascii="Times New Roman" w:hAnsi="Times New Roman"/>
                <w:color w:val="auto"/>
                <w:sz w:val="24"/>
                <w:szCs w:val="24"/>
                <w:highlight w:val="none"/>
              </w:rPr>
              <w:t>经对照，本项目属于《产业结构政策调整目录（2011 年本）》（2013 年修订版）中鼓励类中第二</w:t>
            </w:r>
            <w:r>
              <w:rPr>
                <w:rFonts w:ascii="Times New Roman" w:hAnsi="Times New Roman"/>
                <w:color w:val="auto"/>
                <w:sz w:val="24"/>
                <w:szCs w:val="24"/>
                <w:highlight w:val="none"/>
                <w:shd w:val="clear" w:color="auto" w:fill="auto"/>
              </w:rPr>
              <w:t>十二项第 9 条“城镇供排水管网工程、供水水源及净水厂工程”，</w:t>
            </w:r>
            <w:r>
              <w:rPr>
                <w:rFonts w:ascii="Times New Roman" w:hAnsi="Times New Roman"/>
                <w:color w:val="auto"/>
                <w:sz w:val="24"/>
                <w:szCs w:val="24"/>
                <w:highlight w:val="none"/>
              </w:rPr>
              <w:t>符合国家的产业政策。</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6.2 “三线一单”相符性分析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①与生态保护红线符合性分析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根据《湖南省生态保护红线》，岳阳共九个区域纳入生态保护红线，具体位置见附图，本项目不在生态红线范围内。</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②与环境质量底线的相符性分析</w:t>
            </w:r>
          </w:p>
          <w:p>
            <w:pPr>
              <w:adjustRightInd w:val="0"/>
              <w:snapToGrid w:val="0"/>
              <w:spacing w:line="460" w:lineRule="exact"/>
              <w:ind w:firstLine="480" w:firstLineChars="200"/>
              <w:rPr>
                <w:rFonts w:hint="eastAsia"/>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根据环境质量现状监测，项目所在区域地表水满足《地表水环境质量标准》（GB3838-2002）中的</w:t>
            </w:r>
            <w:r>
              <w:rPr>
                <w:rFonts w:hint="default" w:ascii="Times New Roman" w:hAnsi="Times New Roman" w:cs="Times New Roman"/>
                <w:b w:val="0"/>
                <w:bCs w:val="0"/>
                <w:color w:val="auto"/>
                <w:sz w:val="24"/>
                <w:szCs w:val="24"/>
                <w:highlight w:val="none"/>
                <w:u w:val="single"/>
                <w:lang w:val="en-US" w:eastAsia="zh-CN"/>
              </w:rPr>
              <w:t>Ⅲ</w:t>
            </w:r>
            <w:r>
              <w:rPr>
                <w:rFonts w:hint="eastAsia"/>
                <w:b w:val="0"/>
                <w:bCs w:val="0"/>
                <w:color w:val="auto"/>
                <w:sz w:val="24"/>
                <w:szCs w:val="24"/>
                <w:highlight w:val="none"/>
                <w:u w:val="single"/>
                <w:lang w:val="en-US" w:eastAsia="zh-CN"/>
              </w:rPr>
              <w:t>类水域标准；环境空气质量能够满足《环境空气质量标准》（GB3095-2012）中二级标准；项目厂界声环境质量满足《声环境质量标准》（GB3096-2008）中2类标准限制。</w:t>
            </w:r>
          </w:p>
          <w:p>
            <w:pPr>
              <w:pStyle w:val="28"/>
              <w:rPr>
                <w:rFonts w:hint="default"/>
                <w:u w:val="single"/>
                <w:lang w:val="en-US" w:eastAsia="zh-CN"/>
              </w:rPr>
            </w:pPr>
            <w:r>
              <w:rPr>
                <w:rFonts w:hint="eastAsia"/>
                <w:b w:val="0"/>
                <w:bCs w:val="0"/>
                <w:color w:val="auto"/>
                <w:sz w:val="24"/>
                <w:szCs w:val="24"/>
                <w:highlight w:val="none"/>
                <w:u w:val="single"/>
                <w:lang w:val="en-US" w:eastAsia="zh-CN"/>
              </w:rPr>
              <w:t>因此项目所在区域环境质量状况良好，未超出环境质量底线。</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③与资源利用上线的相符性分析</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本项目为污水处理工程，在施工和运营过程中会消耗一定的水资源和电，项目资源消耗量少，符合资源利用上限要求。</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④与环境准入负面清单的对照</w:t>
            </w:r>
          </w:p>
          <w:p>
            <w:pPr>
              <w:adjustRightInd w:val="0"/>
              <w:snapToGrid w:val="0"/>
              <w:spacing w:line="460" w:lineRule="exact"/>
              <w:ind w:firstLine="480" w:firstLineChars="200"/>
              <w:rPr>
                <w:rFonts w:hint="default"/>
                <w:b w:val="0"/>
                <w:bCs w:val="0"/>
                <w:color w:val="auto"/>
                <w:sz w:val="24"/>
                <w:szCs w:val="24"/>
                <w:highlight w:val="none"/>
                <w:u w:val="single"/>
                <w:lang w:val="en-US" w:eastAsia="zh-CN"/>
              </w:rPr>
            </w:pPr>
            <w:r>
              <w:rPr>
                <w:rFonts w:hint="eastAsia"/>
                <w:b w:val="0"/>
                <w:bCs w:val="0"/>
                <w:color w:val="auto"/>
                <w:sz w:val="24"/>
                <w:szCs w:val="24"/>
                <w:highlight w:val="none"/>
                <w:u w:val="single"/>
                <w:lang w:val="en-US" w:eastAsia="zh-CN"/>
              </w:rPr>
              <w:t>本项目属于《产业结构政策调整目录（2011 年本）》（2013 年修订版）中鼓励类中第二十二项第 9 条“城镇供排水管网工程、供水水源及净水厂工程”，符合国家的产业政策，且不在负面清单内。</w:t>
            </w:r>
          </w:p>
          <w:p>
            <w:pPr>
              <w:adjustRightInd w:val="0"/>
              <w:snapToGrid w:val="0"/>
              <w:spacing w:line="460" w:lineRule="exact"/>
              <w:ind w:firstLine="480" w:firstLineChars="200"/>
              <w:rPr>
                <w:rFonts w:hint="eastAsia"/>
                <w:b w:val="0"/>
                <w:bCs w:val="0"/>
                <w:color w:val="auto"/>
                <w:sz w:val="24"/>
                <w:szCs w:val="24"/>
                <w:highlight w:val="none"/>
                <w:u w:val="none"/>
                <w:lang w:eastAsia="zh-CN"/>
              </w:rPr>
            </w:pPr>
            <w:r>
              <w:rPr>
                <w:rFonts w:hint="eastAsia"/>
                <w:b w:val="0"/>
                <w:bCs w:val="0"/>
                <w:color w:val="auto"/>
                <w:sz w:val="24"/>
                <w:szCs w:val="24"/>
                <w:highlight w:val="none"/>
                <w:u w:val="none"/>
                <w:lang w:val="en-US" w:eastAsia="zh-CN"/>
              </w:rPr>
              <w:t>6.3</w:t>
            </w:r>
            <w:r>
              <w:rPr>
                <w:rFonts w:hint="eastAsia"/>
                <w:b w:val="0"/>
                <w:bCs w:val="0"/>
                <w:color w:val="auto"/>
                <w:sz w:val="24"/>
                <w:szCs w:val="24"/>
                <w:highlight w:val="none"/>
                <w:u w:val="none"/>
                <w:lang w:eastAsia="zh-CN"/>
              </w:rPr>
              <w:t>规模合理性分析</w:t>
            </w:r>
          </w:p>
          <w:p>
            <w:pPr>
              <w:adjustRightInd w:val="0"/>
              <w:snapToGrid w:val="0"/>
              <w:spacing w:line="460" w:lineRule="exact"/>
              <w:ind w:firstLine="480" w:firstLineChars="200"/>
              <w:rPr>
                <w:rFonts w:hint="default" w:eastAsia="宋体"/>
                <w:b/>
                <w:bCs/>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eastAsia="zh-CN"/>
              </w:rPr>
              <w:t>根据</w:t>
            </w:r>
            <w:r>
              <w:rPr>
                <w:rFonts w:hint="eastAsia"/>
                <w:b w:val="0"/>
                <w:bCs w:val="0"/>
                <w:color w:val="auto"/>
                <w:sz w:val="24"/>
                <w:szCs w:val="24"/>
                <w:highlight w:val="none"/>
                <w:u w:val="none"/>
                <w:shd w:val="clear" w:color="auto" w:fill="auto"/>
                <w:lang w:val="en-US" w:eastAsia="zh-CN"/>
              </w:rPr>
              <w:t>湘滨镇</w:t>
            </w:r>
            <w:r>
              <w:rPr>
                <w:rFonts w:hint="eastAsia"/>
                <w:b w:val="0"/>
                <w:bCs w:val="0"/>
                <w:color w:val="auto"/>
                <w:sz w:val="24"/>
                <w:szCs w:val="24"/>
                <w:highlight w:val="none"/>
                <w:u w:val="none"/>
                <w:shd w:val="clear" w:color="auto" w:fill="auto"/>
                <w:lang w:eastAsia="zh-CN"/>
              </w:rPr>
              <w:t>总体规划，规划</w:t>
            </w:r>
            <w:r>
              <w:rPr>
                <w:rFonts w:hint="eastAsia"/>
                <w:b w:val="0"/>
                <w:bCs w:val="0"/>
                <w:color w:val="auto"/>
                <w:sz w:val="24"/>
                <w:szCs w:val="24"/>
                <w:highlight w:val="none"/>
                <w:u w:val="none"/>
                <w:shd w:val="clear" w:color="auto" w:fill="auto"/>
                <w:lang w:val="en-US" w:eastAsia="zh-CN"/>
              </w:rPr>
              <w:t>2020年</w:t>
            </w:r>
            <w:r>
              <w:rPr>
                <w:rFonts w:hint="eastAsia"/>
                <w:b w:val="0"/>
                <w:bCs w:val="0"/>
                <w:color w:val="auto"/>
                <w:sz w:val="24"/>
                <w:szCs w:val="24"/>
                <w:highlight w:val="none"/>
                <w:u w:val="none"/>
                <w:shd w:val="clear" w:color="auto" w:fill="auto"/>
                <w:lang w:eastAsia="zh-CN"/>
              </w:rPr>
              <w:t>城镇人口 0.</w:t>
            </w:r>
            <w:r>
              <w:rPr>
                <w:rFonts w:hint="eastAsia"/>
                <w:b w:val="0"/>
                <w:bCs w:val="0"/>
                <w:color w:val="auto"/>
                <w:sz w:val="24"/>
                <w:szCs w:val="24"/>
                <w:highlight w:val="none"/>
                <w:u w:val="none"/>
                <w:shd w:val="clear" w:color="auto" w:fill="auto"/>
                <w:lang w:val="en-US" w:eastAsia="zh-CN"/>
              </w:rPr>
              <w:t>4</w:t>
            </w:r>
            <w:r>
              <w:rPr>
                <w:rFonts w:hint="eastAsia"/>
                <w:b w:val="0"/>
                <w:bCs w:val="0"/>
                <w:color w:val="auto"/>
                <w:sz w:val="24"/>
                <w:szCs w:val="24"/>
                <w:highlight w:val="none"/>
                <w:u w:val="none"/>
                <w:shd w:val="clear" w:color="auto" w:fill="auto"/>
                <w:lang w:eastAsia="zh-CN"/>
              </w:rPr>
              <w:t>万人，</w:t>
            </w:r>
            <w:r>
              <w:rPr>
                <w:b w:val="0"/>
                <w:bCs w:val="0"/>
                <w:color w:val="auto"/>
                <w:sz w:val="24"/>
                <w:szCs w:val="24"/>
                <w:highlight w:val="none"/>
                <w:u w:val="none"/>
                <w:shd w:val="clear" w:color="auto" w:fill="auto"/>
              </w:rPr>
              <w:t>用水量指标取150 L</w:t>
            </w:r>
            <w:r>
              <w:rPr>
                <w:rFonts w:hint="eastAsia"/>
                <w:b w:val="0"/>
                <w:bCs w:val="0"/>
                <w:color w:val="auto"/>
                <w:sz w:val="24"/>
                <w:szCs w:val="24"/>
                <w:highlight w:val="none"/>
                <w:u w:val="none"/>
                <w:shd w:val="clear" w:color="auto" w:fill="auto"/>
                <w:lang w:val="en-US" w:eastAsia="zh-CN"/>
              </w:rPr>
              <w:t>/d，污水排放系数按0.8计，污水收集效率取0.65，污水规模312</w:t>
            </w:r>
            <w:r>
              <w:rPr>
                <w:b w:val="0"/>
                <w:bCs w:val="0"/>
                <w:color w:val="auto"/>
                <w:sz w:val="24"/>
                <w:szCs w:val="24"/>
                <w:highlight w:val="none"/>
                <w:u w:val="none"/>
                <w:shd w:val="clear" w:color="auto" w:fill="auto"/>
              </w:rPr>
              <w:t>m</w:t>
            </w:r>
            <w:r>
              <w:rPr>
                <w:b w:val="0"/>
                <w:bCs w:val="0"/>
                <w:color w:val="auto"/>
                <w:sz w:val="24"/>
                <w:szCs w:val="24"/>
                <w:highlight w:val="none"/>
                <w:u w:val="none"/>
                <w:shd w:val="clear" w:color="auto" w:fill="auto"/>
                <w:vertAlign w:val="superscript"/>
              </w:rPr>
              <w:t>3</w:t>
            </w:r>
            <w:r>
              <w:rPr>
                <w:b w:val="0"/>
                <w:bCs w:val="0"/>
                <w:color w:val="auto"/>
                <w:sz w:val="24"/>
                <w:szCs w:val="24"/>
                <w:highlight w:val="none"/>
                <w:u w:val="none"/>
                <w:shd w:val="clear" w:color="auto" w:fill="auto"/>
              </w:rPr>
              <w:t>/d</w:t>
            </w:r>
            <w:r>
              <w:rPr>
                <w:rFonts w:hint="eastAsia"/>
                <w:b w:val="0"/>
                <w:bCs w:val="0"/>
                <w:color w:val="auto"/>
                <w:sz w:val="24"/>
                <w:szCs w:val="24"/>
                <w:highlight w:val="none"/>
                <w:u w:val="none"/>
                <w:shd w:val="clear" w:color="auto" w:fill="auto"/>
                <w:lang w:val="en-US" w:eastAsia="zh-CN"/>
              </w:rPr>
              <w:t>，由于湘滨镇镇区没有工（企）业，所以工（企）业生产废水量为零，畜禽养殖废水量同样为零，污水处理厂规模按照镇区(集镇)规划年的平均日污水量确定。按照《湖南省 乡镇排水与污水处理工程专项规划设计技术导引》(湖南省住房和城乡建设厅 2019 年 7 月修订版)、《室外排水设计规范》(GB60014—2016 年版)、《镇(乡) 村排水工程技术规程》(CJJ124—2008)并根据镇区实际情况因地制宜选用各项系 数：污水收集率根据污水管网覆盖率取用；地下水渗入系数根据水文地质条件和 污水管道与检查井施工质量确定，取 1.0～1.1。 根据湘滨镇的经济发展现状以及自然地质条件，地下水渗入系数选择 1.0， 污水收集率近期(2020 年)为 80%，远期(2030 年)为 90%。湘滨镇近远期预测污水量分别为 282m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/d、554m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 结合湘滨镇的总体规划、发展及现状，本可研最终确定湘阴县湘滨镇污水处理厂 近期（2020 年）建设规模为 300m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/d（即本次新建 300m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/d），远期规模 600m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/d。）。本项目近期规模为300m</w:t>
            </w:r>
            <w:r>
              <w:rPr>
                <w:rFonts w:hint="eastAsia"/>
                <w:b w:val="0"/>
                <w:bCs w:val="0"/>
                <w:color w:val="auto"/>
                <w:sz w:val="24"/>
                <w:szCs w:val="24"/>
                <w:highlight w:val="none"/>
                <w:u w:val="none"/>
                <w:shd w:val="clear" w:color="auto" w:fill="auto"/>
                <w:vertAlign w:val="superscript"/>
                <w:lang w:val="en-US" w:eastAsia="zh-CN"/>
              </w:rPr>
              <w:t>3</w:t>
            </w:r>
            <w:r>
              <w:rPr>
                <w:rFonts w:hint="eastAsia"/>
                <w:b w:val="0"/>
                <w:bCs w:val="0"/>
                <w:color w:val="auto"/>
                <w:sz w:val="24"/>
                <w:szCs w:val="24"/>
                <w:highlight w:val="none"/>
                <w:u w:val="none"/>
                <w:shd w:val="clear" w:color="auto" w:fill="auto"/>
                <w:lang w:val="en-US" w:eastAsia="zh-CN"/>
              </w:rPr>
              <w:t>/d是合理的。</w:t>
            </w:r>
          </w:p>
          <w:p>
            <w:pPr>
              <w:pStyle w:val="2"/>
              <w:spacing w:line="460" w:lineRule="exact"/>
              <w:ind w:firstLine="480" w:firstLineChars="200"/>
              <w:rPr>
                <w:rFonts w:eastAsia="宋体" w:cs="宋体"/>
                <w:color w:val="auto"/>
                <w:spacing w:val="0"/>
                <w:sz w:val="24"/>
                <w:szCs w:val="24"/>
                <w:highlight w:val="none"/>
                <w:u w:val="none"/>
              </w:rPr>
            </w:pPr>
            <w:r>
              <w:rPr>
                <w:rFonts w:hint="eastAsia" w:eastAsia="宋体" w:cs="宋体"/>
                <w:color w:val="auto"/>
                <w:spacing w:val="0"/>
                <w:sz w:val="24"/>
                <w:szCs w:val="24"/>
                <w:highlight w:val="none"/>
                <w:u w:val="none"/>
              </w:rPr>
              <w:t>6.</w:t>
            </w:r>
            <w:r>
              <w:rPr>
                <w:rFonts w:hint="eastAsia" w:eastAsia="宋体" w:cs="宋体"/>
                <w:color w:val="auto"/>
                <w:spacing w:val="0"/>
                <w:sz w:val="24"/>
                <w:szCs w:val="24"/>
                <w:highlight w:val="none"/>
                <w:u w:val="none"/>
                <w:lang w:val="en-US" w:eastAsia="zh-CN"/>
              </w:rPr>
              <w:t>4</w:t>
            </w:r>
            <w:r>
              <w:rPr>
                <w:rFonts w:eastAsia="宋体" w:cs="宋体"/>
                <w:color w:val="auto"/>
                <w:spacing w:val="0"/>
                <w:sz w:val="24"/>
                <w:szCs w:val="24"/>
                <w:highlight w:val="none"/>
                <w:u w:val="none"/>
              </w:rPr>
              <w:t>选址合理性分析</w:t>
            </w:r>
          </w:p>
          <w:p>
            <w:pPr>
              <w:pStyle w:val="2"/>
              <w:spacing w:line="460" w:lineRule="exact"/>
              <w:ind w:firstLine="480" w:firstLineChars="200"/>
              <w:rPr>
                <w:rFonts w:eastAsia="宋体" w:cs="宋体"/>
                <w:color w:val="auto"/>
                <w:spacing w:val="0"/>
                <w:sz w:val="24"/>
                <w:szCs w:val="24"/>
                <w:highlight w:val="none"/>
                <w:u w:val="single"/>
              </w:rPr>
            </w:pPr>
            <w:r>
              <w:rPr>
                <w:rFonts w:eastAsia="宋体" w:cs="宋体"/>
                <w:color w:val="auto"/>
                <w:spacing w:val="0"/>
                <w:sz w:val="24"/>
                <w:szCs w:val="24"/>
                <w:highlight w:val="none"/>
                <w:u w:val="single"/>
              </w:rPr>
              <w:t>1、规划合理性分析</w:t>
            </w:r>
          </w:p>
          <w:p>
            <w:pPr>
              <w:pStyle w:val="2"/>
              <w:spacing w:line="460" w:lineRule="exact"/>
              <w:ind w:firstLine="480" w:firstLineChars="200"/>
              <w:rPr>
                <w:rFonts w:eastAsia="宋体" w:cs="宋体"/>
                <w:color w:val="auto"/>
                <w:spacing w:val="0"/>
                <w:sz w:val="24"/>
                <w:szCs w:val="24"/>
                <w:highlight w:val="none"/>
                <w:u w:val="single"/>
              </w:rPr>
            </w:pPr>
            <w:r>
              <w:rPr>
                <w:rFonts w:eastAsia="宋体" w:cs="宋体"/>
                <w:color w:val="auto"/>
                <w:spacing w:val="0"/>
                <w:sz w:val="24"/>
                <w:szCs w:val="24"/>
                <w:highlight w:val="none"/>
                <w:u w:val="single"/>
              </w:rPr>
              <w:t>项目位于</w:t>
            </w:r>
            <w:r>
              <w:rPr>
                <w:rFonts w:hint="eastAsia" w:eastAsia="宋体" w:cs="宋体"/>
                <w:color w:val="auto"/>
                <w:spacing w:val="0"/>
                <w:sz w:val="24"/>
                <w:szCs w:val="24"/>
                <w:highlight w:val="none"/>
                <w:u w:val="single"/>
                <w:lang w:val="en-US" w:eastAsia="zh-CN"/>
              </w:rPr>
              <w:t>湘滨镇</w:t>
            </w:r>
            <w:r>
              <w:rPr>
                <w:rFonts w:eastAsia="宋体" w:cs="宋体"/>
                <w:color w:val="auto"/>
                <w:spacing w:val="0"/>
                <w:sz w:val="24"/>
                <w:szCs w:val="24"/>
                <w:highlight w:val="none"/>
                <w:u w:val="single"/>
              </w:rPr>
              <w:t>，</w:t>
            </w:r>
            <w:r>
              <w:rPr>
                <w:rFonts w:hint="eastAsia" w:eastAsia="宋体" w:cs="宋体"/>
                <w:color w:val="auto"/>
                <w:spacing w:val="0"/>
                <w:sz w:val="24"/>
                <w:szCs w:val="24"/>
                <w:highlight w:val="none"/>
                <w:u w:val="single"/>
              </w:rPr>
              <w:t>该厂址位于位于镇区东侧。区内地形为养殖场，地形起伏较小</w:t>
            </w:r>
            <w:r>
              <w:rPr>
                <w:rFonts w:eastAsia="宋体" w:cs="宋体"/>
                <w:color w:val="auto"/>
                <w:spacing w:val="0"/>
                <w:sz w:val="24"/>
                <w:szCs w:val="24"/>
                <w:highlight w:val="none"/>
                <w:u w:val="single"/>
              </w:rPr>
              <w:t>。</w:t>
            </w:r>
            <w:r>
              <w:rPr>
                <w:rFonts w:hint="eastAsia" w:eastAsia="宋体" w:cs="宋体"/>
                <w:color w:val="auto"/>
                <w:spacing w:val="0"/>
                <w:sz w:val="24"/>
                <w:szCs w:val="24"/>
                <w:highlight w:val="none"/>
                <w:u w:val="single"/>
              </w:rPr>
              <w:t>本项目符合</w:t>
            </w:r>
            <w:r>
              <w:rPr>
                <w:rFonts w:hint="eastAsia" w:eastAsia="宋体" w:cs="宋体"/>
                <w:color w:val="auto"/>
                <w:spacing w:val="0"/>
                <w:sz w:val="24"/>
                <w:szCs w:val="24"/>
                <w:highlight w:val="none"/>
                <w:u w:val="single"/>
                <w:lang w:val="en-US" w:eastAsia="zh-CN"/>
              </w:rPr>
              <w:t>湘滨镇</w:t>
            </w:r>
            <w:r>
              <w:rPr>
                <w:rFonts w:hint="eastAsia" w:eastAsia="宋体" w:cs="宋体"/>
                <w:color w:val="auto"/>
                <w:spacing w:val="0"/>
                <w:sz w:val="24"/>
                <w:szCs w:val="24"/>
                <w:highlight w:val="none"/>
                <w:u w:val="single"/>
              </w:rPr>
              <w:t>总体</w:t>
            </w:r>
            <w:r>
              <w:rPr>
                <w:rFonts w:eastAsia="宋体" w:cs="宋体"/>
                <w:color w:val="auto"/>
                <w:spacing w:val="0"/>
                <w:sz w:val="24"/>
                <w:szCs w:val="24"/>
                <w:highlight w:val="none"/>
                <w:u w:val="single"/>
              </w:rPr>
              <w:t>规划。</w:t>
            </w:r>
          </w:p>
          <w:p>
            <w:pPr>
              <w:pStyle w:val="2"/>
              <w:spacing w:line="460" w:lineRule="exact"/>
              <w:ind w:firstLine="480" w:firstLineChars="200"/>
              <w:rPr>
                <w:rFonts w:eastAsia="宋体" w:cs="宋体"/>
                <w:color w:val="auto"/>
                <w:spacing w:val="0"/>
                <w:sz w:val="24"/>
                <w:szCs w:val="24"/>
                <w:highlight w:val="none"/>
                <w:u w:val="single"/>
                <w:shd w:val="clear" w:color="auto" w:fill="auto"/>
              </w:rPr>
            </w:pPr>
            <w:r>
              <w:rPr>
                <w:rFonts w:eastAsia="宋体" w:cs="宋体"/>
                <w:color w:val="auto"/>
                <w:spacing w:val="0"/>
                <w:sz w:val="24"/>
                <w:szCs w:val="24"/>
                <w:highlight w:val="none"/>
                <w:u w:val="single"/>
              </w:rPr>
              <w:t>根据现场勘查，项目</w:t>
            </w:r>
            <w:r>
              <w:rPr>
                <w:rFonts w:hint="eastAsia" w:eastAsia="宋体" w:cs="宋体"/>
                <w:color w:val="auto"/>
                <w:spacing w:val="0"/>
                <w:sz w:val="24"/>
                <w:szCs w:val="24"/>
                <w:highlight w:val="none"/>
                <w:u w:val="single"/>
              </w:rPr>
              <w:t>周边</w:t>
            </w:r>
            <w:r>
              <w:rPr>
                <w:rFonts w:eastAsia="宋体" w:cs="宋体"/>
                <w:color w:val="auto"/>
                <w:spacing w:val="0"/>
                <w:sz w:val="24"/>
                <w:szCs w:val="24"/>
                <w:highlight w:val="none"/>
                <w:u w:val="single"/>
              </w:rPr>
              <w:t>主要为农田和少量居民点，本项目选址不涉及饮用水源保护区、湿地公园、风景名胜区、自然保护区等敏感目标，项目拟建排污口</w:t>
            </w:r>
            <w:r>
              <w:rPr>
                <w:rFonts w:hint="eastAsia" w:eastAsia="宋体" w:cs="宋体"/>
                <w:color w:val="auto"/>
                <w:spacing w:val="0"/>
                <w:sz w:val="24"/>
                <w:szCs w:val="24"/>
                <w:highlight w:val="none"/>
                <w:u w:val="single"/>
                <w:lang w:eastAsia="zh-CN"/>
              </w:rPr>
              <w:t>，</w:t>
            </w:r>
            <w:r>
              <w:rPr>
                <w:rFonts w:hint="eastAsia" w:eastAsia="宋体" w:cs="宋体"/>
                <w:color w:val="auto"/>
                <w:spacing w:val="0"/>
                <w:sz w:val="24"/>
                <w:szCs w:val="24"/>
                <w:highlight w:val="none"/>
                <w:u w:val="single"/>
                <w:lang w:val="en-US" w:eastAsia="zh-CN"/>
              </w:rPr>
              <w:t>废水经处理后排入粟塘社区灌溉渠</w:t>
            </w:r>
            <w:r>
              <w:rPr>
                <w:rFonts w:eastAsia="宋体" w:cs="宋体"/>
                <w:color w:val="auto"/>
                <w:spacing w:val="0"/>
                <w:sz w:val="24"/>
                <w:szCs w:val="24"/>
                <w:highlight w:val="none"/>
                <w:u w:val="single"/>
              </w:rPr>
              <w:t>，可减少</w:t>
            </w:r>
            <w:r>
              <w:rPr>
                <w:rFonts w:hint="eastAsia" w:eastAsia="宋体" w:cs="宋体"/>
                <w:color w:val="auto"/>
                <w:spacing w:val="0"/>
                <w:sz w:val="24"/>
                <w:szCs w:val="24"/>
                <w:highlight w:val="none"/>
                <w:u w:val="single"/>
                <w:lang w:val="en-US" w:eastAsia="zh-CN"/>
              </w:rPr>
              <w:t>湘滨镇污水未经处理直排周围水体</w:t>
            </w:r>
            <w:r>
              <w:rPr>
                <w:rFonts w:eastAsia="宋体" w:cs="宋体"/>
                <w:color w:val="auto"/>
                <w:spacing w:val="0"/>
                <w:sz w:val="24"/>
                <w:szCs w:val="24"/>
                <w:highlight w:val="none"/>
                <w:u w:val="single"/>
              </w:rPr>
              <w:t>的</w:t>
            </w:r>
            <w:r>
              <w:rPr>
                <w:rFonts w:eastAsia="宋体" w:cs="宋体"/>
                <w:color w:val="auto"/>
                <w:spacing w:val="0"/>
                <w:sz w:val="24"/>
                <w:szCs w:val="24"/>
                <w:highlight w:val="none"/>
                <w:u w:val="single"/>
                <w:shd w:val="clear" w:color="auto" w:fill="auto"/>
              </w:rPr>
              <w:t>污染物负荷，对</w:t>
            </w:r>
            <w:r>
              <w:rPr>
                <w:rFonts w:hint="eastAsia" w:eastAsia="宋体" w:cs="宋体"/>
                <w:color w:val="auto"/>
                <w:spacing w:val="0"/>
                <w:sz w:val="24"/>
                <w:szCs w:val="24"/>
                <w:highlight w:val="none"/>
                <w:u w:val="single"/>
                <w:shd w:val="clear" w:color="auto" w:fill="auto"/>
                <w:lang w:val="en-US" w:eastAsia="zh-CN"/>
              </w:rPr>
              <w:t>王家河</w:t>
            </w:r>
            <w:r>
              <w:rPr>
                <w:rFonts w:hint="eastAsia" w:eastAsia="宋体" w:cs="宋体"/>
                <w:color w:val="auto"/>
                <w:spacing w:val="0"/>
                <w:sz w:val="24"/>
                <w:szCs w:val="24"/>
                <w:highlight w:val="none"/>
                <w:u w:val="single"/>
                <w:shd w:val="clear" w:color="auto" w:fill="auto"/>
              </w:rPr>
              <w:t>水质</w:t>
            </w:r>
            <w:r>
              <w:rPr>
                <w:rFonts w:eastAsia="宋体" w:cs="宋体"/>
                <w:color w:val="auto"/>
                <w:spacing w:val="0"/>
                <w:sz w:val="24"/>
                <w:szCs w:val="24"/>
                <w:highlight w:val="none"/>
                <w:u w:val="single"/>
                <w:shd w:val="clear" w:color="auto" w:fill="auto"/>
              </w:rPr>
              <w:t>起到</w:t>
            </w:r>
            <w:r>
              <w:rPr>
                <w:rFonts w:hint="eastAsia" w:eastAsia="宋体" w:cs="宋体"/>
                <w:color w:val="auto"/>
                <w:spacing w:val="0"/>
                <w:sz w:val="24"/>
                <w:szCs w:val="24"/>
                <w:highlight w:val="none"/>
                <w:u w:val="single"/>
                <w:shd w:val="clear" w:color="auto" w:fill="auto"/>
              </w:rPr>
              <w:t>一定的</w:t>
            </w:r>
            <w:r>
              <w:rPr>
                <w:rFonts w:eastAsia="宋体" w:cs="宋体"/>
                <w:color w:val="auto"/>
                <w:spacing w:val="0"/>
                <w:sz w:val="24"/>
                <w:szCs w:val="24"/>
                <w:highlight w:val="none"/>
                <w:u w:val="single"/>
                <w:shd w:val="clear" w:color="auto" w:fill="auto"/>
              </w:rPr>
              <w:t>正面作用，项目选址合理。</w:t>
            </w:r>
          </w:p>
          <w:p>
            <w:pPr>
              <w:pStyle w:val="2"/>
              <w:spacing w:line="460" w:lineRule="exact"/>
              <w:ind w:firstLine="480" w:firstLineChars="200"/>
              <w:rPr>
                <w:rFonts w:eastAsia="宋体" w:cs="宋体"/>
                <w:color w:val="auto"/>
                <w:spacing w:val="0"/>
                <w:sz w:val="24"/>
                <w:szCs w:val="24"/>
                <w:highlight w:val="none"/>
              </w:rPr>
            </w:pPr>
            <w:r>
              <w:rPr>
                <w:rFonts w:hint="eastAsia" w:eastAsia="宋体" w:cs="宋体"/>
                <w:color w:val="auto"/>
                <w:spacing w:val="0"/>
                <w:sz w:val="24"/>
                <w:szCs w:val="24"/>
                <w:highlight w:val="none"/>
              </w:rPr>
              <w:t>2、</w:t>
            </w:r>
            <w:r>
              <w:rPr>
                <w:rFonts w:eastAsia="宋体" w:cs="宋体"/>
                <w:color w:val="auto"/>
                <w:spacing w:val="0"/>
                <w:sz w:val="24"/>
                <w:szCs w:val="24"/>
                <w:highlight w:val="none"/>
              </w:rPr>
              <w:t>排污口规范化</w:t>
            </w:r>
          </w:p>
          <w:p>
            <w:pPr>
              <w:pStyle w:val="2"/>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根据国家环保局《关于开展排污口规范化整治试点工作的通知》和《关于加快排污口规范化整治工作方案》，污水处理厂应在建设同时做好排污口的规范化工作。根据国家《环境保护图形标志》（GB/T15562.1-1995）的规定，对污水排放口及噪声排放源分别设置统一制作的环境保护图形标志牌，并应注意以下几点：</w:t>
            </w:r>
          </w:p>
          <w:p>
            <w:pPr>
              <w:pStyle w:val="2"/>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①尾水排放口设置取样口，并具备采样监测条件，尾水排放口附近树立图形标志牌； 排污口的环保图形标志牌应设置在靠近采样点的醒目处，标志牌设置高度为其上边缘距离地面约 2m。</w:t>
            </w:r>
          </w:p>
          <w:p>
            <w:pPr>
              <w:pStyle w:val="2"/>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②排污口以设置方式标志牌为主，亦可根据情况设置立面或平面固定式标志牌。</w:t>
            </w:r>
          </w:p>
          <w:p>
            <w:pPr>
              <w:pStyle w:val="2"/>
              <w:spacing w:line="460" w:lineRule="exact"/>
              <w:ind w:firstLine="480" w:firstLineChars="200"/>
              <w:rPr>
                <w:rFonts w:eastAsia="宋体" w:cs="宋体"/>
                <w:color w:val="auto"/>
                <w:spacing w:val="0"/>
                <w:sz w:val="24"/>
                <w:szCs w:val="24"/>
                <w:highlight w:val="none"/>
              </w:rPr>
            </w:pPr>
            <w:r>
              <w:rPr>
                <w:rFonts w:eastAsia="宋体" w:cs="宋体"/>
                <w:color w:val="auto"/>
                <w:spacing w:val="0"/>
                <w:sz w:val="24"/>
                <w:szCs w:val="24"/>
                <w:highlight w:val="none"/>
              </w:rPr>
              <w:t>③排污口建档管理，使用国家环保局统一印制的《中华人民共和国规范化排污口标志登记证》，并按要求填写有关内容；根据排污口管理内容要求，项目投入运营后，应将主要污染物种类、数量、浓度、排放去向、立标情况及设施运行情况记录于档案。</w:t>
            </w:r>
          </w:p>
          <w:p>
            <w:pPr>
              <w:pStyle w:val="5"/>
              <w:tabs>
                <w:tab w:val="left" w:pos="854"/>
              </w:tabs>
              <w:spacing w:before="158" w:after="0" w:line="240" w:lineRule="auto"/>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7、总量控制分析</w:t>
            </w:r>
          </w:p>
          <w:p>
            <w:pPr>
              <w:spacing w:line="360" w:lineRule="exact"/>
              <w:ind w:firstLine="530" w:firstLineChars="221"/>
              <w:rPr>
                <w:rFonts w:cs="宋体"/>
                <w:color w:val="auto"/>
                <w:sz w:val="24"/>
                <w:szCs w:val="24"/>
                <w:highlight w:val="none"/>
              </w:rPr>
            </w:pPr>
            <w:r>
              <w:rPr>
                <w:rFonts w:hint="eastAsia" w:cs="宋体"/>
                <w:color w:val="auto"/>
                <w:sz w:val="24"/>
                <w:szCs w:val="24"/>
                <w:highlight w:val="none"/>
              </w:rPr>
              <w:t>项目建成后主要污染物排放量变化情况见表</w:t>
            </w:r>
            <w:r>
              <w:rPr>
                <w:rFonts w:hint="eastAsia" w:cs="宋体"/>
                <w:color w:val="auto"/>
                <w:sz w:val="24"/>
                <w:szCs w:val="24"/>
                <w:highlight w:val="none"/>
                <w:lang w:val="en-US" w:eastAsia="zh-CN"/>
              </w:rPr>
              <w:t>35</w:t>
            </w:r>
            <w:r>
              <w:rPr>
                <w:rFonts w:hint="eastAsia" w:cs="宋体"/>
                <w:color w:val="auto"/>
                <w:sz w:val="24"/>
                <w:szCs w:val="24"/>
                <w:highlight w:val="none"/>
              </w:rPr>
              <w:t>。</w:t>
            </w:r>
          </w:p>
          <w:p>
            <w:pPr>
              <w:spacing w:line="400" w:lineRule="exact"/>
              <w:ind w:firstLine="482" w:firstLineChars="200"/>
              <w:jc w:val="center"/>
              <w:rPr>
                <w:b/>
                <w:bCs/>
                <w:color w:val="auto"/>
                <w:sz w:val="24"/>
                <w:szCs w:val="24"/>
                <w:highlight w:val="none"/>
              </w:rPr>
            </w:pPr>
            <w:r>
              <w:rPr>
                <w:rFonts w:hint="eastAsia" w:cs="宋体"/>
                <w:b/>
                <w:bCs/>
                <w:color w:val="auto"/>
                <w:sz w:val="24"/>
                <w:szCs w:val="24"/>
                <w:highlight w:val="none"/>
              </w:rPr>
              <w:t>表</w:t>
            </w:r>
            <w:r>
              <w:rPr>
                <w:rFonts w:hint="eastAsia" w:cs="宋体"/>
                <w:b/>
                <w:bCs/>
                <w:color w:val="auto"/>
                <w:sz w:val="24"/>
                <w:szCs w:val="24"/>
                <w:highlight w:val="none"/>
                <w:lang w:val="en-US" w:eastAsia="zh-CN"/>
              </w:rPr>
              <w:t>35</w:t>
            </w:r>
            <w:r>
              <w:rPr>
                <w:rFonts w:hint="eastAsia" w:cs="宋体"/>
                <w:b/>
                <w:bCs/>
                <w:color w:val="auto"/>
                <w:sz w:val="24"/>
                <w:szCs w:val="24"/>
                <w:highlight w:val="none"/>
              </w:rPr>
              <w:t xml:space="preserve"> 项目建成后主要污染物削减情况</w:t>
            </w:r>
          </w:p>
          <w:tbl>
            <w:tblPr>
              <w:tblStyle w:val="29"/>
              <w:tblW w:w="8894" w:type="dxa"/>
              <w:jc w:val="center"/>
              <w:tblLayout w:type="fixed"/>
              <w:tblCellMar>
                <w:top w:w="0" w:type="dxa"/>
                <w:left w:w="108" w:type="dxa"/>
                <w:bottom w:w="0" w:type="dxa"/>
                <w:right w:w="108" w:type="dxa"/>
              </w:tblCellMar>
            </w:tblPr>
            <w:tblGrid>
              <w:gridCol w:w="925"/>
              <w:gridCol w:w="1321"/>
              <w:gridCol w:w="1545"/>
              <w:gridCol w:w="1333"/>
              <w:gridCol w:w="1516"/>
              <w:gridCol w:w="1177"/>
              <w:gridCol w:w="1077"/>
            </w:tblGrid>
            <w:tr>
              <w:tblPrEx>
                <w:tblCellMar>
                  <w:top w:w="0" w:type="dxa"/>
                  <w:left w:w="108" w:type="dxa"/>
                  <w:bottom w:w="0" w:type="dxa"/>
                  <w:right w:w="108" w:type="dxa"/>
                </w:tblCellMar>
              </w:tblPrEx>
              <w:trPr>
                <w:cantSplit/>
                <w:trHeight w:val="242" w:hRule="atLeast"/>
                <w:jc w:val="center"/>
              </w:trPr>
              <w:tc>
                <w:tcPr>
                  <w:tcW w:w="925"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项目</w:t>
                  </w:r>
                </w:p>
              </w:tc>
              <w:tc>
                <w:tcPr>
                  <w:tcW w:w="2866"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进水</w:t>
                  </w:r>
                </w:p>
              </w:tc>
              <w:tc>
                <w:tcPr>
                  <w:tcW w:w="2849" w:type="dxa"/>
                  <w:gridSpan w:val="2"/>
                  <w:tcBorders>
                    <w:top w:val="single" w:color="auto" w:sz="6" w:space="0"/>
                    <w:left w:val="single" w:color="auto" w:sz="4" w:space="0"/>
                    <w:bottom w:val="single" w:color="auto" w:sz="4"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olor w:val="auto"/>
                      <w:sz w:val="21"/>
                      <w:szCs w:val="21"/>
                      <w:highlight w:val="none"/>
                    </w:rPr>
                    <w:t>出水</w:t>
                  </w:r>
                </w:p>
              </w:tc>
              <w:tc>
                <w:tcPr>
                  <w:tcW w:w="11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削减量</w:t>
                  </w:r>
                </w:p>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rPr>
                    <w:t>（</w:t>
                  </w:r>
                  <w:r>
                    <w:rPr>
                      <w:color w:val="auto"/>
                      <w:sz w:val="21"/>
                      <w:szCs w:val="21"/>
                      <w:highlight w:val="none"/>
                    </w:rPr>
                    <w:t>t/</w:t>
                  </w:r>
                  <w:r>
                    <w:rPr>
                      <w:rFonts w:hint="eastAsia"/>
                      <w:color w:val="auto"/>
                      <w:sz w:val="21"/>
                      <w:szCs w:val="21"/>
                      <w:highlight w:val="none"/>
                    </w:rPr>
                    <w:t>a</w:t>
                  </w:r>
                  <w:r>
                    <w:rPr>
                      <w:rFonts w:hint="eastAsia" w:cs="宋体"/>
                      <w:color w:val="auto"/>
                      <w:sz w:val="21"/>
                      <w:szCs w:val="21"/>
                      <w:highlight w:val="none"/>
                    </w:rPr>
                    <w:t>）</w:t>
                  </w:r>
                </w:p>
              </w:tc>
              <w:tc>
                <w:tcPr>
                  <w:tcW w:w="10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rPr>
                    <w:t>削减率</w:t>
                  </w:r>
                </w:p>
                <w:p>
                  <w:pPr>
                    <w:autoSpaceDE w:val="0"/>
                    <w:autoSpaceDN w:val="0"/>
                    <w:adjustRightInd w:val="0"/>
                    <w:spacing w:line="320" w:lineRule="exact"/>
                    <w:jc w:val="center"/>
                    <w:rPr>
                      <w:color w:val="auto"/>
                      <w:sz w:val="21"/>
                      <w:szCs w:val="21"/>
                      <w:highlight w:val="none"/>
                    </w:rPr>
                  </w:pPr>
                  <w:r>
                    <w:rPr>
                      <w:color w:val="auto"/>
                      <w:sz w:val="21"/>
                      <w:szCs w:val="21"/>
                      <w:highlight w:val="none"/>
                    </w:rPr>
                    <w:t>(%)</w:t>
                  </w:r>
                </w:p>
              </w:tc>
            </w:tr>
            <w:tr>
              <w:tblPrEx>
                <w:tblCellMar>
                  <w:top w:w="0" w:type="dxa"/>
                  <w:left w:w="108" w:type="dxa"/>
                  <w:bottom w:w="0" w:type="dxa"/>
                  <w:right w:w="108" w:type="dxa"/>
                </w:tblCellMar>
              </w:tblPrEx>
              <w:trPr>
                <w:cantSplit/>
                <w:trHeight w:val="218" w:hRule="atLeast"/>
                <w:jc w:val="center"/>
              </w:trPr>
              <w:tc>
                <w:tcPr>
                  <w:tcW w:w="925"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c>
                <w:tcPr>
                  <w:tcW w:w="1321" w:type="dxa"/>
                  <w:tcBorders>
                    <w:top w:val="single" w:color="auto" w:sz="4" w:space="0"/>
                    <w:left w:val="single" w:color="auto" w:sz="6" w:space="0"/>
                    <w:right w:val="single" w:color="auto" w:sz="4"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浓度（</w:t>
                  </w:r>
                  <w:r>
                    <w:rPr>
                      <w:color w:val="auto"/>
                      <w:sz w:val="21"/>
                      <w:szCs w:val="21"/>
                      <w:highlight w:val="none"/>
                    </w:rPr>
                    <w:t>mg/L</w:t>
                  </w:r>
                  <w:r>
                    <w:rPr>
                      <w:rFonts w:hint="eastAsia" w:cs="宋体"/>
                      <w:color w:val="auto"/>
                      <w:sz w:val="21"/>
                      <w:szCs w:val="21"/>
                      <w:highlight w:val="none"/>
                    </w:rPr>
                    <w:t>）</w:t>
                  </w:r>
                </w:p>
              </w:tc>
              <w:tc>
                <w:tcPr>
                  <w:tcW w:w="1545"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污染物总量</w:t>
                  </w:r>
                  <w:r>
                    <w:rPr>
                      <w:color w:val="auto"/>
                      <w:sz w:val="21"/>
                      <w:szCs w:val="21"/>
                      <w:highlight w:val="none"/>
                    </w:rPr>
                    <w:t>(t/</w:t>
                  </w:r>
                  <w:r>
                    <w:rPr>
                      <w:rFonts w:hint="eastAsia"/>
                      <w:color w:val="auto"/>
                      <w:sz w:val="21"/>
                      <w:szCs w:val="21"/>
                      <w:highlight w:val="none"/>
                    </w:rPr>
                    <w:t>a</w:t>
                  </w:r>
                  <w:r>
                    <w:rPr>
                      <w:color w:val="auto"/>
                      <w:sz w:val="21"/>
                      <w:szCs w:val="21"/>
                      <w:highlight w:val="none"/>
                    </w:rPr>
                    <w:t>)</w:t>
                  </w:r>
                </w:p>
              </w:tc>
              <w:tc>
                <w:tcPr>
                  <w:tcW w:w="1333" w:type="dxa"/>
                  <w:tcBorders>
                    <w:top w:val="single" w:color="auto" w:sz="4" w:space="0"/>
                    <w:left w:val="single" w:color="auto" w:sz="4" w:space="0"/>
                    <w:right w:val="single" w:color="auto" w:sz="6"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浓度（</w:t>
                  </w:r>
                  <w:r>
                    <w:rPr>
                      <w:color w:val="auto"/>
                      <w:sz w:val="21"/>
                      <w:szCs w:val="21"/>
                      <w:highlight w:val="none"/>
                    </w:rPr>
                    <w:t>mg/L</w:t>
                  </w:r>
                  <w:r>
                    <w:rPr>
                      <w:rFonts w:hint="eastAsia" w:cs="宋体"/>
                      <w:color w:val="auto"/>
                      <w:sz w:val="21"/>
                      <w:szCs w:val="21"/>
                      <w:highlight w:val="none"/>
                    </w:rPr>
                    <w:t>）</w:t>
                  </w:r>
                </w:p>
              </w:tc>
              <w:tc>
                <w:tcPr>
                  <w:tcW w:w="1516" w:type="dxa"/>
                  <w:tcBorders>
                    <w:top w:val="single" w:color="auto" w:sz="4" w:space="0"/>
                    <w:left w:val="single" w:color="auto" w:sz="4" w:space="0"/>
                    <w:right w:val="single" w:color="auto" w:sz="6" w:space="0"/>
                  </w:tcBorders>
                  <w:shd w:val="clear" w:color="auto" w:fill="auto"/>
                  <w:vAlign w:val="center"/>
                </w:tcPr>
                <w:p>
                  <w:pPr>
                    <w:spacing w:line="240" w:lineRule="atLeast"/>
                    <w:jc w:val="center"/>
                    <w:rPr>
                      <w:color w:val="auto"/>
                      <w:sz w:val="21"/>
                      <w:szCs w:val="21"/>
                      <w:highlight w:val="none"/>
                    </w:rPr>
                  </w:pPr>
                  <w:r>
                    <w:rPr>
                      <w:rFonts w:hint="eastAsia" w:cs="宋体"/>
                      <w:color w:val="auto"/>
                      <w:sz w:val="21"/>
                      <w:szCs w:val="21"/>
                      <w:highlight w:val="none"/>
                    </w:rPr>
                    <w:t>污染物排放量</w:t>
                  </w:r>
                  <w:r>
                    <w:rPr>
                      <w:color w:val="auto"/>
                      <w:sz w:val="21"/>
                      <w:szCs w:val="21"/>
                      <w:highlight w:val="none"/>
                    </w:rPr>
                    <w:t>(t/</w:t>
                  </w:r>
                  <w:r>
                    <w:rPr>
                      <w:rFonts w:hint="eastAsia"/>
                      <w:color w:val="auto"/>
                      <w:sz w:val="21"/>
                      <w:szCs w:val="21"/>
                      <w:highlight w:val="none"/>
                    </w:rPr>
                    <w:t>a</w:t>
                  </w:r>
                  <w:r>
                    <w:rPr>
                      <w:color w:val="auto"/>
                      <w:sz w:val="21"/>
                      <w:szCs w:val="21"/>
                      <w:highlight w:val="none"/>
                    </w:rPr>
                    <w:t>)</w:t>
                  </w:r>
                </w:p>
              </w:tc>
              <w:tc>
                <w:tcPr>
                  <w:tcW w:w="1177"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c>
                <w:tcPr>
                  <w:tcW w:w="1077" w:type="dxa"/>
                  <w:vMerge w:val="continue"/>
                  <w:tcBorders>
                    <w:left w:val="single" w:color="auto" w:sz="6" w:space="0"/>
                    <w:bottom w:val="single" w:color="auto" w:sz="6" w:space="0"/>
                    <w:right w:val="single" w:color="auto" w:sz="6" w:space="0"/>
                  </w:tcBorders>
                  <w:shd w:val="clear" w:color="auto" w:fill="C0C0C0"/>
                  <w:vAlign w:val="center"/>
                </w:tcPr>
                <w:p>
                  <w:pPr>
                    <w:autoSpaceDE w:val="0"/>
                    <w:autoSpaceDN w:val="0"/>
                    <w:adjustRightInd w:val="0"/>
                    <w:spacing w:line="320" w:lineRule="exact"/>
                    <w:jc w:val="center"/>
                    <w:rPr>
                      <w:color w:val="auto"/>
                      <w:sz w:val="21"/>
                      <w:szCs w:val="21"/>
                      <w:highlight w:val="none"/>
                    </w:rPr>
                  </w:pPr>
                </w:p>
              </w:tc>
            </w:tr>
            <w:tr>
              <w:tblPrEx>
                <w:tblCellMar>
                  <w:top w:w="0" w:type="dxa"/>
                  <w:left w:w="108" w:type="dxa"/>
                  <w:bottom w:w="0" w:type="dxa"/>
                  <w:right w:w="108" w:type="dxa"/>
                </w:tblCellMar>
              </w:tblPrEx>
              <w:trPr>
                <w:trHeight w:val="346" w:hRule="atLeast"/>
                <w:jc w:val="center"/>
              </w:trPr>
              <w:tc>
                <w:tcPr>
                  <w:tcW w:w="925" w:type="dxa"/>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color w:val="auto"/>
                      <w:sz w:val="21"/>
                      <w:szCs w:val="21"/>
                      <w:highlight w:val="none"/>
                    </w:rPr>
                  </w:pPr>
                  <w:r>
                    <w:rPr>
                      <w:rFonts w:hint="eastAsia" w:cs="宋体"/>
                      <w:color w:val="auto"/>
                      <w:sz w:val="21"/>
                      <w:szCs w:val="21"/>
                      <w:highlight w:val="none"/>
                      <w:lang w:val="zh-CN"/>
                    </w:rPr>
                    <w:t>废水量</w:t>
                  </w:r>
                </w:p>
              </w:tc>
              <w:tc>
                <w:tcPr>
                  <w:tcW w:w="1321" w:type="dxa"/>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ascii="Times New Roman" w:hAnsi="Times New Roman" w:eastAsia="宋体" w:cs="Times New Roman"/>
                      <w:color w:val="auto"/>
                      <w:kern w:val="2"/>
                      <w:sz w:val="21"/>
                      <w:szCs w:val="21"/>
                      <w:highlight w:val="none"/>
                      <w:lang w:val="en-US" w:eastAsia="zh-CN" w:bidi="ar-SA"/>
                    </w:rPr>
                  </w:pPr>
                </w:p>
              </w:tc>
              <w:tc>
                <w:tcPr>
                  <w:tcW w:w="154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10.95</w:t>
                  </w:r>
                  <w:r>
                    <w:rPr>
                      <w:rFonts w:hint="eastAsia"/>
                      <w:color w:val="auto"/>
                      <w:sz w:val="21"/>
                      <w:szCs w:val="21"/>
                      <w:highlight w:val="none"/>
                    </w:rPr>
                    <w:t>万</w:t>
                  </w:r>
                </w:p>
              </w:tc>
              <w:tc>
                <w:tcPr>
                  <w:tcW w:w="1333"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ascii="Times New Roman" w:hAnsi="Times New Roman" w:eastAsia="宋体" w:cs="Times New Roman"/>
                      <w:color w:val="auto"/>
                      <w:kern w:val="2"/>
                      <w:sz w:val="21"/>
                      <w:szCs w:val="21"/>
                      <w:highlight w:val="none"/>
                      <w:lang w:val="en-US" w:eastAsia="zh-CN" w:bidi="ar-SA"/>
                    </w:rPr>
                  </w:pPr>
                </w:p>
              </w:tc>
              <w:tc>
                <w:tcPr>
                  <w:tcW w:w="1516"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10.95</w:t>
                  </w:r>
                  <w:r>
                    <w:rPr>
                      <w:rFonts w:hint="eastAsia"/>
                      <w:color w:val="auto"/>
                      <w:sz w:val="21"/>
                      <w:szCs w:val="21"/>
                      <w:highlight w:val="none"/>
                    </w:rPr>
                    <w:t>万</w:t>
                  </w:r>
                </w:p>
              </w:tc>
              <w:tc>
                <w:tcPr>
                  <w:tcW w:w="11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w:t>
                  </w:r>
                </w:p>
              </w:tc>
              <w:tc>
                <w:tcPr>
                  <w:tcW w:w="1077"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 w:val="21"/>
                      <w:szCs w:val="21"/>
                      <w:highlight w:val="none"/>
                    </w:rPr>
                    <w:t>0</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SS</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9</w:t>
                  </w:r>
                  <w:r>
                    <w:rPr>
                      <w:color w:val="auto"/>
                      <w:sz w:val="21"/>
                      <w:szCs w:val="21"/>
                      <w:highlight w:val="none"/>
                    </w:rPr>
                    <w:t>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9.855</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1.095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8.76</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88.9</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1</w:t>
                  </w:r>
                  <w:r>
                    <w:rPr>
                      <w:color w:val="auto"/>
                      <w:sz w:val="21"/>
                      <w:szCs w:val="21"/>
                      <w:highlight w:val="none"/>
                    </w:rPr>
                    <w:t>20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13.14</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10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1.095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12.045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91.7</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COD</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220</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24.09</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50</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5.475</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18.615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77.3</w:t>
                  </w:r>
                </w:p>
              </w:tc>
            </w:tr>
            <w:tr>
              <w:tblPrEx>
                <w:tblCellMar>
                  <w:top w:w="0" w:type="dxa"/>
                  <w:left w:w="108" w:type="dxa"/>
                  <w:bottom w:w="0" w:type="dxa"/>
                  <w:right w:w="108" w:type="dxa"/>
                </w:tblCellMar>
              </w:tblPrEx>
              <w:trPr>
                <w:trHeight w:val="302"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rFonts w:hint="eastAsia" w:cs="宋体"/>
                      <w:color w:val="auto"/>
                      <w:sz w:val="21"/>
                      <w:szCs w:val="21"/>
                      <w:highlight w:val="none"/>
                    </w:rPr>
                    <w:t>氨氮</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26</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2.847</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5</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0.548</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2.3725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80.8</w:t>
                  </w:r>
                </w:p>
              </w:tc>
            </w:tr>
            <w:tr>
              <w:tblPrEx>
                <w:tblCellMar>
                  <w:top w:w="0" w:type="dxa"/>
                  <w:left w:w="108" w:type="dxa"/>
                  <w:bottom w:w="0" w:type="dxa"/>
                  <w:right w:w="108" w:type="dxa"/>
                </w:tblCellMar>
              </w:tblPrEx>
              <w:trPr>
                <w:trHeight w:val="317" w:hRule="atLeast"/>
                <w:jc w:val="center"/>
              </w:trPr>
              <w:tc>
                <w:tcPr>
                  <w:tcW w:w="925" w:type="dxa"/>
                  <w:tcBorders>
                    <w:top w:val="single" w:color="auto" w:sz="6" w:space="0"/>
                    <w:left w:val="single" w:color="auto" w:sz="6" w:space="0"/>
                    <w:bottom w:val="single" w:color="auto" w:sz="6" w:space="0"/>
                    <w:right w:val="single" w:color="auto" w:sz="6" w:space="0"/>
                  </w:tcBorders>
                  <w:vAlign w:val="center"/>
                </w:tcPr>
                <w:p>
                  <w:pPr>
                    <w:jc w:val="center"/>
                    <w:rPr>
                      <w:color w:val="auto"/>
                      <w:sz w:val="21"/>
                      <w:szCs w:val="21"/>
                      <w:highlight w:val="none"/>
                    </w:rPr>
                  </w:pPr>
                  <w:r>
                    <w:rPr>
                      <w:color w:val="auto"/>
                      <w:sz w:val="21"/>
                      <w:szCs w:val="21"/>
                      <w:highlight w:val="none"/>
                    </w:rPr>
                    <w:t>TP</w:t>
                  </w:r>
                </w:p>
              </w:tc>
              <w:tc>
                <w:tcPr>
                  <w:tcW w:w="1321"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3.5</w:t>
                  </w:r>
                </w:p>
              </w:tc>
              <w:tc>
                <w:tcPr>
                  <w:tcW w:w="1545" w:type="dxa"/>
                  <w:tcBorders>
                    <w:top w:val="single" w:color="auto" w:sz="6" w:space="0"/>
                    <w:left w:val="single" w:color="auto" w:sz="6" w:space="0"/>
                    <w:bottom w:val="single" w:color="auto" w:sz="6" w:space="0"/>
                    <w:right w:val="single" w:color="auto"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0.383</w:t>
                  </w:r>
                </w:p>
              </w:tc>
              <w:tc>
                <w:tcPr>
                  <w:tcW w:w="1333" w:type="dxa"/>
                  <w:tcBorders>
                    <w:top w:val="single" w:color="auto" w:sz="6" w:space="0"/>
                    <w:left w:val="single" w:color="auto" w:sz="4" w:space="0"/>
                    <w:bottom w:val="single" w:color="auto" w:sz="6" w:space="0"/>
                    <w:right w:val="single" w:color="auto" w:sz="6" w:space="0"/>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0.5</w:t>
                  </w:r>
                </w:p>
              </w:tc>
              <w:tc>
                <w:tcPr>
                  <w:tcW w:w="1516"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0.0548</w:t>
                  </w:r>
                </w:p>
              </w:tc>
              <w:tc>
                <w:tcPr>
                  <w:tcW w:w="1177"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0.3285</w:t>
                  </w:r>
                </w:p>
              </w:tc>
              <w:tc>
                <w:tcPr>
                  <w:tcW w:w="10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85.8</w:t>
                  </w:r>
                </w:p>
              </w:tc>
            </w:tr>
          </w:tbl>
          <w:p>
            <w:pPr>
              <w:spacing w:line="420" w:lineRule="exact"/>
              <w:ind w:firstLine="480" w:firstLineChars="200"/>
              <w:rPr>
                <w:color w:val="auto"/>
                <w:sz w:val="24"/>
                <w:szCs w:val="24"/>
                <w:highlight w:val="none"/>
                <w:shd w:val="clear" w:color="auto" w:fill="auto"/>
                <w:lang w:val="zh-CN"/>
              </w:rPr>
            </w:pPr>
            <w:r>
              <w:rPr>
                <w:rFonts w:hint="eastAsia" w:cs="宋体"/>
                <w:color w:val="auto"/>
                <w:sz w:val="24"/>
                <w:szCs w:val="24"/>
                <w:highlight w:val="none"/>
              </w:rPr>
              <w:t>由表</w:t>
            </w:r>
            <w:r>
              <w:rPr>
                <w:rFonts w:hint="eastAsia" w:cs="宋体"/>
                <w:color w:val="auto"/>
                <w:sz w:val="24"/>
                <w:szCs w:val="24"/>
                <w:highlight w:val="none"/>
                <w:lang w:val="en-US" w:eastAsia="zh-CN"/>
              </w:rPr>
              <w:t>35</w:t>
            </w:r>
            <w:r>
              <w:rPr>
                <w:rFonts w:hint="eastAsia" w:cs="宋体"/>
                <w:color w:val="auto"/>
                <w:sz w:val="24"/>
                <w:szCs w:val="24"/>
                <w:highlight w:val="none"/>
              </w:rPr>
              <w:t>可知，在</w:t>
            </w:r>
            <w:r>
              <w:rPr>
                <w:rFonts w:hint="eastAsia" w:cs="宋体"/>
                <w:color w:val="auto"/>
                <w:sz w:val="24"/>
                <w:szCs w:val="24"/>
                <w:highlight w:val="none"/>
                <w:lang w:val="zh-CN"/>
              </w:rPr>
              <w:t>污水处理厂服务区内</w:t>
            </w:r>
            <w:r>
              <w:rPr>
                <w:rFonts w:hint="eastAsia" w:cs="宋体"/>
                <w:color w:val="auto"/>
                <w:sz w:val="24"/>
                <w:szCs w:val="24"/>
                <w:highlight w:val="none"/>
              </w:rPr>
              <w:t>，</w:t>
            </w:r>
            <w:r>
              <w:rPr>
                <w:rFonts w:hint="eastAsia" w:cs="宋体"/>
                <w:color w:val="auto"/>
                <w:sz w:val="24"/>
                <w:szCs w:val="24"/>
                <w:highlight w:val="none"/>
                <w:lang w:val="zh-CN"/>
              </w:rPr>
              <w:t>污水处理厂</w:t>
            </w:r>
            <w:r>
              <w:rPr>
                <w:rFonts w:hint="eastAsia" w:cs="宋体"/>
                <w:color w:val="auto"/>
                <w:sz w:val="24"/>
                <w:szCs w:val="24"/>
                <w:highlight w:val="none"/>
              </w:rPr>
              <w:t>投入满负荷运行后，</w:t>
            </w:r>
            <w:r>
              <w:rPr>
                <w:rFonts w:hint="eastAsia" w:cs="宋体"/>
                <w:color w:val="auto"/>
                <w:sz w:val="24"/>
                <w:szCs w:val="24"/>
                <w:highlight w:val="none"/>
                <w:lang w:val="zh-CN"/>
              </w:rPr>
              <w:t>尾水排放量维持不变</w:t>
            </w:r>
            <w:r>
              <w:rPr>
                <w:rFonts w:hint="eastAsia" w:cs="宋体"/>
                <w:color w:val="auto"/>
                <w:sz w:val="24"/>
                <w:szCs w:val="24"/>
                <w:highlight w:val="none"/>
              </w:rPr>
              <w:t>，</w:t>
            </w:r>
            <w:r>
              <w:rPr>
                <w:rFonts w:hint="eastAsia" w:cs="宋体"/>
                <w:color w:val="auto"/>
                <w:sz w:val="24"/>
                <w:szCs w:val="24"/>
                <w:highlight w:val="none"/>
                <w:lang w:val="zh-CN"/>
              </w:rPr>
              <w:t>但污水中的主要污染物均得到了削减</w:t>
            </w:r>
            <w:r>
              <w:rPr>
                <w:rFonts w:hint="eastAsia" w:cs="宋体"/>
                <w:color w:val="auto"/>
                <w:sz w:val="24"/>
                <w:szCs w:val="24"/>
                <w:highlight w:val="none"/>
                <w:shd w:val="clear" w:color="auto" w:fill="auto"/>
                <w:lang w:val="zh-CN"/>
              </w:rPr>
              <w:t>。其中</w:t>
            </w:r>
            <w:r>
              <w:rPr>
                <w:color w:val="auto"/>
                <w:sz w:val="24"/>
                <w:szCs w:val="24"/>
                <w:highlight w:val="none"/>
                <w:shd w:val="clear" w:color="auto" w:fill="auto"/>
                <w:lang w:val="zh-CN"/>
              </w:rPr>
              <w:t>SS</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8.76</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COD</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18.615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BOD</w:t>
            </w:r>
            <w:r>
              <w:rPr>
                <w:color w:val="auto"/>
                <w:sz w:val="24"/>
                <w:szCs w:val="24"/>
                <w:highlight w:val="none"/>
                <w:shd w:val="clear" w:color="auto" w:fill="auto"/>
                <w:vertAlign w:val="subscript"/>
                <w:lang w:val="zh-CN"/>
              </w:rPr>
              <w:t>5</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12.045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rFonts w:hint="eastAsia" w:cs="宋体"/>
                <w:color w:val="auto"/>
                <w:sz w:val="24"/>
                <w:szCs w:val="24"/>
                <w:highlight w:val="none"/>
                <w:shd w:val="clear" w:color="auto" w:fill="auto"/>
              </w:rPr>
              <w:t>氨氮</w:t>
            </w:r>
            <w:r>
              <w:rPr>
                <w:rFonts w:hint="eastAsia" w:cs="宋体"/>
                <w:color w:val="auto"/>
                <w:sz w:val="24"/>
                <w:szCs w:val="24"/>
                <w:highlight w:val="none"/>
                <w:shd w:val="clear" w:color="auto" w:fill="auto"/>
                <w:lang w:val="zh-CN"/>
              </w:rPr>
              <w:t>的排放量减少</w:t>
            </w:r>
            <w:r>
              <w:rPr>
                <w:rFonts w:hint="eastAsia"/>
                <w:color w:val="auto"/>
                <w:sz w:val="24"/>
                <w:szCs w:val="24"/>
                <w:highlight w:val="none"/>
                <w:shd w:val="clear" w:color="auto" w:fill="auto"/>
                <w:lang w:val="en-US" w:eastAsia="zh-CN"/>
              </w:rPr>
              <w:t>2.3725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r>
              <w:rPr>
                <w:color w:val="auto"/>
                <w:sz w:val="24"/>
                <w:szCs w:val="24"/>
                <w:highlight w:val="none"/>
                <w:shd w:val="clear" w:color="auto" w:fill="auto"/>
                <w:lang w:val="zh-CN"/>
              </w:rPr>
              <w:t>TP</w:t>
            </w:r>
            <w:r>
              <w:rPr>
                <w:rFonts w:hint="eastAsia" w:cs="宋体"/>
                <w:color w:val="auto"/>
                <w:sz w:val="24"/>
                <w:szCs w:val="24"/>
                <w:highlight w:val="none"/>
                <w:shd w:val="clear" w:color="auto" w:fill="auto"/>
                <w:lang w:val="zh-CN"/>
              </w:rPr>
              <w:t>排放量减少</w:t>
            </w:r>
            <w:r>
              <w:rPr>
                <w:rFonts w:hint="eastAsia"/>
                <w:color w:val="auto"/>
                <w:sz w:val="24"/>
                <w:szCs w:val="24"/>
                <w:highlight w:val="none"/>
                <w:shd w:val="clear" w:color="auto" w:fill="auto"/>
                <w:lang w:val="en-US" w:eastAsia="zh-CN"/>
              </w:rPr>
              <w:t>0.3285</w:t>
            </w:r>
            <w:r>
              <w:rPr>
                <w:color w:val="auto"/>
                <w:sz w:val="24"/>
                <w:szCs w:val="24"/>
                <w:highlight w:val="none"/>
                <w:shd w:val="clear" w:color="auto" w:fill="auto"/>
                <w:lang w:val="zh-CN"/>
              </w:rPr>
              <w:t>t/a</w:t>
            </w:r>
            <w:r>
              <w:rPr>
                <w:rFonts w:hint="eastAsia" w:cs="宋体"/>
                <w:color w:val="auto"/>
                <w:sz w:val="24"/>
                <w:szCs w:val="24"/>
                <w:highlight w:val="none"/>
                <w:shd w:val="clear" w:color="auto" w:fill="auto"/>
                <w:lang w:val="zh-CN"/>
              </w:rPr>
              <w:t>。</w:t>
            </w:r>
          </w:p>
          <w:p>
            <w:pPr>
              <w:pStyle w:val="2"/>
              <w:spacing w:line="460" w:lineRule="exact"/>
              <w:ind w:firstLine="480" w:firstLineChars="200"/>
              <w:rPr>
                <w:rFonts w:eastAsia="宋体" w:cs="宋体"/>
                <w:color w:val="auto"/>
                <w:spacing w:val="0"/>
                <w:sz w:val="24"/>
                <w:szCs w:val="24"/>
                <w:highlight w:val="none"/>
                <w:shd w:val="clear" w:color="FFFFFF" w:fill="D9D9D9"/>
              </w:rPr>
            </w:pPr>
            <w:r>
              <w:rPr>
                <w:rFonts w:eastAsia="宋体" w:cs="宋体"/>
                <w:color w:val="auto"/>
                <w:spacing w:val="0"/>
                <w:sz w:val="24"/>
                <w:szCs w:val="24"/>
                <w:highlight w:val="none"/>
                <w:shd w:val="clear" w:color="auto" w:fill="auto"/>
              </w:rPr>
              <w:t>根据本项目生产特点及对项目污染源及其源强的分析，确定 COD 和 NH</w:t>
            </w:r>
            <w:r>
              <w:rPr>
                <w:rFonts w:eastAsia="宋体" w:cs="宋体"/>
                <w:color w:val="auto"/>
                <w:spacing w:val="0"/>
                <w:sz w:val="24"/>
                <w:szCs w:val="24"/>
                <w:highlight w:val="none"/>
                <w:shd w:val="clear" w:color="auto" w:fill="auto"/>
                <w:vertAlign w:val="subscript"/>
              </w:rPr>
              <w:t>3</w:t>
            </w:r>
            <w:r>
              <w:rPr>
                <w:rFonts w:eastAsia="宋体" w:cs="宋体"/>
                <w:color w:val="auto"/>
                <w:spacing w:val="0"/>
                <w:sz w:val="24"/>
                <w:szCs w:val="24"/>
                <w:highlight w:val="none"/>
                <w:shd w:val="clear" w:color="auto" w:fill="auto"/>
              </w:rPr>
              <w:t xml:space="preserve">-N 为本项目的污染物总量控制因子，本项目每天废水处理量为 </w:t>
            </w:r>
            <w:r>
              <w:rPr>
                <w:rFonts w:hint="eastAsia" w:eastAsia="宋体" w:cs="宋体"/>
                <w:color w:val="auto"/>
                <w:spacing w:val="0"/>
                <w:sz w:val="24"/>
                <w:szCs w:val="24"/>
                <w:highlight w:val="none"/>
                <w:shd w:val="clear" w:color="auto" w:fill="auto"/>
                <w:lang w:val="en-US" w:eastAsia="zh-CN"/>
              </w:rPr>
              <w:t>3</w:t>
            </w:r>
            <w:r>
              <w:rPr>
                <w:rFonts w:eastAsia="宋体" w:cs="宋体"/>
                <w:color w:val="auto"/>
                <w:spacing w:val="0"/>
                <w:sz w:val="24"/>
                <w:szCs w:val="24"/>
                <w:highlight w:val="none"/>
                <w:shd w:val="clear" w:color="auto" w:fill="auto"/>
              </w:rPr>
              <w:t>00m</w:t>
            </w:r>
            <w:r>
              <w:rPr>
                <w:rFonts w:eastAsia="宋体" w:cs="宋体"/>
                <w:color w:val="auto"/>
                <w:spacing w:val="0"/>
                <w:sz w:val="24"/>
                <w:szCs w:val="24"/>
                <w:highlight w:val="none"/>
                <w:shd w:val="clear" w:color="auto" w:fill="auto"/>
                <w:vertAlign w:val="superscript"/>
              </w:rPr>
              <w:t>3</w:t>
            </w:r>
            <w:r>
              <w:rPr>
                <w:rFonts w:eastAsia="宋体" w:cs="宋体"/>
                <w:color w:val="auto"/>
                <w:spacing w:val="0"/>
                <w:sz w:val="24"/>
                <w:szCs w:val="24"/>
                <w:highlight w:val="none"/>
                <w:shd w:val="clear" w:color="auto" w:fill="auto"/>
              </w:rPr>
              <w:t>/d，出水为《城镇污水处理</w:t>
            </w:r>
            <w:bookmarkStart w:id="13" w:name="7.2.7环保投资、“三同时”验收、环境管理与监测计划"/>
            <w:bookmarkEnd w:id="13"/>
            <w:bookmarkStart w:id="14" w:name="7.2.6环境限制性因素"/>
            <w:bookmarkEnd w:id="14"/>
            <w:r>
              <w:rPr>
                <w:rFonts w:eastAsia="宋体" w:cs="宋体"/>
                <w:color w:val="auto"/>
                <w:spacing w:val="0"/>
                <w:sz w:val="24"/>
                <w:szCs w:val="24"/>
                <w:highlight w:val="none"/>
                <w:shd w:val="clear" w:color="auto" w:fill="auto"/>
              </w:rPr>
              <w:t>厂污染物排放标准》（GB18918-2002）表 1 中一级标准 A 标准，总量控制指标为 COD：</w:t>
            </w:r>
            <w:r>
              <w:rPr>
                <w:rFonts w:hint="eastAsia" w:eastAsia="宋体" w:cs="宋体"/>
                <w:color w:val="auto"/>
                <w:spacing w:val="0"/>
                <w:sz w:val="24"/>
                <w:szCs w:val="24"/>
                <w:highlight w:val="none"/>
                <w:shd w:val="clear" w:color="auto" w:fill="auto"/>
                <w:lang w:val="en-US" w:eastAsia="zh-CN"/>
              </w:rPr>
              <w:t>5.745</w:t>
            </w:r>
            <w:r>
              <w:rPr>
                <w:rFonts w:eastAsia="宋体" w:cs="宋体"/>
                <w:color w:val="auto"/>
                <w:spacing w:val="0"/>
                <w:sz w:val="24"/>
                <w:szCs w:val="24"/>
                <w:highlight w:val="none"/>
                <w:shd w:val="clear" w:color="auto" w:fill="auto"/>
              </w:rPr>
              <w:t>t/a，NH</w:t>
            </w:r>
            <w:r>
              <w:rPr>
                <w:rFonts w:eastAsia="宋体" w:cs="宋体"/>
                <w:color w:val="auto"/>
                <w:spacing w:val="0"/>
                <w:sz w:val="24"/>
                <w:szCs w:val="24"/>
                <w:highlight w:val="none"/>
                <w:shd w:val="clear" w:color="auto" w:fill="auto"/>
                <w:vertAlign w:val="subscript"/>
              </w:rPr>
              <w:t>3</w:t>
            </w:r>
            <w:r>
              <w:rPr>
                <w:rFonts w:eastAsia="宋体" w:cs="宋体"/>
                <w:color w:val="auto"/>
                <w:spacing w:val="0"/>
                <w:sz w:val="24"/>
                <w:szCs w:val="24"/>
                <w:highlight w:val="none"/>
                <w:shd w:val="clear" w:color="auto" w:fill="auto"/>
              </w:rPr>
              <w:t>-N：</w:t>
            </w:r>
            <w:r>
              <w:rPr>
                <w:rFonts w:hint="eastAsia" w:eastAsia="宋体" w:cs="宋体"/>
                <w:color w:val="auto"/>
                <w:spacing w:val="0"/>
                <w:sz w:val="24"/>
                <w:szCs w:val="24"/>
                <w:highlight w:val="none"/>
                <w:shd w:val="clear" w:color="auto" w:fill="auto"/>
                <w:lang w:val="en-US" w:eastAsia="zh-CN"/>
              </w:rPr>
              <w:t>0.548</w:t>
            </w:r>
            <w:r>
              <w:rPr>
                <w:rFonts w:eastAsia="宋体" w:cs="宋体"/>
                <w:color w:val="auto"/>
                <w:spacing w:val="0"/>
                <w:sz w:val="24"/>
                <w:szCs w:val="24"/>
                <w:highlight w:val="none"/>
                <w:shd w:val="clear" w:color="auto" w:fill="auto"/>
              </w:rPr>
              <w:t>t/a。</w:t>
            </w:r>
            <w:r>
              <w:rPr>
                <w:rFonts w:hint="eastAsia" w:eastAsia="宋体" w:cs="宋体"/>
                <w:color w:val="auto"/>
                <w:spacing w:val="0"/>
                <w:sz w:val="24"/>
                <w:szCs w:val="24"/>
                <w:highlight w:val="none"/>
                <w:shd w:val="clear" w:color="auto" w:fill="auto"/>
                <w:lang w:val="en-US" w:eastAsia="zh-CN"/>
              </w:rPr>
              <w:t>本项目为环保工程，是减排项目，无需申请总量。</w:t>
            </w:r>
          </w:p>
          <w:p>
            <w:pPr>
              <w:spacing w:line="420" w:lineRule="exact"/>
              <w:ind w:firstLine="479" w:firstLineChars="199"/>
              <w:rPr>
                <w:b/>
                <w:bCs/>
                <w:snapToGrid w:val="0"/>
                <w:color w:val="auto"/>
                <w:sz w:val="24"/>
                <w:szCs w:val="24"/>
                <w:highlight w:val="none"/>
                <w:u w:val="none"/>
              </w:rPr>
            </w:pPr>
            <w:r>
              <w:rPr>
                <w:b/>
                <w:bCs/>
                <w:color w:val="auto"/>
                <w:sz w:val="24"/>
                <w:szCs w:val="24"/>
                <w:highlight w:val="none"/>
                <w:u w:val="none"/>
              </w:rPr>
              <w:t>8</w:t>
            </w:r>
            <w:r>
              <w:rPr>
                <w:rFonts w:hint="eastAsia"/>
                <w:b/>
                <w:bCs/>
                <w:color w:val="auto"/>
                <w:sz w:val="24"/>
                <w:szCs w:val="24"/>
                <w:highlight w:val="none"/>
                <w:u w:val="none"/>
              </w:rPr>
              <w:t>、环保投资及“</w:t>
            </w:r>
            <w:r>
              <w:rPr>
                <w:rFonts w:hint="eastAsia" w:cs="宋体"/>
                <w:b/>
                <w:bCs/>
                <w:snapToGrid w:val="0"/>
                <w:color w:val="auto"/>
                <w:sz w:val="24"/>
                <w:szCs w:val="24"/>
                <w:highlight w:val="none"/>
                <w:u w:val="none"/>
              </w:rPr>
              <w:t>三同时”竣工验收</w:t>
            </w:r>
          </w:p>
          <w:p>
            <w:pPr>
              <w:adjustRightInd w:val="0"/>
              <w:snapToGrid w:val="0"/>
              <w:spacing w:line="440" w:lineRule="exact"/>
              <w:ind w:firstLine="480" w:firstLineChars="200"/>
              <w:rPr>
                <w:rFonts w:cs="宋体"/>
                <w:snapToGrid w:val="0"/>
                <w:color w:val="auto"/>
                <w:kern w:val="0"/>
                <w:sz w:val="24"/>
                <w:szCs w:val="24"/>
                <w:highlight w:val="none"/>
                <w:u w:val="none"/>
              </w:rPr>
            </w:pPr>
            <w:r>
              <w:rPr>
                <w:rFonts w:hint="eastAsia" w:cs="宋体"/>
                <w:snapToGrid w:val="0"/>
                <w:color w:val="auto"/>
                <w:kern w:val="0"/>
                <w:sz w:val="24"/>
                <w:szCs w:val="24"/>
                <w:highlight w:val="none"/>
                <w:u w:val="none"/>
              </w:rPr>
              <w:t>8.1环保投资</w:t>
            </w:r>
          </w:p>
          <w:p>
            <w:pPr>
              <w:adjustRightInd w:val="0"/>
              <w:snapToGrid w:val="0"/>
              <w:spacing w:line="440" w:lineRule="exact"/>
              <w:ind w:firstLine="480" w:firstLineChars="200"/>
              <w:rPr>
                <w:rFonts w:cs="宋体"/>
                <w:snapToGrid w:val="0"/>
                <w:color w:val="auto"/>
                <w:kern w:val="0"/>
                <w:sz w:val="24"/>
                <w:szCs w:val="24"/>
                <w:highlight w:val="none"/>
                <w:u w:val="single"/>
              </w:rPr>
            </w:pPr>
            <w:r>
              <w:rPr>
                <w:rFonts w:hint="eastAsia" w:cs="宋体"/>
                <w:snapToGrid w:val="0"/>
                <w:color w:val="auto"/>
                <w:kern w:val="0"/>
                <w:sz w:val="24"/>
                <w:szCs w:val="24"/>
                <w:highlight w:val="none"/>
                <w:u w:val="single"/>
              </w:rPr>
              <w:t>本项目本身为环保工程，工程总投资为 1590.87 万元万元，环保投资为 1590.87 万元，占总投资的</w:t>
            </w:r>
            <w:r>
              <w:rPr>
                <w:rFonts w:hint="eastAsia" w:cs="宋体"/>
                <w:snapToGrid w:val="0"/>
                <w:color w:val="auto"/>
                <w:kern w:val="0"/>
                <w:sz w:val="24"/>
                <w:szCs w:val="24"/>
                <w:highlight w:val="none"/>
                <w:u w:val="single"/>
                <w:lang w:val="en-US" w:eastAsia="zh-CN"/>
              </w:rPr>
              <w:t>100</w:t>
            </w:r>
            <w:r>
              <w:rPr>
                <w:rFonts w:hint="eastAsia" w:cs="宋体"/>
                <w:snapToGrid w:val="0"/>
                <w:color w:val="auto"/>
                <w:kern w:val="0"/>
                <w:sz w:val="24"/>
                <w:szCs w:val="24"/>
                <w:highlight w:val="none"/>
                <w:u w:val="single"/>
              </w:rPr>
              <w:t>%。</w:t>
            </w:r>
          </w:p>
          <w:p>
            <w:pPr>
              <w:adjustRightInd w:val="0"/>
              <w:snapToGrid w:val="0"/>
              <w:spacing w:line="440" w:lineRule="exact"/>
              <w:ind w:firstLine="480" w:firstLineChars="200"/>
              <w:jc w:val="center"/>
              <w:rPr>
                <w:rFonts w:cs="宋体"/>
                <w:snapToGrid w:val="0"/>
                <w:color w:val="auto"/>
                <w:kern w:val="0"/>
                <w:sz w:val="24"/>
                <w:szCs w:val="24"/>
                <w:highlight w:val="none"/>
                <w:u w:val="single"/>
              </w:rPr>
            </w:pPr>
            <w:r>
              <w:rPr>
                <w:rFonts w:hint="eastAsia" w:cs="宋体"/>
                <w:snapToGrid w:val="0"/>
                <w:color w:val="auto"/>
                <w:kern w:val="0"/>
                <w:sz w:val="24"/>
                <w:szCs w:val="24"/>
                <w:highlight w:val="none"/>
                <w:u w:val="single"/>
              </w:rPr>
              <w:t>表</w:t>
            </w:r>
            <w:r>
              <w:rPr>
                <w:rFonts w:hint="eastAsia" w:cs="宋体"/>
                <w:snapToGrid w:val="0"/>
                <w:color w:val="auto"/>
                <w:kern w:val="0"/>
                <w:sz w:val="24"/>
                <w:szCs w:val="24"/>
                <w:highlight w:val="none"/>
                <w:u w:val="single"/>
                <w:lang w:val="en-US" w:eastAsia="zh-CN"/>
              </w:rPr>
              <w:t>36</w:t>
            </w:r>
            <w:r>
              <w:rPr>
                <w:rFonts w:hint="eastAsia" w:cs="宋体"/>
                <w:snapToGrid w:val="0"/>
                <w:color w:val="auto"/>
                <w:kern w:val="0"/>
                <w:sz w:val="24"/>
                <w:szCs w:val="24"/>
                <w:highlight w:val="none"/>
                <w:u w:val="single"/>
              </w:rPr>
              <w:tab/>
            </w:r>
            <w:r>
              <w:rPr>
                <w:rFonts w:hint="eastAsia" w:cs="宋体"/>
                <w:snapToGrid w:val="0"/>
                <w:color w:val="auto"/>
                <w:kern w:val="0"/>
                <w:sz w:val="24"/>
                <w:szCs w:val="24"/>
                <w:highlight w:val="none"/>
                <w:u w:val="single"/>
              </w:rPr>
              <w:t>环保措施一览表</w:t>
            </w:r>
          </w:p>
          <w:tbl>
            <w:tblPr>
              <w:tblStyle w:val="29"/>
              <w:tblW w:w="77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2"/>
              <w:gridCol w:w="1252"/>
              <w:gridCol w:w="4732"/>
              <w:gridCol w:w="1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jc w:val="center"/>
              </w:trPr>
              <w:tc>
                <w:tcPr>
                  <w:tcW w:w="1884" w:type="dxa"/>
                  <w:gridSpan w:val="2"/>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污染源</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工程措施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投资时期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废水</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施工废水</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隔油池、沉淀池</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地下水防渗</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地面硬化、防渗措施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排放口</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尾水总排管</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废气</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扬尘</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路面洒水除尘，设立施工围挡</w:t>
                  </w:r>
                </w:p>
              </w:tc>
              <w:tc>
                <w:tcPr>
                  <w:tcW w:w="1131"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汽车尾气</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加强车辆保养维护</w:t>
                  </w:r>
                </w:p>
              </w:tc>
              <w:tc>
                <w:tcPr>
                  <w:tcW w:w="1131"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恶臭气体</w:t>
                  </w:r>
                </w:p>
              </w:tc>
              <w:tc>
                <w:tcPr>
                  <w:tcW w:w="4732" w:type="dxa"/>
                  <w:vAlign w:val="center"/>
                </w:tcPr>
                <w:p>
                  <w:pPr>
                    <w:adjustRightInd w:val="0"/>
                    <w:snapToGrid w:val="0"/>
                    <w:spacing w:line="240" w:lineRule="atLeast"/>
                    <w:jc w:val="center"/>
                    <w:rPr>
                      <w:rFonts w:hint="default" w:eastAsia="宋体" w:cs="宋体"/>
                      <w:snapToGrid w:val="0"/>
                      <w:color w:val="auto"/>
                      <w:kern w:val="0"/>
                      <w:sz w:val="21"/>
                      <w:szCs w:val="21"/>
                      <w:highlight w:val="none"/>
                      <w:u w:val="single"/>
                      <w:lang w:val="en-US" w:eastAsia="zh-CN"/>
                    </w:rPr>
                  </w:pPr>
                  <w:r>
                    <w:rPr>
                      <w:rFonts w:hint="eastAsia" w:cs="宋体"/>
                      <w:snapToGrid w:val="0"/>
                      <w:color w:val="auto"/>
                      <w:kern w:val="0"/>
                      <w:sz w:val="21"/>
                      <w:szCs w:val="21"/>
                      <w:highlight w:val="none"/>
                      <w:u w:val="single"/>
                    </w:rPr>
                    <w:t>运行过程加强环境卫生管理，重视消毒杀毒灭蚊蝇 工作，加强绿化</w:t>
                  </w:r>
                  <w:r>
                    <w:rPr>
                      <w:rFonts w:hint="eastAsia" w:cs="宋体"/>
                      <w:snapToGrid w:val="0"/>
                      <w:color w:val="auto"/>
                      <w:kern w:val="0"/>
                      <w:sz w:val="21"/>
                      <w:szCs w:val="21"/>
                      <w:highlight w:val="none"/>
                      <w:u w:val="single"/>
                      <w:lang w:eastAsia="zh-CN"/>
                    </w:rPr>
                    <w:t>，</w:t>
                  </w:r>
                  <w:r>
                    <w:rPr>
                      <w:rFonts w:hint="eastAsia" w:cs="宋体"/>
                      <w:snapToGrid w:val="0"/>
                      <w:color w:val="auto"/>
                      <w:kern w:val="0"/>
                      <w:sz w:val="21"/>
                      <w:szCs w:val="21"/>
                      <w:highlight w:val="none"/>
                      <w:u w:val="single"/>
                      <w:lang w:val="en-US" w:eastAsia="zh-CN"/>
                    </w:rPr>
                    <w:t>一体化设备加盖</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运营期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噪声</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机械噪声</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选用低噪设备，设置围墙，合理施工</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机械机房等</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隔声减震、低噪声设备、隔声罩</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jc w:val="center"/>
              </w:trPr>
              <w:tc>
                <w:tcPr>
                  <w:tcW w:w="632"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固废</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生活垃圾</w:t>
                  </w: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垃圾收集与清运措施</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施工期</w:t>
                  </w:r>
                </w:p>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污泥</w:t>
                  </w:r>
                </w:p>
              </w:tc>
              <w:tc>
                <w:tcPr>
                  <w:tcW w:w="4732" w:type="dxa"/>
                  <w:vAlign w:val="center"/>
                </w:tcPr>
                <w:p>
                  <w:pPr>
                    <w:adjustRightInd w:val="0"/>
                    <w:snapToGrid w:val="0"/>
                    <w:spacing w:line="240" w:lineRule="atLeast"/>
                    <w:jc w:val="center"/>
                    <w:rPr>
                      <w:rFonts w:hint="default" w:eastAsia="宋体" w:cs="宋体"/>
                      <w:snapToGrid w:val="0"/>
                      <w:color w:val="auto"/>
                      <w:kern w:val="0"/>
                      <w:sz w:val="21"/>
                      <w:szCs w:val="21"/>
                      <w:highlight w:val="none"/>
                      <w:u w:val="single"/>
                      <w:lang w:val="en-US" w:eastAsia="zh-CN"/>
                    </w:rPr>
                  </w:pPr>
                  <w:r>
                    <w:rPr>
                      <w:rFonts w:hint="default" w:ascii="Times New Roman" w:hAnsi="Times New Roman" w:eastAsia="宋体" w:cs="Times New Roman"/>
                      <w:sz w:val="21"/>
                      <w:szCs w:val="21"/>
                      <w:u w:val="single"/>
                      <w:lang w:val="en-US" w:eastAsia="zh-CN"/>
                    </w:rPr>
                    <w:t>由污泥车定期运往南湖洲镇污水处理厂脱水，再运至砖厂制砖。</w:t>
                  </w:r>
                </w:p>
              </w:tc>
              <w:tc>
                <w:tcPr>
                  <w:tcW w:w="1131" w:type="dxa"/>
                  <w:vMerge w:val="restart"/>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jc w:val="center"/>
              </w:trPr>
              <w:tc>
                <w:tcPr>
                  <w:tcW w:w="632" w:type="dxa"/>
                  <w:vMerge w:val="continue"/>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1252" w:type="dxa"/>
                  <w:vAlign w:val="center"/>
                </w:tcPr>
                <w:p>
                  <w:pPr>
                    <w:adjustRightInd w:val="0"/>
                    <w:snapToGrid w:val="0"/>
                    <w:spacing w:line="240" w:lineRule="atLeast"/>
                    <w:jc w:val="center"/>
                    <w:rPr>
                      <w:rFonts w:hint="eastAsia" w:eastAsia="宋体" w:cs="宋体"/>
                      <w:snapToGrid w:val="0"/>
                      <w:color w:val="auto"/>
                      <w:kern w:val="0"/>
                      <w:sz w:val="21"/>
                      <w:szCs w:val="21"/>
                      <w:highlight w:val="none"/>
                      <w:u w:val="single"/>
                      <w:lang w:eastAsia="zh-CN"/>
                    </w:rPr>
                  </w:pPr>
                  <w:r>
                    <w:rPr>
                      <w:rFonts w:hint="eastAsia" w:cs="宋体"/>
                      <w:snapToGrid w:val="0"/>
                      <w:color w:val="auto"/>
                      <w:kern w:val="0"/>
                      <w:sz w:val="21"/>
                      <w:szCs w:val="21"/>
                      <w:highlight w:val="none"/>
                      <w:u w:val="single"/>
                      <w:lang w:eastAsia="zh-CN"/>
                    </w:rPr>
                    <w:t>废紫外线灯管</w:t>
                  </w:r>
                </w:p>
              </w:tc>
              <w:tc>
                <w:tcPr>
                  <w:tcW w:w="4732" w:type="dxa"/>
                  <w:vAlign w:val="center"/>
                </w:tcPr>
                <w:p>
                  <w:pPr>
                    <w:adjustRightInd w:val="0"/>
                    <w:snapToGrid w:val="0"/>
                    <w:spacing w:line="240" w:lineRule="atLeast"/>
                    <w:jc w:val="center"/>
                    <w:rPr>
                      <w:rFonts w:hint="eastAsia" w:eastAsia="宋体" w:cs="宋体"/>
                      <w:snapToGrid w:val="0"/>
                      <w:color w:val="auto"/>
                      <w:kern w:val="0"/>
                      <w:sz w:val="21"/>
                      <w:szCs w:val="21"/>
                      <w:highlight w:val="none"/>
                      <w:u w:val="single"/>
                      <w:lang w:eastAsia="zh-CN"/>
                    </w:rPr>
                  </w:pPr>
                  <w:r>
                    <w:rPr>
                      <w:rFonts w:hint="eastAsia" w:cs="宋体"/>
                      <w:snapToGrid w:val="0"/>
                      <w:color w:val="auto"/>
                      <w:kern w:val="0"/>
                      <w:sz w:val="21"/>
                      <w:szCs w:val="21"/>
                      <w:highlight w:val="none"/>
                      <w:u w:val="single"/>
                      <w:lang w:eastAsia="zh-CN"/>
                    </w:rPr>
                    <w:t>固废暂存间</w:t>
                  </w:r>
                </w:p>
              </w:tc>
              <w:tc>
                <w:tcPr>
                  <w:tcW w:w="1131" w:type="dxa"/>
                  <w:vMerge w:val="continue"/>
                  <w:vAlign w:val="center"/>
                </w:tcPr>
                <w:p>
                  <w:pPr>
                    <w:adjustRightInd w:val="0"/>
                    <w:snapToGrid w:val="0"/>
                    <w:spacing w:line="240" w:lineRule="atLeast"/>
                    <w:jc w:val="center"/>
                    <w:rPr>
                      <w:rFonts w:hint="eastAsia" w:cs="宋体"/>
                      <w:snapToGrid w:val="0"/>
                      <w:color w:val="auto"/>
                      <w:kern w:val="0"/>
                      <w:sz w:val="21"/>
                      <w:szCs w:val="21"/>
                      <w:highlight w:val="none"/>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绿化</w:t>
                  </w:r>
                </w:p>
              </w:tc>
              <w:tc>
                <w:tcPr>
                  <w:tcW w:w="1252" w:type="dxa"/>
                  <w:vAlign w:val="center"/>
                </w:tcPr>
                <w:p>
                  <w:pPr>
                    <w:adjustRightInd w:val="0"/>
                    <w:snapToGrid w:val="0"/>
                    <w:spacing w:line="240" w:lineRule="atLeast"/>
                    <w:jc w:val="center"/>
                    <w:rPr>
                      <w:rFonts w:cs="宋体"/>
                      <w:snapToGrid w:val="0"/>
                      <w:color w:val="auto"/>
                      <w:kern w:val="0"/>
                      <w:sz w:val="21"/>
                      <w:szCs w:val="21"/>
                      <w:highlight w:val="none"/>
                      <w:u w:val="single"/>
                    </w:rPr>
                  </w:pPr>
                </w:p>
              </w:tc>
              <w:tc>
                <w:tcPr>
                  <w:tcW w:w="4732"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厂区绿化、周边防护林带、管线周围植被恢复</w:t>
                  </w:r>
                </w:p>
              </w:tc>
              <w:tc>
                <w:tcPr>
                  <w:tcW w:w="1131" w:type="dxa"/>
                  <w:vAlign w:val="center"/>
                </w:tcPr>
                <w:p>
                  <w:pPr>
                    <w:adjustRightInd w:val="0"/>
                    <w:snapToGrid w:val="0"/>
                    <w:spacing w:line="240" w:lineRule="atLeast"/>
                    <w:jc w:val="center"/>
                    <w:rPr>
                      <w:rFonts w:cs="宋体"/>
                      <w:snapToGrid w:val="0"/>
                      <w:color w:val="auto"/>
                      <w:kern w:val="0"/>
                      <w:sz w:val="21"/>
                      <w:szCs w:val="21"/>
                      <w:highlight w:val="none"/>
                      <w:u w:val="single"/>
                    </w:rPr>
                  </w:pPr>
                  <w:r>
                    <w:rPr>
                      <w:rFonts w:hint="eastAsia" w:cs="宋体"/>
                      <w:snapToGrid w:val="0"/>
                      <w:color w:val="auto"/>
                      <w:kern w:val="0"/>
                      <w:sz w:val="21"/>
                      <w:szCs w:val="21"/>
                      <w:highlight w:val="none"/>
                      <w:u w:val="single"/>
                    </w:rPr>
                    <w:t>营运期</w:t>
                  </w:r>
                </w:p>
              </w:tc>
            </w:tr>
          </w:tbl>
          <w:p>
            <w:pPr>
              <w:adjustRightInd w:val="0"/>
              <w:snapToGrid w:val="0"/>
              <w:spacing w:line="440" w:lineRule="exact"/>
              <w:ind w:firstLine="480" w:firstLineChars="200"/>
              <w:rPr>
                <w:rFonts w:hint="eastAsia" w:cs="宋体"/>
                <w:snapToGrid w:val="0"/>
                <w:color w:val="auto"/>
                <w:kern w:val="0"/>
                <w:sz w:val="24"/>
                <w:szCs w:val="24"/>
                <w:highlight w:val="none"/>
                <w:u w:val="none"/>
              </w:rPr>
            </w:pPr>
            <w:r>
              <w:rPr>
                <w:rFonts w:hint="eastAsia" w:cs="宋体"/>
                <w:snapToGrid w:val="0"/>
                <w:color w:val="auto"/>
                <w:kern w:val="0"/>
                <w:sz w:val="24"/>
                <w:szCs w:val="24"/>
                <w:highlight w:val="none"/>
                <w:u w:val="none"/>
              </w:rPr>
              <w:t>8.2 “三同时”竣工验收</w:t>
            </w:r>
          </w:p>
          <w:p>
            <w:pPr>
              <w:adjustRightInd w:val="0"/>
              <w:snapToGrid w:val="0"/>
              <w:spacing w:line="440" w:lineRule="exact"/>
              <w:ind w:firstLine="480" w:firstLineChars="200"/>
              <w:rPr>
                <w:rFonts w:cs="宋体"/>
                <w:snapToGrid w:val="0"/>
                <w:color w:val="auto"/>
                <w:kern w:val="0"/>
                <w:sz w:val="24"/>
                <w:szCs w:val="24"/>
                <w:highlight w:val="none"/>
                <w:u w:val="none"/>
              </w:rPr>
            </w:pPr>
            <w:r>
              <w:rPr>
                <w:rFonts w:hint="eastAsia" w:cs="宋体"/>
                <w:snapToGrid w:val="0"/>
                <w:color w:val="auto"/>
                <w:kern w:val="0"/>
                <w:sz w:val="24"/>
                <w:szCs w:val="24"/>
                <w:highlight w:val="none"/>
                <w:u w:val="none"/>
              </w:rPr>
              <w:t>本工程环境保护措施验收内容见表</w:t>
            </w:r>
            <w:r>
              <w:rPr>
                <w:rFonts w:hint="eastAsia" w:cs="宋体"/>
                <w:snapToGrid w:val="0"/>
                <w:color w:val="auto"/>
                <w:kern w:val="0"/>
                <w:sz w:val="24"/>
                <w:szCs w:val="24"/>
                <w:highlight w:val="none"/>
                <w:u w:val="none"/>
                <w:lang w:val="en-US" w:eastAsia="zh-CN"/>
              </w:rPr>
              <w:t>37</w:t>
            </w:r>
            <w:r>
              <w:rPr>
                <w:rFonts w:hint="eastAsia" w:cs="宋体"/>
                <w:snapToGrid w:val="0"/>
                <w:color w:val="auto"/>
                <w:kern w:val="0"/>
                <w:sz w:val="24"/>
                <w:szCs w:val="24"/>
                <w:highlight w:val="none"/>
                <w:u w:val="none"/>
              </w:rPr>
              <w:t>，各项环保措施必须和主体工程一道通过竣工验收后，方可运行。</w:t>
            </w:r>
          </w:p>
          <w:p>
            <w:pPr>
              <w:pStyle w:val="27"/>
              <w:spacing w:after="0"/>
              <w:ind w:firstLine="0" w:firstLineChars="0"/>
              <w:jc w:val="center"/>
              <w:rPr>
                <w:b/>
                <w:bCs/>
                <w:snapToGrid w:val="0"/>
                <w:color w:val="auto"/>
                <w:kern w:val="0"/>
                <w:sz w:val="24"/>
                <w:szCs w:val="24"/>
                <w:highlight w:val="none"/>
                <w:u w:val="single"/>
              </w:rPr>
            </w:pPr>
            <w:r>
              <w:rPr>
                <w:rFonts w:hint="eastAsia" w:cs="宋体"/>
                <w:b/>
                <w:bCs/>
                <w:snapToGrid w:val="0"/>
                <w:color w:val="auto"/>
                <w:kern w:val="0"/>
                <w:sz w:val="24"/>
                <w:szCs w:val="24"/>
                <w:highlight w:val="none"/>
                <w:u w:val="single"/>
              </w:rPr>
              <w:t>表</w:t>
            </w:r>
            <w:r>
              <w:rPr>
                <w:rFonts w:hint="eastAsia" w:cs="宋体"/>
                <w:b/>
                <w:bCs/>
                <w:snapToGrid w:val="0"/>
                <w:color w:val="auto"/>
                <w:kern w:val="0"/>
                <w:sz w:val="24"/>
                <w:szCs w:val="24"/>
                <w:highlight w:val="none"/>
                <w:u w:val="single"/>
                <w:lang w:val="en-US" w:eastAsia="zh-CN"/>
              </w:rPr>
              <w:t>37</w:t>
            </w:r>
            <w:r>
              <w:rPr>
                <w:rFonts w:hint="eastAsia" w:cs="宋体"/>
                <w:b/>
                <w:bCs/>
                <w:snapToGrid w:val="0"/>
                <w:color w:val="auto"/>
                <w:kern w:val="0"/>
                <w:sz w:val="24"/>
                <w:szCs w:val="24"/>
                <w:highlight w:val="none"/>
                <w:u w:val="single"/>
              </w:rPr>
              <w:t xml:space="preserve">  工程环保设施</w:t>
            </w:r>
            <w:r>
              <w:rPr>
                <w:b/>
                <w:bCs/>
                <w:snapToGrid w:val="0"/>
                <w:color w:val="auto"/>
                <w:kern w:val="0"/>
                <w:sz w:val="24"/>
                <w:szCs w:val="24"/>
                <w:highlight w:val="none"/>
                <w:u w:val="single"/>
              </w:rPr>
              <w:t>“</w:t>
            </w:r>
            <w:r>
              <w:rPr>
                <w:rFonts w:hint="eastAsia" w:cs="宋体"/>
                <w:b/>
                <w:bCs/>
                <w:snapToGrid w:val="0"/>
                <w:color w:val="auto"/>
                <w:kern w:val="0"/>
                <w:sz w:val="24"/>
                <w:szCs w:val="24"/>
                <w:highlight w:val="none"/>
                <w:u w:val="single"/>
              </w:rPr>
              <w:t>三同时</w:t>
            </w:r>
            <w:r>
              <w:rPr>
                <w:b/>
                <w:bCs/>
                <w:snapToGrid w:val="0"/>
                <w:color w:val="auto"/>
                <w:kern w:val="0"/>
                <w:sz w:val="24"/>
                <w:szCs w:val="24"/>
                <w:highlight w:val="none"/>
                <w:u w:val="single"/>
              </w:rPr>
              <w:t>”</w:t>
            </w:r>
            <w:r>
              <w:rPr>
                <w:rFonts w:hint="eastAsia" w:cs="宋体"/>
                <w:b/>
                <w:bCs/>
                <w:snapToGrid w:val="0"/>
                <w:color w:val="auto"/>
                <w:kern w:val="0"/>
                <w:sz w:val="24"/>
                <w:szCs w:val="24"/>
                <w:highlight w:val="none"/>
                <w:u w:val="single"/>
              </w:rPr>
              <w:t>竣工验收表</w:t>
            </w:r>
          </w:p>
          <w:tbl>
            <w:tblPr>
              <w:tblStyle w:val="29"/>
              <w:tblW w:w="879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7" w:type="dxa"/>
                <w:left w:w="108" w:type="dxa"/>
                <w:bottom w:w="57" w:type="dxa"/>
                <w:right w:w="108" w:type="dxa"/>
              </w:tblCellMar>
            </w:tblPr>
            <w:tblGrid>
              <w:gridCol w:w="1134"/>
              <w:gridCol w:w="3462"/>
              <w:gridCol w:w="41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242"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spacing w:line="0" w:lineRule="atLeast"/>
                    <w:rPr>
                      <w:color w:val="auto"/>
                      <w:kern w:val="2"/>
                      <w:sz w:val="21"/>
                      <w:szCs w:val="21"/>
                      <w:highlight w:val="none"/>
                      <w:u w:val="single"/>
                    </w:rPr>
                  </w:pPr>
                  <w:r>
                    <w:rPr>
                      <w:rFonts w:hint="eastAsia" w:cs="宋体"/>
                      <w:color w:val="auto"/>
                      <w:kern w:val="2"/>
                      <w:sz w:val="21"/>
                      <w:szCs w:val="21"/>
                      <w:highlight w:val="none"/>
                      <w:u w:val="single"/>
                    </w:rPr>
                    <w:t>序号</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spacing w:line="0" w:lineRule="atLeast"/>
                    <w:rPr>
                      <w:color w:val="auto"/>
                      <w:kern w:val="2"/>
                      <w:sz w:val="21"/>
                      <w:szCs w:val="21"/>
                      <w:highlight w:val="none"/>
                      <w:u w:val="single"/>
                    </w:rPr>
                  </w:pPr>
                  <w:r>
                    <w:rPr>
                      <w:rFonts w:hint="eastAsia" w:cs="宋体"/>
                      <w:color w:val="auto"/>
                      <w:kern w:val="2"/>
                      <w:sz w:val="21"/>
                      <w:szCs w:val="21"/>
                      <w:highlight w:val="none"/>
                      <w:u w:val="single"/>
                    </w:rPr>
                    <w:t>名称</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spacing w:line="0" w:lineRule="atLeast"/>
                    <w:rPr>
                      <w:color w:val="auto"/>
                      <w:kern w:val="2"/>
                      <w:sz w:val="21"/>
                      <w:szCs w:val="21"/>
                      <w:highlight w:val="none"/>
                      <w:u w:val="single"/>
                    </w:rPr>
                  </w:pPr>
                  <w:r>
                    <w:rPr>
                      <w:rFonts w:hint="eastAsia" w:cs="宋体"/>
                      <w:color w:val="auto"/>
                      <w:kern w:val="2"/>
                      <w:sz w:val="21"/>
                      <w:szCs w:val="21"/>
                      <w:highlight w:val="none"/>
                      <w:u w:val="single"/>
                    </w:rPr>
                    <w:t>验收内容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815"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1</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污水处理厂进、出口</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进出口水量、水质监测</w:t>
                  </w:r>
                  <w:r>
                    <w:rPr>
                      <w:color w:val="auto"/>
                      <w:kern w:val="2"/>
                      <w:sz w:val="21"/>
                      <w:szCs w:val="21"/>
                      <w:highlight w:val="none"/>
                      <w:u w:val="single"/>
                    </w:rPr>
                    <w:t>COD</w:t>
                  </w:r>
                  <w:r>
                    <w:rPr>
                      <w:rFonts w:hint="eastAsia" w:cs="宋体"/>
                      <w:color w:val="auto"/>
                      <w:kern w:val="2"/>
                      <w:sz w:val="21"/>
                      <w:szCs w:val="21"/>
                      <w:highlight w:val="none"/>
                      <w:u w:val="single"/>
                    </w:rPr>
                    <w:t>、</w:t>
                  </w:r>
                  <w:r>
                    <w:rPr>
                      <w:color w:val="auto"/>
                      <w:kern w:val="2"/>
                      <w:sz w:val="21"/>
                      <w:szCs w:val="21"/>
                      <w:highlight w:val="none"/>
                      <w:u w:val="single"/>
                    </w:rPr>
                    <w:t>BOD</w:t>
                  </w:r>
                  <w:r>
                    <w:rPr>
                      <w:color w:val="auto"/>
                      <w:kern w:val="2"/>
                      <w:sz w:val="21"/>
                      <w:szCs w:val="21"/>
                      <w:highlight w:val="none"/>
                      <w:u w:val="single"/>
                      <w:vertAlign w:val="subscript"/>
                    </w:rPr>
                    <w:t>5</w:t>
                  </w:r>
                  <w:r>
                    <w:rPr>
                      <w:rFonts w:hint="eastAsia" w:cs="宋体"/>
                      <w:color w:val="auto"/>
                      <w:kern w:val="2"/>
                      <w:sz w:val="21"/>
                      <w:szCs w:val="21"/>
                      <w:highlight w:val="none"/>
                      <w:u w:val="single"/>
                    </w:rPr>
                    <w:t>、SS、</w:t>
                  </w:r>
                  <w:r>
                    <w:rPr>
                      <w:color w:val="auto"/>
                      <w:kern w:val="2"/>
                      <w:sz w:val="21"/>
                      <w:szCs w:val="21"/>
                      <w:highlight w:val="none"/>
                      <w:u w:val="single"/>
                    </w:rPr>
                    <w:t>NH</w:t>
                  </w:r>
                  <w:r>
                    <w:rPr>
                      <w:color w:val="auto"/>
                      <w:kern w:val="2"/>
                      <w:sz w:val="21"/>
                      <w:szCs w:val="21"/>
                      <w:highlight w:val="none"/>
                      <w:u w:val="single"/>
                      <w:vertAlign w:val="subscript"/>
                    </w:rPr>
                    <w:t>3</w:t>
                  </w:r>
                  <w:r>
                    <w:rPr>
                      <w:color w:val="auto"/>
                      <w:kern w:val="2"/>
                      <w:sz w:val="21"/>
                      <w:szCs w:val="21"/>
                      <w:highlight w:val="none"/>
                      <w:u w:val="single"/>
                    </w:rPr>
                    <w:t>-N</w:t>
                  </w:r>
                  <w:r>
                    <w:rPr>
                      <w:rFonts w:hint="eastAsia" w:cs="宋体"/>
                      <w:color w:val="auto"/>
                      <w:kern w:val="2"/>
                      <w:sz w:val="21"/>
                      <w:szCs w:val="21"/>
                      <w:highlight w:val="none"/>
                      <w:u w:val="single"/>
                    </w:rPr>
                    <w:t>、</w:t>
                  </w:r>
                  <w:r>
                    <w:rPr>
                      <w:color w:val="auto"/>
                      <w:kern w:val="2"/>
                      <w:sz w:val="21"/>
                      <w:szCs w:val="21"/>
                      <w:highlight w:val="none"/>
                      <w:u w:val="single"/>
                    </w:rPr>
                    <w:t>TP</w:t>
                  </w:r>
                  <w:r>
                    <w:rPr>
                      <w:rFonts w:hint="eastAsia"/>
                      <w:color w:val="auto"/>
                      <w:kern w:val="2"/>
                      <w:sz w:val="21"/>
                      <w:szCs w:val="21"/>
                      <w:highlight w:val="none"/>
                      <w:u w:val="single"/>
                    </w:rPr>
                    <w:t>、大肠菌群</w:t>
                  </w:r>
                  <w:r>
                    <w:rPr>
                      <w:color w:val="auto"/>
                      <w:kern w:val="2"/>
                      <w:sz w:val="21"/>
                      <w:szCs w:val="21"/>
                      <w:highlight w:val="none"/>
                      <w:u w:val="single"/>
                    </w:rPr>
                    <w:t>数量</w:t>
                  </w:r>
                  <w:r>
                    <w:rPr>
                      <w:rFonts w:hint="eastAsia" w:cs="宋体"/>
                      <w:color w:val="auto"/>
                      <w:kern w:val="2"/>
                      <w:sz w:val="21"/>
                      <w:szCs w:val="21"/>
                      <w:highlight w:val="none"/>
                      <w:u w:val="single"/>
                    </w:rPr>
                    <w:t>等，并验证是否达标及</w:t>
                  </w:r>
                  <w:r>
                    <w:rPr>
                      <w:rFonts w:cs="宋体"/>
                      <w:color w:val="auto"/>
                      <w:kern w:val="2"/>
                      <w:sz w:val="21"/>
                      <w:szCs w:val="21"/>
                      <w:highlight w:val="none"/>
                      <w:u w:val="single"/>
                    </w:rPr>
                    <w:t>是否达到</w:t>
                  </w:r>
                  <w:r>
                    <w:rPr>
                      <w:rFonts w:hint="eastAsia" w:cs="宋体"/>
                      <w:color w:val="auto"/>
                      <w:kern w:val="2"/>
                      <w:sz w:val="21"/>
                      <w:szCs w:val="21"/>
                      <w:highlight w:val="none"/>
                      <w:u w:val="single"/>
                    </w:rPr>
                    <w:t>其处理效率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trHeight w:val="559" w:hRule="atLeas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2</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厂界臭气</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厂界按照</w:t>
                  </w:r>
                  <w:r>
                    <w:rPr>
                      <w:color w:val="auto"/>
                      <w:kern w:val="2"/>
                      <w:sz w:val="21"/>
                      <w:szCs w:val="21"/>
                      <w:highlight w:val="none"/>
                      <w:u w:val="single"/>
                    </w:rPr>
                    <w:t>GB19918-2002</w:t>
                  </w:r>
                  <w:r>
                    <w:rPr>
                      <w:rFonts w:hint="eastAsia" w:cs="宋体"/>
                      <w:color w:val="auto"/>
                      <w:kern w:val="2"/>
                      <w:sz w:val="21"/>
                      <w:szCs w:val="21"/>
                      <w:highlight w:val="none"/>
                      <w:u w:val="single"/>
                    </w:rPr>
                    <w:t>监测</w:t>
                  </w:r>
                  <w:r>
                    <w:rPr>
                      <w:color w:val="auto"/>
                      <w:kern w:val="2"/>
                      <w:sz w:val="21"/>
                      <w:szCs w:val="21"/>
                      <w:highlight w:val="none"/>
                      <w:u w:val="single"/>
                    </w:rPr>
                    <w:t>H</w:t>
                  </w:r>
                  <w:r>
                    <w:rPr>
                      <w:color w:val="auto"/>
                      <w:kern w:val="2"/>
                      <w:sz w:val="21"/>
                      <w:szCs w:val="21"/>
                      <w:highlight w:val="none"/>
                      <w:u w:val="single"/>
                      <w:vertAlign w:val="subscript"/>
                    </w:rPr>
                    <w:t>2</w:t>
                  </w:r>
                  <w:r>
                    <w:rPr>
                      <w:color w:val="auto"/>
                      <w:kern w:val="2"/>
                      <w:sz w:val="21"/>
                      <w:szCs w:val="21"/>
                      <w:highlight w:val="none"/>
                      <w:u w:val="single"/>
                    </w:rPr>
                    <w:t>S</w:t>
                  </w:r>
                  <w:r>
                    <w:rPr>
                      <w:rFonts w:hint="eastAsia" w:cs="宋体"/>
                      <w:color w:val="auto"/>
                      <w:kern w:val="2"/>
                      <w:sz w:val="21"/>
                      <w:szCs w:val="21"/>
                      <w:highlight w:val="none"/>
                      <w:u w:val="single"/>
                    </w:rPr>
                    <w:t>、</w:t>
                  </w:r>
                  <w:r>
                    <w:rPr>
                      <w:color w:val="auto"/>
                      <w:kern w:val="2"/>
                      <w:sz w:val="21"/>
                      <w:szCs w:val="21"/>
                      <w:highlight w:val="none"/>
                      <w:u w:val="single"/>
                    </w:rPr>
                    <w:t>NH</w:t>
                  </w:r>
                  <w:r>
                    <w:rPr>
                      <w:color w:val="auto"/>
                      <w:kern w:val="2"/>
                      <w:sz w:val="21"/>
                      <w:szCs w:val="21"/>
                      <w:highlight w:val="none"/>
                      <w:u w:val="single"/>
                      <w:vertAlign w:val="subscript"/>
                    </w:rPr>
                    <w:t>3</w:t>
                  </w:r>
                  <w:r>
                    <w:rPr>
                      <w:rFonts w:hint="eastAsia" w:cs="宋体"/>
                      <w:color w:val="auto"/>
                      <w:kern w:val="2"/>
                      <w:sz w:val="21"/>
                      <w:szCs w:val="21"/>
                      <w:highlight w:val="none"/>
                      <w:u w:val="single"/>
                    </w:rPr>
                    <w:t>及臭气浓度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3</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污泥处理</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rFonts w:hint="default" w:eastAsia="宋体"/>
                      <w:color w:val="auto"/>
                      <w:kern w:val="2"/>
                      <w:sz w:val="21"/>
                      <w:szCs w:val="21"/>
                      <w:highlight w:val="none"/>
                      <w:u w:val="single"/>
                      <w:lang w:val="en-US" w:eastAsia="zh-CN"/>
                    </w:rPr>
                  </w:pPr>
                  <w:r>
                    <w:rPr>
                      <w:rFonts w:hint="default" w:ascii="Times New Roman" w:hAnsi="Times New Roman" w:eastAsia="宋体" w:cs="Times New Roman"/>
                      <w:sz w:val="21"/>
                      <w:szCs w:val="21"/>
                      <w:u w:val="single"/>
                      <w:lang w:val="en-US" w:eastAsia="zh-CN"/>
                    </w:rPr>
                    <w:t>由污泥车定期运往南湖洲镇污水处理厂脱水，再运至砖厂制砖。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108" w:type="dxa"/>
                  <w:bottom w:w="57" w:type="dxa"/>
                  <w:right w:w="108" w:type="dxa"/>
                </w:tblCellMar>
              </w:tblPrEx>
              <w:trPr>
                <w:cantSplit/>
                <w:jc w:val="center"/>
              </w:trPr>
              <w:tc>
                <w:tcPr>
                  <w:tcW w:w="1134"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color w:val="auto"/>
                      <w:kern w:val="2"/>
                      <w:sz w:val="21"/>
                      <w:szCs w:val="21"/>
                      <w:highlight w:val="none"/>
                      <w:u w:val="single"/>
                    </w:rPr>
                    <w:t>4</w:t>
                  </w:r>
                </w:p>
              </w:tc>
              <w:tc>
                <w:tcPr>
                  <w:tcW w:w="3462"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设备噪声降噪、消声、隔声措施</w:t>
                  </w:r>
                </w:p>
              </w:tc>
              <w:tc>
                <w:tcPr>
                  <w:tcW w:w="4195" w:type="dxa"/>
                  <w:tcBorders>
                    <w:top w:val="single" w:color="auto" w:sz="12" w:space="0"/>
                    <w:left w:val="single" w:color="auto" w:sz="12" w:space="0"/>
                    <w:bottom w:val="single" w:color="auto" w:sz="12" w:space="0"/>
                    <w:right w:val="single" w:color="auto" w:sz="12" w:space="0"/>
                  </w:tcBorders>
                  <w:vAlign w:val="center"/>
                </w:tcPr>
                <w:p>
                  <w:pPr>
                    <w:pStyle w:val="84"/>
                    <w:rPr>
                      <w:color w:val="auto"/>
                      <w:kern w:val="2"/>
                      <w:sz w:val="21"/>
                      <w:szCs w:val="21"/>
                      <w:highlight w:val="none"/>
                      <w:u w:val="single"/>
                    </w:rPr>
                  </w:pPr>
                  <w:r>
                    <w:rPr>
                      <w:rFonts w:hint="eastAsia" w:cs="宋体"/>
                      <w:color w:val="auto"/>
                      <w:kern w:val="2"/>
                      <w:sz w:val="21"/>
                      <w:szCs w:val="21"/>
                      <w:highlight w:val="none"/>
                      <w:u w:val="single"/>
                    </w:rPr>
                    <w:t>厂界噪声达标排放</w:t>
                  </w:r>
                </w:p>
              </w:tc>
            </w:tr>
          </w:tbl>
          <w:p>
            <w:pPr>
              <w:spacing w:line="460" w:lineRule="exact"/>
              <w:ind w:firstLine="482" w:firstLineChars="200"/>
              <w:rPr>
                <w:b/>
                <w:bCs/>
                <w:color w:val="auto"/>
                <w:sz w:val="24"/>
                <w:szCs w:val="24"/>
                <w:highlight w:val="none"/>
                <w:u w:val="single"/>
              </w:rPr>
            </w:pPr>
          </w:p>
          <w:p>
            <w:pPr>
              <w:spacing w:line="460" w:lineRule="exact"/>
              <w:ind w:firstLine="482" w:firstLineChars="200"/>
              <w:rPr>
                <w:b/>
                <w:bCs/>
                <w:color w:val="auto"/>
                <w:sz w:val="24"/>
                <w:szCs w:val="24"/>
                <w:highlight w:val="none"/>
              </w:rPr>
            </w:pPr>
          </w:p>
          <w:p>
            <w:pPr>
              <w:spacing w:line="460" w:lineRule="exact"/>
              <w:ind w:firstLine="482" w:firstLineChars="200"/>
              <w:rPr>
                <w:b/>
                <w:bCs/>
                <w:color w:val="auto"/>
                <w:sz w:val="24"/>
                <w:szCs w:val="24"/>
                <w:highlight w:val="none"/>
              </w:rPr>
            </w:pPr>
          </w:p>
        </w:tc>
      </w:tr>
    </w:tbl>
    <w:p>
      <w:pPr>
        <w:pStyle w:val="4"/>
        <w:spacing w:before="0" w:after="0"/>
        <w:jc w:val="left"/>
        <w:rPr>
          <w:sz w:val="30"/>
          <w:szCs w:val="30"/>
        </w:rPr>
      </w:pPr>
      <w:r>
        <w:rPr>
          <w:rFonts w:hint="eastAsia"/>
          <w:sz w:val="30"/>
          <w:szCs w:val="30"/>
        </w:rPr>
        <w:t>建设项目拟采取的防治措施及预期治理效果</w:t>
      </w:r>
    </w:p>
    <w:tbl>
      <w:tblPr>
        <w:tblStyle w:val="29"/>
        <w:tblW w:w="9272" w:type="dxa"/>
        <w:tblInd w:w="15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3"/>
        <w:gridCol w:w="633"/>
        <w:gridCol w:w="1033"/>
        <w:gridCol w:w="1256"/>
        <w:gridCol w:w="3511"/>
        <w:gridCol w:w="1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913" w:type="dxa"/>
            <w:tcBorders>
              <w:bottom w:val="single" w:color="000000" w:sz="6" w:space="0"/>
              <w:right w:val="single" w:color="000000" w:sz="6" w:space="0"/>
              <w:tl2br w:val="single" w:color="000000" w:sz="8" w:space="0"/>
            </w:tcBorders>
            <w:vAlign w:val="center"/>
          </w:tcPr>
          <w:p>
            <w:pPr>
              <w:pStyle w:val="107"/>
              <w:spacing w:before="1"/>
              <w:ind w:left="156"/>
              <w:jc w:val="right"/>
              <w:rPr>
                <w:rFonts w:ascii="Times New Roman" w:hAnsi="Times New Roman" w:cs="Times New Roman"/>
                <w:b/>
                <w:color w:val="auto"/>
                <w:w w:val="99"/>
                <w:sz w:val="24"/>
              </w:rPr>
            </w:pPr>
            <w:r>
              <w:rPr>
                <w:rFonts w:ascii="Times New Roman" w:hAnsi="Times New Roman" w:cs="Times New Roman"/>
                <w:b/>
                <w:color w:val="auto"/>
                <w:w w:val="99"/>
                <w:sz w:val="24"/>
              </w:rPr>
              <w:t>类型</w:t>
            </w:r>
          </w:p>
          <w:p>
            <w:pPr>
              <w:pStyle w:val="107"/>
              <w:jc w:val="left"/>
              <w:rPr>
                <w:rFonts w:ascii="Times New Roman" w:hAnsi="Times New Roman" w:cs="Times New Roman"/>
                <w:b/>
                <w:color w:val="auto"/>
                <w:sz w:val="24"/>
              </w:rPr>
            </w:pPr>
            <w:r>
              <w:rPr>
                <w:rFonts w:ascii="Times New Roman" w:hAnsi="Times New Roman" w:cs="Times New Roman"/>
                <w:b/>
                <w:color w:val="auto"/>
                <w:w w:val="99"/>
                <w:sz w:val="24"/>
              </w:rPr>
              <w:t>内容</w:t>
            </w:r>
          </w:p>
        </w:tc>
        <w:tc>
          <w:tcPr>
            <w:tcW w:w="1666" w:type="dxa"/>
            <w:gridSpan w:val="2"/>
            <w:tcBorders>
              <w:left w:val="single" w:color="000000" w:sz="6" w:space="0"/>
              <w:bottom w:val="single" w:color="000000" w:sz="4" w:space="0"/>
              <w:right w:val="single" w:color="000000" w:sz="6" w:space="0"/>
            </w:tcBorders>
          </w:tcPr>
          <w:p>
            <w:pPr>
              <w:pStyle w:val="107"/>
              <w:spacing w:before="1"/>
              <w:jc w:val="center"/>
              <w:rPr>
                <w:rFonts w:ascii="Times New Roman" w:hAnsi="Times New Roman" w:cs="Times New Roman"/>
                <w:b/>
                <w:color w:val="auto"/>
                <w:sz w:val="24"/>
              </w:rPr>
            </w:pPr>
            <w:r>
              <w:rPr>
                <w:rFonts w:ascii="Times New Roman" w:hAnsi="Times New Roman" w:cs="Times New Roman"/>
                <w:b/>
                <w:color w:val="auto"/>
                <w:sz w:val="24"/>
              </w:rPr>
              <w:t>排放源</w:t>
            </w:r>
          </w:p>
          <w:p>
            <w:pPr>
              <w:pStyle w:val="107"/>
              <w:spacing w:before="50"/>
              <w:jc w:val="center"/>
              <w:rPr>
                <w:rFonts w:ascii="Times New Roman" w:hAnsi="Times New Roman" w:cs="Times New Roman"/>
                <w:b/>
                <w:color w:val="auto"/>
                <w:sz w:val="24"/>
              </w:rPr>
            </w:pPr>
            <w:r>
              <w:rPr>
                <w:rFonts w:ascii="Times New Roman" w:hAnsi="Times New Roman" w:cs="Times New Roman"/>
                <w:b/>
                <w:color w:val="auto"/>
                <w:sz w:val="24"/>
              </w:rPr>
              <w:t>（编号）</w:t>
            </w:r>
          </w:p>
        </w:tc>
        <w:tc>
          <w:tcPr>
            <w:tcW w:w="1256" w:type="dxa"/>
            <w:tcBorders>
              <w:left w:val="single" w:color="000000" w:sz="6" w:space="0"/>
              <w:bottom w:val="single" w:color="000000" w:sz="6" w:space="0"/>
              <w:right w:val="single" w:color="000000" w:sz="6" w:space="0"/>
            </w:tcBorders>
          </w:tcPr>
          <w:p>
            <w:pPr>
              <w:pStyle w:val="107"/>
              <w:spacing w:before="1"/>
              <w:ind w:left="112" w:right="91"/>
              <w:jc w:val="center"/>
              <w:rPr>
                <w:rFonts w:ascii="Times New Roman" w:hAnsi="Times New Roman" w:cs="Times New Roman"/>
                <w:b/>
                <w:color w:val="auto"/>
                <w:sz w:val="24"/>
              </w:rPr>
            </w:pPr>
            <w:r>
              <w:rPr>
                <w:rFonts w:ascii="Times New Roman" w:hAnsi="Times New Roman" w:cs="Times New Roman"/>
                <w:b/>
                <w:color w:val="auto"/>
                <w:sz w:val="24"/>
              </w:rPr>
              <w:t>污染物</w:t>
            </w:r>
          </w:p>
          <w:p>
            <w:pPr>
              <w:pStyle w:val="107"/>
              <w:spacing w:before="50"/>
              <w:ind w:left="112" w:right="93"/>
              <w:jc w:val="center"/>
              <w:rPr>
                <w:rFonts w:ascii="Times New Roman" w:hAnsi="Times New Roman" w:cs="Times New Roman"/>
                <w:b/>
                <w:color w:val="auto"/>
                <w:sz w:val="24"/>
              </w:rPr>
            </w:pPr>
            <w:r>
              <w:rPr>
                <w:rFonts w:ascii="Times New Roman" w:hAnsi="Times New Roman" w:cs="Times New Roman"/>
                <w:b/>
                <w:color w:val="auto"/>
                <w:sz w:val="24"/>
              </w:rPr>
              <w:t>名称</w:t>
            </w:r>
          </w:p>
        </w:tc>
        <w:tc>
          <w:tcPr>
            <w:tcW w:w="3511" w:type="dxa"/>
            <w:tcBorders>
              <w:left w:val="single" w:color="000000" w:sz="6" w:space="0"/>
              <w:bottom w:val="single" w:color="000000" w:sz="6" w:space="0"/>
              <w:right w:val="single" w:color="000000" w:sz="6" w:space="0"/>
            </w:tcBorders>
          </w:tcPr>
          <w:p>
            <w:pPr>
              <w:pStyle w:val="107"/>
              <w:spacing w:before="178"/>
              <w:ind w:left="41" w:right="22"/>
              <w:jc w:val="center"/>
              <w:rPr>
                <w:rFonts w:ascii="Times New Roman" w:hAnsi="Times New Roman" w:cs="Times New Roman"/>
                <w:b/>
                <w:color w:val="auto"/>
                <w:sz w:val="24"/>
              </w:rPr>
            </w:pPr>
            <w:r>
              <w:rPr>
                <w:rFonts w:ascii="Times New Roman" w:hAnsi="Times New Roman" w:cs="Times New Roman"/>
                <w:b/>
                <w:color w:val="auto"/>
                <w:sz w:val="24"/>
              </w:rPr>
              <w:t>防治措施</w:t>
            </w:r>
          </w:p>
        </w:tc>
        <w:tc>
          <w:tcPr>
            <w:tcW w:w="1926" w:type="dxa"/>
            <w:tcBorders>
              <w:left w:val="single" w:color="000000" w:sz="6" w:space="0"/>
              <w:bottom w:val="single" w:color="000000" w:sz="6" w:space="0"/>
            </w:tcBorders>
          </w:tcPr>
          <w:p>
            <w:pPr>
              <w:pStyle w:val="107"/>
              <w:spacing w:before="178"/>
              <w:ind w:left="123" w:right="98"/>
              <w:jc w:val="center"/>
              <w:rPr>
                <w:rFonts w:ascii="Times New Roman" w:hAnsi="Times New Roman" w:cs="Times New Roman"/>
                <w:b/>
                <w:color w:val="auto"/>
                <w:sz w:val="24"/>
              </w:rPr>
            </w:pPr>
            <w:r>
              <w:rPr>
                <w:rFonts w:ascii="Times New Roman" w:hAnsi="Times New Roman" w:cs="Times New Roman"/>
                <w:b/>
                <w:color w:val="auto"/>
                <w:sz w:val="24"/>
              </w:rPr>
              <w:t>预期治理效果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restart"/>
            <w:tcBorders>
              <w:top w:val="single" w:color="000000" w:sz="6" w:space="0"/>
              <w:bottom w:val="single" w:color="000000" w:sz="6" w:space="0"/>
              <w:right w:val="single" w:color="000000" w:sz="6" w:space="0"/>
            </w:tcBorders>
            <w:vAlign w:val="center"/>
          </w:tcPr>
          <w:p>
            <w:pPr>
              <w:pStyle w:val="107"/>
              <w:spacing w:before="167" w:line="360" w:lineRule="exact"/>
              <w:jc w:val="center"/>
              <w:rPr>
                <w:rFonts w:ascii="Times New Roman" w:hAnsi="Times New Roman" w:cs="Times New Roman"/>
                <w:b/>
                <w:color w:val="auto"/>
                <w:sz w:val="24"/>
              </w:rPr>
            </w:pPr>
            <w:r>
              <w:rPr>
                <w:rFonts w:ascii="Times New Roman" w:hAnsi="Times New Roman" w:cs="Times New Roman"/>
                <w:b/>
                <w:color w:val="auto"/>
                <w:sz w:val="24"/>
              </w:rPr>
              <w:t>废气</w:t>
            </w:r>
          </w:p>
        </w:tc>
        <w:tc>
          <w:tcPr>
            <w:tcW w:w="633" w:type="dxa"/>
            <w:vMerge w:val="restart"/>
            <w:tcBorders>
              <w:top w:val="single" w:color="000000" w:sz="4"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期</w:t>
            </w:r>
          </w:p>
        </w:tc>
        <w:tc>
          <w:tcPr>
            <w:tcW w:w="1033" w:type="dxa"/>
            <w:tcBorders>
              <w:top w:val="single" w:color="000000" w:sz="4"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施工扬尘</w:t>
            </w:r>
          </w:p>
        </w:tc>
        <w:tc>
          <w:tcPr>
            <w:tcW w:w="1256"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扬尘</w:t>
            </w:r>
          </w:p>
        </w:tc>
        <w:tc>
          <w:tcPr>
            <w:tcW w:w="3511"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洒水抑尘，建筑材料集中堆放</w:t>
            </w:r>
          </w:p>
        </w:tc>
        <w:tc>
          <w:tcPr>
            <w:tcW w:w="1926" w:type="dxa"/>
            <w:vMerge w:val="restart"/>
            <w:tcBorders>
              <w:top w:val="single" w:color="000000" w:sz="6" w:space="0"/>
              <w:lef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达标排放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vMerge w:val="continue"/>
            <w:tcBorders>
              <w:top w:val="nil"/>
              <w:left w:val="single" w:color="000000" w:sz="6" w:space="0"/>
              <w:bottom w:val="single" w:color="000000" w:sz="6" w:space="0"/>
              <w:right w:val="single" w:color="000000" w:sz="4" w:space="0"/>
            </w:tcBorders>
            <w:vAlign w:val="center"/>
          </w:tcPr>
          <w:p>
            <w:pPr>
              <w:spacing w:line="360" w:lineRule="exact"/>
              <w:jc w:val="center"/>
              <w:rPr>
                <w:color w:val="auto"/>
                <w:sz w:val="24"/>
              </w:rPr>
            </w:pP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机械废气</w:t>
            </w:r>
          </w:p>
        </w:tc>
        <w:tc>
          <w:tcPr>
            <w:tcW w:w="1256"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CO、NO</w:t>
            </w:r>
            <w:r>
              <w:rPr>
                <w:rFonts w:ascii="Times New Roman" w:hAnsi="Times New Roman" w:cs="Times New Roman"/>
                <w:color w:val="auto"/>
                <w:sz w:val="24"/>
                <w:vertAlign w:val="subscript"/>
              </w:rPr>
              <w:t>X</w:t>
            </w:r>
            <w:r>
              <w:rPr>
                <w:rFonts w:ascii="Times New Roman" w:hAnsi="Times New Roman" w:cs="Times New Roman"/>
                <w:color w:val="auto"/>
                <w:sz w:val="24"/>
              </w:rPr>
              <w:t>、</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SO</w:t>
            </w:r>
            <w:r>
              <w:rPr>
                <w:rFonts w:ascii="Times New Roman" w:hAnsi="Times New Roman" w:cs="Times New Roman"/>
                <w:color w:val="auto"/>
                <w:sz w:val="24"/>
                <w:vertAlign w:val="subscript"/>
              </w:rPr>
              <w:t>2</w:t>
            </w:r>
            <w:r>
              <w:rPr>
                <w:rFonts w:ascii="Times New Roman" w:hAnsi="Times New Roman" w:cs="Times New Roman"/>
                <w:color w:val="auto"/>
                <w:sz w:val="24"/>
              </w:rPr>
              <w:t>、烟尘</w:t>
            </w:r>
          </w:p>
        </w:tc>
        <w:tc>
          <w:tcPr>
            <w:tcW w:w="3511"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车辆保持匀速，安装尾气净化器</w:t>
            </w:r>
          </w:p>
        </w:tc>
        <w:tc>
          <w:tcPr>
            <w:tcW w:w="1926" w:type="dxa"/>
            <w:vMerge w:val="continue"/>
            <w:tcBorders>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0"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运营期</w:t>
            </w:r>
          </w:p>
        </w:tc>
        <w:tc>
          <w:tcPr>
            <w:tcW w:w="1033" w:type="dxa"/>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调节池、</w:t>
            </w:r>
          </w:p>
          <w:p>
            <w:pPr>
              <w:pStyle w:val="107"/>
              <w:spacing w:line="360" w:lineRule="exact"/>
              <w:jc w:val="center"/>
              <w:rPr>
                <w:rFonts w:hint="eastAsia" w:ascii="Times New Roman" w:hAnsi="Times New Roman" w:eastAsia="宋体" w:cs="Times New Roman"/>
                <w:color w:val="auto"/>
                <w:sz w:val="24"/>
                <w:lang w:eastAsia="zh-CN"/>
              </w:rPr>
            </w:pPr>
            <w:r>
              <w:rPr>
                <w:rFonts w:ascii="Times New Roman" w:hAnsi="Times New Roman" w:cs="Times New Roman"/>
                <w:color w:val="auto"/>
                <w:sz w:val="24"/>
              </w:rPr>
              <w:t>污泥</w:t>
            </w:r>
            <w:r>
              <w:rPr>
                <w:rFonts w:hint="eastAsia" w:ascii="Times New Roman" w:hAnsi="Times New Roman" w:cs="Times New Roman"/>
                <w:color w:val="auto"/>
                <w:sz w:val="24"/>
                <w:lang w:eastAsia="zh-CN"/>
              </w:rPr>
              <w:t>储存池</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等</w:t>
            </w:r>
          </w:p>
        </w:tc>
        <w:tc>
          <w:tcPr>
            <w:tcW w:w="1256" w:type="dxa"/>
            <w:vMerge w:val="restart"/>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H2S、NH3</w:t>
            </w:r>
          </w:p>
        </w:tc>
        <w:tc>
          <w:tcPr>
            <w:tcW w:w="3511" w:type="dxa"/>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厂区内种植除臭效果良好的树种、花草，增加绿化面积</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《城镇污水处理 厂污染物排放标 准》表 4 中二级标准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4" w:hRule="atLeast"/>
        </w:trPr>
        <w:tc>
          <w:tcPr>
            <w:tcW w:w="913" w:type="dxa"/>
            <w:vMerge w:val="restart"/>
            <w:tcBorders>
              <w:top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b/>
                <w:color w:val="auto"/>
                <w:sz w:val="24"/>
              </w:rPr>
            </w:pPr>
            <w:r>
              <w:rPr>
                <w:rFonts w:ascii="Times New Roman" w:hAnsi="Times New Roman" w:cs="Times New Roman"/>
                <w:b/>
                <w:color w:val="auto"/>
                <w:sz w:val="24"/>
              </w:rPr>
              <w:t>废水</w:t>
            </w: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施工期</w:t>
            </w:r>
          </w:p>
        </w:tc>
        <w:tc>
          <w:tcPr>
            <w:tcW w:w="1033" w:type="dxa"/>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施工废水、生活污水、试压废水</w:t>
            </w:r>
          </w:p>
        </w:tc>
        <w:tc>
          <w:tcPr>
            <w:tcW w:w="1256"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SS</w:t>
            </w:r>
            <w:r>
              <w:rPr>
                <w:rFonts w:hint="eastAsia" w:ascii="Times New Roman" w:hAnsi="Times New Roman" w:cs="Times New Roman"/>
                <w:color w:val="auto"/>
                <w:sz w:val="24"/>
              </w:rPr>
              <w:t>、</w:t>
            </w:r>
            <w:r>
              <w:rPr>
                <w:rFonts w:ascii="Times New Roman" w:hAnsi="Times New Roman" w:cs="Times New Roman"/>
                <w:color w:val="auto"/>
                <w:sz w:val="24"/>
              </w:rPr>
              <w:t>COD</w:t>
            </w:r>
            <w:r>
              <w:rPr>
                <w:rFonts w:hint="eastAsia" w:ascii="Times New Roman" w:hAnsi="Times New Roman" w:cs="Times New Roman"/>
                <w:color w:val="auto"/>
                <w:sz w:val="24"/>
              </w:rPr>
              <w:t>、</w:t>
            </w:r>
            <w:r>
              <w:rPr>
                <w:rFonts w:ascii="Times New Roman" w:hAnsi="Times New Roman" w:cs="Times New Roman"/>
                <w:color w:val="auto"/>
                <w:sz w:val="24"/>
              </w:rPr>
              <w:t>NH3-N</w:t>
            </w:r>
          </w:p>
        </w:tc>
        <w:tc>
          <w:tcPr>
            <w:tcW w:w="3511"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施工废水经沉淀池沉淀后回</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用于道路和场地洒水降尘；试压废水可循环使用后经沉淀池沉淀后回用于道路和场地</w:t>
            </w:r>
            <w:r>
              <w:rPr>
                <w:rFonts w:hint="eastAsia" w:ascii="Times New Roman" w:hAnsi="Times New Roman" w:cs="Times New Roman"/>
                <w:color w:val="auto"/>
                <w:sz w:val="24"/>
              </w:rPr>
              <w:t>；</w:t>
            </w:r>
            <w:r>
              <w:rPr>
                <w:rFonts w:ascii="Times New Roman" w:hAnsi="Times New Roman" w:cs="Times New Roman"/>
                <w:color w:val="auto"/>
                <w:sz w:val="24"/>
              </w:rPr>
              <w:t>洒水降尘；生活污水依托租用当地民居处理</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hint="eastAsia" w:ascii="Times New Roman" w:hAnsi="Times New Roman" w:cs="Times New Roman"/>
                <w:color w:val="auto"/>
                <w:sz w:val="24"/>
                <w:lang w:eastAsia="zh-CN"/>
              </w:rPr>
              <w:t>不外</w:t>
            </w:r>
            <w:r>
              <w:rPr>
                <w:rFonts w:ascii="Times New Roman" w:hAnsi="Times New Roman" w:cs="Times New Roman"/>
                <w:color w:val="auto"/>
                <w:sz w:val="24"/>
              </w:rPr>
              <w:t>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9"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运营期</w:t>
            </w:r>
          </w:p>
        </w:tc>
        <w:tc>
          <w:tcPr>
            <w:tcW w:w="1033" w:type="dxa"/>
            <w:vMerge w:val="restart"/>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尾水排放</w:t>
            </w:r>
          </w:p>
        </w:tc>
        <w:tc>
          <w:tcPr>
            <w:tcW w:w="1256"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CODcr、</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BOD5、NH3-N、</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TP、SS</w:t>
            </w:r>
          </w:p>
        </w:tc>
        <w:tc>
          <w:tcPr>
            <w:tcW w:w="3511" w:type="dxa"/>
            <w:tcBorders>
              <w:top w:val="single" w:color="000000" w:sz="6" w:space="0"/>
              <w:left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采用</w:t>
            </w:r>
            <w:r>
              <w:rPr>
                <w:rFonts w:hint="eastAsia" w:ascii="Times New Roman" w:hAnsi="Times New Roman" w:cs="Times New Roman"/>
                <w:color w:val="auto"/>
                <w:sz w:val="24"/>
                <w:lang w:val="en-US" w:eastAsia="zh-CN"/>
              </w:rPr>
              <w:t>A2/O</w:t>
            </w:r>
            <w:r>
              <w:rPr>
                <w:rFonts w:ascii="Times New Roman" w:hAnsi="Times New Roman" w:cs="Times New Roman"/>
                <w:color w:val="auto"/>
                <w:sz w:val="24"/>
              </w:rPr>
              <w:t>处理系统处理</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达标</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《城镇污水处理厂污染物排放标准》表 1 中一级标准 A标准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913" w:type="dxa"/>
            <w:vMerge w:val="restart"/>
            <w:tcBorders>
              <w:top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b/>
                <w:color w:val="auto"/>
                <w:sz w:val="24"/>
              </w:rPr>
            </w:pPr>
            <w:r>
              <w:rPr>
                <w:rFonts w:ascii="Times New Roman" w:hAnsi="Times New Roman" w:cs="Times New Roman"/>
                <w:b/>
                <w:color w:val="auto"/>
                <w:sz w:val="24"/>
              </w:rPr>
              <w:t>噪声</w:t>
            </w: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施工机械</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对声源采取适当的隔声降噪措施减轻项目噪声对周围环境影响</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1" w:hRule="atLeast"/>
        </w:trPr>
        <w:tc>
          <w:tcPr>
            <w:tcW w:w="913" w:type="dxa"/>
            <w:vMerge w:val="continue"/>
            <w:tcBorders>
              <w:top w:val="nil"/>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运营期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泵、风</w:t>
            </w:r>
            <w:r>
              <w:rPr>
                <w:rFonts w:hint="eastAsia" w:ascii="Times New Roman" w:hAnsi="Times New Roman" w:cs="Times New Roman"/>
                <w:color w:val="auto"/>
                <w:sz w:val="24"/>
                <w:lang w:eastAsia="zh-CN"/>
              </w:rPr>
              <w:t>机</w:t>
            </w:r>
            <w:r>
              <w:rPr>
                <w:rFonts w:ascii="Times New Roman" w:hAnsi="Times New Roman" w:cs="Times New Roman"/>
                <w:color w:val="auto"/>
                <w:sz w:val="24"/>
              </w:rPr>
              <w:t>等</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考虑</w:t>
            </w:r>
            <w:r>
              <w:rPr>
                <w:rFonts w:hint="eastAsia" w:ascii="Times New Roman" w:hAnsi="Times New Roman" w:cs="Times New Roman"/>
                <w:color w:val="auto"/>
                <w:sz w:val="24"/>
                <w:lang w:eastAsia="zh-CN"/>
              </w:rPr>
              <w:t>隔声、</w:t>
            </w:r>
            <w:r>
              <w:rPr>
                <w:rFonts w:ascii="Times New Roman" w:hAnsi="Times New Roman" w:cs="Times New Roman"/>
                <w:color w:val="auto"/>
                <w:sz w:val="24"/>
              </w:rPr>
              <w:t>减震</w:t>
            </w:r>
            <w:r>
              <w:rPr>
                <w:rFonts w:hint="eastAsia" w:ascii="Times New Roman" w:hAnsi="Times New Roman" w:cs="Times New Roman"/>
                <w:color w:val="auto"/>
                <w:sz w:val="24"/>
                <w:lang w:eastAsia="zh-CN"/>
              </w:rPr>
              <w:t>、</w:t>
            </w:r>
            <w:r>
              <w:rPr>
                <w:rFonts w:ascii="Times New Roman" w:hAnsi="Times New Roman" w:cs="Times New Roman"/>
                <w:color w:val="auto"/>
                <w:sz w:val="24"/>
              </w:rPr>
              <w:t>消音装置</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《工业企业厂界环境噪声排放标准》（GB12348-2008）</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2 类标准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1" w:hRule="atLeast"/>
        </w:trPr>
        <w:tc>
          <w:tcPr>
            <w:tcW w:w="913" w:type="dxa"/>
            <w:vMerge w:val="restart"/>
            <w:tcBorders>
              <w:top w:val="single" w:color="000000" w:sz="6" w:space="0"/>
              <w:right w:val="single" w:color="000000" w:sz="6" w:space="0"/>
            </w:tcBorders>
            <w:vAlign w:val="center"/>
          </w:tcPr>
          <w:p>
            <w:pPr>
              <w:pStyle w:val="107"/>
              <w:spacing w:line="360" w:lineRule="exact"/>
              <w:jc w:val="center"/>
              <w:rPr>
                <w:rFonts w:ascii="Times New Roman" w:hAnsi="Times New Roman" w:cs="Times New Roman"/>
                <w:b/>
                <w:color w:val="auto"/>
                <w:sz w:val="24"/>
              </w:rPr>
            </w:pPr>
            <w:r>
              <w:rPr>
                <w:rFonts w:ascii="Times New Roman" w:hAnsi="Times New Roman" w:cs="Times New Roman"/>
                <w:b/>
                <w:color w:val="auto"/>
                <w:sz w:val="24"/>
              </w:rPr>
              <w:t>固体废物</w:t>
            </w:r>
          </w:p>
        </w:tc>
        <w:tc>
          <w:tcPr>
            <w:tcW w:w="633" w:type="dxa"/>
            <w:tcBorders>
              <w:top w:val="single" w:color="000000" w:sz="6" w:space="0"/>
              <w:left w:val="single" w:color="000000" w:sz="6" w:space="0"/>
              <w:bottom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施工期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生活垃 圾、建筑垃圾、土石方</w:t>
            </w:r>
          </w:p>
        </w:tc>
        <w:tc>
          <w:tcPr>
            <w:tcW w:w="4767" w:type="dxa"/>
            <w:gridSpan w:val="2"/>
            <w:tcBorders>
              <w:top w:val="single" w:color="000000" w:sz="6" w:space="0"/>
              <w:left w:val="single" w:color="000000" w:sz="6"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生活垃圾由环卫部门清运；建筑垃圾和土石方由城市渣土管理部门运往指定位置处理</w:t>
            </w:r>
          </w:p>
        </w:tc>
        <w:tc>
          <w:tcPr>
            <w:tcW w:w="1926" w:type="dxa"/>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符合环保要求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913" w:type="dxa"/>
            <w:vMerge w:val="continue"/>
            <w:tcBorders>
              <w:right w:val="single" w:color="000000" w:sz="6" w:space="0"/>
            </w:tcBorders>
            <w:vAlign w:val="center"/>
          </w:tcPr>
          <w:p>
            <w:pPr>
              <w:spacing w:line="360" w:lineRule="exact"/>
              <w:jc w:val="center"/>
              <w:rPr>
                <w:color w:val="auto"/>
                <w:sz w:val="2"/>
                <w:szCs w:val="2"/>
              </w:rPr>
            </w:pPr>
          </w:p>
        </w:tc>
        <w:tc>
          <w:tcPr>
            <w:tcW w:w="633" w:type="dxa"/>
            <w:vMerge w:val="restart"/>
            <w:tcBorders>
              <w:top w:val="single" w:color="000000" w:sz="6" w:space="0"/>
              <w:left w:val="single" w:color="000000" w:sz="6" w:space="0"/>
              <w:right w:val="single" w:color="000000" w:sz="4"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运</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营</w:t>
            </w:r>
          </w:p>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期</w:t>
            </w: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污泥</w:t>
            </w:r>
          </w:p>
        </w:tc>
        <w:tc>
          <w:tcPr>
            <w:tcW w:w="6693" w:type="dxa"/>
            <w:gridSpan w:val="3"/>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hint="eastAsia" w:ascii="Times New Roman" w:hAnsi="Times New Roman" w:cs="Times New Roman"/>
                <w:color w:val="auto"/>
                <w:sz w:val="24"/>
              </w:rPr>
              <w:t>车脱水至 80%，掺粉煤灰送至垃圾焚烧厂最终处置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913" w:type="dxa"/>
            <w:vMerge w:val="continue"/>
            <w:tcBorders>
              <w:right w:val="single" w:color="000000" w:sz="6" w:space="0"/>
            </w:tcBorders>
            <w:vAlign w:val="center"/>
          </w:tcPr>
          <w:p>
            <w:pPr>
              <w:spacing w:line="360" w:lineRule="exact"/>
              <w:jc w:val="center"/>
              <w:rPr>
                <w:color w:val="auto"/>
                <w:sz w:val="2"/>
                <w:szCs w:val="2"/>
              </w:rPr>
            </w:pPr>
          </w:p>
        </w:tc>
        <w:tc>
          <w:tcPr>
            <w:tcW w:w="633" w:type="dxa"/>
            <w:vMerge w:val="continue"/>
            <w:tcBorders>
              <w:left w:val="single" w:color="000000" w:sz="6" w:space="0"/>
              <w:right w:val="single" w:color="000000" w:sz="4" w:space="0"/>
            </w:tcBorders>
            <w:vAlign w:val="center"/>
          </w:tcPr>
          <w:p>
            <w:pPr>
              <w:spacing w:line="360" w:lineRule="exact"/>
              <w:jc w:val="center"/>
              <w:rPr>
                <w:color w:val="auto"/>
                <w:sz w:val="2"/>
                <w:szCs w:val="2"/>
              </w:rPr>
            </w:pPr>
          </w:p>
        </w:tc>
        <w:tc>
          <w:tcPr>
            <w:tcW w:w="1033" w:type="dxa"/>
            <w:tcBorders>
              <w:top w:val="single" w:color="000000" w:sz="6" w:space="0"/>
              <w:left w:val="single" w:color="000000" w:sz="4"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栅渣</w:t>
            </w:r>
            <w:r>
              <w:rPr>
                <w:rFonts w:hint="eastAsia" w:ascii="Times New Roman" w:hAnsi="Times New Roman" w:cs="Times New Roman"/>
                <w:color w:val="auto"/>
                <w:sz w:val="24"/>
              </w:rPr>
              <w:t>、</w:t>
            </w:r>
            <w:r>
              <w:rPr>
                <w:rFonts w:ascii="Times New Roman" w:hAnsi="Times New Roman" w:cs="Times New Roman"/>
                <w:color w:val="auto"/>
                <w:sz w:val="24"/>
              </w:rPr>
              <w:t>沉砂</w:t>
            </w:r>
          </w:p>
        </w:tc>
        <w:tc>
          <w:tcPr>
            <w:tcW w:w="6693" w:type="dxa"/>
            <w:gridSpan w:val="3"/>
            <w:tcBorders>
              <w:top w:val="single" w:color="000000" w:sz="6" w:space="0"/>
              <w:lef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vMerge w:val="continue"/>
            <w:tcBorders>
              <w:bottom w:val="single" w:color="000000" w:sz="6" w:space="0"/>
              <w:right w:val="single" w:color="000000" w:sz="6" w:space="0"/>
            </w:tcBorders>
            <w:vAlign w:val="center"/>
          </w:tcPr>
          <w:p>
            <w:pPr>
              <w:spacing w:line="360" w:lineRule="exact"/>
              <w:jc w:val="center"/>
              <w:rPr>
                <w:color w:val="auto"/>
                <w:sz w:val="2"/>
                <w:szCs w:val="2"/>
              </w:rPr>
            </w:pPr>
          </w:p>
        </w:tc>
        <w:tc>
          <w:tcPr>
            <w:tcW w:w="633" w:type="dxa"/>
            <w:vMerge w:val="continue"/>
            <w:tcBorders>
              <w:left w:val="single" w:color="000000" w:sz="6" w:space="0"/>
              <w:bottom w:val="single" w:color="000000" w:sz="6" w:space="0"/>
              <w:right w:val="single" w:color="000000" w:sz="4" w:space="0"/>
            </w:tcBorders>
            <w:vAlign w:val="center"/>
          </w:tcPr>
          <w:p>
            <w:pPr>
              <w:spacing w:line="360" w:lineRule="exact"/>
              <w:jc w:val="center"/>
              <w:rPr>
                <w:color w:val="auto"/>
                <w:sz w:val="2"/>
                <w:szCs w:val="2"/>
              </w:rPr>
            </w:pP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生活垃圾</w:t>
            </w:r>
          </w:p>
        </w:tc>
        <w:tc>
          <w:tcPr>
            <w:tcW w:w="6693" w:type="dxa"/>
            <w:gridSpan w:val="3"/>
            <w:tcBorders>
              <w:top w:val="single" w:color="000000" w:sz="6" w:space="0"/>
              <w:left w:val="single" w:color="000000" w:sz="6" w:space="0"/>
              <w:bottom w:val="single" w:color="000000" w:sz="6" w:space="0"/>
            </w:tcBorders>
            <w:vAlign w:val="center"/>
          </w:tcPr>
          <w:p>
            <w:pPr>
              <w:pStyle w:val="107"/>
              <w:spacing w:line="360" w:lineRule="exact"/>
              <w:jc w:val="center"/>
              <w:rPr>
                <w:rFonts w:ascii="Times New Roman" w:hAnsi="Times New Roman" w:cs="Times New Roman"/>
                <w:color w:val="auto"/>
                <w:sz w:val="24"/>
              </w:rPr>
            </w:pPr>
            <w:r>
              <w:rPr>
                <w:rFonts w:ascii="Times New Roman" w:hAnsi="Times New Roman" w:cs="Times New Roman"/>
                <w:color w:val="auto"/>
                <w:sz w:val="24"/>
              </w:rPr>
              <w:t>由环卫部门收集后统一处理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trPr>
        <w:tc>
          <w:tcPr>
            <w:tcW w:w="913" w:type="dxa"/>
            <w:tcBorders>
              <w:bottom w:val="single" w:color="000000" w:sz="6" w:space="0"/>
              <w:right w:val="single" w:color="000000" w:sz="6" w:space="0"/>
            </w:tcBorders>
            <w:vAlign w:val="center"/>
          </w:tcPr>
          <w:p>
            <w:pPr>
              <w:spacing w:line="360" w:lineRule="exact"/>
              <w:jc w:val="center"/>
              <w:rPr>
                <w:color w:val="auto"/>
                <w:sz w:val="2"/>
                <w:szCs w:val="2"/>
              </w:rPr>
            </w:pPr>
          </w:p>
        </w:tc>
        <w:tc>
          <w:tcPr>
            <w:tcW w:w="633" w:type="dxa"/>
            <w:tcBorders>
              <w:left w:val="single" w:color="000000" w:sz="6" w:space="0"/>
              <w:bottom w:val="single" w:color="000000" w:sz="6" w:space="0"/>
              <w:right w:val="single" w:color="000000" w:sz="4" w:space="0"/>
            </w:tcBorders>
            <w:vAlign w:val="center"/>
          </w:tcPr>
          <w:p>
            <w:pPr>
              <w:spacing w:line="360" w:lineRule="exact"/>
              <w:jc w:val="center"/>
              <w:rPr>
                <w:color w:val="auto"/>
                <w:sz w:val="2"/>
                <w:szCs w:val="2"/>
              </w:rPr>
            </w:pPr>
          </w:p>
        </w:tc>
        <w:tc>
          <w:tcPr>
            <w:tcW w:w="1033" w:type="dxa"/>
            <w:tcBorders>
              <w:top w:val="single" w:color="000000" w:sz="6" w:space="0"/>
              <w:left w:val="single" w:color="000000" w:sz="4" w:space="0"/>
              <w:bottom w:val="single" w:color="000000" w:sz="6" w:space="0"/>
              <w:right w:val="single" w:color="000000" w:sz="6" w:space="0"/>
            </w:tcBorders>
            <w:vAlign w:val="center"/>
          </w:tcPr>
          <w:p>
            <w:pPr>
              <w:pStyle w:val="107"/>
              <w:spacing w:line="36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废紫外线灯管</w:t>
            </w:r>
          </w:p>
        </w:tc>
        <w:tc>
          <w:tcPr>
            <w:tcW w:w="6693" w:type="dxa"/>
            <w:gridSpan w:val="3"/>
            <w:tcBorders>
              <w:top w:val="single" w:color="000000" w:sz="6" w:space="0"/>
              <w:left w:val="single" w:color="000000" w:sz="6" w:space="0"/>
              <w:bottom w:val="single" w:color="000000" w:sz="6" w:space="0"/>
            </w:tcBorders>
            <w:vAlign w:val="center"/>
          </w:tcPr>
          <w:p>
            <w:pPr>
              <w:pStyle w:val="107"/>
              <w:spacing w:line="36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收集后交由有资质单位处置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3" w:hRule="atLeast"/>
        </w:trPr>
        <w:tc>
          <w:tcPr>
            <w:tcW w:w="9272" w:type="dxa"/>
            <w:gridSpan w:val="6"/>
            <w:tcBorders>
              <w:top w:val="single" w:color="000000" w:sz="6" w:space="0"/>
            </w:tcBorders>
          </w:tcPr>
          <w:p>
            <w:pPr>
              <w:pStyle w:val="107"/>
              <w:spacing w:line="305" w:lineRule="exact"/>
              <w:ind w:left="108"/>
              <w:rPr>
                <w:rFonts w:ascii="Times New Roman" w:hAnsi="Times New Roman" w:cs="Times New Roman"/>
                <w:b/>
                <w:color w:val="auto"/>
                <w:sz w:val="24"/>
              </w:rPr>
            </w:pPr>
            <w:r>
              <w:rPr>
                <w:rFonts w:ascii="Times New Roman" w:hAnsi="Times New Roman" w:cs="Times New Roman"/>
                <w:b/>
                <w:color w:val="auto"/>
                <w:sz w:val="24"/>
              </w:rPr>
              <w:t>生态保护措施及预期效果：</w:t>
            </w:r>
          </w:p>
          <w:p>
            <w:pPr>
              <w:pStyle w:val="107"/>
              <w:spacing w:before="170" w:line="364" w:lineRule="auto"/>
              <w:ind w:left="108" w:right="86" w:firstLine="480"/>
              <w:rPr>
                <w:rFonts w:ascii="Times New Roman" w:hAnsi="Times New Roman" w:cs="Times New Roman"/>
                <w:color w:val="auto"/>
                <w:sz w:val="24"/>
              </w:rPr>
            </w:pPr>
            <w:r>
              <w:rPr>
                <w:rFonts w:ascii="Times New Roman" w:hAnsi="Times New Roman" w:cs="Times New Roman"/>
                <w:color w:val="auto"/>
                <w:spacing w:val="-5"/>
                <w:sz w:val="24"/>
              </w:rPr>
              <w:t>在管道工程施工过程中，应加强施工管理，不刻意破坏路两边的树木和花草，在施工结束后，对施工场地进行生态恢复、绿化。</w:t>
            </w:r>
          </w:p>
          <w:p>
            <w:pPr>
              <w:pStyle w:val="107"/>
              <w:spacing w:line="364" w:lineRule="auto"/>
              <w:ind w:left="108" w:right="21" w:firstLine="480"/>
              <w:rPr>
                <w:rFonts w:ascii="Times New Roman" w:hAnsi="Times New Roman" w:cs="Times New Roman"/>
                <w:color w:val="auto"/>
                <w:sz w:val="24"/>
              </w:rPr>
            </w:pPr>
            <w:r>
              <w:rPr>
                <w:rFonts w:ascii="Times New Roman" w:hAnsi="Times New Roman" w:cs="Times New Roman"/>
                <w:color w:val="auto"/>
                <w:spacing w:val="-3"/>
                <w:sz w:val="24"/>
              </w:rPr>
              <w:t>项目建成后厂区内</w:t>
            </w:r>
            <w:r>
              <w:rPr>
                <w:rFonts w:hint="eastAsia" w:ascii="Times New Roman" w:hAnsi="Times New Roman" w:cs="Times New Roman"/>
                <w:color w:val="auto"/>
                <w:spacing w:val="-3"/>
                <w:sz w:val="24"/>
              </w:rPr>
              <w:t>将在内部及周围均匀布置</w:t>
            </w:r>
            <w:r>
              <w:rPr>
                <w:rFonts w:ascii="Times New Roman" w:hAnsi="Times New Roman" w:cs="Times New Roman"/>
                <w:color w:val="auto"/>
                <w:spacing w:val="-3"/>
                <w:sz w:val="24"/>
              </w:rPr>
              <w:t>绿化</w:t>
            </w:r>
            <w:r>
              <w:rPr>
                <w:rFonts w:ascii="Times New Roman" w:hAnsi="Times New Roman" w:cs="Times New Roman"/>
                <w:color w:val="auto"/>
                <w:sz w:val="24"/>
              </w:rPr>
              <w:t>，对生态环境起到一定的改善作用；还</w:t>
            </w:r>
            <w:r>
              <w:rPr>
                <w:rFonts w:ascii="Times New Roman" w:hAnsi="Times New Roman" w:cs="Times New Roman"/>
                <w:color w:val="auto"/>
                <w:spacing w:val="-5"/>
                <w:sz w:val="24"/>
              </w:rPr>
              <w:t>可以净化厂区内环境空气，降低本项目对外环境所产生的影响。在管线走向及施工便道建设中，尽可能避开成片树林、果园等地段。合理进行施工布置，精心组织施工管理</w:t>
            </w:r>
            <w:r>
              <w:rPr>
                <w:rFonts w:hint="eastAsia" w:ascii="Times New Roman" w:hAnsi="Times New Roman" w:cs="Times New Roman"/>
                <w:color w:val="auto"/>
                <w:spacing w:val="-5"/>
                <w:sz w:val="24"/>
              </w:rPr>
              <w:t>，</w:t>
            </w:r>
            <w:r>
              <w:rPr>
                <w:rFonts w:ascii="Times New Roman" w:hAnsi="Times New Roman" w:cs="Times New Roman"/>
                <w:color w:val="auto"/>
                <w:spacing w:val="-8"/>
                <w:sz w:val="24"/>
              </w:rPr>
              <w:t>严格将工程施工区控制在直接受影响的范围内。施工后进行地貌、植被恢复，以植被护土，防止或减轻水土流失。</w:t>
            </w:r>
          </w:p>
          <w:p>
            <w:pPr>
              <w:pStyle w:val="107"/>
              <w:spacing w:line="362" w:lineRule="auto"/>
              <w:ind w:left="108" w:right="86" w:firstLine="480"/>
              <w:rPr>
                <w:rFonts w:ascii="Times New Roman" w:hAnsi="Times New Roman" w:cs="Times New Roman"/>
                <w:color w:val="auto"/>
                <w:sz w:val="24"/>
              </w:rPr>
            </w:pPr>
            <w:r>
              <w:rPr>
                <w:rFonts w:ascii="Times New Roman" w:hAnsi="Times New Roman" w:cs="Times New Roman"/>
                <w:color w:val="auto"/>
                <w:spacing w:val="-5"/>
                <w:sz w:val="24"/>
              </w:rPr>
              <w:t>通过采取上述生态保护措施，可最大程度的降低本项目建设对生态环境的影响和破坏，恢复项目区域的生态环境。</w:t>
            </w:r>
          </w:p>
        </w:tc>
      </w:tr>
    </w:tbl>
    <w:p>
      <w:pPr>
        <w:pStyle w:val="46"/>
        <w:tabs>
          <w:tab w:val="left" w:pos="420"/>
        </w:tabs>
        <w:rPr>
          <w:rFonts w:cs="宋体"/>
          <w:b/>
          <w:bCs/>
        </w:rPr>
      </w:pPr>
      <w:r>
        <w:rPr>
          <w:rFonts w:hint="eastAsia" w:cs="宋体"/>
          <w:b/>
          <w:bCs/>
        </w:rPr>
        <w:br w:type="page"/>
      </w:r>
    </w:p>
    <w:p>
      <w:pPr>
        <w:pStyle w:val="4"/>
        <w:spacing w:before="0" w:after="0"/>
        <w:jc w:val="left"/>
        <w:rPr>
          <w:sz w:val="30"/>
          <w:szCs w:val="30"/>
        </w:rPr>
      </w:pPr>
      <w:r>
        <w:rPr>
          <w:rFonts w:hint="eastAsia"/>
          <w:sz w:val="30"/>
          <w:szCs w:val="30"/>
        </w:rPr>
        <w:t>结论与建议</w:t>
      </w:r>
    </w:p>
    <w:tbl>
      <w:tblPr>
        <w:tblStyle w:val="2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jc w:val="center"/>
        </w:trPr>
        <w:tc>
          <w:tcPr>
            <w:tcW w:w="9250" w:type="dxa"/>
          </w:tcPr>
          <w:p>
            <w:pPr>
              <w:pStyle w:val="14"/>
              <w:spacing w:line="460" w:lineRule="exact"/>
              <w:ind w:firstLine="480" w:firstLineChars="200"/>
              <w:rPr>
                <w:color w:val="auto"/>
                <w:kern w:val="2"/>
                <w:sz w:val="24"/>
                <w:szCs w:val="24"/>
              </w:rPr>
            </w:pPr>
            <w:r>
              <w:rPr>
                <w:rFonts w:hint="eastAsia" w:cs="宋体"/>
                <w:color w:val="auto"/>
                <w:kern w:val="2"/>
                <w:sz w:val="24"/>
                <w:szCs w:val="24"/>
              </w:rPr>
              <w:t>一、结论</w:t>
            </w:r>
          </w:p>
          <w:p>
            <w:pPr>
              <w:pStyle w:val="14"/>
              <w:spacing w:line="460" w:lineRule="exact"/>
              <w:ind w:firstLine="480" w:firstLineChars="200"/>
              <w:rPr>
                <w:color w:val="auto"/>
                <w:kern w:val="2"/>
                <w:sz w:val="24"/>
                <w:szCs w:val="24"/>
              </w:rPr>
            </w:pPr>
            <w:r>
              <w:rPr>
                <w:color w:val="auto"/>
                <w:kern w:val="2"/>
                <w:sz w:val="24"/>
                <w:szCs w:val="24"/>
              </w:rPr>
              <w:t>1</w:t>
            </w:r>
            <w:r>
              <w:rPr>
                <w:rFonts w:hint="eastAsia" w:cs="宋体"/>
                <w:color w:val="auto"/>
                <w:kern w:val="2"/>
                <w:sz w:val="24"/>
                <w:szCs w:val="24"/>
              </w:rPr>
              <w:t>项目概况</w:t>
            </w:r>
          </w:p>
          <w:p>
            <w:pPr>
              <w:pStyle w:val="96"/>
              <w:rPr>
                <w:color w:val="auto"/>
                <w:sz w:val="24"/>
                <w:szCs w:val="24"/>
              </w:rPr>
            </w:pPr>
            <w:r>
              <w:rPr>
                <w:rFonts w:hint="eastAsia" w:cs="宋体"/>
                <w:color w:val="auto"/>
                <w:kern w:val="2"/>
                <w:sz w:val="24"/>
                <w:szCs w:val="24"/>
                <w:lang w:val="en-US" w:eastAsia="zh-CN"/>
              </w:rPr>
              <w:t>湘阴</w:t>
            </w:r>
            <w:r>
              <w:rPr>
                <w:rFonts w:hint="eastAsia" w:cs="宋体"/>
                <w:color w:val="auto"/>
                <w:kern w:val="2"/>
                <w:sz w:val="24"/>
                <w:szCs w:val="24"/>
              </w:rPr>
              <w:t>县</w:t>
            </w:r>
            <w:r>
              <w:rPr>
                <w:rFonts w:hint="eastAsia" w:cs="宋体"/>
                <w:color w:val="auto"/>
                <w:kern w:val="2"/>
                <w:sz w:val="24"/>
                <w:szCs w:val="24"/>
                <w:lang w:val="en-US" w:eastAsia="zh-CN"/>
              </w:rPr>
              <w:t>湘滨</w:t>
            </w:r>
            <w:r>
              <w:rPr>
                <w:rFonts w:hint="eastAsia" w:cs="宋体"/>
                <w:color w:val="auto"/>
                <w:kern w:val="2"/>
                <w:sz w:val="24"/>
                <w:szCs w:val="24"/>
              </w:rPr>
              <w:t>镇污水处理厂位于</w:t>
            </w:r>
            <w:r>
              <w:rPr>
                <w:rFonts w:hint="eastAsia" w:cs="宋体"/>
                <w:color w:val="auto"/>
                <w:kern w:val="2"/>
                <w:sz w:val="24"/>
                <w:szCs w:val="24"/>
                <w:lang w:val="en-US" w:eastAsia="zh-CN"/>
              </w:rPr>
              <w:t>湘阴县湘滨镇</w:t>
            </w:r>
            <w:r>
              <w:rPr>
                <w:rFonts w:hint="eastAsia" w:cs="宋体"/>
                <w:color w:val="auto"/>
                <w:kern w:val="2"/>
                <w:sz w:val="24"/>
                <w:szCs w:val="24"/>
              </w:rPr>
              <w:t>。污水处理采用</w:t>
            </w:r>
            <w:r>
              <w:rPr>
                <w:rFonts w:hint="eastAsia" w:cs="宋体"/>
                <w:color w:val="auto"/>
                <w:kern w:val="2"/>
                <w:sz w:val="24"/>
                <w:szCs w:val="24"/>
                <w:lang w:val="en-US" w:eastAsia="zh-CN"/>
              </w:rPr>
              <w:t>A2/O</w:t>
            </w:r>
            <w:r>
              <w:rPr>
                <w:rFonts w:hint="eastAsia" w:cs="宋体"/>
                <w:color w:val="auto"/>
                <w:kern w:val="2"/>
                <w:sz w:val="24"/>
                <w:szCs w:val="24"/>
              </w:rPr>
              <w:t>处理工艺，设计出水执行《城镇污水处理厂污染物排放标准》（</w:t>
            </w:r>
            <w:r>
              <w:rPr>
                <w:color w:val="auto"/>
                <w:kern w:val="2"/>
                <w:sz w:val="24"/>
                <w:szCs w:val="24"/>
              </w:rPr>
              <w:t>GB18918</w:t>
            </w:r>
            <w:r>
              <w:rPr>
                <w:rFonts w:hint="eastAsia" w:cs="宋体"/>
                <w:color w:val="auto"/>
                <w:kern w:val="2"/>
                <w:sz w:val="24"/>
                <w:szCs w:val="24"/>
              </w:rPr>
              <w:t>－</w:t>
            </w:r>
            <w:r>
              <w:rPr>
                <w:color w:val="auto"/>
                <w:kern w:val="2"/>
                <w:sz w:val="24"/>
                <w:szCs w:val="24"/>
              </w:rPr>
              <w:t>2002</w:t>
            </w:r>
            <w:r>
              <w:rPr>
                <w:rFonts w:hint="eastAsia" w:cs="宋体"/>
                <w:color w:val="auto"/>
                <w:kern w:val="2"/>
                <w:sz w:val="24"/>
                <w:szCs w:val="24"/>
              </w:rPr>
              <w:t>）一级</w:t>
            </w:r>
            <w:r>
              <w:rPr>
                <w:rFonts w:hint="eastAsia"/>
                <w:color w:val="auto"/>
                <w:kern w:val="2"/>
                <w:sz w:val="24"/>
                <w:szCs w:val="24"/>
              </w:rPr>
              <w:t>A</w:t>
            </w:r>
            <w:r>
              <w:rPr>
                <w:rFonts w:hint="eastAsia" w:cs="宋体"/>
                <w:color w:val="auto"/>
                <w:kern w:val="2"/>
                <w:sz w:val="24"/>
                <w:szCs w:val="24"/>
              </w:rPr>
              <w:t>标准。</w:t>
            </w:r>
          </w:p>
          <w:p>
            <w:pPr>
              <w:pStyle w:val="96"/>
              <w:rPr>
                <w:color w:val="auto"/>
                <w:sz w:val="24"/>
                <w:szCs w:val="24"/>
              </w:rPr>
            </w:pPr>
            <w:r>
              <w:rPr>
                <w:rFonts w:hint="eastAsia" w:cs="宋体"/>
                <w:color w:val="auto"/>
                <w:sz w:val="24"/>
                <w:szCs w:val="24"/>
              </w:rPr>
              <w:t>本污水处理厂厂区总占地面积</w:t>
            </w:r>
            <w:r>
              <w:rPr>
                <w:rFonts w:hint="eastAsia"/>
                <w:color w:val="auto"/>
                <w:sz w:val="24"/>
                <w:szCs w:val="24"/>
                <w:lang w:val="en-US" w:eastAsia="zh-CN"/>
              </w:rPr>
              <w:t>1406.67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rPr>
              <w:t>，</w:t>
            </w:r>
            <w:r>
              <w:rPr>
                <w:rFonts w:hint="eastAsia" w:cs="宋体"/>
                <w:color w:val="auto"/>
                <w:sz w:val="24"/>
                <w:szCs w:val="24"/>
                <w:lang w:val="en-US" w:eastAsia="zh-CN"/>
              </w:rPr>
              <w:t>近期占地1286.67</w:t>
            </w:r>
            <w:r>
              <w:rPr>
                <w:rFonts w:hint="eastAsia"/>
                <w:color w:val="auto"/>
                <w:sz w:val="24"/>
                <w:szCs w:val="24"/>
              </w:rPr>
              <w:t>m</w:t>
            </w:r>
            <w:r>
              <w:rPr>
                <w:rFonts w:hint="eastAsia"/>
                <w:color w:val="auto"/>
                <w:sz w:val="24"/>
                <w:szCs w:val="24"/>
                <w:vertAlign w:val="superscript"/>
              </w:rPr>
              <w:t>2</w:t>
            </w:r>
            <w:r>
              <w:rPr>
                <w:rFonts w:hint="eastAsia" w:cs="宋体"/>
                <w:color w:val="auto"/>
                <w:sz w:val="24"/>
                <w:szCs w:val="24"/>
                <w:lang w:val="en-US" w:eastAsia="zh-CN"/>
              </w:rPr>
              <w:t>，</w:t>
            </w:r>
            <w:r>
              <w:rPr>
                <w:rFonts w:hint="eastAsia" w:cs="宋体"/>
                <w:color w:val="auto"/>
                <w:sz w:val="24"/>
                <w:szCs w:val="24"/>
              </w:rPr>
              <w:t>建筑和构筑物面积约212m</w:t>
            </w:r>
            <w:r>
              <w:rPr>
                <w:rFonts w:hint="eastAsia" w:cs="宋体"/>
                <w:color w:val="auto"/>
                <w:sz w:val="24"/>
                <w:szCs w:val="24"/>
                <w:vertAlign w:val="superscript"/>
              </w:rPr>
              <w:t>2</w:t>
            </w:r>
            <w:r>
              <w:rPr>
                <w:rFonts w:hint="eastAsia" w:cs="宋体"/>
                <w:color w:val="auto"/>
                <w:sz w:val="24"/>
                <w:szCs w:val="24"/>
              </w:rPr>
              <w:t>，设计处理规模为</w:t>
            </w:r>
            <w:r>
              <w:rPr>
                <w:rFonts w:hint="eastAsia"/>
                <w:color w:val="auto"/>
                <w:sz w:val="24"/>
                <w:szCs w:val="24"/>
                <w:lang w:val="en-US" w:eastAsia="zh-CN"/>
              </w:rPr>
              <w:t>300</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w:t>
            </w:r>
            <w:r>
              <w:rPr>
                <w:rFonts w:hint="eastAsia" w:cs="宋体"/>
                <w:color w:val="auto"/>
                <w:sz w:val="24"/>
                <w:szCs w:val="24"/>
              </w:rPr>
              <w:t>本工程配套建设污水管网总长约</w:t>
            </w:r>
            <w:r>
              <w:rPr>
                <w:rFonts w:hint="eastAsia" w:cs="宋体"/>
                <w:color w:val="auto"/>
                <w:sz w:val="24"/>
                <w:szCs w:val="24"/>
                <w:lang w:val="en-US" w:eastAsia="zh-CN"/>
              </w:rPr>
              <w:t>6.68km</w:t>
            </w:r>
            <w:r>
              <w:rPr>
                <w:rFonts w:hint="eastAsia" w:cs="宋体"/>
                <w:color w:val="auto"/>
                <w:sz w:val="24"/>
                <w:szCs w:val="24"/>
              </w:rPr>
              <w:t>。污水处理工艺采用“格栅渠-调节池+</w:t>
            </w:r>
            <w:r>
              <w:rPr>
                <w:rFonts w:hint="eastAsia" w:cs="宋体"/>
                <w:color w:val="auto"/>
                <w:sz w:val="24"/>
                <w:szCs w:val="24"/>
                <w:lang w:val="en-US" w:eastAsia="zh-CN"/>
              </w:rPr>
              <w:t>A2/O</w:t>
            </w:r>
            <w:r>
              <w:rPr>
                <w:rFonts w:hint="eastAsia" w:cs="宋体"/>
                <w:color w:val="auto"/>
                <w:sz w:val="24"/>
                <w:szCs w:val="24"/>
              </w:rPr>
              <w:t>处理系统+滤池+ 紫外消毒处理+计量出水”工艺，出水水质《城镇污水厂污染物排放标准》（</w:t>
            </w:r>
            <w:r>
              <w:rPr>
                <w:color w:val="auto"/>
                <w:sz w:val="24"/>
                <w:szCs w:val="24"/>
              </w:rPr>
              <w:t>GB18918-2002</w:t>
            </w:r>
            <w:r>
              <w:rPr>
                <w:rFonts w:hint="eastAsia" w:cs="宋体"/>
                <w:color w:val="auto"/>
                <w:sz w:val="24"/>
                <w:szCs w:val="24"/>
              </w:rPr>
              <w:t>）一级</w:t>
            </w:r>
            <w:r>
              <w:rPr>
                <w:color w:val="auto"/>
                <w:sz w:val="24"/>
                <w:szCs w:val="24"/>
              </w:rPr>
              <w:t>A</w:t>
            </w:r>
            <w:r>
              <w:rPr>
                <w:rFonts w:hint="eastAsia" w:cs="宋体"/>
                <w:color w:val="auto"/>
                <w:sz w:val="24"/>
                <w:szCs w:val="24"/>
              </w:rPr>
              <w:t>标准。</w:t>
            </w:r>
          </w:p>
          <w:p>
            <w:pPr>
              <w:pStyle w:val="14"/>
              <w:spacing w:line="460" w:lineRule="exact"/>
              <w:ind w:firstLine="480" w:firstLineChars="200"/>
              <w:rPr>
                <w:color w:val="auto"/>
                <w:kern w:val="2"/>
                <w:sz w:val="24"/>
                <w:szCs w:val="24"/>
              </w:rPr>
            </w:pPr>
            <w:r>
              <w:rPr>
                <w:color w:val="auto"/>
                <w:kern w:val="2"/>
                <w:sz w:val="24"/>
                <w:szCs w:val="24"/>
              </w:rPr>
              <w:t>2</w:t>
            </w:r>
            <w:r>
              <w:rPr>
                <w:rFonts w:hint="eastAsia" w:cs="宋体"/>
                <w:color w:val="auto"/>
                <w:kern w:val="2"/>
                <w:sz w:val="24"/>
                <w:szCs w:val="24"/>
              </w:rPr>
              <w:t>环境质量现状</w:t>
            </w:r>
          </w:p>
          <w:p>
            <w:pPr>
              <w:spacing w:line="460" w:lineRule="exact"/>
              <w:ind w:firstLine="480" w:firstLineChars="200"/>
              <w:rPr>
                <w:color w:val="auto"/>
                <w:sz w:val="24"/>
                <w:szCs w:val="24"/>
              </w:rPr>
            </w:pPr>
            <w:r>
              <w:rPr>
                <w:rFonts w:hint="eastAsia" w:cs="宋体"/>
                <w:color w:val="auto"/>
                <w:sz w:val="24"/>
                <w:szCs w:val="24"/>
              </w:rPr>
              <w:t>项目建设地位于</w:t>
            </w:r>
            <w:r>
              <w:rPr>
                <w:rFonts w:hint="eastAsia" w:cs="宋体"/>
                <w:color w:val="auto"/>
                <w:sz w:val="24"/>
                <w:szCs w:val="24"/>
                <w:lang w:val="en-US" w:eastAsia="zh-CN"/>
              </w:rPr>
              <w:t>湘阴县湘滨镇</w:t>
            </w:r>
            <w:r>
              <w:rPr>
                <w:rFonts w:hint="eastAsia" w:cs="宋体"/>
                <w:color w:val="auto"/>
                <w:sz w:val="24"/>
                <w:szCs w:val="24"/>
              </w:rPr>
              <w:t>，区域环境空气质量能完全满足</w:t>
            </w:r>
            <w:r>
              <w:rPr>
                <w:color w:val="auto"/>
                <w:sz w:val="24"/>
                <w:szCs w:val="24"/>
              </w:rPr>
              <w:t>GB3095-1996</w:t>
            </w:r>
            <w:r>
              <w:rPr>
                <w:rFonts w:hint="eastAsia" w:cs="宋体"/>
                <w:color w:val="auto"/>
                <w:sz w:val="24"/>
                <w:szCs w:val="24"/>
              </w:rPr>
              <w:t>《环境空气质量标准》中二级标</w:t>
            </w:r>
            <w:r>
              <w:rPr>
                <w:rFonts w:hint="eastAsia" w:cs="宋体"/>
                <w:color w:val="auto"/>
                <w:sz w:val="24"/>
                <w:szCs w:val="24"/>
                <w:shd w:val="clear" w:color="auto" w:fill="auto"/>
              </w:rPr>
              <w:t>准。本工程</w:t>
            </w:r>
            <w:r>
              <w:rPr>
                <w:rFonts w:hint="eastAsia" w:cs="宋体"/>
                <w:color w:val="auto"/>
                <w:sz w:val="24"/>
                <w:szCs w:val="24"/>
                <w:shd w:val="clear" w:color="auto" w:fill="auto"/>
                <w:lang w:val="en-US" w:eastAsia="zh-CN"/>
              </w:rPr>
              <w:t>尾水排入粟塘社区农田灌溉渠</w:t>
            </w:r>
            <w:r>
              <w:rPr>
                <w:rFonts w:hint="eastAsia" w:cs="宋体"/>
                <w:color w:val="auto"/>
                <w:sz w:val="24"/>
                <w:szCs w:val="24"/>
                <w:shd w:val="clear" w:color="auto" w:fill="auto"/>
              </w:rPr>
              <w:t>，</w:t>
            </w:r>
            <w:r>
              <w:rPr>
                <w:rFonts w:hint="eastAsia" w:cs="宋体"/>
                <w:color w:val="auto"/>
                <w:sz w:val="24"/>
                <w:szCs w:val="24"/>
                <w:shd w:val="clear" w:color="auto" w:fill="auto"/>
                <w:lang w:val="en-US" w:eastAsia="zh-CN"/>
              </w:rPr>
              <w:t>最终受纳水体为湘江</w:t>
            </w:r>
            <w:r>
              <w:rPr>
                <w:rFonts w:hint="eastAsia" w:cs="宋体"/>
                <w:color w:val="auto"/>
                <w:sz w:val="24"/>
                <w:szCs w:val="24"/>
                <w:shd w:val="clear" w:color="auto" w:fill="auto"/>
              </w:rPr>
              <w:t>，水质</w:t>
            </w:r>
            <w:r>
              <w:rPr>
                <w:rFonts w:hint="eastAsia" w:cs="宋体"/>
                <w:color w:val="auto"/>
                <w:sz w:val="24"/>
                <w:szCs w:val="24"/>
                <w:shd w:val="clear" w:color="auto" w:fill="auto"/>
                <w:lang w:val="en-US" w:eastAsia="zh-CN"/>
              </w:rPr>
              <w:t>分别</w:t>
            </w:r>
            <w:r>
              <w:rPr>
                <w:rFonts w:hint="eastAsia" w:cs="宋体"/>
                <w:color w:val="auto"/>
                <w:sz w:val="24"/>
                <w:szCs w:val="24"/>
                <w:shd w:val="clear" w:color="auto" w:fill="auto"/>
              </w:rPr>
              <w:t>能完全满足水域功能区划《农田灌溉水质标准》GB5084-2005</w:t>
            </w:r>
            <w:r>
              <w:rPr>
                <w:rFonts w:hint="eastAsia" w:cs="宋体"/>
                <w:color w:val="auto"/>
                <w:sz w:val="24"/>
                <w:szCs w:val="24"/>
                <w:shd w:val="clear" w:color="auto" w:fill="auto"/>
                <w:lang w:eastAsia="zh-CN"/>
              </w:rPr>
              <w:t>（</w:t>
            </w:r>
            <w:r>
              <w:rPr>
                <w:rFonts w:hint="eastAsia" w:cs="宋体"/>
                <w:color w:val="auto"/>
                <w:sz w:val="24"/>
                <w:szCs w:val="24"/>
                <w:shd w:val="clear" w:color="auto" w:fill="auto"/>
                <w:lang w:val="en-US" w:eastAsia="zh-CN"/>
              </w:rPr>
              <w:t>旱作</w:t>
            </w:r>
            <w:r>
              <w:rPr>
                <w:rFonts w:hint="eastAsia" w:cs="宋体"/>
                <w:color w:val="auto"/>
                <w:sz w:val="24"/>
                <w:szCs w:val="24"/>
                <w:shd w:val="clear" w:color="auto" w:fill="auto"/>
                <w:lang w:eastAsia="zh-CN"/>
              </w:rPr>
              <w:t>）</w:t>
            </w:r>
            <w:r>
              <w:rPr>
                <w:rFonts w:hint="eastAsia" w:cs="宋体"/>
                <w:color w:val="auto"/>
                <w:sz w:val="24"/>
                <w:szCs w:val="24"/>
                <w:shd w:val="clear" w:color="auto" w:fill="auto"/>
                <w:lang w:val="en-US" w:eastAsia="zh-CN"/>
              </w:rPr>
              <w:t>标准和</w:t>
            </w:r>
            <w:r>
              <w:rPr>
                <w:rFonts w:hint="eastAsia" w:cs="宋体"/>
                <w:color w:val="auto"/>
                <w:sz w:val="24"/>
                <w:szCs w:val="24"/>
                <w:shd w:val="clear" w:color="auto" w:fill="auto"/>
              </w:rPr>
              <w:t>（</w:t>
            </w:r>
            <w:r>
              <w:rPr>
                <w:color w:val="auto"/>
                <w:sz w:val="24"/>
                <w:szCs w:val="24"/>
                <w:shd w:val="clear" w:color="auto" w:fill="auto"/>
              </w:rPr>
              <w:t>GB3838-2002</w:t>
            </w:r>
            <w:r>
              <w:rPr>
                <w:rFonts w:hint="eastAsia" w:cs="宋体"/>
                <w:color w:val="auto"/>
                <w:sz w:val="24"/>
                <w:szCs w:val="24"/>
                <w:shd w:val="clear" w:color="auto" w:fill="auto"/>
              </w:rPr>
              <w:t>《地表水环境质量标准</w:t>
            </w:r>
            <w:r>
              <w:rPr>
                <w:rFonts w:hint="eastAsia" w:cs="宋体"/>
                <w:color w:val="auto"/>
                <w:sz w:val="24"/>
                <w:szCs w:val="24"/>
                <w:u w:val="none"/>
                <w:shd w:val="clear" w:color="auto" w:fill="auto"/>
              </w:rPr>
              <w:t>》</w:t>
            </w:r>
            <w:r>
              <w:rPr>
                <w:rFonts w:hint="eastAsia" w:cs="宋体"/>
                <w:color w:val="auto"/>
                <w:sz w:val="24"/>
                <w:szCs w:val="24"/>
                <w:highlight w:val="none"/>
                <w:u w:val="none"/>
                <w:shd w:val="clear" w:color="auto" w:fill="auto"/>
              </w:rPr>
              <w:t>III</w:t>
            </w:r>
            <w:r>
              <w:rPr>
                <w:rFonts w:hint="eastAsia" w:cs="宋体"/>
                <w:color w:val="auto"/>
                <w:sz w:val="24"/>
                <w:szCs w:val="24"/>
                <w:shd w:val="clear" w:color="auto" w:fill="auto"/>
              </w:rPr>
              <w:t>类水质）的要求。本项目建设区域</w:t>
            </w:r>
            <w:r>
              <w:rPr>
                <w:rFonts w:hint="eastAsia" w:cs="宋体"/>
                <w:color w:val="auto"/>
                <w:sz w:val="24"/>
                <w:szCs w:val="24"/>
              </w:rPr>
              <w:t>内昼间噪声能达到</w:t>
            </w:r>
            <w:r>
              <w:rPr>
                <w:color w:val="auto"/>
                <w:sz w:val="24"/>
                <w:szCs w:val="24"/>
              </w:rPr>
              <w:t>GB3096</w:t>
            </w:r>
            <w:r>
              <w:rPr>
                <w:rFonts w:hint="eastAsia" w:cs="宋体"/>
                <w:color w:val="auto"/>
                <w:sz w:val="24"/>
                <w:szCs w:val="24"/>
              </w:rPr>
              <w:t>－</w:t>
            </w:r>
            <w:r>
              <w:rPr>
                <w:color w:val="auto"/>
                <w:sz w:val="24"/>
                <w:szCs w:val="24"/>
              </w:rPr>
              <w:t>2008</w:t>
            </w:r>
            <w:r>
              <w:rPr>
                <w:rFonts w:hint="eastAsia" w:cs="宋体"/>
                <w:color w:val="auto"/>
                <w:sz w:val="24"/>
                <w:szCs w:val="24"/>
              </w:rPr>
              <w:t>《声环境质量标准》中</w:t>
            </w:r>
            <w:r>
              <w:rPr>
                <w:color w:val="auto"/>
                <w:sz w:val="24"/>
                <w:szCs w:val="24"/>
              </w:rPr>
              <w:t>2</w:t>
            </w:r>
            <w:r>
              <w:rPr>
                <w:rFonts w:hint="eastAsia" w:cs="宋体"/>
                <w:color w:val="auto"/>
                <w:sz w:val="24"/>
                <w:szCs w:val="24"/>
              </w:rPr>
              <w:t>类标准。评价区域环境质量较好。</w:t>
            </w:r>
          </w:p>
          <w:p>
            <w:pPr>
              <w:spacing w:line="460" w:lineRule="exact"/>
              <w:ind w:firstLine="480" w:firstLineChars="200"/>
              <w:rPr>
                <w:color w:val="auto"/>
                <w:sz w:val="24"/>
                <w:szCs w:val="24"/>
              </w:rPr>
            </w:pPr>
            <w:r>
              <w:rPr>
                <w:color w:val="auto"/>
                <w:sz w:val="24"/>
                <w:szCs w:val="24"/>
              </w:rPr>
              <w:t xml:space="preserve">3 </w:t>
            </w:r>
            <w:r>
              <w:rPr>
                <w:rFonts w:hint="eastAsia" w:cs="宋体"/>
                <w:color w:val="auto"/>
                <w:sz w:val="24"/>
                <w:szCs w:val="24"/>
              </w:rPr>
              <w:t>环境影响分析</w:t>
            </w:r>
          </w:p>
          <w:p>
            <w:pPr>
              <w:pStyle w:val="14"/>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.1</w:t>
            </w:r>
            <w:r>
              <w:rPr>
                <w:rFonts w:hint="eastAsia" w:cs="宋体"/>
                <w:color w:val="auto"/>
                <w:kern w:val="2"/>
                <w:sz w:val="24"/>
                <w:szCs w:val="24"/>
              </w:rPr>
              <w:t>施工期环境影响分析</w:t>
            </w:r>
          </w:p>
          <w:p>
            <w:pPr>
              <w:spacing w:line="460" w:lineRule="exact"/>
              <w:ind w:firstLine="480" w:firstLineChars="200"/>
              <w:rPr>
                <w:rFonts w:cs="宋体"/>
                <w:color w:val="auto"/>
                <w:sz w:val="24"/>
                <w:szCs w:val="24"/>
                <w:lang w:val="zh-CN"/>
              </w:rPr>
            </w:pPr>
            <w:r>
              <w:rPr>
                <w:rFonts w:hint="eastAsia" w:cs="宋体"/>
                <w:color w:val="auto"/>
                <w:sz w:val="24"/>
                <w:szCs w:val="24"/>
              </w:rPr>
              <w:t>3.1.1</w:t>
            </w:r>
            <w:r>
              <w:rPr>
                <w:rFonts w:hint="eastAsia" w:cs="宋体"/>
                <w:color w:val="auto"/>
                <w:sz w:val="24"/>
                <w:szCs w:val="24"/>
                <w:lang w:val="zh-CN"/>
              </w:rPr>
              <w:t>污水处理厂工程对环境的影响分析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（1）环境空气影响分析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施工期对环境空气的影响主要是扬尘。施工扬尘主要来自施工作业过程和建筑材料，对周围环境空气质量有一定影响。若采取本次环评建议的控制措施，可有效降低扬尘对环境空气的影响。</w:t>
            </w:r>
          </w:p>
          <w:p>
            <w:pPr>
              <w:spacing w:line="460" w:lineRule="exact"/>
              <w:ind w:firstLine="480" w:firstLineChars="200"/>
              <w:rPr>
                <w:rFonts w:cs="宋体"/>
                <w:color w:val="auto"/>
                <w:sz w:val="24"/>
                <w:szCs w:val="24"/>
                <w:lang w:val="zh-CN"/>
              </w:rPr>
            </w:pPr>
            <w:r>
              <w:rPr>
                <w:rFonts w:hint="eastAsia" w:cs="宋体"/>
                <w:color w:val="auto"/>
                <w:sz w:val="24"/>
                <w:szCs w:val="24"/>
                <w:lang w:val="zh-CN"/>
              </w:rPr>
              <w:t>（2）地表水环境影响分析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施工期废水主要包括施工作业污水和施工人员生活污水。施工污水经过沉淀池沉淀后用于施工期间洒水降尘；由于项目区离周边居民较近，施工人员的生活废水依托龙门镇居民的现有的厕所解决。在施工过程中加强管理，施工期的生活污水对地表水环境影响不大。</w:t>
            </w:r>
          </w:p>
          <w:p>
            <w:pPr>
              <w:spacing w:line="460" w:lineRule="exact"/>
              <w:ind w:firstLine="480" w:firstLineChars="200"/>
              <w:rPr>
                <w:rFonts w:cs="宋体"/>
                <w:color w:val="auto"/>
                <w:sz w:val="24"/>
                <w:szCs w:val="24"/>
                <w:lang w:val="zh-CN"/>
              </w:rPr>
            </w:pPr>
            <w:r>
              <w:rPr>
                <w:rFonts w:hint="eastAsia" w:cs="宋体"/>
                <w:color w:val="auto"/>
                <w:sz w:val="24"/>
                <w:szCs w:val="24"/>
                <w:lang w:val="zh-CN"/>
              </w:rPr>
              <w:t>（3）地下水环境影响分析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施工期的主要工程行为主要为厂区平整、建筑物修建。施工期的污染源主要来自施工过程中施工机械跑冒滴漏产生的油污污染、施工人员产生的生活废水若收集处理不当进入地下系统后可能对地下水造成污染。只要在施工期严禁施工废水直排，施工期废水的收集应做好防渗处理。项目施工期不会对地下水环境产生不良影响。</w:t>
            </w:r>
          </w:p>
          <w:p>
            <w:pPr>
              <w:spacing w:line="460" w:lineRule="exact"/>
              <w:ind w:firstLine="480" w:firstLineChars="200"/>
              <w:rPr>
                <w:rFonts w:cs="宋体"/>
                <w:color w:val="auto"/>
                <w:sz w:val="24"/>
                <w:szCs w:val="24"/>
                <w:lang w:val="zh-CN"/>
              </w:rPr>
            </w:pPr>
            <w:r>
              <w:rPr>
                <w:rFonts w:hint="eastAsia" w:cs="宋体"/>
                <w:color w:val="auto"/>
                <w:sz w:val="24"/>
                <w:szCs w:val="24"/>
                <w:lang w:val="zh-CN"/>
              </w:rPr>
              <w:t>（4）声环境影响分析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施工过程中使用的运输车辆及各种施工机械都是噪声产生源。为最大限度减轻施工噪声对环境的影响，项目要求施工单位使用低噪声设备，合理安排施工时间，严禁在22:00-6:00 期间作业。若严格采取本次环评建议的控制措施，项目施工期噪声可达到《建筑施工场界环境噪声排放标准》(GB15253—2011)要求，对周围环境及敏感点的影响较小。</w:t>
            </w:r>
          </w:p>
          <w:p>
            <w:pPr>
              <w:spacing w:line="460" w:lineRule="exact"/>
              <w:ind w:firstLine="480" w:firstLineChars="200"/>
              <w:rPr>
                <w:rFonts w:cs="宋体"/>
                <w:color w:val="auto"/>
                <w:sz w:val="24"/>
                <w:szCs w:val="24"/>
                <w:lang w:val="zh-CN"/>
              </w:rPr>
            </w:pPr>
            <w:r>
              <w:rPr>
                <w:rFonts w:hint="eastAsia" w:cs="宋体"/>
                <w:color w:val="auto"/>
                <w:sz w:val="24"/>
                <w:szCs w:val="24"/>
                <w:lang w:val="zh-CN"/>
              </w:rPr>
              <w:t>（5）固体废物影响分析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项目固体废弃物来源于建筑施工产生的建筑垃圾，主要为废砖、各种木质、钢制废板材，施工期产生的可回收废料，如钢筋头、废木板等应尽量由施工单位回收利用，其余运往指定地点消纳。施工人员产生的生活垃圾由环卫部门清运后集中处理。只要严格落实本环评建议的处理措施，施工中产生的固体废物不会对环境产生不良影响。</w:t>
            </w:r>
          </w:p>
          <w:p>
            <w:pPr>
              <w:spacing w:line="460" w:lineRule="exact"/>
              <w:ind w:firstLine="480" w:firstLineChars="200"/>
              <w:rPr>
                <w:rFonts w:cs="宋体"/>
                <w:color w:val="auto"/>
                <w:sz w:val="24"/>
                <w:szCs w:val="24"/>
                <w:lang w:val="zh-CN"/>
              </w:rPr>
            </w:pPr>
            <w:r>
              <w:rPr>
                <w:rFonts w:hint="eastAsia" w:cs="宋体"/>
                <w:color w:val="auto"/>
                <w:sz w:val="24"/>
                <w:szCs w:val="24"/>
              </w:rPr>
              <w:t>3.1.2</w:t>
            </w:r>
            <w:r>
              <w:rPr>
                <w:rFonts w:hint="eastAsia" w:cs="宋体"/>
                <w:color w:val="auto"/>
                <w:sz w:val="24"/>
                <w:szCs w:val="24"/>
                <w:lang w:val="zh-CN"/>
              </w:rPr>
              <w:t>污水管道工程对环境的影响分析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（1）施工期噪声</w:t>
            </w:r>
          </w:p>
          <w:p>
            <w:pPr>
              <w:spacing w:line="460" w:lineRule="exact"/>
              <w:ind w:firstLine="480" w:firstLineChars="200"/>
              <w:rPr>
                <w:rFonts w:cs="宋体"/>
                <w:color w:val="auto"/>
                <w:sz w:val="24"/>
                <w:szCs w:val="24"/>
                <w:lang w:val="zh-CN"/>
              </w:rPr>
            </w:pPr>
            <w:r>
              <w:rPr>
                <w:rFonts w:hint="eastAsia" w:cs="宋体"/>
                <w:color w:val="auto"/>
                <w:sz w:val="24"/>
                <w:szCs w:val="24"/>
                <w:lang w:val="zh-CN"/>
              </w:rPr>
              <w:t>本项目施工期的噪声主要来自机械设备运作产生的噪声及运输、场地处理等工作的作业噪声。若采取本环评提出的措施，可将项目施工噪声对周围环境的影响降至最低。</w:t>
            </w:r>
          </w:p>
          <w:p>
            <w:pPr>
              <w:spacing w:line="460" w:lineRule="exact"/>
              <w:ind w:firstLine="480" w:firstLineChars="200"/>
              <w:rPr>
                <w:rFonts w:cs="宋体"/>
                <w:color w:val="auto"/>
                <w:sz w:val="24"/>
                <w:szCs w:val="24"/>
                <w:lang w:val="zh-CN"/>
              </w:rPr>
            </w:pPr>
            <w:r>
              <w:rPr>
                <w:rFonts w:hint="eastAsia" w:cs="宋体"/>
                <w:color w:val="auto"/>
                <w:sz w:val="24"/>
                <w:szCs w:val="24"/>
                <w:lang w:val="zh-CN"/>
              </w:rPr>
              <w:t>（2）施工期扬尘</w:t>
            </w:r>
          </w:p>
          <w:p>
            <w:pPr>
              <w:spacing w:line="460" w:lineRule="exact"/>
              <w:ind w:firstLine="480" w:firstLineChars="200"/>
              <w:rPr>
                <w:rFonts w:cs="宋体"/>
                <w:color w:val="auto"/>
                <w:sz w:val="24"/>
                <w:szCs w:val="24"/>
                <w:lang w:val="zh-CN"/>
              </w:rPr>
            </w:pPr>
            <w:bookmarkStart w:id="15" w:name="9.1.3.2_运营期环境影响分析"/>
            <w:bookmarkEnd w:id="15"/>
            <w:r>
              <w:rPr>
                <w:rFonts w:hint="eastAsia" w:cs="宋体"/>
                <w:color w:val="auto"/>
                <w:sz w:val="24"/>
                <w:szCs w:val="24"/>
                <w:lang w:val="zh-CN"/>
              </w:rPr>
              <w:t>在施工期见扬尘是主要的空气污染物。项目建设时应对开挖及车辆行驶的路面实施洒水抑尘等措施，能有效降低其对环境空气的影响。</w:t>
            </w:r>
          </w:p>
          <w:p>
            <w:pPr>
              <w:spacing w:line="460" w:lineRule="exact"/>
              <w:ind w:firstLine="480" w:firstLineChars="200"/>
              <w:rPr>
                <w:rFonts w:cs="宋体"/>
                <w:color w:val="auto"/>
                <w:sz w:val="24"/>
                <w:szCs w:val="24"/>
                <w:lang w:val="zh-CN"/>
              </w:rPr>
            </w:pPr>
            <w:r>
              <w:rPr>
                <w:rFonts w:hint="eastAsia" w:cs="宋体"/>
                <w:color w:val="auto"/>
                <w:sz w:val="24"/>
                <w:szCs w:val="24"/>
                <w:lang w:val="zh-CN"/>
              </w:rPr>
              <w:t>（3）施工期废水</w:t>
            </w:r>
          </w:p>
          <w:p>
            <w:pPr>
              <w:spacing w:line="460" w:lineRule="exact"/>
              <w:ind w:firstLine="480" w:firstLineChars="200"/>
              <w:rPr>
                <w:rFonts w:cs="宋体"/>
                <w:color w:val="auto"/>
                <w:sz w:val="24"/>
                <w:szCs w:val="24"/>
                <w:shd w:val="clear" w:color="auto" w:fill="auto"/>
                <w:lang w:val="zh-CN"/>
              </w:rPr>
            </w:pPr>
            <w:r>
              <w:rPr>
                <w:rFonts w:hint="eastAsia" w:cs="宋体"/>
                <w:color w:val="auto"/>
                <w:sz w:val="24"/>
                <w:szCs w:val="24"/>
                <w:shd w:val="clear" w:color="auto" w:fill="auto"/>
                <w:lang w:val="zh-CN"/>
              </w:rPr>
              <w:t>管道工程施工期产生的废水主要包括施工废水和施工人员生活污水。施工废水通过隔油池后进行沉淀，用于场地降尘洒水，不外排。对于施工人员排放的生活污水，可依托龙门镇现有的厕所解决或集中收集后由附近居民用作农灌。总之，只要在施工过程中加强管理，注意不要将施工作业场地内的生活污水排入附近水体中，则管道施工对沿线区域的地表水环境影响较小。</w:t>
            </w:r>
          </w:p>
          <w:p>
            <w:pPr>
              <w:spacing w:line="460" w:lineRule="exact"/>
              <w:ind w:firstLine="480" w:firstLineChars="200"/>
              <w:rPr>
                <w:rFonts w:cs="宋体"/>
                <w:color w:val="auto"/>
                <w:sz w:val="24"/>
                <w:szCs w:val="24"/>
                <w:lang w:val="zh-CN"/>
              </w:rPr>
            </w:pPr>
            <w:r>
              <w:rPr>
                <w:rFonts w:hint="eastAsia" w:cs="宋体"/>
                <w:color w:val="auto"/>
                <w:sz w:val="24"/>
                <w:szCs w:val="24"/>
                <w:lang w:val="zh-CN"/>
              </w:rPr>
              <w:t>（4）施工期固体废弃物</w:t>
            </w:r>
          </w:p>
          <w:p>
            <w:pPr>
              <w:spacing w:line="460" w:lineRule="exact"/>
              <w:ind w:firstLine="480" w:firstLineChars="200"/>
              <w:rPr>
                <w:rFonts w:cs="宋体"/>
                <w:color w:val="auto"/>
                <w:sz w:val="24"/>
                <w:szCs w:val="24"/>
                <w:lang w:val="zh-CN"/>
              </w:rPr>
            </w:pPr>
            <w:r>
              <w:rPr>
                <w:rFonts w:hint="eastAsia" w:cs="宋体"/>
                <w:color w:val="auto"/>
                <w:sz w:val="24"/>
                <w:szCs w:val="24"/>
                <w:lang w:val="zh-CN"/>
              </w:rPr>
              <w:t>管线施工过程产生的固体废弃物主要包括施工废料、土石方。</w:t>
            </w:r>
          </w:p>
          <w:p>
            <w:pPr>
              <w:spacing w:line="460" w:lineRule="exact"/>
              <w:ind w:firstLine="480" w:firstLineChars="200"/>
              <w:rPr>
                <w:rFonts w:cs="宋体"/>
                <w:color w:val="auto"/>
                <w:sz w:val="24"/>
                <w:szCs w:val="24"/>
                <w:lang w:val="zh-CN"/>
              </w:rPr>
            </w:pPr>
            <w:r>
              <w:rPr>
                <w:rFonts w:hint="eastAsia" w:cs="宋体"/>
                <w:color w:val="auto"/>
                <w:sz w:val="24"/>
                <w:szCs w:val="24"/>
                <w:lang w:val="zh-CN"/>
              </w:rPr>
              <w:t>1）施工废料：施工废料主要包括焊接作业中产生废焊条、少量焊缝防腐采用的热收缩套零头及施工过程中产生的废混凝土、废钢筋、废泥沙等。施工废料部分可回收利用， 剩余废料依托当地职能部门有偿清运，对环境影响较小。</w:t>
            </w:r>
          </w:p>
          <w:p>
            <w:pPr>
              <w:spacing w:line="460" w:lineRule="exact"/>
              <w:ind w:firstLine="480" w:firstLineChars="200"/>
              <w:rPr>
                <w:rFonts w:cs="宋体"/>
                <w:color w:val="auto"/>
                <w:sz w:val="24"/>
                <w:szCs w:val="24"/>
                <w:lang w:val="zh-CN"/>
              </w:rPr>
            </w:pPr>
            <w:r>
              <w:rPr>
                <w:rFonts w:hint="eastAsia" w:cs="宋体"/>
                <w:color w:val="auto"/>
                <w:sz w:val="24"/>
                <w:szCs w:val="24"/>
                <w:lang w:val="zh-CN"/>
              </w:rPr>
              <w:t>2）工程弃土、弃渣： 管线工程开挖土石方大部分回填；多余土方由渣土公司运至制定的弃渣场。</w:t>
            </w:r>
          </w:p>
          <w:p>
            <w:pPr>
              <w:spacing w:line="460" w:lineRule="exact"/>
              <w:ind w:firstLine="480" w:firstLineChars="200"/>
              <w:rPr>
                <w:rFonts w:cs="宋体"/>
                <w:color w:val="auto"/>
                <w:sz w:val="24"/>
                <w:szCs w:val="24"/>
                <w:lang w:val="zh-CN"/>
              </w:rPr>
            </w:pPr>
            <w:r>
              <w:rPr>
                <w:rFonts w:hint="eastAsia" w:cs="宋体"/>
                <w:color w:val="auto"/>
                <w:sz w:val="24"/>
                <w:szCs w:val="24"/>
                <w:lang w:val="zh-CN"/>
              </w:rPr>
              <w:t xml:space="preserve">3）生活垃圾：施工高峰期施工人员约 </w:t>
            </w:r>
            <w:r>
              <w:rPr>
                <w:rFonts w:hint="eastAsia" w:cs="宋体"/>
                <w:color w:val="auto"/>
                <w:sz w:val="24"/>
                <w:szCs w:val="24"/>
                <w:lang w:val="en-US" w:eastAsia="zh-CN"/>
              </w:rPr>
              <w:t>10</w:t>
            </w:r>
            <w:r>
              <w:rPr>
                <w:rFonts w:hint="eastAsia" w:cs="宋体"/>
                <w:color w:val="auto"/>
                <w:sz w:val="24"/>
                <w:szCs w:val="24"/>
                <w:lang w:val="zh-CN"/>
              </w:rPr>
              <w:t xml:space="preserve">人，生活垃圾按 0.5kg/人·d 计，产生量约为 </w:t>
            </w:r>
            <w:r>
              <w:rPr>
                <w:rFonts w:hint="eastAsia" w:cs="宋体"/>
                <w:color w:val="auto"/>
                <w:sz w:val="24"/>
                <w:szCs w:val="24"/>
                <w:lang w:val="en-US" w:eastAsia="zh-CN"/>
              </w:rPr>
              <w:t>5</w:t>
            </w:r>
            <w:r>
              <w:rPr>
                <w:rFonts w:hint="eastAsia" w:cs="宋体"/>
                <w:color w:val="auto"/>
                <w:sz w:val="24"/>
                <w:szCs w:val="24"/>
                <w:lang w:val="zh-CN"/>
              </w:rPr>
              <w:t>kg/d。生活垃圾经统一收集后由环卫部门清运统一处理。</w:t>
            </w:r>
          </w:p>
          <w:p>
            <w:pPr>
              <w:spacing w:line="460" w:lineRule="exact"/>
              <w:ind w:firstLine="480" w:firstLineChars="200"/>
              <w:rPr>
                <w:rFonts w:cs="宋体"/>
                <w:color w:val="auto"/>
                <w:sz w:val="24"/>
                <w:szCs w:val="24"/>
                <w:lang w:val="zh-CN"/>
              </w:rPr>
            </w:pPr>
            <w:r>
              <w:rPr>
                <w:rFonts w:hint="eastAsia" w:cs="宋体"/>
                <w:color w:val="auto"/>
                <w:sz w:val="24"/>
                <w:szCs w:val="24"/>
                <w:lang w:val="zh-CN"/>
              </w:rPr>
              <w:t>（</w:t>
            </w:r>
            <w:r>
              <w:rPr>
                <w:rFonts w:hint="eastAsia" w:cs="宋体"/>
                <w:color w:val="auto"/>
                <w:sz w:val="24"/>
                <w:szCs w:val="24"/>
              </w:rPr>
              <w:t>5）</w:t>
            </w:r>
            <w:r>
              <w:rPr>
                <w:rFonts w:hint="eastAsia" w:cs="宋体"/>
                <w:color w:val="auto"/>
                <w:sz w:val="24"/>
                <w:szCs w:val="24"/>
                <w:lang w:val="zh-CN"/>
              </w:rPr>
              <w:t>生态影响分析</w:t>
            </w:r>
          </w:p>
          <w:p>
            <w:pPr>
              <w:spacing w:line="460" w:lineRule="exact"/>
              <w:ind w:firstLine="480" w:firstLineChars="200"/>
              <w:rPr>
                <w:rFonts w:cs="宋体"/>
                <w:color w:val="auto"/>
                <w:sz w:val="24"/>
                <w:szCs w:val="24"/>
                <w:lang w:val="zh-CN"/>
              </w:rPr>
            </w:pPr>
            <w:r>
              <w:rPr>
                <w:rFonts w:hint="eastAsia" w:cs="宋体"/>
                <w:color w:val="auto"/>
                <w:sz w:val="24"/>
                <w:szCs w:val="24"/>
                <w:lang w:val="zh-CN"/>
              </w:rPr>
              <w:t>本项目生态环境影响主要体现在施工期，生态环境影响要素主要表征为管沟开挖、管道穿越等建设施工阶段，带来对土壤表层的扰动、地貌改变、地表植被的破坏、土地利用格局的变化，农、林种植业的损失；施工临时道路、水土流失和地表植被破坏等。在采取本环评提出的防治措施后，对所在生态区域环境影响不大。</w:t>
            </w:r>
          </w:p>
          <w:p>
            <w:pPr>
              <w:spacing w:line="460" w:lineRule="exact"/>
              <w:ind w:firstLine="480" w:firstLineChars="200"/>
              <w:rPr>
                <w:rFonts w:cs="宋体"/>
                <w:color w:val="auto"/>
                <w:sz w:val="24"/>
                <w:szCs w:val="24"/>
                <w:lang w:val="zh-CN"/>
              </w:rPr>
            </w:pPr>
            <w:r>
              <w:rPr>
                <w:rFonts w:hint="eastAsia" w:cs="宋体"/>
                <w:color w:val="auto"/>
                <w:sz w:val="24"/>
                <w:szCs w:val="24"/>
                <w:lang w:val="zh-CN"/>
              </w:rPr>
              <w:t>总之，项目的施工对周围环境造成的污染将随项目施工的结束而消失，如果施工单位认真落实本环评提出的各项环保防护措施，该项目的施工对周围环境的影响将降至最低。</w:t>
            </w:r>
          </w:p>
          <w:p>
            <w:pPr>
              <w:pStyle w:val="14"/>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.2</w:t>
            </w:r>
            <w:r>
              <w:rPr>
                <w:rFonts w:hint="eastAsia" w:cs="宋体"/>
                <w:color w:val="auto"/>
                <w:kern w:val="2"/>
                <w:sz w:val="24"/>
                <w:szCs w:val="24"/>
              </w:rPr>
              <w:t>营运期环境影响分析</w:t>
            </w:r>
          </w:p>
          <w:p>
            <w:pPr>
              <w:pStyle w:val="14"/>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.2.1</w:t>
            </w:r>
            <w:r>
              <w:rPr>
                <w:rFonts w:hint="eastAsia" w:cs="宋体"/>
                <w:color w:val="auto"/>
                <w:kern w:val="2"/>
                <w:sz w:val="24"/>
                <w:szCs w:val="24"/>
              </w:rPr>
              <w:t>空气环境影响分析</w:t>
            </w:r>
          </w:p>
          <w:p>
            <w:pPr>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color w:val="auto"/>
                <w:kern w:val="2"/>
                <w:sz w:val="24"/>
                <w:szCs w:val="24"/>
              </w:rPr>
            </w:pPr>
            <w:r>
              <w:rPr>
                <w:rFonts w:ascii="Times New Roman" w:hAnsi="Times New Roman" w:eastAsia="宋体" w:cs="Times New Roman"/>
                <w:bCs/>
                <w:color w:val="000000"/>
                <w:sz w:val="24"/>
                <w:szCs w:val="24"/>
              </w:rPr>
              <w:t>根据污水处理厂恶臭气体预测结果，污水处理厂臭气中氨气、硫化氢最大</w:t>
            </w:r>
            <w:r>
              <w:rPr>
                <w:rFonts w:hint="eastAsia" w:ascii="Times New Roman" w:hAnsi="Times New Roman" w:eastAsia="宋体" w:cs="Times New Roman"/>
                <w:bCs/>
                <w:color w:val="000000"/>
                <w:sz w:val="24"/>
                <w:szCs w:val="24"/>
              </w:rPr>
              <w:t>厂界</w:t>
            </w:r>
            <w:r>
              <w:rPr>
                <w:rFonts w:ascii="Times New Roman" w:hAnsi="Times New Roman" w:eastAsia="宋体" w:cs="Times New Roman"/>
                <w:bCs/>
                <w:color w:val="000000"/>
                <w:sz w:val="24"/>
                <w:szCs w:val="24"/>
              </w:rPr>
              <w:t>浓度</w:t>
            </w:r>
            <w:r>
              <w:rPr>
                <w:rFonts w:hint="default" w:ascii="Times New Roman" w:hAnsi="Times New Roman" w:eastAsia="宋体" w:cs="Times New Roman"/>
                <w:bCs/>
                <w:color w:val="000000"/>
                <w:sz w:val="24"/>
                <w:szCs w:val="24"/>
              </w:rPr>
              <w:t>为1.6477μg/m³，H</w:t>
            </w:r>
            <w:r>
              <w:rPr>
                <w:rFonts w:hint="default" w:ascii="Times New Roman" w:hAnsi="Times New Roman" w:eastAsia="宋体" w:cs="Times New Roman"/>
                <w:bCs/>
                <w:color w:val="000000"/>
                <w:sz w:val="24"/>
                <w:szCs w:val="24"/>
                <w:vertAlign w:val="subscript"/>
              </w:rPr>
              <w:t>2</w:t>
            </w:r>
            <w:r>
              <w:rPr>
                <w:rFonts w:hint="default" w:ascii="Times New Roman" w:hAnsi="Times New Roman" w:eastAsia="宋体" w:cs="Times New Roman"/>
                <w:bCs/>
                <w:color w:val="000000"/>
                <w:sz w:val="24"/>
                <w:szCs w:val="24"/>
              </w:rPr>
              <w:t>S最大厂界浓度</w:t>
            </w:r>
            <w:r>
              <w:rPr>
                <w:rFonts w:hint="eastAsia" w:cs="Times New Roman"/>
                <w:bCs/>
                <w:color w:val="000000"/>
                <w:sz w:val="24"/>
                <w:szCs w:val="24"/>
                <w:lang w:val="en-US" w:eastAsia="zh-CN"/>
              </w:rPr>
              <w:t>为0.0629</w:t>
            </w:r>
            <w:r>
              <w:rPr>
                <w:rFonts w:hint="default" w:ascii="Times New Roman" w:hAnsi="Times New Roman" w:eastAsia="宋体" w:cs="Times New Roman"/>
                <w:bCs/>
                <w:color w:val="000000"/>
                <w:sz w:val="24"/>
                <w:szCs w:val="24"/>
              </w:rPr>
              <w:t>μg/m³</w:t>
            </w:r>
            <w:r>
              <w:rPr>
                <w:rFonts w:ascii="Times New Roman" w:hAnsi="Times New Roman" w:eastAsia="宋体" w:cs="Times New Roman"/>
                <w:bCs/>
                <w:color w:val="000000"/>
                <w:sz w:val="24"/>
                <w:szCs w:val="24"/>
              </w:rPr>
              <w:t>，从预测结果可以看出，本项目污水处理厂大气污染物的厂界浓度均能达到《工业企业设计卫生标准》（TJ36-79）限值、《城镇污水处理厂污染物排放标准》表4中二级标准值（</w:t>
            </w:r>
            <w:r>
              <w:rPr>
                <w:rFonts w:ascii="Times New Roman" w:hAnsi="Times New Roman" w:eastAsia="宋体" w:cs="Times New Roman"/>
                <w:color w:val="000000"/>
                <w:spacing w:val="-4"/>
                <w:sz w:val="24"/>
                <w:szCs w:val="20"/>
              </w:rPr>
              <w:t>氨：1.5mg/m³、硫化氢：0.06 mg/m³</w:t>
            </w:r>
            <w:r>
              <w:rPr>
                <w:rFonts w:ascii="Times New Roman" w:hAnsi="Times New Roman" w:eastAsia="宋体" w:cs="Times New Roman"/>
                <w:bCs/>
                <w:color w:val="000000"/>
                <w:sz w:val="24"/>
                <w:szCs w:val="24"/>
              </w:rPr>
              <w:t>），对项目周边大气环境影响很小。</w:t>
            </w:r>
          </w:p>
          <w:p>
            <w:pPr>
              <w:pStyle w:val="14"/>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.2.</w:t>
            </w:r>
            <w:r>
              <w:rPr>
                <w:rFonts w:hint="eastAsia"/>
                <w:color w:val="auto"/>
                <w:kern w:val="2"/>
                <w:sz w:val="24"/>
                <w:szCs w:val="24"/>
              </w:rPr>
              <w:t>2</w:t>
            </w:r>
            <w:r>
              <w:rPr>
                <w:rFonts w:hint="eastAsia" w:cs="宋体"/>
                <w:color w:val="auto"/>
                <w:kern w:val="2"/>
                <w:sz w:val="24"/>
                <w:szCs w:val="24"/>
              </w:rPr>
              <w:t>水环境影响分析</w:t>
            </w:r>
          </w:p>
          <w:p>
            <w:pPr>
              <w:pStyle w:val="14"/>
              <w:spacing w:line="460" w:lineRule="exact"/>
              <w:ind w:firstLine="480" w:firstLineChars="200"/>
              <w:rPr>
                <w:color w:val="auto"/>
                <w:kern w:val="2"/>
                <w:sz w:val="24"/>
                <w:szCs w:val="24"/>
              </w:rPr>
            </w:pPr>
            <w:r>
              <w:rPr>
                <w:rFonts w:hint="eastAsia" w:cs="宋体"/>
                <w:color w:val="auto"/>
                <w:kern w:val="2"/>
                <w:sz w:val="24"/>
                <w:szCs w:val="24"/>
              </w:rPr>
              <w:t>根据预测，本项目建成投产后，对整个下游河段污染物贡献值有削减。正常排污的情况下，污染物对</w:t>
            </w:r>
            <w:r>
              <w:rPr>
                <w:rFonts w:hint="eastAsia" w:cs="宋体"/>
                <w:color w:val="auto"/>
                <w:kern w:val="2"/>
                <w:sz w:val="24"/>
                <w:szCs w:val="24"/>
                <w:lang w:val="en-US" w:eastAsia="zh-CN"/>
              </w:rPr>
              <w:t>王家河</w:t>
            </w:r>
            <w:r>
              <w:rPr>
                <w:rFonts w:hint="eastAsia" w:cs="宋体"/>
                <w:color w:val="auto"/>
                <w:kern w:val="2"/>
                <w:sz w:val="24"/>
                <w:szCs w:val="24"/>
              </w:rPr>
              <w:t>的水质影响较小。经预测结果表明，本项目正常运行，处理后污水达标排放，本项目经处理达标后的污水排放不会对该区域用水安全造成危害。本项目属于污水收集处理工程，项目实施后可减少周边生活污水的直排，达标排放对水环境的影响总体而言将会减轻对区域水体的污染。然而，如若污水直排，因废水量增加，将会使排入淦田河的污染物量增加，本项目排污口下游的水质较现状会有一定恶化。因此，必须杜绝事故排放，确保污水处理厂正常运行。</w:t>
            </w:r>
          </w:p>
          <w:p>
            <w:pPr>
              <w:pStyle w:val="14"/>
              <w:spacing w:line="460" w:lineRule="exact"/>
              <w:ind w:firstLine="480" w:firstLineChars="200"/>
              <w:rPr>
                <w:rFonts w:cs="宋体"/>
                <w:color w:val="auto"/>
                <w:kern w:val="2"/>
                <w:sz w:val="24"/>
                <w:szCs w:val="24"/>
                <w:lang w:val="zh-CN"/>
              </w:rPr>
            </w:pPr>
            <w:r>
              <w:rPr>
                <w:rFonts w:hint="eastAsia" w:cs="宋体"/>
                <w:color w:val="auto"/>
                <w:kern w:val="2"/>
                <w:sz w:val="24"/>
                <w:szCs w:val="24"/>
              </w:rPr>
              <w:t>3</w:t>
            </w:r>
            <w:r>
              <w:rPr>
                <w:rFonts w:cs="宋体"/>
                <w:color w:val="auto"/>
                <w:kern w:val="2"/>
                <w:sz w:val="24"/>
                <w:szCs w:val="24"/>
                <w:lang w:val="zh-CN"/>
              </w:rPr>
              <w:t>.2.</w:t>
            </w:r>
            <w:r>
              <w:rPr>
                <w:rFonts w:hint="eastAsia" w:cs="宋体"/>
                <w:color w:val="auto"/>
                <w:kern w:val="2"/>
                <w:sz w:val="24"/>
                <w:szCs w:val="24"/>
              </w:rPr>
              <w:t>3</w:t>
            </w:r>
            <w:r>
              <w:rPr>
                <w:rFonts w:hint="eastAsia" w:cs="宋体"/>
                <w:color w:val="auto"/>
                <w:kern w:val="2"/>
                <w:sz w:val="24"/>
                <w:szCs w:val="24"/>
                <w:lang w:val="zh-CN"/>
              </w:rPr>
              <w:t>声环境影响分析</w:t>
            </w:r>
          </w:p>
          <w:p>
            <w:pPr>
              <w:pStyle w:val="14"/>
              <w:spacing w:line="460" w:lineRule="exact"/>
              <w:ind w:firstLine="480" w:firstLineChars="200"/>
              <w:rPr>
                <w:color w:val="auto"/>
                <w:kern w:val="2"/>
                <w:sz w:val="24"/>
                <w:szCs w:val="24"/>
              </w:rPr>
            </w:pPr>
            <w:r>
              <w:rPr>
                <w:rFonts w:hint="eastAsia" w:cs="宋体"/>
                <w:color w:val="auto"/>
                <w:kern w:val="2"/>
                <w:sz w:val="24"/>
                <w:szCs w:val="24"/>
              </w:rPr>
              <w:t>工程通过选取低噪声低能耗设备、对水泵、风机等高噪声设备进行机械阻尼隔振、加装隔声罩、消声器隔音降噪等措施后，经泵房墙体隔声和距离衰减，厂界噪声能符合标准要求。</w:t>
            </w:r>
          </w:p>
          <w:p>
            <w:pPr>
              <w:pStyle w:val="14"/>
              <w:spacing w:line="460" w:lineRule="exact"/>
              <w:ind w:firstLine="480" w:firstLineChars="200"/>
              <w:rPr>
                <w:color w:val="auto"/>
                <w:kern w:val="2"/>
                <w:sz w:val="24"/>
                <w:szCs w:val="24"/>
              </w:rPr>
            </w:pPr>
            <w:r>
              <w:rPr>
                <w:rFonts w:hint="eastAsia"/>
                <w:color w:val="auto"/>
                <w:kern w:val="2"/>
                <w:sz w:val="24"/>
                <w:szCs w:val="24"/>
              </w:rPr>
              <w:t>3</w:t>
            </w:r>
            <w:r>
              <w:rPr>
                <w:color w:val="auto"/>
                <w:kern w:val="2"/>
                <w:sz w:val="24"/>
                <w:szCs w:val="24"/>
              </w:rPr>
              <w:t>.2.</w:t>
            </w:r>
            <w:r>
              <w:rPr>
                <w:rFonts w:hint="eastAsia"/>
                <w:color w:val="auto"/>
                <w:kern w:val="2"/>
                <w:sz w:val="24"/>
                <w:szCs w:val="24"/>
              </w:rPr>
              <w:t>4</w:t>
            </w:r>
            <w:r>
              <w:rPr>
                <w:rFonts w:hint="eastAsia" w:cs="宋体"/>
                <w:color w:val="auto"/>
                <w:kern w:val="2"/>
                <w:sz w:val="24"/>
                <w:szCs w:val="24"/>
              </w:rPr>
              <w:t>固体废物影响</w:t>
            </w:r>
          </w:p>
          <w:p>
            <w:pPr>
              <w:pStyle w:val="99"/>
              <w:rPr>
                <w:color w:val="auto"/>
                <w:kern w:val="2"/>
                <w:sz w:val="24"/>
                <w:szCs w:val="24"/>
              </w:rPr>
            </w:pPr>
            <w:r>
              <w:rPr>
                <w:rFonts w:hint="eastAsia" w:cs="宋体"/>
                <w:color w:val="auto"/>
                <w:kern w:val="2"/>
                <w:sz w:val="24"/>
                <w:szCs w:val="24"/>
                <w:lang w:val="zh-CN"/>
              </w:rPr>
              <w:t>污水处理厂的固体废物主要来为格栅渣、沉沙物和污泥，以及职工的生活垃圾。</w:t>
            </w:r>
            <w:r>
              <w:rPr>
                <w:rFonts w:hint="eastAsia" w:cs="宋体"/>
                <w:color w:val="auto"/>
                <w:sz w:val="24"/>
                <w:szCs w:val="24"/>
              </w:rPr>
              <w:t>本工程产生的污泥采用移 动式污泥脱水车脱水至 80%，然后掺粉煤灰送至垃圾焚烧厂最终处置。</w:t>
            </w:r>
            <w:r>
              <w:rPr>
                <w:rFonts w:hint="eastAsia" w:cs="宋体"/>
                <w:color w:val="auto"/>
                <w:kern w:val="2"/>
                <w:sz w:val="24"/>
                <w:szCs w:val="24"/>
              </w:rPr>
              <w:t>格栅渣与沉砂经除污压榨后与生活垃圾</w:t>
            </w:r>
            <w:r>
              <w:rPr>
                <w:rFonts w:cs="宋体"/>
                <w:color w:val="auto"/>
                <w:kern w:val="2"/>
                <w:sz w:val="24"/>
                <w:szCs w:val="24"/>
              </w:rPr>
              <w:t>收集后</w:t>
            </w:r>
            <w:r>
              <w:rPr>
                <w:rFonts w:hint="eastAsia" w:cs="宋体"/>
                <w:color w:val="auto"/>
                <w:kern w:val="2"/>
                <w:sz w:val="24"/>
                <w:szCs w:val="24"/>
              </w:rPr>
              <w:t>交由环卫</w:t>
            </w:r>
            <w:r>
              <w:rPr>
                <w:rFonts w:cs="宋体"/>
                <w:color w:val="auto"/>
                <w:kern w:val="2"/>
                <w:sz w:val="24"/>
                <w:szCs w:val="24"/>
              </w:rPr>
              <w:t>部门</w:t>
            </w:r>
            <w:r>
              <w:rPr>
                <w:rFonts w:hint="eastAsia" w:cs="宋体"/>
                <w:color w:val="auto"/>
                <w:kern w:val="2"/>
                <w:sz w:val="24"/>
                <w:szCs w:val="24"/>
              </w:rPr>
              <w:t>处置。因此，</w:t>
            </w:r>
            <w:r>
              <w:rPr>
                <w:rFonts w:cs="宋体"/>
                <w:color w:val="auto"/>
                <w:kern w:val="2"/>
                <w:sz w:val="24"/>
                <w:szCs w:val="24"/>
              </w:rPr>
              <w:t>本</w:t>
            </w:r>
            <w:r>
              <w:rPr>
                <w:rFonts w:hint="eastAsia" w:cs="宋体"/>
                <w:color w:val="auto"/>
                <w:kern w:val="2"/>
                <w:sz w:val="24"/>
                <w:szCs w:val="24"/>
              </w:rPr>
              <w:t>项目</w:t>
            </w:r>
            <w:r>
              <w:rPr>
                <w:rFonts w:cs="宋体"/>
                <w:color w:val="auto"/>
                <w:kern w:val="2"/>
                <w:sz w:val="24"/>
                <w:szCs w:val="24"/>
              </w:rPr>
              <w:t>的固废均得到合理处置，不会对环境产生影响</w:t>
            </w:r>
            <w:r>
              <w:rPr>
                <w:rFonts w:hint="eastAsia" w:cs="宋体"/>
                <w:color w:val="auto"/>
                <w:kern w:val="2"/>
                <w:sz w:val="24"/>
                <w:szCs w:val="24"/>
              </w:rPr>
              <w:t>。</w:t>
            </w:r>
          </w:p>
          <w:p>
            <w:pPr>
              <w:spacing w:line="460" w:lineRule="exact"/>
              <w:ind w:firstLine="480" w:firstLineChars="200"/>
              <w:rPr>
                <w:color w:val="auto"/>
                <w:sz w:val="24"/>
                <w:szCs w:val="24"/>
              </w:rPr>
            </w:pPr>
            <w:r>
              <w:rPr>
                <w:rFonts w:hint="eastAsia"/>
                <w:color w:val="auto"/>
                <w:sz w:val="24"/>
                <w:szCs w:val="24"/>
              </w:rPr>
              <w:t>4总量控制分析</w:t>
            </w:r>
          </w:p>
          <w:p>
            <w:pPr>
              <w:pStyle w:val="2"/>
              <w:spacing w:line="460" w:lineRule="exact"/>
              <w:ind w:firstLine="480" w:firstLineChars="200"/>
              <w:rPr>
                <w:rFonts w:eastAsia="宋体" w:cs="宋体"/>
                <w:color w:val="auto"/>
                <w:spacing w:val="0"/>
                <w:sz w:val="24"/>
                <w:szCs w:val="24"/>
              </w:rPr>
            </w:pPr>
            <w:r>
              <w:rPr>
                <w:rFonts w:eastAsia="宋体" w:cs="宋体"/>
                <w:color w:val="auto"/>
                <w:spacing w:val="0"/>
                <w:sz w:val="24"/>
                <w:szCs w:val="24"/>
              </w:rPr>
              <w:t>根据本项目生产特点及对项目污染源及其源强的分析，确定 COD 和 NH</w:t>
            </w:r>
            <w:r>
              <w:rPr>
                <w:rFonts w:eastAsia="宋体" w:cs="宋体"/>
                <w:color w:val="auto"/>
                <w:spacing w:val="0"/>
                <w:sz w:val="24"/>
                <w:szCs w:val="24"/>
                <w:vertAlign w:val="subscript"/>
              </w:rPr>
              <w:t>3</w:t>
            </w:r>
            <w:r>
              <w:rPr>
                <w:rFonts w:eastAsia="宋体" w:cs="宋体"/>
                <w:color w:val="auto"/>
                <w:spacing w:val="0"/>
                <w:sz w:val="24"/>
                <w:szCs w:val="24"/>
              </w:rPr>
              <w:t xml:space="preserve">-N 为本项目的污染物总量控制因子，本项目每天废水处理量为 </w:t>
            </w:r>
            <w:r>
              <w:rPr>
                <w:rFonts w:hint="eastAsia" w:eastAsia="宋体" w:cs="宋体"/>
                <w:color w:val="auto"/>
                <w:spacing w:val="0"/>
                <w:sz w:val="24"/>
                <w:szCs w:val="24"/>
                <w:lang w:val="en-US" w:eastAsia="zh-CN"/>
              </w:rPr>
              <w:t>3</w:t>
            </w:r>
            <w:r>
              <w:rPr>
                <w:rFonts w:eastAsia="宋体" w:cs="宋体"/>
                <w:color w:val="auto"/>
                <w:spacing w:val="0"/>
                <w:sz w:val="24"/>
                <w:szCs w:val="24"/>
              </w:rPr>
              <w:t>00m</w:t>
            </w:r>
            <w:r>
              <w:rPr>
                <w:rFonts w:eastAsia="宋体" w:cs="宋体"/>
                <w:color w:val="auto"/>
                <w:spacing w:val="0"/>
                <w:sz w:val="24"/>
                <w:szCs w:val="24"/>
                <w:vertAlign w:val="superscript"/>
              </w:rPr>
              <w:t>3</w:t>
            </w:r>
            <w:r>
              <w:rPr>
                <w:rFonts w:eastAsia="宋体" w:cs="宋体"/>
                <w:color w:val="auto"/>
                <w:spacing w:val="0"/>
                <w:sz w:val="24"/>
                <w:szCs w:val="24"/>
              </w:rPr>
              <w:t>/d，出水为《城镇污水处理厂污染物排放标准》（GB18918-2002）表 1 中一级标准 A 标准，总量控制指标为 COD：</w:t>
            </w:r>
            <w:r>
              <w:rPr>
                <w:rFonts w:hint="eastAsia" w:eastAsia="宋体" w:cs="宋体"/>
                <w:color w:val="auto"/>
                <w:spacing w:val="0"/>
                <w:sz w:val="24"/>
                <w:szCs w:val="24"/>
              </w:rPr>
              <w:t>7.3</w:t>
            </w:r>
            <w:r>
              <w:rPr>
                <w:rFonts w:eastAsia="宋体" w:cs="宋体"/>
                <w:color w:val="auto"/>
                <w:spacing w:val="0"/>
                <w:sz w:val="24"/>
                <w:szCs w:val="24"/>
              </w:rPr>
              <w:t>t/a，NH</w:t>
            </w:r>
            <w:r>
              <w:rPr>
                <w:rFonts w:eastAsia="宋体" w:cs="宋体"/>
                <w:color w:val="auto"/>
                <w:spacing w:val="0"/>
                <w:sz w:val="24"/>
                <w:szCs w:val="24"/>
                <w:vertAlign w:val="subscript"/>
              </w:rPr>
              <w:t>3</w:t>
            </w:r>
            <w:r>
              <w:rPr>
                <w:rFonts w:eastAsia="宋体" w:cs="宋体"/>
                <w:color w:val="auto"/>
                <w:spacing w:val="0"/>
                <w:sz w:val="24"/>
                <w:szCs w:val="24"/>
              </w:rPr>
              <w:t>-N：</w:t>
            </w:r>
            <w:r>
              <w:rPr>
                <w:rFonts w:hint="eastAsia" w:eastAsia="宋体" w:cs="宋体"/>
                <w:color w:val="auto"/>
                <w:spacing w:val="0"/>
                <w:sz w:val="24"/>
                <w:szCs w:val="24"/>
              </w:rPr>
              <w:t>0.73</w:t>
            </w:r>
            <w:r>
              <w:rPr>
                <w:rFonts w:eastAsia="宋体" w:cs="宋体"/>
                <w:color w:val="auto"/>
                <w:spacing w:val="0"/>
                <w:sz w:val="24"/>
                <w:szCs w:val="24"/>
              </w:rPr>
              <w:t>t/a。</w:t>
            </w:r>
            <w:r>
              <w:rPr>
                <w:rFonts w:hint="eastAsia" w:eastAsia="宋体" w:cs="宋体"/>
                <w:color w:val="auto"/>
                <w:spacing w:val="0"/>
                <w:sz w:val="24"/>
                <w:szCs w:val="24"/>
                <w:lang w:val="en-US" w:eastAsia="zh-CN"/>
              </w:rPr>
              <w:t>本项目为环保工程，是减排项目，无需申请总量。</w:t>
            </w:r>
          </w:p>
          <w:p>
            <w:pPr>
              <w:spacing w:line="460" w:lineRule="exact"/>
              <w:ind w:firstLine="480" w:firstLineChars="200"/>
              <w:rPr>
                <w:color w:val="auto"/>
                <w:sz w:val="24"/>
                <w:szCs w:val="24"/>
              </w:rPr>
            </w:pPr>
            <w:r>
              <w:rPr>
                <w:rFonts w:hint="eastAsia"/>
                <w:color w:val="auto"/>
                <w:sz w:val="24"/>
                <w:szCs w:val="24"/>
              </w:rPr>
              <w:t>5产业政策符合性分析</w:t>
            </w:r>
          </w:p>
          <w:p>
            <w:pPr>
              <w:spacing w:line="460" w:lineRule="exact"/>
              <w:ind w:firstLine="480" w:firstLineChars="200"/>
              <w:rPr>
                <w:color w:val="auto"/>
                <w:sz w:val="24"/>
                <w:szCs w:val="24"/>
              </w:rPr>
            </w:pPr>
            <w:r>
              <w:rPr>
                <w:rFonts w:cs="宋体"/>
                <w:color w:val="auto"/>
                <w:sz w:val="24"/>
                <w:szCs w:val="24"/>
              </w:rPr>
              <w:t>本项目属于《产业结构政策调整目录（2011 年本）》（2013 年修订版）中鼓励类中第二十二项第 9 条“城镇供排水管网工程、供水水源及净水厂工程”，符合国家的产业政策。</w:t>
            </w:r>
          </w:p>
          <w:p>
            <w:pPr>
              <w:pStyle w:val="14"/>
              <w:spacing w:line="460" w:lineRule="exact"/>
              <w:ind w:firstLine="480" w:firstLineChars="200"/>
              <w:rPr>
                <w:color w:val="auto"/>
                <w:kern w:val="2"/>
                <w:sz w:val="24"/>
                <w:szCs w:val="24"/>
              </w:rPr>
            </w:pPr>
            <w:r>
              <w:rPr>
                <w:rFonts w:hint="eastAsia"/>
                <w:color w:val="auto"/>
                <w:kern w:val="2"/>
                <w:sz w:val="24"/>
                <w:szCs w:val="24"/>
              </w:rPr>
              <w:t>6</w:t>
            </w:r>
            <w:r>
              <w:rPr>
                <w:rFonts w:hint="eastAsia" w:cs="宋体"/>
                <w:color w:val="auto"/>
                <w:kern w:val="2"/>
                <w:sz w:val="24"/>
                <w:szCs w:val="24"/>
              </w:rPr>
              <w:t>环境影响评价结论</w:t>
            </w:r>
          </w:p>
          <w:p>
            <w:pPr>
              <w:spacing w:line="460" w:lineRule="exact"/>
              <w:ind w:firstLine="480" w:firstLineChars="200"/>
              <w:rPr>
                <w:rFonts w:cs="宋体"/>
                <w:color w:val="auto"/>
                <w:sz w:val="24"/>
                <w:szCs w:val="24"/>
              </w:rPr>
            </w:pPr>
            <w:r>
              <w:rPr>
                <w:rFonts w:hint="eastAsia" w:cs="宋体"/>
                <w:color w:val="auto"/>
                <w:sz w:val="24"/>
                <w:szCs w:val="24"/>
                <w:lang w:val="en-US" w:eastAsia="zh-CN"/>
              </w:rPr>
              <w:t>湘阴县湘滨镇</w:t>
            </w:r>
            <w:r>
              <w:rPr>
                <w:rFonts w:hint="eastAsia" w:cs="宋体"/>
                <w:color w:val="auto"/>
                <w:sz w:val="24"/>
                <w:szCs w:val="24"/>
              </w:rPr>
              <w:t>污水处理厂工程项目符合国家产业政策和当地总体规划，项目选址合理；项目生产工艺先进可靠，项目运营后能够大幅削减区域内水污染物排放量，具有明显的环境正效应。项目在建设中和建成运行以后将产生一定程度的废气、废水、噪声及固体废物的污染，但在严格按照“三同时”制度，全面落实本评价拟定的各项环境保护措施，确保污染物达标排放，项目对周围环境的影响可以控制在国家有关标准和要求的允许范围以内。</w:t>
            </w:r>
          </w:p>
          <w:p>
            <w:pPr>
              <w:spacing w:line="460" w:lineRule="exact"/>
              <w:ind w:firstLine="480" w:firstLineChars="200"/>
              <w:rPr>
                <w:rFonts w:cs="宋体"/>
                <w:color w:val="auto"/>
                <w:sz w:val="24"/>
                <w:szCs w:val="24"/>
              </w:rPr>
            </w:pPr>
            <w:r>
              <w:rPr>
                <w:rFonts w:hint="eastAsia" w:cs="宋体"/>
                <w:color w:val="auto"/>
                <w:sz w:val="24"/>
                <w:szCs w:val="24"/>
              </w:rPr>
              <w:t>因此，本项目在落实环评提出的各项环保措施的基础上，在拟定地点、按拟定规模及计划实施，从环境保护角度而言，该工程项目可行。</w:t>
            </w:r>
          </w:p>
          <w:p>
            <w:pPr>
              <w:pStyle w:val="14"/>
              <w:spacing w:line="460" w:lineRule="exact"/>
              <w:ind w:firstLine="480" w:firstLineChars="200"/>
              <w:rPr>
                <w:color w:val="auto"/>
                <w:kern w:val="2"/>
                <w:sz w:val="24"/>
                <w:szCs w:val="24"/>
              </w:rPr>
            </w:pPr>
            <w:r>
              <w:rPr>
                <w:rFonts w:hint="eastAsia" w:cs="宋体"/>
                <w:color w:val="auto"/>
                <w:kern w:val="2"/>
                <w:sz w:val="24"/>
                <w:szCs w:val="24"/>
              </w:rPr>
              <w:t>二、建议</w:t>
            </w:r>
          </w:p>
          <w:p>
            <w:pPr>
              <w:spacing w:line="460" w:lineRule="exact"/>
              <w:ind w:firstLine="480" w:firstLineChars="200"/>
              <w:rPr>
                <w:color w:val="auto"/>
                <w:sz w:val="24"/>
                <w:szCs w:val="24"/>
              </w:rPr>
            </w:pPr>
            <w:r>
              <w:rPr>
                <w:color w:val="auto"/>
                <w:sz w:val="24"/>
                <w:szCs w:val="24"/>
              </w:rPr>
              <w:t>(1)</w:t>
            </w:r>
            <w:r>
              <w:rPr>
                <w:rFonts w:hint="eastAsia" w:cs="宋体"/>
                <w:color w:val="auto"/>
                <w:sz w:val="24"/>
                <w:szCs w:val="24"/>
              </w:rPr>
              <w:t>地方环境管理部门和市政管理部门共同制定汇水区排污管理政策，从严控制进入污水干管的污水水质，做好入厂生活废水的水质、水量调查工作，</w:t>
            </w:r>
            <w:r>
              <w:rPr>
                <w:rFonts w:hint="eastAsia"/>
                <w:color w:val="auto"/>
                <w:sz w:val="24"/>
                <w:szCs w:val="20"/>
              </w:rPr>
              <w:t>优化工艺设计参数，以确保出水水质稳定达标排放。</w:t>
            </w:r>
          </w:p>
          <w:p>
            <w:pPr>
              <w:spacing w:line="460" w:lineRule="exact"/>
              <w:ind w:firstLine="480" w:firstLineChars="200"/>
              <w:rPr>
                <w:color w:val="auto"/>
                <w:sz w:val="24"/>
                <w:szCs w:val="24"/>
              </w:rPr>
            </w:pPr>
            <w:r>
              <w:rPr>
                <w:color w:val="auto"/>
                <w:sz w:val="24"/>
                <w:szCs w:val="24"/>
              </w:rPr>
              <w:t>(2)</w:t>
            </w:r>
            <w:r>
              <w:rPr>
                <w:rFonts w:hint="eastAsia" w:cs="宋体"/>
                <w:color w:val="auto"/>
                <w:sz w:val="24"/>
                <w:szCs w:val="24"/>
              </w:rPr>
              <w:t>污泥脱水间的污泥应及时清运，减轻恶臭对环境的影响，在清运过程中要注意防止散落和洒落现象，以免造成二次污染。</w:t>
            </w:r>
          </w:p>
          <w:p>
            <w:pPr>
              <w:spacing w:line="460" w:lineRule="exact"/>
              <w:ind w:firstLine="480" w:firstLineChars="200"/>
              <w:rPr>
                <w:color w:val="auto"/>
                <w:sz w:val="24"/>
                <w:szCs w:val="24"/>
              </w:rPr>
            </w:pPr>
            <w:r>
              <w:rPr>
                <w:color w:val="auto"/>
                <w:sz w:val="24"/>
                <w:szCs w:val="24"/>
              </w:rPr>
              <w:t>(3)</w:t>
            </w:r>
            <w:r>
              <w:rPr>
                <w:rFonts w:hint="eastAsia" w:cs="宋体"/>
                <w:color w:val="auto"/>
                <w:sz w:val="24"/>
                <w:szCs w:val="24"/>
              </w:rPr>
              <w:t>本项目建成后，加强处理设施的运行管理，确保本处理设施按设计要求运行，使废水真正作到达标排放。同时加强总废水处理站周边的绿化，避免恶臭气体影响。</w:t>
            </w:r>
          </w:p>
          <w:p>
            <w:pPr>
              <w:spacing w:line="460" w:lineRule="exact"/>
              <w:ind w:firstLine="352" w:firstLineChars="147"/>
              <w:rPr>
                <w:color w:val="auto"/>
                <w:sz w:val="24"/>
                <w:szCs w:val="24"/>
              </w:rPr>
            </w:pPr>
            <w:r>
              <w:rPr>
                <w:color w:val="auto"/>
                <w:sz w:val="24"/>
                <w:szCs w:val="24"/>
              </w:rPr>
              <w:t>(4)</w:t>
            </w:r>
            <w:r>
              <w:rPr>
                <w:rFonts w:hint="eastAsia" w:cs="宋体"/>
                <w:color w:val="auto"/>
                <w:sz w:val="24"/>
                <w:szCs w:val="24"/>
              </w:rPr>
              <w:t>认真做好污水处理厂的人员培训工作，加强责任心教育，对所有工作人员先进行培训，然后上岗，实行岗位责任制，建立和健全各项规章制度和操作规范，尽量避免人员失误带来的事故排放污染。</w:t>
            </w:r>
          </w:p>
          <w:p>
            <w:pPr>
              <w:spacing w:line="460" w:lineRule="exact"/>
              <w:ind w:firstLine="352" w:firstLineChars="147"/>
              <w:rPr>
                <w:color w:val="auto"/>
                <w:sz w:val="24"/>
                <w:szCs w:val="24"/>
              </w:rPr>
            </w:pPr>
            <w:r>
              <w:rPr>
                <w:rFonts w:hint="eastAsia"/>
                <w:color w:val="auto"/>
                <w:sz w:val="24"/>
                <w:szCs w:val="20"/>
              </w:rPr>
              <w:t>（5）本项目应按规定执行</w:t>
            </w:r>
            <w:r>
              <w:rPr>
                <w:color w:val="auto"/>
                <w:sz w:val="24"/>
                <w:szCs w:val="20"/>
              </w:rPr>
              <w:t>“</w:t>
            </w:r>
            <w:r>
              <w:rPr>
                <w:rFonts w:hint="eastAsia"/>
                <w:color w:val="auto"/>
                <w:sz w:val="24"/>
                <w:szCs w:val="20"/>
              </w:rPr>
              <w:t>三同时</w:t>
            </w:r>
            <w:r>
              <w:rPr>
                <w:color w:val="auto"/>
                <w:sz w:val="24"/>
                <w:szCs w:val="20"/>
              </w:rPr>
              <w:t>”</w:t>
            </w:r>
            <w:r>
              <w:rPr>
                <w:rFonts w:hint="eastAsia"/>
                <w:color w:val="auto"/>
                <w:sz w:val="24"/>
                <w:szCs w:val="20"/>
              </w:rPr>
              <w:t>制度，环境保护设施与主体工程同时设计、同时施工，同时投产的</w:t>
            </w:r>
            <w:r>
              <w:rPr>
                <w:color w:val="auto"/>
                <w:sz w:val="24"/>
                <w:szCs w:val="20"/>
              </w:rPr>
              <w:t>“</w:t>
            </w:r>
            <w:r>
              <w:rPr>
                <w:rFonts w:hint="eastAsia"/>
                <w:color w:val="auto"/>
                <w:sz w:val="24"/>
                <w:szCs w:val="20"/>
              </w:rPr>
              <w:t>三同时</w:t>
            </w:r>
            <w:r>
              <w:rPr>
                <w:color w:val="auto"/>
                <w:sz w:val="24"/>
                <w:szCs w:val="20"/>
              </w:rPr>
              <w:t>”</w:t>
            </w:r>
            <w:r>
              <w:rPr>
                <w:rFonts w:hint="eastAsia"/>
                <w:color w:val="auto"/>
                <w:sz w:val="24"/>
                <w:szCs w:val="20"/>
              </w:rPr>
              <w:t>制度，工程完工后，务必经环境保护行政主管部门验收合格后方可投入使用。</w:t>
            </w:r>
          </w:p>
        </w:tc>
      </w:tr>
    </w:tbl>
    <w:p>
      <w:pPr>
        <w:snapToGrid w:val="0"/>
        <w:spacing w:line="360" w:lineRule="auto"/>
        <w:rPr>
          <w:spacing w:val="14"/>
          <w:sz w:val="24"/>
          <w:szCs w:val="24"/>
        </w:rPr>
      </w:pPr>
    </w:p>
    <w:tbl>
      <w:tblPr>
        <w:tblStyle w:val="2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9209" w:type="dxa"/>
            <w:tcBorders>
              <w:bottom w:val="single" w:color="auto" w:sz="4" w:space="0"/>
            </w:tcBorders>
          </w:tcPr>
          <w:p>
            <w:pPr>
              <w:rPr>
                <w:rFonts w:eastAsia="黑体"/>
                <w:spacing w:val="-20"/>
                <w:sz w:val="28"/>
              </w:rPr>
            </w:pPr>
            <w:r>
              <w:rPr>
                <w:rFonts w:eastAsia="黑体"/>
                <w:spacing w:val="-20"/>
                <w:sz w:val="28"/>
              </w:rPr>
              <w:t>预审意见：</w:t>
            </w:r>
          </w:p>
          <w:p>
            <w:pPr>
              <w:rPr>
                <w:spacing w:val="-20"/>
                <w:sz w:val="28"/>
              </w:rPr>
            </w:pPr>
          </w:p>
          <w:p>
            <w:pPr>
              <w:rPr>
                <w:spacing w:val="-20"/>
                <w:sz w:val="28"/>
              </w:rPr>
            </w:pPr>
          </w:p>
          <w:p>
            <w:pPr>
              <w:rPr>
                <w:spacing w:val="-20"/>
                <w:sz w:val="28"/>
              </w:rPr>
            </w:pPr>
          </w:p>
          <w:p>
            <w:pPr>
              <w:ind w:right="922"/>
              <w:jc w:val="right"/>
              <w:rPr>
                <w:spacing w:val="-20"/>
                <w:sz w:val="28"/>
              </w:rPr>
            </w:pPr>
          </w:p>
          <w:p>
            <w:pPr>
              <w:ind w:right="922"/>
              <w:jc w:val="right"/>
              <w:rPr>
                <w:spacing w:val="-20"/>
                <w:sz w:val="28"/>
              </w:rPr>
            </w:pPr>
          </w:p>
          <w:p>
            <w:pPr>
              <w:ind w:right="922"/>
              <w:jc w:val="right"/>
              <w:rPr>
                <w:spacing w:val="-20"/>
                <w:sz w:val="28"/>
              </w:rPr>
            </w:pPr>
            <w:r>
              <w:rPr>
                <w:spacing w:val="-20"/>
                <w:sz w:val="28"/>
              </w:rPr>
              <w:t>公  章</w:t>
            </w:r>
          </w:p>
          <w:p>
            <w:pPr>
              <w:rPr>
                <w:spacing w:val="-20"/>
                <w:sz w:val="28"/>
              </w:rPr>
            </w:pPr>
          </w:p>
          <w:p>
            <w:pPr>
              <w:rPr>
                <w:spacing w:val="-20"/>
                <w:sz w:val="28"/>
              </w:rPr>
            </w:pPr>
          </w:p>
          <w:p>
            <w:pPr>
              <w:rPr>
                <w:spacing w:val="-20"/>
                <w:sz w:val="28"/>
              </w:rPr>
            </w:pPr>
            <w:r>
              <w:rPr>
                <w:spacing w:val="-20"/>
                <w:sz w:val="28"/>
              </w:rPr>
              <w:t>经办人：                                                  年   月   日</w:t>
            </w:r>
          </w:p>
          <w:p>
            <w:pPr>
              <w:rPr>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9" w:hRule="atLeast"/>
          <w:jc w:val="center"/>
        </w:trPr>
        <w:tc>
          <w:tcPr>
            <w:tcW w:w="9209" w:type="dxa"/>
          </w:tcPr>
          <w:p>
            <w:pPr>
              <w:rPr>
                <w:rFonts w:eastAsia="黑体"/>
                <w:spacing w:val="-20"/>
                <w:sz w:val="28"/>
              </w:rPr>
            </w:pPr>
            <w:r>
              <w:rPr>
                <w:rFonts w:eastAsia="黑体"/>
                <w:spacing w:val="-20"/>
                <w:sz w:val="28"/>
              </w:rPr>
              <w:t>下一级环境保护行政主管部门审查意见：</w:t>
            </w:r>
          </w:p>
          <w:p>
            <w:pPr>
              <w:rPr>
                <w:spacing w:val="-20"/>
                <w:sz w:val="28"/>
              </w:rPr>
            </w:pPr>
          </w:p>
          <w:p>
            <w:pPr>
              <w:rPr>
                <w:spacing w:val="-20"/>
                <w:sz w:val="28"/>
              </w:rPr>
            </w:pPr>
          </w:p>
          <w:p>
            <w:pPr>
              <w:rPr>
                <w:spacing w:val="-20"/>
                <w:sz w:val="28"/>
              </w:rPr>
            </w:pPr>
          </w:p>
          <w:p>
            <w:pPr>
              <w:rPr>
                <w:spacing w:val="-20"/>
                <w:sz w:val="28"/>
              </w:rPr>
            </w:pPr>
          </w:p>
          <w:p>
            <w:pPr>
              <w:ind w:right="922"/>
              <w:jc w:val="right"/>
              <w:rPr>
                <w:spacing w:val="-20"/>
                <w:sz w:val="28"/>
              </w:rPr>
            </w:pPr>
            <w:r>
              <w:rPr>
                <w:spacing w:val="-20"/>
                <w:sz w:val="28"/>
              </w:rPr>
              <w:t>公  章</w:t>
            </w:r>
          </w:p>
          <w:p>
            <w:pPr>
              <w:rPr>
                <w:spacing w:val="-20"/>
                <w:sz w:val="28"/>
              </w:rPr>
            </w:pPr>
          </w:p>
          <w:p>
            <w:pPr>
              <w:rPr>
                <w:spacing w:val="-20"/>
                <w:sz w:val="28"/>
              </w:rPr>
            </w:pPr>
            <w:r>
              <w:rPr>
                <w:spacing w:val="-20"/>
                <w:sz w:val="28"/>
              </w:rPr>
              <w:t>经办人：                                                  年   月   日</w:t>
            </w:r>
          </w:p>
        </w:tc>
      </w:tr>
    </w:tbl>
    <w:p/>
    <w:tbl>
      <w:tblPr>
        <w:tblStyle w:val="2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7" w:hRule="atLeast"/>
          <w:jc w:val="center"/>
        </w:trPr>
        <w:tc>
          <w:tcPr>
            <w:tcW w:w="9209" w:type="dxa"/>
            <w:tcBorders>
              <w:bottom w:val="single" w:color="auto" w:sz="4" w:space="0"/>
            </w:tcBorders>
          </w:tcPr>
          <w:p>
            <w:pPr>
              <w:rPr>
                <w:rFonts w:eastAsia="黑体"/>
                <w:spacing w:val="-20"/>
                <w:sz w:val="28"/>
              </w:rPr>
            </w:pPr>
            <w:r>
              <w:rPr>
                <w:rFonts w:eastAsia="黑体"/>
                <w:spacing w:val="-20"/>
                <w:sz w:val="28"/>
              </w:rPr>
              <w:t>审批意见：</w:t>
            </w:r>
          </w:p>
          <w:p>
            <w:pPr>
              <w:rPr>
                <w:rFonts w:ascii="仿宋_GB2312" w:hAnsi="宋体" w:eastAsia="仿宋_GB2312"/>
                <w:color w:val="FF0000"/>
                <w:sz w:val="28"/>
                <w:szCs w:val="28"/>
              </w:rPr>
            </w:pPr>
          </w:p>
        </w:tc>
      </w:tr>
    </w:tbl>
    <w:p>
      <w:pPr>
        <w:snapToGrid w:val="0"/>
        <w:spacing w:line="360" w:lineRule="auto"/>
        <w:ind w:firstLine="536" w:firstLineChars="200"/>
        <w:rPr>
          <w:spacing w:val="14"/>
          <w:sz w:val="24"/>
          <w:szCs w:val="24"/>
        </w:rPr>
      </w:pPr>
    </w:p>
    <w:tbl>
      <w:tblPr>
        <w:tblStyle w:val="2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9209" w:type="dxa"/>
            <w:tcBorders>
              <w:bottom w:val="single" w:color="auto" w:sz="4" w:space="0"/>
            </w:tcBorders>
          </w:tcPr>
          <w:p>
            <w:pPr>
              <w:pStyle w:val="4"/>
              <w:rPr>
                <w:spacing w:val="-10"/>
              </w:rPr>
            </w:pPr>
            <w:r>
              <w:rPr>
                <w:spacing w:val="-10"/>
              </w:rPr>
              <w:t>注    释</w:t>
            </w:r>
          </w:p>
          <w:p>
            <w:pPr>
              <w:spacing w:line="500" w:lineRule="exact"/>
              <w:ind w:firstLine="482"/>
              <w:rPr>
                <w:spacing w:val="-10"/>
              </w:rPr>
            </w:pPr>
            <w:r>
              <w:rPr>
                <w:spacing w:val="-10"/>
              </w:rPr>
              <w:t>一、本报告表应附以下附件、附图：</w:t>
            </w:r>
          </w:p>
          <w:p>
            <w:pPr>
              <w:spacing w:line="500" w:lineRule="exact"/>
              <w:ind w:firstLine="482"/>
              <w:rPr>
                <w:spacing w:val="-10"/>
              </w:rPr>
            </w:pPr>
            <w:r>
              <w:rPr>
                <w:spacing w:val="-10"/>
              </w:rPr>
              <w:t>附件1</w:t>
            </w:r>
            <w:r>
              <w:rPr>
                <w:spacing w:val="-20"/>
              </w:rPr>
              <w:t xml:space="preserve">  </w:t>
            </w:r>
            <w:r>
              <w:rPr>
                <w:spacing w:val="-10"/>
              </w:rPr>
              <w:t>立项批准文件</w:t>
            </w:r>
          </w:p>
          <w:p>
            <w:pPr>
              <w:spacing w:line="500" w:lineRule="exact"/>
              <w:ind w:firstLine="482"/>
              <w:rPr>
                <w:spacing w:val="-16"/>
              </w:rPr>
            </w:pPr>
            <w:r>
              <w:rPr>
                <w:spacing w:val="-10"/>
              </w:rPr>
              <w:t>附</w:t>
            </w:r>
            <w:r>
              <w:rPr>
                <w:spacing w:val="-16"/>
              </w:rPr>
              <w:t>件2  其他与环评有关的行政管理文件</w:t>
            </w:r>
          </w:p>
          <w:p>
            <w:pPr>
              <w:spacing w:line="500" w:lineRule="exact"/>
              <w:ind w:firstLine="482"/>
              <w:rPr>
                <w:spacing w:val="-16"/>
              </w:rPr>
            </w:pPr>
            <w:r>
              <w:rPr>
                <w:spacing w:val="-16"/>
              </w:rPr>
              <w:t>附图1  项目地理位置图（应反映行政区划、水系、标明纳污口位</w:t>
            </w:r>
          </w:p>
          <w:p>
            <w:pPr>
              <w:spacing w:line="500" w:lineRule="exact"/>
              <w:ind w:firstLine="482"/>
              <w:rPr>
                <w:spacing w:val="-16"/>
              </w:rPr>
            </w:pPr>
            <w:r>
              <w:rPr>
                <w:spacing w:val="-16"/>
              </w:rPr>
              <w:t xml:space="preserve">        置和地形地貌等）</w:t>
            </w:r>
          </w:p>
          <w:p>
            <w:pPr>
              <w:spacing w:line="500" w:lineRule="exact"/>
              <w:ind w:firstLine="482"/>
              <w:rPr>
                <w:spacing w:val="-10"/>
              </w:rPr>
            </w:pPr>
            <w:r>
              <w:rPr>
                <w:spacing w:val="-16"/>
              </w:rPr>
              <w:t xml:space="preserve">附图2  </w:t>
            </w:r>
            <w:r>
              <w:rPr>
                <w:spacing w:val="-10"/>
              </w:rPr>
              <w:t>项目平面布置图</w:t>
            </w:r>
          </w:p>
          <w:p>
            <w:pPr>
              <w:spacing w:line="500" w:lineRule="exact"/>
              <w:rPr>
                <w:spacing w:val="-10"/>
              </w:rPr>
            </w:pPr>
          </w:p>
          <w:p>
            <w:pPr>
              <w:spacing w:line="500" w:lineRule="exact"/>
              <w:ind w:left="624"/>
              <w:rPr>
                <w:spacing w:val="-10"/>
              </w:rPr>
            </w:pPr>
            <w:r>
              <w:rPr>
                <w:spacing w:val="-10"/>
              </w:rPr>
              <w:t xml:space="preserve">二、如果本报告表不能说明项目产生的污染及对环境造成的影    </w:t>
            </w:r>
          </w:p>
          <w:p>
            <w:pPr>
              <w:spacing w:line="500" w:lineRule="exact"/>
              <w:ind w:left="624" w:firstLine="168"/>
              <w:rPr>
                <w:spacing w:val="-10"/>
              </w:rPr>
            </w:pPr>
            <w:r>
              <w:rPr>
                <w:spacing w:val="-10"/>
              </w:rPr>
              <w:t xml:space="preserve">   响，应进行专项评价。根据建设项目的特点和当地环境特</w:t>
            </w:r>
          </w:p>
          <w:p>
            <w:pPr>
              <w:spacing w:line="500" w:lineRule="exact"/>
              <w:ind w:left="624" w:firstLine="168"/>
              <w:rPr>
                <w:spacing w:val="-10"/>
              </w:rPr>
            </w:pPr>
            <w:r>
              <w:rPr>
                <w:spacing w:val="-10"/>
              </w:rPr>
              <w:t xml:space="preserve">   征，应选下列1~2项进行专项评价。</w:t>
            </w:r>
          </w:p>
          <w:p>
            <w:pPr>
              <w:spacing w:line="500" w:lineRule="exact"/>
              <w:ind w:firstLine="482"/>
              <w:rPr>
                <w:spacing w:val="-10"/>
              </w:rPr>
            </w:pPr>
            <w:r>
              <w:rPr>
                <w:spacing w:val="-10"/>
              </w:rPr>
              <w:t xml:space="preserve">1. </w:t>
            </w:r>
            <w:r>
              <w:rPr>
                <w:spacing w:val="-16"/>
              </w:rPr>
              <w:t>大气环境影响专项评价</w:t>
            </w:r>
          </w:p>
          <w:p>
            <w:pPr>
              <w:spacing w:line="500" w:lineRule="exact"/>
              <w:ind w:firstLine="482"/>
              <w:rPr>
                <w:spacing w:val="-10"/>
              </w:rPr>
            </w:pPr>
            <w:r>
              <w:rPr>
                <w:spacing w:val="-10"/>
              </w:rPr>
              <w:t>2. 水环境影响专项评价（包括地表水和地面水）</w:t>
            </w:r>
          </w:p>
          <w:p>
            <w:pPr>
              <w:spacing w:line="500" w:lineRule="exact"/>
              <w:ind w:firstLine="482"/>
              <w:rPr>
                <w:spacing w:val="-10"/>
              </w:rPr>
            </w:pPr>
            <w:r>
              <w:rPr>
                <w:spacing w:val="-10"/>
              </w:rPr>
              <w:t>3. 生态影响专项评价</w:t>
            </w:r>
          </w:p>
          <w:p>
            <w:pPr>
              <w:spacing w:line="500" w:lineRule="exact"/>
              <w:ind w:firstLine="482"/>
              <w:rPr>
                <w:spacing w:val="-10"/>
              </w:rPr>
            </w:pPr>
            <w:r>
              <w:rPr>
                <w:spacing w:val="-10"/>
              </w:rPr>
              <w:t>4. 声影响专项评价</w:t>
            </w:r>
          </w:p>
          <w:p>
            <w:pPr>
              <w:spacing w:line="500" w:lineRule="exact"/>
              <w:ind w:firstLine="482"/>
              <w:rPr>
                <w:spacing w:val="-10"/>
              </w:rPr>
            </w:pPr>
            <w:r>
              <w:rPr>
                <w:spacing w:val="-10"/>
              </w:rPr>
              <w:t>5. 土壤影响专项评价</w:t>
            </w:r>
          </w:p>
          <w:p>
            <w:pPr>
              <w:spacing w:line="500" w:lineRule="exact"/>
              <w:ind w:firstLine="482"/>
              <w:rPr>
                <w:spacing w:val="-10"/>
              </w:rPr>
            </w:pPr>
            <w:r>
              <w:rPr>
                <w:spacing w:val="-10"/>
              </w:rPr>
              <w:t>6. 固体废弃物影响专项评价</w:t>
            </w:r>
          </w:p>
          <w:p>
            <w:pPr>
              <w:spacing w:line="500" w:lineRule="exact"/>
              <w:ind w:firstLine="482"/>
              <w:rPr>
                <w:spacing w:val="-10"/>
              </w:rPr>
            </w:pPr>
            <w:r>
              <w:rPr>
                <w:spacing w:val="-10"/>
              </w:rPr>
              <w:t>以上专项评价未包括的可另列专项，专项评价按照《环境影响评价技术导则》中的要求进行。</w:t>
            </w:r>
          </w:p>
          <w:p>
            <w:pPr>
              <w:pStyle w:val="46"/>
              <w:tabs>
                <w:tab w:val="clear" w:pos="8820"/>
              </w:tabs>
              <w:spacing w:line="500" w:lineRule="exact"/>
              <w:rPr>
                <w:spacing w:val="-10"/>
              </w:rPr>
            </w:pPr>
          </w:p>
          <w:p>
            <w:pPr>
              <w:pStyle w:val="46"/>
              <w:tabs>
                <w:tab w:val="clear" w:pos="8820"/>
              </w:tabs>
              <w:spacing w:line="500" w:lineRule="exact"/>
              <w:rPr>
                <w:spacing w:val="-10"/>
              </w:rPr>
            </w:pPr>
          </w:p>
          <w:p>
            <w:pPr>
              <w:pStyle w:val="46"/>
              <w:tabs>
                <w:tab w:val="clear" w:pos="8820"/>
              </w:tabs>
              <w:spacing w:line="500" w:lineRule="exact"/>
              <w:rPr>
                <w:spacing w:val="-10"/>
              </w:rPr>
            </w:pPr>
          </w:p>
          <w:p>
            <w:pPr>
              <w:pStyle w:val="46"/>
              <w:tabs>
                <w:tab w:val="clear" w:pos="8820"/>
              </w:tabs>
              <w:spacing w:line="500" w:lineRule="exact"/>
              <w:rPr>
                <w:spacing w:val="-10"/>
              </w:rPr>
            </w:pPr>
          </w:p>
        </w:tc>
      </w:tr>
    </w:tbl>
    <w:p>
      <w:pPr>
        <w:snapToGrid w:val="0"/>
        <w:spacing w:line="360" w:lineRule="auto"/>
        <w:rPr>
          <w:spacing w:val="14"/>
          <w:sz w:val="24"/>
          <w:szCs w:val="24"/>
        </w:rPr>
      </w:pPr>
    </w:p>
    <w:sectPr>
      <w:footerReference r:id="rId6" w:type="default"/>
      <w:pgSz w:w="11906" w:h="16838"/>
      <w:pgMar w:top="1418" w:right="1134" w:bottom="1418" w:left="1531" w:header="851" w:footer="964"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68</w:t>
    </w:r>
    <w:r>
      <w:rPr>
        <w:lang w:val="zh-CN"/>
      </w:rPr>
      <w:fldChar w:fldCharType="end"/>
    </w:r>
  </w:p>
  <w:p>
    <w:pPr>
      <w:pStyle w:val="2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1C8D7"/>
    <w:multiLevelType w:val="singleLevel"/>
    <w:tmpl w:val="8741C8D7"/>
    <w:lvl w:ilvl="0" w:tentative="0">
      <w:start w:val="1"/>
      <w:numFmt w:val="decimal"/>
      <w:suff w:val="nothing"/>
      <w:lvlText w:val="（%1）"/>
      <w:lvlJc w:val="left"/>
    </w:lvl>
  </w:abstractNum>
  <w:abstractNum w:abstractNumId="1">
    <w:nsid w:val="C4585ED9"/>
    <w:multiLevelType w:val="singleLevel"/>
    <w:tmpl w:val="C4585ED9"/>
    <w:lvl w:ilvl="0" w:tentative="0">
      <w:start w:val="1"/>
      <w:numFmt w:val="decimal"/>
      <w:suff w:val="nothing"/>
      <w:lvlText w:val="（%1）"/>
      <w:lvlJc w:val="left"/>
    </w:lvl>
  </w:abstractNum>
  <w:abstractNum w:abstractNumId="2">
    <w:nsid w:val="C52C6BA8"/>
    <w:multiLevelType w:val="singleLevel"/>
    <w:tmpl w:val="C52C6BA8"/>
    <w:lvl w:ilvl="0" w:tentative="0">
      <w:start w:val="1"/>
      <w:numFmt w:val="lowerLetter"/>
      <w:suff w:val="nothing"/>
      <w:lvlText w:val="%1、"/>
      <w:lvlJc w:val="left"/>
    </w:lvl>
  </w:abstractNum>
  <w:abstractNum w:abstractNumId="3">
    <w:nsid w:val="E8B788AE"/>
    <w:multiLevelType w:val="singleLevel"/>
    <w:tmpl w:val="E8B788AE"/>
    <w:lvl w:ilvl="0" w:tentative="0">
      <w:start w:val="2"/>
      <w:numFmt w:val="decimal"/>
      <w:suff w:val="space"/>
      <w:lvlText w:val="%1)"/>
      <w:lvlJc w:val="left"/>
    </w:lvl>
  </w:abstractNum>
  <w:abstractNum w:abstractNumId="4">
    <w:nsid w:val="FC0CF7D6"/>
    <w:multiLevelType w:val="singleLevel"/>
    <w:tmpl w:val="FC0CF7D6"/>
    <w:lvl w:ilvl="0" w:tentative="0">
      <w:start w:val="1"/>
      <w:numFmt w:val="decimal"/>
      <w:suff w:val="nothing"/>
      <w:lvlText w:val="（%1）"/>
      <w:lvlJc w:val="left"/>
    </w:lvl>
  </w:abstractNum>
  <w:abstractNum w:abstractNumId="5">
    <w:nsid w:val="0308116E"/>
    <w:multiLevelType w:val="singleLevel"/>
    <w:tmpl w:val="0308116E"/>
    <w:lvl w:ilvl="0" w:tentative="0">
      <w:start w:val="5"/>
      <w:numFmt w:val="decimal"/>
      <w:suff w:val="nothing"/>
      <w:lvlText w:val="%1、"/>
      <w:lvlJc w:val="left"/>
    </w:lvl>
  </w:abstractNum>
  <w:abstractNum w:abstractNumId="6">
    <w:nsid w:val="077A8BFE"/>
    <w:multiLevelType w:val="singleLevel"/>
    <w:tmpl w:val="077A8BFE"/>
    <w:lvl w:ilvl="0" w:tentative="0">
      <w:start w:val="12"/>
      <w:numFmt w:val="decimal"/>
      <w:suff w:val="nothing"/>
      <w:lvlText w:val="%1、"/>
      <w:lvlJc w:val="left"/>
    </w:lvl>
  </w:abstractNum>
  <w:abstractNum w:abstractNumId="7">
    <w:nsid w:val="2475107A"/>
    <w:multiLevelType w:val="singleLevel"/>
    <w:tmpl w:val="2475107A"/>
    <w:lvl w:ilvl="0" w:tentative="0">
      <w:start w:val="1"/>
      <w:numFmt w:val="decimal"/>
      <w:suff w:val="nothing"/>
      <w:lvlText w:val="（%1）"/>
      <w:lvlJc w:val="left"/>
    </w:lvl>
  </w:abstractNum>
  <w:abstractNum w:abstractNumId="8">
    <w:nsid w:val="3921C049"/>
    <w:multiLevelType w:val="singleLevel"/>
    <w:tmpl w:val="3921C049"/>
    <w:lvl w:ilvl="0" w:tentative="0">
      <w:start w:val="1"/>
      <w:numFmt w:val="decimal"/>
      <w:suff w:val="nothing"/>
      <w:lvlText w:val="%1、"/>
      <w:lvlJc w:val="left"/>
    </w:lvl>
  </w:abstractNum>
  <w:abstractNum w:abstractNumId="9">
    <w:nsid w:val="41F4CD7D"/>
    <w:multiLevelType w:val="singleLevel"/>
    <w:tmpl w:val="41F4CD7D"/>
    <w:lvl w:ilvl="0" w:tentative="0">
      <w:start w:val="1"/>
      <w:numFmt w:val="lowerLetter"/>
      <w:suff w:val="nothing"/>
      <w:lvlText w:val="%1、"/>
      <w:lvlJc w:val="left"/>
    </w:lvl>
  </w:abstractNum>
  <w:abstractNum w:abstractNumId="10">
    <w:nsid w:val="489D3926"/>
    <w:multiLevelType w:val="singleLevel"/>
    <w:tmpl w:val="489D3926"/>
    <w:lvl w:ilvl="0" w:tentative="0">
      <w:start w:val="3"/>
      <w:numFmt w:val="decimal"/>
      <w:suff w:val="nothing"/>
      <w:lvlText w:val="（%1）"/>
      <w:lvlJc w:val="left"/>
    </w:lvl>
  </w:abstractNum>
  <w:abstractNum w:abstractNumId="11">
    <w:nsid w:val="63DB4132"/>
    <w:multiLevelType w:val="singleLevel"/>
    <w:tmpl w:val="63DB4132"/>
    <w:lvl w:ilvl="0" w:tentative="0">
      <w:start w:val="2"/>
      <w:numFmt w:val="decimal"/>
      <w:suff w:val="space"/>
      <w:lvlText w:val="(%1)"/>
      <w:lvlJc w:val="left"/>
    </w:lvl>
  </w:abstractNum>
  <w:num w:numId="1">
    <w:abstractNumId w:val="3"/>
  </w:num>
  <w:num w:numId="2">
    <w:abstractNumId w:val="11"/>
  </w:num>
  <w:num w:numId="3">
    <w:abstractNumId w:val="6"/>
  </w:num>
  <w:num w:numId="4">
    <w:abstractNumId w:val="4"/>
  </w:num>
  <w:num w:numId="5">
    <w:abstractNumId w:val="7"/>
  </w:num>
  <w:num w:numId="6">
    <w:abstractNumId w:val="9"/>
  </w:num>
  <w:num w:numId="7">
    <w:abstractNumId w:val="2"/>
  </w:num>
  <w:num w:numId="8">
    <w:abstractNumId w:val="5"/>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F0"/>
    <w:rsid w:val="00012BF5"/>
    <w:rsid w:val="0001769A"/>
    <w:rsid w:val="00017AD6"/>
    <w:rsid w:val="00017AE9"/>
    <w:rsid w:val="0002404F"/>
    <w:rsid w:val="000305D4"/>
    <w:rsid w:val="0003214C"/>
    <w:rsid w:val="00034048"/>
    <w:rsid w:val="00034ADC"/>
    <w:rsid w:val="00036EA9"/>
    <w:rsid w:val="000411F0"/>
    <w:rsid w:val="0004706B"/>
    <w:rsid w:val="000477E5"/>
    <w:rsid w:val="000501AF"/>
    <w:rsid w:val="00050365"/>
    <w:rsid w:val="00062067"/>
    <w:rsid w:val="00064221"/>
    <w:rsid w:val="00064A43"/>
    <w:rsid w:val="00065EC8"/>
    <w:rsid w:val="000710FF"/>
    <w:rsid w:val="00072478"/>
    <w:rsid w:val="00080721"/>
    <w:rsid w:val="000861CA"/>
    <w:rsid w:val="000A381E"/>
    <w:rsid w:val="000B2D2D"/>
    <w:rsid w:val="000D0B29"/>
    <w:rsid w:val="000F4202"/>
    <w:rsid w:val="000F5F79"/>
    <w:rsid w:val="00101C69"/>
    <w:rsid w:val="00103909"/>
    <w:rsid w:val="00103BD7"/>
    <w:rsid w:val="00111108"/>
    <w:rsid w:val="00112B97"/>
    <w:rsid w:val="001143D9"/>
    <w:rsid w:val="00130B33"/>
    <w:rsid w:val="00134CAB"/>
    <w:rsid w:val="00137864"/>
    <w:rsid w:val="001420AB"/>
    <w:rsid w:val="001437FB"/>
    <w:rsid w:val="0014435C"/>
    <w:rsid w:val="00144CC7"/>
    <w:rsid w:val="00151530"/>
    <w:rsid w:val="00171F09"/>
    <w:rsid w:val="00177ACE"/>
    <w:rsid w:val="00182700"/>
    <w:rsid w:val="001843F9"/>
    <w:rsid w:val="00190AD6"/>
    <w:rsid w:val="00193E31"/>
    <w:rsid w:val="00197851"/>
    <w:rsid w:val="001A0A81"/>
    <w:rsid w:val="001A6763"/>
    <w:rsid w:val="001B04BD"/>
    <w:rsid w:val="001B3A36"/>
    <w:rsid w:val="001B5804"/>
    <w:rsid w:val="001C43B3"/>
    <w:rsid w:val="001D2657"/>
    <w:rsid w:val="001D4D3E"/>
    <w:rsid w:val="001E72A6"/>
    <w:rsid w:val="001F41EE"/>
    <w:rsid w:val="001F79EC"/>
    <w:rsid w:val="00206716"/>
    <w:rsid w:val="002076E6"/>
    <w:rsid w:val="00210396"/>
    <w:rsid w:val="00210495"/>
    <w:rsid w:val="00210E40"/>
    <w:rsid w:val="002110A9"/>
    <w:rsid w:val="00213491"/>
    <w:rsid w:val="00223CF9"/>
    <w:rsid w:val="00226F0F"/>
    <w:rsid w:val="002356EF"/>
    <w:rsid w:val="00235C4E"/>
    <w:rsid w:val="0024512C"/>
    <w:rsid w:val="0025039D"/>
    <w:rsid w:val="00252C29"/>
    <w:rsid w:val="00253B79"/>
    <w:rsid w:val="00255A81"/>
    <w:rsid w:val="00267A3F"/>
    <w:rsid w:val="00271226"/>
    <w:rsid w:val="00276265"/>
    <w:rsid w:val="002B158E"/>
    <w:rsid w:val="002C1A6E"/>
    <w:rsid w:val="002C6ED9"/>
    <w:rsid w:val="002C6F45"/>
    <w:rsid w:val="002D0EBB"/>
    <w:rsid w:val="002D12C3"/>
    <w:rsid w:val="002D73DF"/>
    <w:rsid w:val="002E3F9C"/>
    <w:rsid w:val="002E7140"/>
    <w:rsid w:val="002F1D9F"/>
    <w:rsid w:val="002F4582"/>
    <w:rsid w:val="003128B7"/>
    <w:rsid w:val="00316B1B"/>
    <w:rsid w:val="00316FD8"/>
    <w:rsid w:val="00317EE3"/>
    <w:rsid w:val="003244E8"/>
    <w:rsid w:val="00331F43"/>
    <w:rsid w:val="00334E2D"/>
    <w:rsid w:val="003366B5"/>
    <w:rsid w:val="00344A8E"/>
    <w:rsid w:val="0035739A"/>
    <w:rsid w:val="00365531"/>
    <w:rsid w:val="00372A4C"/>
    <w:rsid w:val="00372AC5"/>
    <w:rsid w:val="00381AAD"/>
    <w:rsid w:val="003821D5"/>
    <w:rsid w:val="0038500F"/>
    <w:rsid w:val="003859B4"/>
    <w:rsid w:val="00396BF3"/>
    <w:rsid w:val="003A11EC"/>
    <w:rsid w:val="003A697A"/>
    <w:rsid w:val="003B179E"/>
    <w:rsid w:val="003B3062"/>
    <w:rsid w:val="003B5D1C"/>
    <w:rsid w:val="003C4E04"/>
    <w:rsid w:val="003C55B8"/>
    <w:rsid w:val="003C6000"/>
    <w:rsid w:val="003C6988"/>
    <w:rsid w:val="003D4484"/>
    <w:rsid w:val="003D75D3"/>
    <w:rsid w:val="003E071D"/>
    <w:rsid w:val="003E0FB9"/>
    <w:rsid w:val="003E177D"/>
    <w:rsid w:val="003E1BBE"/>
    <w:rsid w:val="003E418F"/>
    <w:rsid w:val="003E7504"/>
    <w:rsid w:val="003F1739"/>
    <w:rsid w:val="003F2A75"/>
    <w:rsid w:val="003F5630"/>
    <w:rsid w:val="003F571A"/>
    <w:rsid w:val="00405528"/>
    <w:rsid w:val="00411244"/>
    <w:rsid w:val="00411D92"/>
    <w:rsid w:val="00434628"/>
    <w:rsid w:val="00450451"/>
    <w:rsid w:val="0045306E"/>
    <w:rsid w:val="00454A01"/>
    <w:rsid w:val="00457C33"/>
    <w:rsid w:val="00462624"/>
    <w:rsid w:val="00473400"/>
    <w:rsid w:val="00474518"/>
    <w:rsid w:val="00484BDB"/>
    <w:rsid w:val="00494645"/>
    <w:rsid w:val="00494A75"/>
    <w:rsid w:val="00497C6D"/>
    <w:rsid w:val="004A276A"/>
    <w:rsid w:val="004A2E41"/>
    <w:rsid w:val="004A4254"/>
    <w:rsid w:val="004A5B6C"/>
    <w:rsid w:val="004A5FF8"/>
    <w:rsid w:val="004B2D5D"/>
    <w:rsid w:val="004B4620"/>
    <w:rsid w:val="004D3E98"/>
    <w:rsid w:val="004E21FB"/>
    <w:rsid w:val="004E445F"/>
    <w:rsid w:val="004E4DBD"/>
    <w:rsid w:val="004E7B46"/>
    <w:rsid w:val="004F1AB0"/>
    <w:rsid w:val="004F3588"/>
    <w:rsid w:val="004F73B7"/>
    <w:rsid w:val="00500B4C"/>
    <w:rsid w:val="00506F65"/>
    <w:rsid w:val="005110C4"/>
    <w:rsid w:val="005142EA"/>
    <w:rsid w:val="005142EB"/>
    <w:rsid w:val="00515EA6"/>
    <w:rsid w:val="005167C0"/>
    <w:rsid w:val="00516A42"/>
    <w:rsid w:val="00525B7D"/>
    <w:rsid w:val="00530A27"/>
    <w:rsid w:val="00535418"/>
    <w:rsid w:val="005360E1"/>
    <w:rsid w:val="005416A9"/>
    <w:rsid w:val="0054404F"/>
    <w:rsid w:val="00547B23"/>
    <w:rsid w:val="00550A2D"/>
    <w:rsid w:val="00554BF2"/>
    <w:rsid w:val="00555DA8"/>
    <w:rsid w:val="00557317"/>
    <w:rsid w:val="00562AB8"/>
    <w:rsid w:val="00564632"/>
    <w:rsid w:val="005655F4"/>
    <w:rsid w:val="00565704"/>
    <w:rsid w:val="00566502"/>
    <w:rsid w:val="005676A1"/>
    <w:rsid w:val="00575776"/>
    <w:rsid w:val="00583DB8"/>
    <w:rsid w:val="00595D6E"/>
    <w:rsid w:val="00595F38"/>
    <w:rsid w:val="005A7A04"/>
    <w:rsid w:val="005B1EEE"/>
    <w:rsid w:val="005B3AD9"/>
    <w:rsid w:val="005B4293"/>
    <w:rsid w:val="005B4BC9"/>
    <w:rsid w:val="005B6C49"/>
    <w:rsid w:val="005C0C50"/>
    <w:rsid w:val="005C1F8F"/>
    <w:rsid w:val="005C370B"/>
    <w:rsid w:val="005D349D"/>
    <w:rsid w:val="005E2321"/>
    <w:rsid w:val="005F1987"/>
    <w:rsid w:val="005F27DE"/>
    <w:rsid w:val="005F2CB4"/>
    <w:rsid w:val="005F3B8E"/>
    <w:rsid w:val="005F76E8"/>
    <w:rsid w:val="00605E49"/>
    <w:rsid w:val="006118EB"/>
    <w:rsid w:val="006134D8"/>
    <w:rsid w:val="006204BB"/>
    <w:rsid w:val="006236B8"/>
    <w:rsid w:val="00624F56"/>
    <w:rsid w:val="006250F5"/>
    <w:rsid w:val="006267A0"/>
    <w:rsid w:val="00630210"/>
    <w:rsid w:val="00631283"/>
    <w:rsid w:val="0063663B"/>
    <w:rsid w:val="0064509C"/>
    <w:rsid w:val="006533DA"/>
    <w:rsid w:val="006536CE"/>
    <w:rsid w:val="00655848"/>
    <w:rsid w:val="00685CD1"/>
    <w:rsid w:val="00686D91"/>
    <w:rsid w:val="006A205D"/>
    <w:rsid w:val="006A2080"/>
    <w:rsid w:val="006A26AF"/>
    <w:rsid w:val="006B3228"/>
    <w:rsid w:val="006D4251"/>
    <w:rsid w:val="006D7AD1"/>
    <w:rsid w:val="00706DF4"/>
    <w:rsid w:val="00712DFF"/>
    <w:rsid w:val="00717A1D"/>
    <w:rsid w:val="00723BF5"/>
    <w:rsid w:val="00723E99"/>
    <w:rsid w:val="0072535A"/>
    <w:rsid w:val="00727FD9"/>
    <w:rsid w:val="00736B17"/>
    <w:rsid w:val="00737D27"/>
    <w:rsid w:val="007418CB"/>
    <w:rsid w:val="0075224F"/>
    <w:rsid w:val="007604D5"/>
    <w:rsid w:val="00763BB7"/>
    <w:rsid w:val="00763FA2"/>
    <w:rsid w:val="0076602C"/>
    <w:rsid w:val="00766331"/>
    <w:rsid w:val="00775174"/>
    <w:rsid w:val="0078064D"/>
    <w:rsid w:val="0078141F"/>
    <w:rsid w:val="007C3105"/>
    <w:rsid w:val="007D4FF7"/>
    <w:rsid w:val="007E0FB0"/>
    <w:rsid w:val="007F0256"/>
    <w:rsid w:val="007F0FC4"/>
    <w:rsid w:val="007F6F72"/>
    <w:rsid w:val="00810422"/>
    <w:rsid w:val="008122D7"/>
    <w:rsid w:val="0081299A"/>
    <w:rsid w:val="008150D2"/>
    <w:rsid w:val="008327DE"/>
    <w:rsid w:val="00841F83"/>
    <w:rsid w:val="008524DA"/>
    <w:rsid w:val="00852FDF"/>
    <w:rsid w:val="00863AC2"/>
    <w:rsid w:val="0086653B"/>
    <w:rsid w:val="00866A06"/>
    <w:rsid w:val="00885A0E"/>
    <w:rsid w:val="00895BF3"/>
    <w:rsid w:val="0089779C"/>
    <w:rsid w:val="008A0DD4"/>
    <w:rsid w:val="008B1F54"/>
    <w:rsid w:val="008B2C9B"/>
    <w:rsid w:val="008B3AA6"/>
    <w:rsid w:val="008B7915"/>
    <w:rsid w:val="008C1DAC"/>
    <w:rsid w:val="008D0E02"/>
    <w:rsid w:val="008D4E35"/>
    <w:rsid w:val="008D5440"/>
    <w:rsid w:val="008D7660"/>
    <w:rsid w:val="008E5482"/>
    <w:rsid w:val="008E575E"/>
    <w:rsid w:val="008F62AE"/>
    <w:rsid w:val="008F703B"/>
    <w:rsid w:val="00900422"/>
    <w:rsid w:val="00901536"/>
    <w:rsid w:val="009020F4"/>
    <w:rsid w:val="00902301"/>
    <w:rsid w:val="00911CDD"/>
    <w:rsid w:val="009230D1"/>
    <w:rsid w:val="00924BE4"/>
    <w:rsid w:val="009259C4"/>
    <w:rsid w:val="00925C44"/>
    <w:rsid w:val="00926AA0"/>
    <w:rsid w:val="00932EF2"/>
    <w:rsid w:val="00934206"/>
    <w:rsid w:val="00936DCF"/>
    <w:rsid w:val="0093772D"/>
    <w:rsid w:val="009426F3"/>
    <w:rsid w:val="00944FFC"/>
    <w:rsid w:val="00954FC9"/>
    <w:rsid w:val="00955414"/>
    <w:rsid w:val="00955956"/>
    <w:rsid w:val="00960C7E"/>
    <w:rsid w:val="00963BDB"/>
    <w:rsid w:val="00966213"/>
    <w:rsid w:val="009777F2"/>
    <w:rsid w:val="00982D1E"/>
    <w:rsid w:val="00987257"/>
    <w:rsid w:val="00987D4F"/>
    <w:rsid w:val="009922CA"/>
    <w:rsid w:val="00994089"/>
    <w:rsid w:val="00996135"/>
    <w:rsid w:val="009A2DAE"/>
    <w:rsid w:val="009B0098"/>
    <w:rsid w:val="009C0688"/>
    <w:rsid w:val="009C6C54"/>
    <w:rsid w:val="009D48C5"/>
    <w:rsid w:val="009E07C5"/>
    <w:rsid w:val="009E225A"/>
    <w:rsid w:val="009E3BEB"/>
    <w:rsid w:val="009E5752"/>
    <w:rsid w:val="009F2B03"/>
    <w:rsid w:val="009F5A7F"/>
    <w:rsid w:val="009F7941"/>
    <w:rsid w:val="00A027AD"/>
    <w:rsid w:val="00A12BAE"/>
    <w:rsid w:val="00A156C5"/>
    <w:rsid w:val="00A15EBF"/>
    <w:rsid w:val="00A20EBB"/>
    <w:rsid w:val="00A20EF0"/>
    <w:rsid w:val="00A26DB0"/>
    <w:rsid w:val="00A27062"/>
    <w:rsid w:val="00A31527"/>
    <w:rsid w:val="00A33C94"/>
    <w:rsid w:val="00A342C0"/>
    <w:rsid w:val="00A34D4B"/>
    <w:rsid w:val="00A4121E"/>
    <w:rsid w:val="00A5123F"/>
    <w:rsid w:val="00A567B7"/>
    <w:rsid w:val="00A63AE2"/>
    <w:rsid w:val="00A63E06"/>
    <w:rsid w:val="00A65445"/>
    <w:rsid w:val="00A767F8"/>
    <w:rsid w:val="00A81D19"/>
    <w:rsid w:val="00A824DB"/>
    <w:rsid w:val="00A8772A"/>
    <w:rsid w:val="00A919CB"/>
    <w:rsid w:val="00A92658"/>
    <w:rsid w:val="00A9277D"/>
    <w:rsid w:val="00AA1533"/>
    <w:rsid w:val="00AB31B7"/>
    <w:rsid w:val="00AB34FD"/>
    <w:rsid w:val="00AB5B62"/>
    <w:rsid w:val="00AC44A0"/>
    <w:rsid w:val="00AC48DE"/>
    <w:rsid w:val="00AD3C15"/>
    <w:rsid w:val="00AD78F5"/>
    <w:rsid w:val="00AD7CB9"/>
    <w:rsid w:val="00AE20A8"/>
    <w:rsid w:val="00AE55BC"/>
    <w:rsid w:val="00AE65C0"/>
    <w:rsid w:val="00AE67E3"/>
    <w:rsid w:val="00AE7E53"/>
    <w:rsid w:val="00AF4CD5"/>
    <w:rsid w:val="00B06A3B"/>
    <w:rsid w:val="00B14073"/>
    <w:rsid w:val="00B16D06"/>
    <w:rsid w:val="00B203C2"/>
    <w:rsid w:val="00B219BA"/>
    <w:rsid w:val="00B22D2C"/>
    <w:rsid w:val="00B352CB"/>
    <w:rsid w:val="00B43C54"/>
    <w:rsid w:val="00B463D1"/>
    <w:rsid w:val="00B5726A"/>
    <w:rsid w:val="00B617AD"/>
    <w:rsid w:val="00B63A82"/>
    <w:rsid w:val="00B651B5"/>
    <w:rsid w:val="00B738FD"/>
    <w:rsid w:val="00B8655E"/>
    <w:rsid w:val="00B900F9"/>
    <w:rsid w:val="00B90591"/>
    <w:rsid w:val="00B9540F"/>
    <w:rsid w:val="00BA47A9"/>
    <w:rsid w:val="00BA5959"/>
    <w:rsid w:val="00BB11D8"/>
    <w:rsid w:val="00BB1D04"/>
    <w:rsid w:val="00BB31E2"/>
    <w:rsid w:val="00BB36D6"/>
    <w:rsid w:val="00BB5E15"/>
    <w:rsid w:val="00BB75EE"/>
    <w:rsid w:val="00BC1B8A"/>
    <w:rsid w:val="00BC2A4F"/>
    <w:rsid w:val="00BC49C6"/>
    <w:rsid w:val="00BC4A26"/>
    <w:rsid w:val="00BC5200"/>
    <w:rsid w:val="00BC7ACA"/>
    <w:rsid w:val="00BD4AD2"/>
    <w:rsid w:val="00BE05C5"/>
    <w:rsid w:val="00BE2C2E"/>
    <w:rsid w:val="00BE7823"/>
    <w:rsid w:val="00BF3CD6"/>
    <w:rsid w:val="00C0091E"/>
    <w:rsid w:val="00C03FA9"/>
    <w:rsid w:val="00C06B3D"/>
    <w:rsid w:val="00C11E02"/>
    <w:rsid w:val="00C1470B"/>
    <w:rsid w:val="00C22CF5"/>
    <w:rsid w:val="00C27EDA"/>
    <w:rsid w:val="00C3103D"/>
    <w:rsid w:val="00C33336"/>
    <w:rsid w:val="00C33937"/>
    <w:rsid w:val="00C60942"/>
    <w:rsid w:val="00C62861"/>
    <w:rsid w:val="00C70D1B"/>
    <w:rsid w:val="00C82F10"/>
    <w:rsid w:val="00C86DD1"/>
    <w:rsid w:val="00C8787F"/>
    <w:rsid w:val="00C87E38"/>
    <w:rsid w:val="00C9111C"/>
    <w:rsid w:val="00C93A16"/>
    <w:rsid w:val="00C97CC8"/>
    <w:rsid w:val="00CA4A68"/>
    <w:rsid w:val="00CA6048"/>
    <w:rsid w:val="00CA73E5"/>
    <w:rsid w:val="00CA74DD"/>
    <w:rsid w:val="00CA7E90"/>
    <w:rsid w:val="00CB25E4"/>
    <w:rsid w:val="00CB3C66"/>
    <w:rsid w:val="00CB5568"/>
    <w:rsid w:val="00CC1CA6"/>
    <w:rsid w:val="00CD2681"/>
    <w:rsid w:val="00CD2DBE"/>
    <w:rsid w:val="00CD530A"/>
    <w:rsid w:val="00CD605F"/>
    <w:rsid w:val="00CD6C56"/>
    <w:rsid w:val="00CD6C84"/>
    <w:rsid w:val="00CE662B"/>
    <w:rsid w:val="00CF4EAE"/>
    <w:rsid w:val="00D0039C"/>
    <w:rsid w:val="00D074C6"/>
    <w:rsid w:val="00D11FD5"/>
    <w:rsid w:val="00D144E7"/>
    <w:rsid w:val="00D1569C"/>
    <w:rsid w:val="00D22210"/>
    <w:rsid w:val="00D236FD"/>
    <w:rsid w:val="00D30BC0"/>
    <w:rsid w:val="00D37AEF"/>
    <w:rsid w:val="00D72F4E"/>
    <w:rsid w:val="00D7648C"/>
    <w:rsid w:val="00D80CCA"/>
    <w:rsid w:val="00D84E20"/>
    <w:rsid w:val="00D905D9"/>
    <w:rsid w:val="00D92ED9"/>
    <w:rsid w:val="00D93604"/>
    <w:rsid w:val="00D94B14"/>
    <w:rsid w:val="00DA5DA2"/>
    <w:rsid w:val="00DB031E"/>
    <w:rsid w:val="00DB1804"/>
    <w:rsid w:val="00DB3460"/>
    <w:rsid w:val="00DB4223"/>
    <w:rsid w:val="00DB4346"/>
    <w:rsid w:val="00DC69DA"/>
    <w:rsid w:val="00DE1FA2"/>
    <w:rsid w:val="00DE4C45"/>
    <w:rsid w:val="00DE55EB"/>
    <w:rsid w:val="00DF3746"/>
    <w:rsid w:val="00DF62E4"/>
    <w:rsid w:val="00E00CBA"/>
    <w:rsid w:val="00E01814"/>
    <w:rsid w:val="00E01C01"/>
    <w:rsid w:val="00E07AFD"/>
    <w:rsid w:val="00E17AB8"/>
    <w:rsid w:val="00E21CC8"/>
    <w:rsid w:val="00E25485"/>
    <w:rsid w:val="00E46ECE"/>
    <w:rsid w:val="00E52680"/>
    <w:rsid w:val="00E60A69"/>
    <w:rsid w:val="00E70ABD"/>
    <w:rsid w:val="00E71B4D"/>
    <w:rsid w:val="00E74C23"/>
    <w:rsid w:val="00E8622C"/>
    <w:rsid w:val="00E930CE"/>
    <w:rsid w:val="00EA4179"/>
    <w:rsid w:val="00EA78F6"/>
    <w:rsid w:val="00EB1DE2"/>
    <w:rsid w:val="00EB5401"/>
    <w:rsid w:val="00ED0956"/>
    <w:rsid w:val="00EE184D"/>
    <w:rsid w:val="00EE4947"/>
    <w:rsid w:val="00EE710D"/>
    <w:rsid w:val="00EF29F3"/>
    <w:rsid w:val="00EF2EC9"/>
    <w:rsid w:val="00EF4974"/>
    <w:rsid w:val="00F002E6"/>
    <w:rsid w:val="00F25A28"/>
    <w:rsid w:val="00F31AD8"/>
    <w:rsid w:val="00F43B61"/>
    <w:rsid w:val="00F455CC"/>
    <w:rsid w:val="00F574C5"/>
    <w:rsid w:val="00F62A10"/>
    <w:rsid w:val="00F63A76"/>
    <w:rsid w:val="00F70D18"/>
    <w:rsid w:val="00F757AC"/>
    <w:rsid w:val="00F82C48"/>
    <w:rsid w:val="00F82CB1"/>
    <w:rsid w:val="00F852A3"/>
    <w:rsid w:val="00F87442"/>
    <w:rsid w:val="00F94B4B"/>
    <w:rsid w:val="00FB09C9"/>
    <w:rsid w:val="00FB3BB1"/>
    <w:rsid w:val="00FB3DBE"/>
    <w:rsid w:val="00FB6790"/>
    <w:rsid w:val="00FC2996"/>
    <w:rsid w:val="00FC2FC4"/>
    <w:rsid w:val="00FC4EF7"/>
    <w:rsid w:val="00FD0944"/>
    <w:rsid w:val="00FD0E62"/>
    <w:rsid w:val="00FD16C3"/>
    <w:rsid w:val="00FD1AA2"/>
    <w:rsid w:val="00FD4BE1"/>
    <w:rsid w:val="00FD7B07"/>
    <w:rsid w:val="00FE0BE9"/>
    <w:rsid w:val="00FE4477"/>
    <w:rsid w:val="00FF2361"/>
    <w:rsid w:val="00FF4BF6"/>
    <w:rsid w:val="00FF6FE6"/>
    <w:rsid w:val="0123489B"/>
    <w:rsid w:val="03535044"/>
    <w:rsid w:val="04DC77B0"/>
    <w:rsid w:val="0565540C"/>
    <w:rsid w:val="058A07E4"/>
    <w:rsid w:val="06030310"/>
    <w:rsid w:val="07F527FA"/>
    <w:rsid w:val="08552DC9"/>
    <w:rsid w:val="09C37DA0"/>
    <w:rsid w:val="0A0C1F19"/>
    <w:rsid w:val="0AE02F52"/>
    <w:rsid w:val="0C0E1615"/>
    <w:rsid w:val="0C7436CE"/>
    <w:rsid w:val="0E7A6C95"/>
    <w:rsid w:val="0E8F3CFD"/>
    <w:rsid w:val="0F39652D"/>
    <w:rsid w:val="0F886813"/>
    <w:rsid w:val="10880EC1"/>
    <w:rsid w:val="10A95152"/>
    <w:rsid w:val="11590841"/>
    <w:rsid w:val="1250692D"/>
    <w:rsid w:val="12A20332"/>
    <w:rsid w:val="16830072"/>
    <w:rsid w:val="17361964"/>
    <w:rsid w:val="180B066C"/>
    <w:rsid w:val="18501BB7"/>
    <w:rsid w:val="19D51C6F"/>
    <w:rsid w:val="1A0B6AC1"/>
    <w:rsid w:val="1B682CC8"/>
    <w:rsid w:val="1CE97BD5"/>
    <w:rsid w:val="1DD0372D"/>
    <w:rsid w:val="1E1C6542"/>
    <w:rsid w:val="1E2F59A6"/>
    <w:rsid w:val="1F047548"/>
    <w:rsid w:val="1F115F52"/>
    <w:rsid w:val="1F384862"/>
    <w:rsid w:val="20982A50"/>
    <w:rsid w:val="20EF3D1F"/>
    <w:rsid w:val="20FA2EFD"/>
    <w:rsid w:val="2120220B"/>
    <w:rsid w:val="214C3DED"/>
    <w:rsid w:val="216D5F2A"/>
    <w:rsid w:val="24311B58"/>
    <w:rsid w:val="25220418"/>
    <w:rsid w:val="261F6C5A"/>
    <w:rsid w:val="264E55F5"/>
    <w:rsid w:val="26AF1673"/>
    <w:rsid w:val="27E92432"/>
    <w:rsid w:val="28202E19"/>
    <w:rsid w:val="288D15E8"/>
    <w:rsid w:val="299500AF"/>
    <w:rsid w:val="2B677E87"/>
    <w:rsid w:val="2B7A4DE8"/>
    <w:rsid w:val="2C6037ED"/>
    <w:rsid w:val="2C7848C3"/>
    <w:rsid w:val="2C880210"/>
    <w:rsid w:val="2CB06266"/>
    <w:rsid w:val="2D0564EA"/>
    <w:rsid w:val="2D613726"/>
    <w:rsid w:val="2D817D78"/>
    <w:rsid w:val="2DCE1619"/>
    <w:rsid w:val="2ED472B1"/>
    <w:rsid w:val="2F061242"/>
    <w:rsid w:val="2FC72D01"/>
    <w:rsid w:val="307D4248"/>
    <w:rsid w:val="31092442"/>
    <w:rsid w:val="31227898"/>
    <w:rsid w:val="32B060D1"/>
    <w:rsid w:val="330F2CAF"/>
    <w:rsid w:val="347C7AAD"/>
    <w:rsid w:val="35224EE7"/>
    <w:rsid w:val="353831B0"/>
    <w:rsid w:val="358C5173"/>
    <w:rsid w:val="37B7382A"/>
    <w:rsid w:val="37BD1266"/>
    <w:rsid w:val="39F829E7"/>
    <w:rsid w:val="3B2E3D97"/>
    <w:rsid w:val="3B6C4A73"/>
    <w:rsid w:val="3BBE44F3"/>
    <w:rsid w:val="3C8830BB"/>
    <w:rsid w:val="3CB02979"/>
    <w:rsid w:val="3CB84272"/>
    <w:rsid w:val="3CEF12DC"/>
    <w:rsid w:val="3D7C1E8F"/>
    <w:rsid w:val="3D8F6E71"/>
    <w:rsid w:val="3E203EDF"/>
    <w:rsid w:val="3E406939"/>
    <w:rsid w:val="3E4502D0"/>
    <w:rsid w:val="3E605669"/>
    <w:rsid w:val="3E975169"/>
    <w:rsid w:val="3F2656AA"/>
    <w:rsid w:val="40BC4F0C"/>
    <w:rsid w:val="426B46D4"/>
    <w:rsid w:val="428B1FDD"/>
    <w:rsid w:val="43166A9F"/>
    <w:rsid w:val="436C11EC"/>
    <w:rsid w:val="45696A07"/>
    <w:rsid w:val="48CC6711"/>
    <w:rsid w:val="49116101"/>
    <w:rsid w:val="49812E3E"/>
    <w:rsid w:val="4A571EB7"/>
    <w:rsid w:val="4AA33F94"/>
    <w:rsid w:val="4ADB170D"/>
    <w:rsid w:val="4B1B5AC4"/>
    <w:rsid w:val="4BA1035C"/>
    <w:rsid w:val="4C044A70"/>
    <w:rsid w:val="4CF354C8"/>
    <w:rsid w:val="4DFC70B3"/>
    <w:rsid w:val="4F762C70"/>
    <w:rsid w:val="4FD9568A"/>
    <w:rsid w:val="50340A77"/>
    <w:rsid w:val="5046058E"/>
    <w:rsid w:val="51EE5375"/>
    <w:rsid w:val="534D5722"/>
    <w:rsid w:val="540226F5"/>
    <w:rsid w:val="548C3CBA"/>
    <w:rsid w:val="55907D69"/>
    <w:rsid w:val="55F31DF6"/>
    <w:rsid w:val="57847B1F"/>
    <w:rsid w:val="57934F25"/>
    <w:rsid w:val="57950EBD"/>
    <w:rsid w:val="57C70104"/>
    <w:rsid w:val="58842EB0"/>
    <w:rsid w:val="58D30171"/>
    <w:rsid w:val="59C13C67"/>
    <w:rsid w:val="5ADE174D"/>
    <w:rsid w:val="5B4C48BD"/>
    <w:rsid w:val="5BED2612"/>
    <w:rsid w:val="5CC17F7E"/>
    <w:rsid w:val="5DAA0802"/>
    <w:rsid w:val="5DEF34CC"/>
    <w:rsid w:val="5DF23E31"/>
    <w:rsid w:val="5EFE5F55"/>
    <w:rsid w:val="5F026C6D"/>
    <w:rsid w:val="5F7B29A2"/>
    <w:rsid w:val="5FFB5EE0"/>
    <w:rsid w:val="60307623"/>
    <w:rsid w:val="603D352C"/>
    <w:rsid w:val="61F5449A"/>
    <w:rsid w:val="62164508"/>
    <w:rsid w:val="62AD58E2"/>
    <w:rsid w:val="650F3F7D"/>
    <w:rsid w:val="65194E5B"/>
    <w:rsid w:val="654D3C57"/>
    <w:rsid w:val="65657182"/>
    <w:rsid w:val="666B5B79"/>
    <w:rsid w:val="6694527B"/>
    <w:rsid w:val="66FD0A8F"/>
    <w:rsid w:val="670F266E"/>
    <w:rsid w:val="67160C9F"/>
    <w:rsid w:val="68190E64"/>
    <w:rsid w:val="69A3700B"/>
    <w:rsid w:val="6AD01C10"/>
    <w:rsid w:val="6AE42888"/>
    <w:rsid w:val="6AF51472"/>
    <w:rsid w:val="6C3358F8"/>
    <w:rsid w:val="6C5A0B5A"/>
    <w:rsid w:val="6C817C18"/>
    <w:rsid w:val="6F8560A1"/>
    <w:rsid w:val="704F200F"/>
    <w:rsid w:val="71E250CD"/>
    <w:rsid w:val="72226045"/>
    <w:rsid w:val="73E86A9E"/>
    <w:rsid w:val="748A3F7B"/>
    <w:rsid w:val="75651FD7"/>
    <w:rsid w:val="75FB2F1A"/>
    <w:rsid w:val="766405EF"/>
    <w:rsid w:val="76B92B62"/>
    <w:rsid w:val="782C0C41"/>
    <w:rsid w:val="78470325"/>
    <w:rsid w:val="786E531B"/>
    <w:rsid w:val="79BB698E"/>
    <w:rsid w:val="7A6068DF"/>
    <w:rsid w:val="7B955007"/>
    <w:rsid w:val="7BF4085B"/>
    <w:rsid w:val="7C8117CF"/>
    <w:rsid w:val="7D7A1385"/>
    <w:rsid w:val="7DD87CFD"/>
    <w:rsid w:val="7DEC5E32"/>
    <w:rsid w:val="7F4801F6"/>
    <w:rsid w:val="7F6F39CB"/>
    <w:rsid w:val="7FBA34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4">
    <w:name w:val="heading 1"/>
    <w:basedOn w:val="1"/>
    <w:next w:val="1"/>
    <w:link w:val="36"/>
    <w:qFormat/>
    <w:uiPriority w:val="99"/>
    <w:pPr>
      <w:keepLines/>
      <w:spacing w:before="340" w:after="330" w:line="360" w:lineRule="auto"/>
      <w:jc w:val="center"/>
      <w:outlineLvl w:val="0"/>
    </w:pPr>
    <w:rPr>
      <w:b/>
      <w:bCs/>
      <w:kern w:val="44"/>
      <w:sz w:val="44"/>
      <w:szCs w:val="44"/>
    </w:rPr>
  </w:style>
  <w:style w:type="paragraph" w:styleId="5">
    <w:name w:val="heading 2"/>
    <w:basedOn w:val="1"/>
    <w:next w:val="1"/>
    <w:link w:val="37"/>
    <w:qFormat/>
    <w:uiPriority w:val="99"/>
    <w:pPr>
      <w:keepNext/>
      <w:keepLines/>
      <w:spacing w:before="260" w:after="260" w:line="416" w:lineRule="auto"/>
      <w:outlineLvl w:val="1"/>
    </w:pPr>
    <w:rPr>
      <w:rFonts w:ascii="Calibri Light" w:hAnsi="Calibri Light" w:cs="Calibri Light"/>
      <w:b/>
      <w:bCs/>
      <w:sz w:val="32"/>
      <w:szCs w:val="32"/>
    </w:rPr>
  </w:style>
  <w:style w:type="paragraph" w:styleId="6">
    <w:name w:val="heading 3"/>
    <w:basedOn w:val="1"/>
    <w:next w:val="1"/>
    <w:link w:val="38"/>
    <w:qFormat/>
    <w:uiPriority w:val="99"/>
    <w:pPr>
      <w:keepNext/>
      <w:keepLines/>
      <w:spacing w:before="260" w:after="260" w:line="416" w:lineRule="auto"/>
      <w:outlineLvl w:val="2"/>
    </w:pPr>
    <w:rPr>
      <w:b/>
      <w:bCs/>
      <w:sz w:val="32"/>
      <w:szCs w:val="32"/>
    </w:rPr>
  </w:style>
  <w:style w:type="paragraph" w:styleId="7">
    <w:name w:val="heading 4"/>
    <w:basedOn w:val="1"/>
    <w:next w:val="1"/>
    <w:qFormat/>
    <w:locked/>
    <w:uiPriority w:val="1"/>
    <w:pPr>
      <w:ind w:left="1456" w:hanging="720"/>
      <w:outlineLvl w:val="3"/>
    </w:pPr>
    <w:rPr>
      <w:rFonts w:ascii="宋体" w:hAnsi="宋体" w:cs="宋体"/>
      <w:b/>
      <w:bCs/>
      <w:sz w:val="24"/>
      <w:szCs w:val="24"/>
    </w:rPr>
  </w:style>
  <w:style w:type="paragraph" w:styleId="8">
    <w:name w:val="heading 6"/>
    <w:basedOn w:val="1"/>
    <w:next w:val="1"/>
    <w:link w:val="39"/>
    <w:qFormat/>
    <w:uiPriority w:val="99"/>
    <w:pPr>
      <w:keepNext/>
      <w:keepLines/>
      <w:spacing w:before="240" w:after="64" w:line="320" w:lineRule="auto"/>
      <w:outlineLvl w:val="5"/>
    </w:pPr>
    <w:rPr>
      <w:rFonts w:ascii="Arial" w:hAnsi="Arial" w:eastAsia="黑体" w:cs="Arial"/>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qFormat/>
    <w:uiPriority w:val="99"/>
    <w:pPr>
      <w:spacing w:line="340" w:lineRule="exact"/>
    </w:pPr>
    <w:rPr>
      <w:rFonts w:eastAsia="黑体"/>
      <w:spacing w:val="-20"/>
      <w:sz w:val="28"/>
      <w:szCs w:val="28"/>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Normal Indent"/>
    <w:basedOn w:val="1"/>
    <w:link w:val="55"/>
    <w:qFormat/>
    <w:uiPriority w:val="99"/>
    <w:pPr>
      <w:ind w:firstLine="420"/>
    </w:pPr>
    <w:rPr>
      <w:kern w:val="0"/>
    </w:rPr>
  </w:style>
  <w:style w:type="paragraph" w:styleId="10">
    <w:name w:val="caption"/>
    <w:basedOn w:val="1"/>
    <w:next w:val="1"/>
    <w:link w:val="58"/>
    <w:qFormat/>
    <w:uiPriority w:val="99"/>
    <w:pPr>
      <w:spacing w:before="120"/>
    </w:pPr>
    <w:rPr>
      <w:rFonts w:ascii="Arial" w:hAnsi="Arial" w:eastAsia="黑体" w:cs="Arial"/>
      <w:kern w:val="0"/>
      <w:sz w:val="28"/>
      <w:szCs w:val="28"/>
    </w:rPr>
  </w:style>
  <w:style w:type="paragraph" w:styleId="11">
    <w:name w:val="Document Map"/>
    <w:basedOn w:val="1"/>
    <w:link w:val="69"/>
    <w:semiHidden/>
    <w:qFormat/>
    <w:uiPriority w:val="99"/>
    <w:pPr>
      <w:shd w:val="clear" w:color="auto" w:fill="000080"/>
    </w:pPr>
  </w:style>
  <w:style w:type="paragraph" w:styleId="12">
    <w:name w:val="annotation text"/>
    <w:basedOn w:val="1"/>
    <w:link w:val="62"/>
    <w:semiHidden/>
    <w:qFormat/>
    <w:uiPriority w:val="99"/>
    <w:pPr>
      <w:jc w:val="left"/>
    </w:pPr>
  </w:style>
  <w:style w:type="paragraph" w:styleId="13">
    <w:name w:val="Body Text 3"/>
    <w:basedOn w:val="1"/>
    <w:link w:val="72"/>
    <w:qFormat/>
    <w:uiPriority w:val="99"/>
    <w:pPr>
      <w:spacing w:line="500" w:lineRule="exact"/>
    </w:pPr>
    <w:rPr>
      <w:sz w:val="28"/>
      <w:szCs w:val="28"/>
    </w:rPr>
  </w:style>
  <w:style w:type="paragraph" w:styleId="14">
    <w:name w:val="Body Text Indent"/>
    <w:basedOn w:val="1"/>
    <w:link w:val="108"/>
    <w:qFormat/>
    <w:uiPriority w:val="99"/>
    <w:pPr>
      <w:ind w:firstLine="482"/>
    </w:pPr>
    <w:rPr>
      <w:kern w:val="0"/>
      <w:sz w:val="20"/>
      <w:szCs w:val="20"/>
    </w:rPr>
  </w:style>
  <w:style w:type="paragraph" w:styleId="15">
    <w:name w:val="Block Text"/>
    <w:basedOn w:val="1"/>
    <w:qFormat/>
    <w:uiPriority w:val="99"/>
    <w:pPr>
      <w:widowControl/>
      <w:tabs>
        <w:tab w:val="left" w:pos="1418"/>
      </w:tabs>
      <w:overflowPunct w:val="0"/>
      <w:autoSpaceDE w:val="0"/>
      <w:autoSpaceDN w:val="0"/>
      <w:adjustRightInd w:val="0"/>
      <w:spacing w:before="120"/>
      <w:ind w:left="709" w:right="-285"/>
      <w:textAlignment w:val="baseline"/>
    </w:pPr>
    <w:rPr>
      <w:rFonts w:eastAsia="仿宋_GB2312"/>
      <w:kern w:val="0"/>
      <w:sz w:val="24"/>
      <w:szCs w:val="24"/>
    </w:rPr>
  </w:style>
  <w:style w:type="paragraph" w:styleId="16">
    <w:name w:val="Plain Text"/>
    <w:basedOn w:val="1"/>
    <w:link w:val="112"/>
    <w:qFormat/>
    <w:uiPriority w:val="99"/>
    <w:rPr>
      <w:rFonts w:ascii="宋体" w:hAnsi="Courier New" w:cs="宋体"/>
      <w:kern w:val="0"/>
      <w:sz w:val="21"/>
      <w:szCs w:val="21"/>
    </w:rPr>
  </w:style>
  <w:style w:type="paragraph" w:styleId="17">
    <w:name w:val="Date"/>
    <w:basedOn w:val="1"/>
    <w:next w:val="1"/>
    <w:link w:val="74"/>
    <w:qFormat/>
    <w:uiPriority w:val="99"/>
    <w:pPr>
      <w:ind w:left="100" w:leftChars="2500"/>
    </w:pPr>
    <w:rPr>
      <w:rFonts w:ascii="宋体" w:hAnsi="Arial" w:cs="宋体"/>
      <w:sz w:val="28"/>
      <w:szCs w:val="28"/>
    </w:rPr>
  </w:style>
  <w:style w:type="paragraph" w:styleId="18">
    <w:name w:val="Body Text Indent 2"/>
    <w:basedOn w:val="1"/>
    <w:link w:val="75"/>
    <w:qFormat/>
    <w:uiPriority w:val="99"/>
    <w:pPr>
      <w:spacing w:line="560" w:lineRule="exact"/>
      <w:ind w:firstLine="482"/>
    </w:pPr>
    <w:rPr>
      <w:spacing w:val="-20"/>
      <w:sz w:val="28"/>
      <w:szCs w:val="28"/>
    </w:rPr>
  </w:style>
  <w:style w:type="paragraph" w:styleId="19">
    <w:name w:val="Balloon Text"/>
    <w:basedOn w:val="1"/>
    <w:link w:val="52"/>
    <w:semiHidden/>
    <w:qFormat/>
    <w:uiPriority w:val="99"/>
    <w:rPr>
      <w:kern w:val="0"/>
      <w:sz w:val="18"/>
      <w:szCs w:val="18"/>
    </w:rPr>
  </w:style>
  <w:style w:type="paragraph" w:styleId="20">
    <w:name w:val="footer"/>
    <w:basedOn w:val="1"/>
    <w:link w:val="41"/>
    <w:qFormat/>
    <w:uiPriority w:val="99"/>
    <w:pPr>
      <w:tabs>
        <w:tab w:val="center" w:pos="4153"/>
        <w:tab w:val="right" w:pos="8306"/>
      </w:tabs>
      <w:snapToGrid w:val="0"/>
      <w:jc w:val="left"/>
    </w:pPr>
    <w:rPr>
      <w:sz w:val="18"/>
      <w:szCs w:val="18"/>
    </w:rPr>
  </w:style>
  <w:style w:type="paragraph" w:styleId="21">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2">
    <w:name w:val="List"/>
    <w:basedOn w:val="1"/>
    <w:qFormat/>
    <w:uiPriority w:val="99"/>
    <w:pPr>
      <w:keepNext/>
      <w:spacing w:line="360" w:lineRule="auto"/>
      <w:ind w:left="200" w:hanging="200" w:hangingChars="200"/>
      <w:jc w:val="left"/>
    </w:pPr>
    <w:rPr>
      <w:sz w:val="24"/>
      <w:szCs w:val="24"/>
    </w:rPr>
  </w:style>
  <w:style w:type="paragraph" w:styleId="23">
    <w:name w:val="Body Text Indent 3"/>
    <w:basedOn w:val="1"/>
    <w:link w:val="65"/>
    <w:qFormat/>
    <w:uiPriority w:val="99"/>
    <w:pPr>
      <w:spacing w:line="600" w:lineRule="exact"/>
      <w:ind w:firstLine="482"/>
    </w:pPr>
    <w:rPr>
      <w:sz w:val="21"/>
      <w:szCs w:val="21"/>
    </w:rPr>
  </w:style>
  <w:style w:type="paragraph" w:styleId="24">
    <w:name w:val="Body Text 2"/>
    <w:basedOn w:val="1"/>
    <w:link w:val="49"/>
    <w:qFormat/>
    <w:uiPriority w:val="99"/>
    <w:pPr>
      <w:spacing w:after="120" w:line="480" w:lineRule="auto"/>
    </w:p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2"/>
    <w:next w:val="12"/>
    <w:link w:val="61"/>
    <w:semiHidden/>
    <w:qFormat/>
    <w:uiPriority w:val="99"/>
    <w:rPr>
      <w:b/>
      <w:bCs/>
      <w:kern w:val="0"/>
    </w:rPr>
  </w:style>
  <w:style w:type="paragraph" w:styleId="27">
    <w:name w:val="Body Text First Indent"/>
    <w:basedOn w:val="2"/>
    <w:link w:val="67"/>
    <w:qFormat/>
    <w:uiPriority w:val="99"/>
    <w:pPr>
      <w:spacing w:after="120" w:line="240" w:lineRule="auto"/>
      <w:ind w:firstLine="420" w:firstLineChars="100"/>
    </w:pPr>
    <w:rPr>
      <w:rFonts w:eastAsia="宋体"/>
      <w:spacing w:val="0"/>
      <w:sz w:val="30"/>
      <w:szCs w:val="30"/>
    </w:rPr>
  </w:style>
  <w:style w:type="paragraph" w:styleId="28">
    <w:name w:val="Body Text First Indent 2"/>
    <w:basedOn w:val="14"/>
    <w:next w:val="1"/>
    <w:link w:val="113"/>
    <w:qFormat/>
    <w:uiPriority w:val="99"/>
    <w:pPr>
      <w:spacing w:after="120"/>
      <w:ind w:left="420" w:firstLine="210"/>
    </w:p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b/>
      <w:bCs/>
    </w:rPr>
  </w:style>
  <w:style w:type="character" w:styleId="33">
    <w:name w:val="page number"/>
    <w:basedOn w:val="31"/>
    <w:qFormat/>
    <w:uiPriority w:val="99"/>
  </w:style>
  <w:style w:type="character" w:styleId="34">
    <w:name w:val="Hyperlink"/>
    <w:qFormat/>
    <w:uiPriority w:val="99"/>
    <w:rPr>
      <w:color w:val="0000FF"/>
      <w:u w:val="none"/>
    </w:rPr>
  </w:style>
  <w:style w:type="character" w:styleId="35">
    <w:name w:val="annotation reference"/>
    <w:semiHidden/>
    <w:qFormat/>
    <w:uiPriority w:val="99"/>
    <w:rPr>
      <w:sz w:val="21"/>
      <w:szCs w:val="21"/>
    </w:rPr>
  </w:style>
  <w:style w:type="character" w:customStyle="1" w:styleId="36">
    <w:name w:val="标题 1 Char"/>
    <w:link w:val="4"/>
    <w:qFormat/>
    <w:locked/>
    <w:uiPriority w:val="99"/>
    <w:rPr>
      <w:rFonts w:eastAsia="宋体"/>
      <w:b/>
      <w:bCs/>
      <w:kern w:val="44"/>
      <w:sz w:val="20"/>
      <w:szCs w:val="20"/>
    </w:rPr>
  </w:style>
  <w:style w:type="character" w:customStyle="1" w:styleId="37">
    <w:name w:val="标题 2 Char"/>
    <w:link w:val="5"/>
    <w:semiHidden/>
    <w:qFormat/>
    <w:locked/>
    <w:uiPriority w:val="99"/>
    <w:rPr>
      <w:rFonts w:ascii="Calibri Light" w:hAnsi="Calibri Light" w:eastAsia="宋体" w:cs="Calibri Light"/>
      <w:b/>
      <w:bCs/>
      <w:sz w:val="32"/>
      <w:szCs w:val="32"/>
    </w:rPr>
  </w:style>
  <w:style w:type="character" w:customStyle="1" w:styleId="38">
    <w:name w:val="标题 3 Char"/>
    <w:link w:val="6"/>
    <w:qFormat/>
    <w:locked/>
    <w:uiPriority w:val="99"/>
    <w:rPr>
      <w:rFonts w:eastAsia="宋体"/>
      <w:b/>
      <w:bCs/>
      <w:sz w:val="32"/>
      <w:szCs w:val="32"/>
    </w:rPr>
  </w:style>
  <w:style w:type="character" w:customStyle="1" w:styleId="39">
    <w:name w:val="标题 6 Char"/>
    <w:link w:val="8"/>
    <w:qFormat/>
    <w:locked/>
    <w:uiPriority w:val="99"/>
    <w:rPr>
      <w:rFonts w:ascii="Arial" w:hAnsi="Arial" w:eastAsia="黑体" w:cs="Arial"/>
      <w:b/>
      <w:bCs/>
      <w:sz w:val="24"/>
      <w:szCs w:val="24"/>
    </w:rPr>
  </w:style>
  <w:style w:type="character" w:customStyle="1" w:styleId="40">
    <w:name w:val="页眉 Char"/>
    <w:link w:val="21"/>
    <w:qFormat/>
    <w:locked/>
    <w:uiPriority w:val="99"/>
    <w:rPr>
      <w:sz w:val="18"/>
      <w:szCs w:val="18"/>
    </w:rPr>
  </w:style>
  <w:style w:type="character" w:customStyle="1" w:styleId="41">
    <w:name w:val="页脚 Char"/>
    <w:link w:val="20"/>
    <w:qFormat/>
    <w:locked/>
    <w:uiPriority w:val="99"/>
    <w:rPr>
      <w:sz w:val="18"/>
      <w:szCs w:val="18"/>
    </w:rPr>
  </w:style>
  <w:style w:type="character" w:customStyle="1" w:styleId="42">
    <w:name w:val="正文文本缩进 字符"/>
    <w:link w:val="14"/>
    <w:qFormat/>
    <w:locked/>
    <w:uiPriority w:val="99"/>
    <w:rPr>
      <w:rFonts w:eastAsia="宋体"/>
    </w:rPr>
  </w:style>
  <w:style w:type="character" w:customStyle="1" w:styleId="43">
    <w:name w:val="Body Text Indent Char1"/>
    <w:semiHidden/>
    <w:qFormat/>
    <w:uiPriority w:val="99"/>
    <w:rPr>
      <w:sz w:val="30"/>
      <w:szCs w:val="30"/>
    </w:rPr>
  </w:style>
  <w:style w:type="character" w:customStyle="1" w:styleId="44">
    <w:name w:val="正文文本缩进 Char1"/>
    <w:semiHidden/>
    <w:qFormat/>
    <w:uiPriority w:val="99"/>
    <w:rPr>
      <w:rFonts w:eastAsia="宋体"/>
      <w:sz w:val="20"/>
      <w:szCs w:val="20"/>
    </w:rPr>
  </w:style>
  <w:style w:type="character" w:customStyle="1" w:styleId="45">
    <w:name w:val="正文文本 Char"/>
    <w:link w:val="2"/>
    <w:qFormat/>
    <w:locked/>
    <w:uiPriority w:val="99"/>
    <w:rPr>
      <w:rFonts w:eastAsia="黑体"/>
      <w:spacing w:val="-20"/>
      <w:sz w:val="20"/>
      <w:szCs w:val="20"/>
    </w:rPr>
  </w:style>
  <w:style w:type="paragraph" w:customStyle="1" w:styleId="46">
    <w:name w:val="样式1"/>
    <w:basedOn w:val="1"/>
    <w:qFormat/>
    <w:uiPriority w:val="0"/>
    <w:pPr>
      <w:tabs>
        <w:tab w:val="left" w:pos="8820"/>
      </w:tabs>
    </w:pPr>
  </w:style>
  <w:style w:type="paragraph" w:customStyle="1" w:styleId="47">
    <w:name w:val="列出段落1"/>
    <w:basedOn w:val="1"/>
    <w:qFormat/>
    <w:uiPriority w:val="99"/>
    <w:pPr>
      <w:ind w:firstLine="420" w:firstLineChars="200"/>
    </w:pPr>
  </w:style>
  <w:style w:type="paragraph" w:customStyle="1" w:styleId="48">
    <w:name w:val="Default"/>
    <w:qFormat/>
    <w:uiPriority w:val="99"/>
    <w:pPr>
      <w:widowControl w:val="0"/>
      <w:autoSpaceDE w:val="0"/>
      <w:autoSpaceDN w:val="0"/>
    </w:pPr>
    <w:rPr>
      <w:rFonts w:ascii="黑体" w:hAnsi="Times New Roman" w:eastAsia="黑体" w:cs="黑体"/>
      <w:color w:val="000000"/>
      <w:sz w:val="24"/>
      <w:szCs w:val="24"/>
      <w:lang w:val="en-US" w:eastAsia="zh-CN" w:bidi="ar-SA"/>
    </w:rPr>
  </w:style>
  <w:style w:type="character" w:customStyle="1" w:styleId="49">
    <w:name w:val="正文文本 2 Char"/>
    <w:link w:val="24"/>
    <w:semiHidden/>
    <w:qFormat/>
    <w:locked/>
    <w:uiPriority w:val="99"/>
    <w:rPr>
      <w:rFonts w:eastAsia="宋体"/>
      <w:sz w:val="20"/>
      <w:szCs w:val="20"/>
    </w:rPr>
  </w:style>
  <w:style w:type="character" w:customStyle="1" w:styleId="50">
    <w:name w:val="云龙样式 正文首行缩进 + 首行缩进:  2 字符 Char"/>
    <w:link w:val="51"/>
    <w:qFormat/>
    <w:locked/>
    <w:uiPriority w:val="99"/>
    <w:rPr>
      <w:rFonts w:ascii="宋体" w:eastAsia="宋体" w:cs="宋体"/>
    </w:rPr>
  </w:style>
  <w:style w:type="paragraph" w:customStyle="1" w:styleId="51">
    <w:name w:val="云龙样式 正文首行缩进 + 首行缩进:  2 字符"/>
    <w:basedOn w:val="27"/>
    <w:link w:val="50"/>
    <w:qFormat/>
    <w:uiPriority w:val="99"/>
    <w:pPr>
      <w:adjustRightInd w:val="0"/>
      <w:snapToGrid w:val="0"/>
      <w:spacing w:after="0" w:line="360" w:lineRule="auto"/>
      <w:ind w:firstLine="200" w:firstLineChars="200"/>
      <w:jc w:val="left"/>
    </w:pPr>
    <w:rPr>
      <w:rFonts w:ascii="宋体" w:hAnsi="宋体" w:cs="宋体"/>
      <w:kern w:val="0"/>
      <w:sz w:val="20"/>
      <w:szCs w:val="20"/>
    </w:rPr>
  </w:style>
  <w:style w:type="character" w:customStyle="1" w:styleId="52">
    <w:name w:val="批注框文本 Char"/>
    <w:link w:val="19"/>
    <w:qFormat/>
    <w:locked/>
    <w:uiPriority w:val="99"/>
    <w:rPr>
      <w:sz w:val="18"/>
      <w:szCs w:val="18"/>
    </w:rPr>
  </w:style>
  <w:style w:type="character" w:customStyle="1" w:styleId="53">
    <w:name w:val="批注文字 Char"/>
    <w:qFormat/>
    <w:uiPriority w:val="99"/>
    <w:rPr>
      <w:kern w:val="2"/>
      <w:sz w:val="30"/>
      <w:szCs w:val="30"/>
    </w:rPr>
  </w:style>
  <w:style w:type="character" w:customStyle="1" w:styleId="54">
    <w:name w:val="keyword"/>
    <w:qFormat/>
    <w:uiPriority w:val="99"/>
  </w:style>
  <w:style w:type="character" w:customStyle="1" w:styleId="55">
    <w:name w:val="正文缩进 Char"/>
    <w:link w:val="9"/>
    <w:qFormat/>
    <w:locked/>
    <w:uiPriority w:val="99"/>
    <w:rPr>
      <w:sz w:val="30"/>
      <w:szCs w:val="30"/>
    </w:rPr>
  </w:style>
  <w:style w:type="character" w:customStyle="1" w:styleId="56">
    <w:name w:val="纯文本 字符"/>
    <w:link w:val="16"/>
    <w:qFormat/>
    <w:locked/>
    <w:uiPriority w:val="99"/>
    <w:rPr>
      <w:rFonts w:ascii="宋体" w:hAnsi="Courier New" w:eastAsia="宋体" w:cs="宋体"/>
      <w:sz w:val="21"/>
      <w:szCs w:val="21"/>
    </w:rPr>
  </w:style>
  <w:style w:type="character" w:customStyle="1" w:styleId="57">
    <w:name w:val="普通文字 Char1"/>
    <w:qFormat/>
    <w:uiPriority w:val="99"/>
    <w:rPr>
      <w:rFonts w:ascii="宋体" w:hAnsi="Courier New" w:eastAsia="宋体" w:cs="宋体"/>
      <w:kern w:val="2"/>
      <w:sz w:val="21"/>
      <w:szCs w:val="21"/>
      <w:lang w:val="en-US" w:eastAsia="zh-CN"/>
    </w:rPr>
  </w:style>
  <w:style w:type="character" w:customStyle="1" w:styleId="58">
    <w:name w:val="题注 Char"/>
    <w:link w:val="10"/>
    <w:qFormat/>
    <w:locked/>
    <w:uiPriority w:val="99"/>
    <w:rPr>
      <w:rFonts w:ascii="Arial" w:hAnsi="Arial" w:eastAsia="黑体" w:cs="Arial"/>
      <w:sz w:val="28"/>
      <w:szCs w:val="28"/>
    </w:rPr>
  </w:style>
  <w:style w:type="character" w:customStyle="1" w:styleId="59">
    <w:name w:val="表文(G) Char"/>
    <w:link w:val="60"/>
    <w:qFormat/>
    <w:locked/>
    <w:uiPriority w:val="99"/>
    <w:rPr>
      <w:rFonts w:ascii="宋体" w:eastAsia="宋体" w:cs="宋体"/>
      <w:position w:val="-24"/>
      <w:sz w:val="21"/>
      <w:szCs w:val="21"/>
      <w:lang w:val="en-US" w:eastAsia="zh-CN"/>
    </w:rPr>
  </w:style>
  <w:style w:type="paragraph" w:customStyle="1" w:styleId="60">
    <w:name w:val="表文(G)"/>
    <w:basedOn w:val="1"/>
    <w:link w:val="59"/>
    <w:qFormat/>
    <w:uiPriority w:val="99"/>
    <w:pPr>
      <w:tabs>
        <w:tab w:val="left" w:pos="1021"/>
      </w:tabs>
      <w:jc w:val="center"/>
    </w:pPr>
    <w:rPr>
      <w:rFonts w:ascii="宋体" w:hAnsi="宋体" w:cs="宋体"/>
      <w:kern w:val="0"/>
      <w:position w:val="-24"/>
      <w:sz w:val="21"/>
      <w:szCs w:val="21"/>
    </w:rPr>
  </w:style>
  <w:style w:type="character" w:customStyle="1" w:styleId="61">
    <w:name w:val="批注主题 Char"/>
    <w:link w:val="26"/>
    <w:qFormat/>
    <w:locked/>
    <w:uiPriority w:val="99"/>
    <w:rPr>
      <w:b/>
      <w:bCs/>
      <w:sz w:val="30"/>
      <w:szCs w:val="30"/>
    </w:rPr>
  </w:style>
  <w:style w:type="character" w:customStyle="1" w:styleId="62">
    <w:name w:val="批注文字 Char1"/>
    <w:link w:val="12"/>
    <w:semiHidden/>
    <w:qFormat/>
    <w:locked/>
    <w:uiPriority w:val="99"/>
    <w:rPr>
      <w:rFonts w:eastAsia="宋体"/>
      <w:sz w:val="20"/>
      <w:szCs w:val="20"/>
    </w:rPr>
  </w:style>
  <w:style w:type="character" w:customStyle="1" w:styleId="63">
    <w:name w:val="Comment Subject Char1"/>
    <w:semiHidden/>
    <w:qFormat/>
    <w:uiPriority w:val="99"/>
    <w:rPr>
      <w:rFonts w:eastAsia="宋体"/>
      <w:b/>
      <w:bCs/>
      <w:sz w:val="30"/>
      <w:szCs w:val="30"/>
    </w:rPr>
  </w:style>
  <w:style w:type="character" w:customStyle="1" w:styleId="64">
    <w:name w:val="批注主题 Char1"/>
    <w:semiHidden/>
    <w:qFormat/>
    <w:uiPriority w:val="99"/>
    <w:rPr>
      <w:rFonts w:eastAsia="宋体"/>
      <w:b/>
      <w:bCs/>
      <w:sz w:val="20"/>
      <w:szCs w:val="20"/>
    </w:rPr>
  </w:style>
  <w:style w:type="character" w:customStyle="1" w:styleId="65">
    <w:name w:val="正文文本缩进 3 Char"/>
    <w:link w:val="23"/>
    <w:qFormat/>
    <w:locked/>
    <w:uiPriority w:val="99"/>
    <w:rPr>
      <w:rFonts w:eastAsia="宋体"/>
      <w:sz w:val="20"/>
      <w:szCs w:val="20"/>
    </w:rPr>
  </w:style>
  <w:style w:type="paragraph" w:customStyle="1" w:styleId="66">
    <w:name w:val="表"/>
    <w:basedOn w:val="1"/>
    <w:qFormat/>
    <w:uiPriority w:val="99"/>
    <w:pPr>
      <w:adjustRightInd w:val="0"/>
      <w:snapToGrid w:val="0"/>
      <w:spacing w:line="288" w:lineRule="auto"/>
    </w:pPr>
    <w:rPr>
      <w:sz w:val="21"/>
      <w:szCs w:val="21"/>
    </w:rPr>
  </w:style>
  <w:style w:type="character" w:customStyle="1" w:styleId="67">
    <w:name w:val="正文首行缩进 Char"/>
    <w:link w:val="27"/>
    <w:qFormat/>
    <w:locked/>
    <w:uiPriority w:val="99"/>
    <w:rPr>
      <w:rFonts w:eastAsia="宋体"/>
      <w:spacing w:val="-20"/>
      <w:sz w:val="20"/>
      <w:szCs w:val="20"/>
    </w:rPr>
  </w:style>
  <w:style w:type="paragraph" w:customStyle="1" w:styleId="68">
    <w:name w:val="Char1 Char Char Char"/>
    <w:basedOn w:val="1"/>
    <w:qFormat/>
    <w:uiPriority w:val="99"/>
    <w:rPr>
      <w:sz w:val="21"/>
      <w:szCs w:val="21"/>
    </w:rPr>
  </w:style>
  <w:style w:type="character" w:customStyle="1" w:styleId="69">
    <w:name w:val="文档结构图 Char"/>
    <w:link w:val="11"/>
    <w:semiHidden/>
    <w:qFormat/>
    <w:locked/>
    <w:uiPriority w:val="99"/>
    <w:rPr>
      <w:rFonts w:eastAsia="宋体"/>
      <w:sz w:val="20"/>
      <w:szCs w:val="20"/>
      <w:shd w:val="clear" w:color="auto" w:fill="000080"/>
    </w:rPr>
  </w:style>
  <w:style w:type="character" w:customStyle="1" w:styleId="70">
    <w:name w:val="Plain Text Char1"/>
    <w:semiHidden/>
    <w:qFormat/>
    <w:uiPriority w:val="99"/>
    <w:rPr>
      <w:rFonts w:ascii="宋体" w:hAnsi="Courier New" w:cs="Courier New"/>
      <w:szCs w:val="21"/>
    </w:rPr>
  </w:style>
  <w:style w:type="character" w:customStyle="1" w:styleId="71">
    <w:name w:val="纯文本 Char1"/>
    <w:semiHidden/>
    <w:qFormat/>
    <w:uiPriority w:val="99"/>
    <w:rPr>
      <w:rFonts w:ascii="宋体" w:hAnsi="Courier New" w:eastAsia="宋体" w:cs="宋体"/>
      <w:sz w:val="21"/>
      <w:szCs w:val="21"/>
    </w:rPr>
  </w:style>
  <w:style w:type="character" w:customStyle="1" w:styleId="72">
    <w:name w:val="正文文本 3 Char"/>
    <w:link w:val="13"/>
    <w:qFormat/>
    <w:locked/>
    <w:uiPriority w:val="99"/>
    <w:rPr>
      <w:rFonts w:eastAsia="宋体"/>
      <w:sz w:val="20"/>
      <w:szCs w:val="20"/>
    </w:rPr>
  </w:style>
  <w:style w:type="paragraph" w:customStyle="1" w:styleId="73">
    <w:name w:val="段落"/>
    <w:basedOn w:val="1"/>
    <w:qFormat/>
    <w:uiPriority w:val="99"/>
    <w:pPr>
      <w:tabs>
        <w:tab w:val="left" w:pos="1021"/>
      </w:tabs>
      <w:adjustRightInd w:val="0"/>
      <w:spacing w:line="440" w:lineRule="exact"/>
      <w:ind w:firstLine="475" w:firstLineChars="200"/>
    </w:pPr>
    <w:rPr>
      <w:rFonts w:ascii="宋体" w:hAnsi="宋体" w:cs="宋体"/>
      <w:spacing w:val="-4"/>
      <w:kern w:val="24"/>
      <w:sz w:val="24"/>
      <w:szCs w:val="24"/>
    </w:rPr>
  </w:style>
  <w:style w:type="character" w:customStyle="1" w:styleId="74">
    <w:name w:val="日期 Char"/>
    <w:link w:val="17"/>
    <w:qFormat/>
    <w:locked/>
    <w:uiPriority w:val="99"/>
    <w:rPr>
      <w:rFonts w:ascii="宋体" w:hAnsi="Arial" w:eastAsia="宋体" w:cs="宋体"/>
      <w:sz w:val="24"/>
      <w:szCs w:val="24"/>
    </w:rPr>
  </w:style>
  <w:style w:type="character" w:customStyle="1" w:styleId="75">
    <w:name w:val="正文文本缩进 2 Char"/>
    <w:link w:val="18"/>
    <w:qFormat/>
    <w:locked/>
    <w:uiPriority w:val="99"/>
    <w:rPr>
      <w:rFonts w:eastAsia="宋体"/>
      <w:spacing w:val="-20"/>
      <w:sz w:val="20"/>
      <w:szCs w:val="20"/>
    </w:rPr>
  </w:style>
  <w:style w:type="character" w:customStyle="1" w:styleId="76">
    <w:name w:val="Balloon Text Char1"/>
    <w:semiHidden/>
    <w:qFormat/>
    <w:uiPriority w:val="99"/>
    <w:rPr>
      <w:sz w:val="0"/>
      <w:szCs w:val="0"/>
    </w:rPr>
  </w:style>
  <w:style w:type="character" w:customStyle="1" w:styleId="77">
    <w:name w:val="批注框文本 Char1"/>
    <w:semiHidden/>
    <w:qFormat/>
    <w:uiPriority w:val="99"/>
    <w:rPr>
      <w:rFonts w:eastAsia="宋体"/>
      <w:sz w:val="18"/>
      <w:szCs w:val="18"/>
    </w:rPr>
  </w:style>
  <w:style w:type="character" w:customStyle="1" w:styleId="78">
    <w:name w:val="正文首行缩进 2 字符"/>
    <w:link w:val="28"/>
    <w:qFormat/>
    <w:locked/>
    <w:uiPriority w:val="99"/>
    <w:rPr>
      <w:rFonts w:eastAsia="宋体"/>
      <w:sz w:val="20"/>
      <w:szCs w:val="20"/>
    </w:rPr>
  </w:style>
  <w:style w:type="paragraph" w:customStyle="1" w:styleId="79">
    <w:name w:val="标题4"/>
    <w:basedOn w:val="1"/>
    <w:qFormat/>
    <w:uiPriority w:val="99"/>
    <w:rPr>
      <w:rFonts w:ascii="黑体" w:cs="黑体"/>
      <w:b/>
      <w:bCs/>
      <w:sz w:val="28"/>
      <w:szCs w:val="28"/>
    </w:rPr>
  </w:style>
  <w:style w:type="paragraph" w:customStyle="1" w:styleId="80">
    <w:name w:val="xl31"/>
    <w:basedOn w:val="1"/>
    <w:qFormat/>
    <w:uiPriority w:val="99"/>
    <w:pPr>
      <w:widowControl/>
      <w:spacing w:before="100" w:beforeAutospacing="1" w:after="100" w:afterAutospacing="1"/>
      <w:jc w:val="center"/>
    </w:pPr>
    <w:rPr>
      <w:kern w:val="0"/>
      <w:sz w:val="24"/>
      <w:szCs w:val="24"/>
    </w:rPr>
  </w:style>
  <w:style w:type="paragraph" w:customStyle="1" w:styleId="81">
    <w:name w:val="标题5"/>
    <w:basedOn w:val="1"/>
    <w:qFormat/>
    <w:uiPriority w:val="99"/>
    <w:rPr>
      <w:rFonts w:ascii="黑体" w:cs="黑体"/>
      <w:sz w:val="28"/>
      <w:szCs w:val="28"/>
    </w:rPr>
  </w:style>
  <w:style w:type="paragraph" w:customStyle="1" w:styleId="82">
    <w:name w:val="表格内文字"/>
    <w:basedOn w:val="2"/>
    <w:qFormat/>
    <w:uiPriority w:val="99"/>
    <w:pPr>
      <w:spacing w:line="320" w:lineRule="exact"/>
      <w:jc w:val="center"/>
    </w:pPr>
    <w:rPr>
      <w:rFonts w:eastAsia="宋体"/>
      <w:spacing w:val="10"/>
      <w:sz w:val="24"/>
      <w:szCs w:val="24"/>
    </w:rPr>
  </w:style>
  <w:style w:type="paragraph" w:customStyle="1" w:styleId="83">
    <w:name w:val="表格"/>
    <w:basedOn w:val="1"/>
    <w:qFormat/>
    <w:uiPriority w:val="99"/>
    <w:pPr>
      <w:snapToGrid w:val="0"/>
      <w:spacing w:line="340" w:lineRule="exact"/>
      <w:jc w:val="center"/>
    </w:pPr>
    <w:rPr>
      <w:rFonts w:ascii="Arial" w:hAnsi="Arial" w:cs="Arial"/>
      <w:kern w:val="0"/>
      <w:sz w:val="24"/>
      <w:szCs w:val="24"/>
    </w:rPr>
  </w:style>
  <w:style w:type="paragraph" w:customStyle="1" w:styleId="84">
    <w:name w:val="表格文字"/>
    <w:basedOn w:val="1"/>
    <w:link w:val="103"/>
    <w:qFormat/>
    <w:uiPriority w:val="99"/>
    <w:pPr>
      <w:adjustRightInd w:val="0"/>
      <w:snapToGrid w:val="0"/>
      <w:jc w:val="center"/>
      <w:textAlignment w:val="center"/>
    </w:pPr>
    <w:rPr>
      <w:kern w:val="0"/>
      <w:sz w:val="18"/>
      <w:szCs w:val="18"/>
    </w:rPr>
  </w:style>
  <w:style w:type="paragraph" w:customStyle="1" w:styleId="85">
    <w:name w:val="Char1 Char Char Char1"/>
    <w:basedOn w:val="1"/>
    <w:qFormat/>
    <w:uiPriority w:val="99"/>
    <w:pPr>
      <w:snapToGrid w:val="0"/>
      <w:spacing w:beforeLines="100" w:line="360" w:lineRule="auto"/>
      <w:ind w:firstLine="200" w:firstLineChars="200"/>
    </w:pPr>
    <w:rPr>
      <w:sz w:val="28"/>
      <w:szCs w:val="28"/>
    </w:rPr>
  </w:style>
  <w:style w:type="paragraph" w:customStyle="1" w:styleId="8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Char"/>
    <w:basedOn w:val="1"/>
    <w:qFormat/>
    <w:uiPriority w:val="99"/>
    <w:rPr>
      <w:sz w:val="21"/>
      <w:szCs w:val="21"/>
    </w:rPr>
  </w:style>
  <w:style w:type="paragraph" w:customStyle="1" w:styleId="88">
    <w:name w:val="p0"/>
    <w:basedOn w:val="1"/>
    <w:qFormat/>
    <w:uiPriority w:val="99"/>
    <w:pPr>
      <w:widowControl/>
    </w:pPr>
    <w:rPr>
      <w:kern w:val="0"/>
      <w:sz w:val="21"/>
      <w:szCs w:val="21"/>
    </w:rPr>
  </w:style>
  <w:style w:type="table" w:customStyle="1" w:styleId="89">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表文字 Char"/>
    <w:link w:val="91"/>
    <w:qFormat/>
    <w:locked/>
    <w:uiPriority w:val="99"/>
  </w:style>
  <w:style w:type="paragraph" w:customStyle="1" w:styleId="91">
    <w:name w:val="表文字"/>
    <w:basedOn w:val="1"/>
    <w:link w:val="90"/>
    <w:qFormat/>
    <w:uiPriority w:val="99"/>
    <w:pPr>
      <w:overflowPunct w:val="0"/>
      <w:autoSpaceDE w:val="0"/>
      <w:autoSpaceDN w:val="0"/>
      <w:adjustRightInd w:val="0"/>
      <w:spacing w:line="240" w:lineRule="atLeast"/>
      <w:jc w:val="center"/>
      <w:textAlignment w:val="baseline"/>
    </w:pPr>
    <w:rPr>
      <w:sz w:val="24"/>
      <w:szCs w:val="24"/>
    </w:rPr>
  </w:style>
  <w:style w:type="character" w:customStyle="1" w:styleId="92">
    <w:name w:val="报告书正文 Char"/>
    <w:link w:val="93"/>
    <w:qFormat/>
    <w:locked/>
    <w:uiPriority w:val="99"/>
    <w:rPr>
      <w:sz w:val="24"/>
      <w:szCs w:val="24"/>
    </w:rPr>
  </w:style>
  <w:style w:type="paragraph" w:customStyle="1" w:styleId="93">
    <w:name w:val="报告书正文"/>
    <w:basedOn w:val="27"/>
    <w:link w:val="92"/>
    <w:qFormat/>
    <w:uiPriority w:val="99"/>
    <w:pPr>
      <w:spacing w:after="0" w:line="360" w:lineRule="auto"/>
      <w:ind w:firstLine="200" w:firstLineChars="200"/>
    </w:pPr>
    <w:rPr>
      <w:kern w:val="0"/>
      <w:sz w:val="20"/>
      <w:szCs w:val="20"/>
    </w:rPr>
  </w:style>
  <w:style w:type="paragraph" w:customStyle="1" w:styleId="94">
    <w:name w:val="提头"/>
    <w:basedOn w:val="1"/>
    <w:next w:val="1"/>
    <w:link w:val="95"/>
    <w:qFormat/>
    <w:uiPriority w:val="99"/>
    <w:pPr>
      <w:tabs>
        <w:tab w:val="left" w:pos="227"/>
      </w:tabs>
      <w:spacing w:line="360" w:lineRule="auto"/>
      <w:jc w:val="center"/>
    </w:pPr>
    <w:rPr>
      <w:b/>
      <w:bCs/>
      <w:kern w:val="0"/>
      <w:sz w:val="20"/>
      <w:szCs w:val="20"/>
    </w:rPr>
  </w:style>
  <w:style w:type="character" w:customStyle="1" w:styleId="95">
    <w:name w:val="提头 Char"/>
    <w:link w:val="94"/>
    <w:qFormat/>
    <w:locked/>
    <w:uiPriority w:val="99"/>
    <w:rPr>
      <w:rFonts w:eastAsia="宋体"/>
      <w:b/>
      <w:bCs/>
      <w:sz w:val="24"/>
      <w:szCs w:val="24"/>
    </w:rPr>
  </w:style>
  <w:style w:type="paragraph" w:customStyle="1" w:styleId="96">
    <w:name w:val="样式 (符号) 宋体 小四 行距: 固定值 23 磅"/>
    <w:basedOn w:val="1"/>
    <w:link w:val="97"/>
    <w:qFormat/>
    <w:uiPriority w:val="99"/>
    <w:pPr>
      <w:spacing w:line="460" w:lineRule="exact"/>
      <w:ind w:firstLine="480" w:firstLineChars="200"/>
    </w:pPr>
    <w:rPr>
      <w:kern w:val="0"/>
      <w:sz w:val="20"/>
      <w:szCs w:val="20"/>
    </w:rPr>
  </w:style>
  <w:style w:type="character" w:customStyle="1" w:styleId="97">
    <w:name w:val="样式 (符号) 宋体 小四 行距: 固定值 23 磅 Char"/>
    <w:link w:val="96"/>
    <w:qFormat/>
    <w:locked/>
    <w:uiPriority w:val="99"/>
    <w:rPr>
      <w:rFonts w:eastAsia="宋体"/>
      <w:sz w:val="20"/>
      <w:szCs w:val="20"/>
    </w:rPr>
  </w:style>
  <w:style w:type="paragraph" w:customStyle="1" w:styleId="98">
    <w:name w:val="222表序号，无间隔"/>
    <w:basedOn w:val="8"/>
    <w:next w:val="1"/>
    <w:qFormat/>
    <w:uiPriority w:val="99"/>
    <w:pPr>
      <w:widowControl/>
      <w:spacing w:before="200" w:after="120" w:line="240" w:lineRule="auto"/>
      <w:jc w:val="left"/>
    </w:pPr>
    <w:rPr>
      <w:rFonts w:ascii="Cambria" w:hAnsi="Cambria" w:eastAsia="宋体" w:cs="Cambria"/>
      <w:kern w:val="0"/>
    </w:rPr>
  </w:style>
  <w:style w:type="paragraph" w:customStyle="1" w:styleId="99">
    <w:name w:val="样式 小四 行距: 固定值 23 磅"/>
    <w:basedOn w:val="1"/>
    <w:link w:val="100"/>
    <w:qFormat/>
    <w:uiPriority w:val="99"/>
    <w:pPr>
      <w:spacing w:line="460" w:lineRule="exact"/>
      <w:ind w:firstLine="480" w:firstLineChars="200"/>
    </w:pPr>
    <w:rPr>
      <w:kern w:val="0"/>
      <w:sz w:val="20"/>
      <w:szCs w:val="20"/>
    </w:rPr>
  </w:style>
  <w:style w:type="character" w:customStyle="1" w:styleId="100">
    <w:name w:val="样式 小四 行距: 固定值 23 磅 Char"/>
    <w:link w:val="99"/>
    <w:qFormat/>
    <w:locked/>
    <w:uiPriority w:val="99"/>
    <w:rPr>
      <w:rFonts w:eastAsia="宋体"/>
      <w:sz w:val="20"/>
      <w:szCs w:val="20"/>
    </w:rPr>
  </w:style>
  <w:style w:type="paragraph" w:customStyle="1" w:styleId="101">
    <w:name w:val="样式 标题 2 + 楷体_GB2312 小三"/>
    <w:basedOn w:val="5"/>
    <w:link w:val="102"/>
    <w:qFormat/>
    <w:uiPriority w:val="99"/>
    <w:pPr>
      <w:keepNext w:val="0"/>
      <w:spacing w:before="240" w:after="240" w:line="500" w:lineRule="exact"/>
    </w:pPr>
    <w:rPr>
      <w:rFonts w:ascii="Arial" w:hAnsi="Arial" w:cs="Arial"/>
      <w:b w:val="0"/>
      <w:bCs w:val="0"/>
      <w:kern w:val="0"/>
      <w:sz w:val="28"/>
      <w:szCs w:val="28"/>
    </w:rPr>
  </w:style>
  <w:style w:type="character" w:customStyle="1" w:styleId="102">
    <w:name w:val="样式 标题 2 + 楷体_GB2312 小三 Char"/>
    <w:link w:val="101"/>
    <w:qFormat/>
    <w:locked/>
    <w:uiPriority w:val="99"/>
    <w:rPr>
      <w:rFonts w:ascii="Arial" w:hAnsi="Arial" w:eastAsia="宋体" w:cs="Arial"/>
      <w:sz w:val="28"/>
      <w:szCs w:val="28"/>
    </w:rPr>
  </w:style>
  <w:style w:type="character" w:customStyle="1" w:styleId="103">
    <w:name w:val="表格文字 Char"/>
    <w:link w:val="84"/>
    <w:qFormat/>
    <w:locked/>
    <w:uiPriority w:val="99"/>
    <w:rPr>
      <w:rFonts w:eastAsia="宋体"/>
      <w:sz w:val="18"/>
      <w:szCs w:val="18"/>
    </w:rPr>
  </w:style>
  <w:style w:type="paragraph" w:customStyle="1" w:styleId="104">
    <w:name w:val="Char1 Char Char Char2"/>
    <w:basedOn w:val="1"/>
    <w:qFormat/>
    <w:uiPriority w:val="0"/>
    <w:rPr>
      <w:sz w:val="21"/>
      <w:szCs w:val="24"/>
    </w:rPr>
  </w:style>
  <w:style w:type="paragraph" w:customStyle="1" w:styleId="105">
    <w:name w:val="Char1 Char Char Char3"/>
    <w:basedOn w:val="1"/>
    <w:qFormat/>
    <w:uiPriority w:val="0"/>
    <w:rPr>
      <w:sz w:val="21"/>
      <w:szCs w:val="24"/>
    </w:rPr>
  </w:style>
  <w:style w:type="paragraph" w:customStyle="1" w:styleId="106">
    <w:name w:val="Char1 Char Char Char4"/>
    <w:basedOn w:val="1"/>
    <w:qFormat/>
    <w:uiPriority w:val="0"/>
    <w:rPr>
      <w:sz w:val="21"/>
      <w:szCs w:val="24"/>
    </w:rPr>
  </w:style>
  <w:style w:type="paragraph" w:customStyle="1" w:styleId="107">
    <w:name w:val="Table Paragraph"/>
    <w:basedOn w:val="1"/>
    <w:qFormat/>
    <w:uiPriority w:val="1"/>
    <w:rPr>
      <w:rFonts w:ascii="宋体" w:hAnsi="宋体" w:cs="宋体"/>
    </w:rPr>
  </w:style>
  <w:style w:type="character" w:customStyle="1" w:styleId="108">
    <w:name w:val="正文文本缩进 Char"/>
    <w:basedOn w:val="31"/>
    <w:link w:val="14"/>
    <w:qFormat/>
    <w:uiPriority w:val="0"/>
    <w:rPr>
      <w:rFonts w:hint="eastAsia" w:ascii="宋体" w:hAnsi="宋体" w:eastAsia="宋体" w:cs="宋体"/>
      <w:bCs/>
      <w:sz w:val="24"/>
      <w:szCs w:val="24"/>
    </w:rPr>
  </w:style>
  <w:style w:type="paragraph" w:customStyle="1" w:styleId="109">
    <w:name w:val="报告表正文"/>
    <w:basedOn w:val="1"/>
    <w:qFormat/>
    <w:uiPriority w:val="0"/>
    <w:pPr>
      <w:adjustRightInd w:val="0"/>
      <w:spacing w:line="312" w:lineRule="auto"/>
      <w:ind w:left="113" w:right="113" w:firstLine="482"/>
      <w:jc w:val="left"/>
    </w:pPr>
    <w:rPr>
      <w:kern w:val="0"/>
      <w:sz w:val="24"/>
      <w:szCs w:val="20"/>
    </w:rPr>
  </w:style>
  <w:style w:type="character" w:customStyle="1" w:styleId="110">
    <w:name w:val="fontstyle01"/>
    <w:basedOn w:val="31"/>
    <w:qFormat/>
    <w:uiPriority w:val="0"/>
    <w:rPr>
      <w:rFonts w:hint="eastAsia" w:ascii="宋体" w:hAnsi="宋体" w:eastAsia="宋体" w:cs="宋体"/>
      <w:color w:val="000000"/>
      <w:sz w:val="24"/>
      <w:szCs w:val="24"/>
    </w:rPr>
  </w:style>
  <w:style w:type="paragraph" w:customStyle="1" w:styleId="111">
    <w:name w:val="（正文）"/>
    <w:basedOn w:val="16"/>
    <w:qFormat/>
    <w:uiPriority w:val="0"/>
    <w:pPr>
      <w:ind w:firstLine="480" w:firstLineChars="200"/>
    </w:pPr>
    <w:rPr>
      <w:rFonts w:hint="eastAsia" w:cs="Times New Roman"/>
      <w:sz w:val="24"/>
    </w:rPr>
  </w:style>
  <w:style w:type="character" w:customStyle="1" w:styleId="112">
    <w:name w:val="纯文本 Char"/>
    <w:basedOn w:val="31"/>
    <w:link w:val="16"/>
    <w:qFormat/>
    <w:uiPriority w:val="0"/>
    <w:rPr>
      <w:rFonts w:hint="eastAsia" w:ascii="宋体" w:hAnsi="Courier New" w:eastAsia="宋体" w:cs="Courier New"/>
      <w:kern w:val="2"/>
      <w:sz w:val="21"/>
      <w:szCs w:val="21"/>
    </w:rPr>
  </w:style>
  <w:style w:type="character" w:customStyle="1" w:styleId="113">
    <w:name w:val="正文首行缩进 2 Char"/>
    <w:link w:val="28"/>
    <w:qFormat/>
    <w:uiPriority w:val="0"/>
    <w:rPr>
      <w:kern w:val="2"/>
      <w:sz w:val="21"/>
      <w:szCs w:val="24"/>
    </w:rPr>
  </w:style>
  <w:style w:type="paragraph" w:customStyle="1" w:styleId="114">
    <w:name w:val="样式 MM正文 + 首行缩进:  2 字符 行距: 固定值 26 磅"/>
    <w:basedOn w:val="115"/>
    <w:qFormat/>
    <w:uiPriority w:val="0"/>
    <w:pPr>
      <w:spacing w:line="520" w:lineRule="exact"/>
      <w:ind w:firstLine="480"/>
    </w:pPr>
    <w:rPr>
      <w:rFonts w:cs="宋体"/>
    </w:rPr>
  </w:style>
  <w:style w:type="paragraph" w:customStyle="1" w:styleId="115">
    <w:name w:val="MM正文"/>
    <w:basedOn w:val="1"/>
    <w:qFormat/>
    <w:uiPriority w:val="99"/>
    <w:pPr>
      <w:spacing w:line="480" w:lineRule="exact"/>
      <w:ind w:firstLine="200" w:firstLineChars="200"/>
    </w:pPr>
    <w:rPr>
      <w:rFonts w:cs="楷体"/>
      <w:sz w:val="24"/>
      <w:szCs w:val="20"/>
    </w:rPr>
  </w:style>
  <w:style w:type="paragraph" w:customStyle="1" w:styleId="116">
    <w:name w:val="正文文本-lxc"/>
    <w:basedOn w:val="1"/>
    <w:qFormat/>
    <w:uiPriority w:val="0"/>
    <w:pPr>
      <w:spacing w:line="360" w:lineRule="auto"/>
    </w:pPr>
  </w:style>
  <w:style w:type="paragraph" w:customStyle="1" w:styleId="117">
    <w:name w:val="无间隔1"/>
    <w:qFormat/>
    <w:uiPriority w:val="1"/>
    <w:pPr>
      <w:widowControl w:val="0"/>
      <w:ind w:firstLine="200" w:firstLineChars="200"/>
    </w:pPr>
    <w:rPr>
      <w:rFonts w:ascii="Calibri" w:hAnsi="Calibri" w:eastAsia="Calibri" w:cs="Times New Roman"/>
      <w:kern w:val="2"/>
      <w:sz w:val="24"/>
      <w:szCs w:val="24"/>
      <w:lang w:val="en-US" w:eastAsia="zh-CN" w:bidi="ar-SA"/>
    </w:rPr>
  </w:style>
  <w:style w:type="paragraph" w:customStyle="1" w:styleId="118">
    <w:name w:val="样式 小四 首行缩进:  0.85 厘米 行距: 1.5 倍行距"/>
    <w:basedOn w:val="1"/>
    <w:qFormat/>
    <w:uiPriority w:val="0"/>
    <w:pPr>
      <w:spacing w:line="360" w:lineRule="auto"/>
      <w:ind w:firstLine="482"/>
    </w:pPr>
    <w:rPr>
      <w:sz w:val="24"/>
    </w:rPr>
  </w:style>
  <w:style w:type="paragraph" w:customStyle="1" w:styleId="119">
    <w:name w:val="样式正文无级"/>
    <w:basedOn w:val="1"/>
    <w:qFormat/>
    <w:uiPriority w:val="0"/>
    <w:pPr>
      <w:spacing w:line="360" w:lineRule="auto"/>
      <w:ind w:firstLine="480" w:firstLineChars="200"/>
    </w:pPr>
    <w:rPr>
      <w:kern w:val="0"/>
      <w:sz w:val="24"/>
      <w:szCs w:val="24"/>
    </w:rPr>
  </w:style>
  <w:style w:type="paragraph" w:customStyle="1" w:styleId="120">
    <w:name w:val="样式10"/>
    <w:basedOn w:val="1"/>
    <w:qFormat/>
    <w:uiPriority w:val="0"/>
    <w:pPr>
      <w:spacing w:line="360" w:lineRule="auto"/>
      <w:ind w:firstLine="480" w:firstLineChars="200"/>
    </w:pPr>
    <w:rPr>
      <w:rFonts w:ascii="宋体"/>
      <w:kern w:val="0"/>
      <w:sz w:val="24"/>
      <w:szCs w:val="24"/>
    </w:rPr>
  </w:style>
  <w:style w:type="character" w:customStyle="1" w:styleId="121">
    <w:name w:val="fontstyle21"/>
    <w:basedOn w:val="31"/>
    <w:qFormat/>
    <w:uiPriority w:val="0"/>
    <w:rPr>
      <w:rFonts w:ascii="TimesNewRomanPSMT" w:hAnsi="TimesNewRomanPSMT" w:eastAsia="TimesNewRomanPSMT" w:cs="TimesNewRomanPSMT"/>
      <w:color w:val="000000"/>
      <w:sz w:val="24"/>
      <w:szCs w:val="24"/>
    </w:rPr>
  </w:style>
  <w:style w:type="paragraph" w:customStyle="1" w:styleId="122">
    <w:name w:val="文"/>
    <w:basedOn w:val="1"/>
    <w:qFormat/>
    <w:uiPriority w:val="0"/>
    <w:pPr>
      <w:ind w:firstLine="200"/>
      <w:jc w:val="left"/>
    </w:pPr>
    <w:rPr>
      <w:sz w:val="28"/>
    </w:rPr>
  </w:style>
  <w:style w:type="paragraph" w:customStyle="1" w:styleId="123">
    <w:name w:val="lxb5正文"/>
    <w:basedOn w:val="1"/>
    <w:qFormat/>
    <w:uiPriority w:val="0"/>
    <w:pPr>
      <w:spacing w:after="156" w:line="360" w:lineRule="auto"/>
      <w:ind w:firstLine="480"/>
      <w:jc w:val="left"/>
    </w:pPr>
    <w:rPr>
      <w:sz w:val="24"/>
    </w:rPr>
  </w:style>
  <w:style w:type="paragraph" w:customStyle="1" w:styleId="124">
    <w:name w:val="标准正文"/>
    <w:basedOn w:val="1"/>
    <w:qFormat/>
    <w:uiPriority w:val="0"/>
    <w:pPr>
      <w:spacing w:line="540" w:lineRule="exact"/>
      <w:ind w:firstLine="48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81FAA-612A-4C49-A949-F6C330E6BF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50181</Words>
  <Characters>57865</Characters>
  <Lines>391</Lines>
  <Paragraphs>110</Paragraphs>
  <TotalTime>0</TotalTime>
  <ScaleCrop>false</ScaleCrop>
  <LinksUpToDate>false</LinksUpToDate>
  <CharactersWithSpaces>59170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2017-05-08T03:05:00Z</dcterms:created>
  <dc:creator>H.Q</dc:creator>
  <cp:lastModifiedBy>cola</cp:lastModifiedBy>
  <cp:lastPrinted>2017-06-02T08:24:00Z</cp:lastPrinted>
  <dcterms:modified xsi:type="dcterms:W3CDTF">2020-12-21T07:05:12Z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