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tabs>
          <w:tab w:val="left" w:pos="6660"/>
        </w:tabs>
        <w:kinsoku/>
        <w:overflowPunct/>
        <w:topLinePunct w:val="0"/>
        <w:autoSpaceDE/>
        <w:autoSpaceDN/>
        <w:bidi w:val="0"/>
        <w:adjustRightInd/>
        <w:snapToGrid/>
        <w:spacing w:line="360" w:lineRule="auto"/>
        <w:ind w:firstLine="0" w:firstLineChars="0"/>
        <w:jc w:val="center"/>
        <w:textAlignment w:val="auto"/>
        <w:rPr>
          <w:b/>
          <w:bCs/>
          <w:color w:val="0000FF"/>
          <w:sz w:val="72"/>
          <w:szCs w:val="72"/>
          <w:u w:val="none"/>
        </w:rPr>
      </w:pPr>
    </w:p>
    <w:p>
      <w:pPr>
        <w:pageBreakBefore w:val="0"/>
        <w:widowControl w:val="0"/>
        <w:tabs>
          <w:tab w:val="left" w:pos="6660"/>
        </w:tabs>
        <w:kinsoku/>
        <w:overflowPunct/>
        <w:topLinePunct w:val="0"/>
        <w:autoSpaceDE/>
        <w:autoSpaceDN/>
        <w:bidi w:val="0"/>
        <w:adjustRightInd/>
        <w:snapToGrid/>
        <w:spacing w:line="360" w:lineRule="auto"/>
        <w:ind w:firstLine="0" w:firstLineChars="0"/>
        <w:jc w:val="center"/>
        <w:textAlignment w:val="auto"/>
        <w:rPr>
          <w:b/>
          <w:bCs/>
          <w:sz w:val="72"/>
          <w:szCs w:val="72"/>
          <w:u w:val="none"/>
        </w:rPr>
      </w:pPr>
    </w:p>
    <w:p>
      <w:pPr>
        <w:pStyle w:val="2"/>
        <w:rPr>
          <w:u w:val="none"/>
        </w:rPr>
      </w:pPr>
    </w:p>
    <w:p>
      <w:pPr>
        <w:pageBreakBefore w:val="0"/>
        <w:widowControl w:val="0"/>
        <w:tabs>
          <w:tab w:val="left" w:pos="6660"/>
        </w:tabs>
        <w:kinsoku/>
        <w:overflowPunct/>
        <w:topLinePunct w:val="0"/>
        <w:autoSpaceDE/>
        <w:autoSpaceDN/>
        <w:bidi w:val="0"/>
        <w:adjustRightInd/>
        <w:snapToGrid/>
        <w:spacing w:line="360" w:lineRule="auto"/>
        <w:ind w:firstLine="0" w:firstLineChars="0"/>
        <w:jc w:val="center"/>
        <w:textAlignment w:val="auto"/>
        <w:rPr>
          <w:rFonts w:hint="eastAsia" w:ascii="微软雅黑" w:hAnsi="微软雅黑" w:eastAsia="微软雅黑" w:cs="微软雅黑"/>
          <w:b/>
          <w:bCs/>
          <w:sz w:val="72"/>
          <w:szCs w:val="72"/>
          <w:u w:val="none"/>
        </w:rPr>
      </w:pPr>
      <w:r>
        <w:rPr>
          <w:rFonts w:hint="eastAsia" w:ascii="微软雅黑" w:hAnsi="微软雅黑" w:eastAsia="微软雅黑" w:cs="微软雅黑"/>
          <w:b/>
          <w:bCs/>
          <w:sz w:val="72"/>
          <w:szCs w:val="72"/>
          <w:u w:val="none"/>
        </w:rPr>
        <w:t>环</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境</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影</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响</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报</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告</w:t>
      </w:r>
      <w:r>
        <w:rPr>
          <w:rFonts w:hint="eastAsia" w:ascii="微软雅黑" w:hAnsi="微软雅黑" w:eastAsia="微软雅黑" w:cs="微软雅黑"/>
          <w:b/>
          <w:bCs/>
          <w:sz w:val="32"/>
          <w:szCs w:val="32"/>
          <w:u w:val="none"/>
          <w:lang w:val="en-US" w:eastAsia="zh-CN"/>
        </w:rPr>
        <w:t xml:space="preserve"> </w:t>
      </w:r>
      <w:r>
        <w:rPr>
          <w:rFonts w:hint="eastAsia" w:ascii="微软雅黑" w:hAnsi="微软雅黑" w:eastAsia="微软雅黑" w:cs="微软雅黑"/>
          <w:b/>
          <w:bCs/>
          <w:sz w:val="72"/>
          <w:szCs w:val="72"/>
          <w:u w:val="none"/>
        </w:rPr>
        <w:t>表</w:t>
      </w:r>
    </w:p>
    <w:p>
      <w:pPr>
        <w:pStyle w:val="2"/>
        <w:pageBreakBefore w:val="0"/>
        <w:widowControl w:val="0"/>
        <w:kinsoku/>
        <w:overflowPunct/>
        <w:topLinePunct w:val="0"/>
        <w:autoSpaceDE/>
        <w:autoSpaceDN/>
        <w:bidi w:val="0"/>
        <w:adjustRightInd/>
        <w:snapToGrid/>
        <w:spacing w:after="0" w:line="360" w:lineRule="auto"/>
        <w:ind w:firstLine="0" w:firstLineChars="0"/>
        <w:jc w:val="center"/>
        <w:textAlignment w:val="auto"/>
        <w:rPr>
          <w:rFonts w:hint="eastAsia" w:eastAsia="宋体"/>
          <w:sz w:val="32"/>
          <w:szCs w:val="32"/>
          <w:u w:val="none"/>
          <w:lang w:val="en-US" w:eastAsia="zh-CN"/>
        </w:rPr>
      </w:pPr>
      <w:r>
        <w:rPr>
          <w:rFonts w:hint="eastAsia"/>
          <w:sz w:val="32"/>
          <w:szCs w:val="32"/>
          <w:u w:val="none"/>
          <w:lang w:val="en-US" w:eastAsia="zh-CN"/>
        </w:rPr>
        <w:t>（报批搞）</w:t>
      </w:r>
    </w:p>
    <w:p>
      <w:pPr>
        <w:pageBreakBefore w:val="0"/>
        <w:widowControl w:val="0"/>
        <w:kinsoku/>
        <w:overflowPunct/>
        <w:topLinePunct w:val="0"/>
        <w:autoSpaceDE/>
        <w:autoSpaceDN/>
        <w:bidi w:val="0"/>
        <w:adjustRightInd/>
        <w:snapToGrid/>
        <w:spacing w:line="360" w:lineRule="auto"/>
        <w:ind w:firstLine="0" w:firstLineChars="0"/>
        <w:jc w:val="center"/>
        <w:textAlignment w:val="auto"/>
        <w:rPr>
          <w:b/>
          <w:bCs/>
          <w:sz w:val="36"/>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u w:val="none"/>
        </w:rPr>
      </w:pPr>
    </w:p>
    <w:p>
      <w:pPr>
        <w:pStyle w:val="6"/>
        <w:rPr>
          <w:u w:val="none"/>
        </w:rPr>
      </w:pPr>
    </w:p>
    <w:p>
      <w:pPr>
        <w:rPr>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u w:val="none"/>
        </w:rPr>
      </w:pPr>
    </w:p>
    <w:p>
      <w:pPr>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bCs/>
          <w:sz w:val="28"/>
          <w:szCs w:val="36"/>
          <w:u w:val="none"/>
          <w:lang w:eastAsia="zh-CN"/>
        </w:rPr>
      </w:pPr>
      <w:r>
        <w:rPr>
          <w:rFonts w:hint="eastAsia" w:ascii="黑体" w:hAnsi="黑体" w:eastAsia="黑体" w:cs="黑体"/>
          <w:b/>
          <w:bCs/>
          <w:sz w:val="28"/>
          <w:szCs w:val="36"/>
          <w:u w:val="none"/>
        </w:rPr>
        <w:t>项目名称：</w:t>
      </w:r>
      <w:r>
        <w:rPr>
          <w:rFonts w:hint="eastAsia" w:ascii="黑体" w:hAnsi="黑体" w:eastAsia="黑体" w:cs="黑体"/>
          <w:b/>
          <w:bCs/>
          <w:sz w:val="28"/>
          <w:szCs w:val="36"/>
          <w:u w:val="none"/>
          <w:lang w:eastAsia="zh-CN"/>
        </w:rPr>
        <w:t>年拆解回收利用10000辆废旧机动车项目</w:t>
      </w:r>
    </w:p>
    <w:p>
      <w:pPr>
        <w:pageBreakBefore w:val="0"/>
        <w:widowControl w:val="0"/>
        <w:kinsoku/>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bCs/>
          <w:sz w:val="28"/>
          <w:szCs w:val="36"/>
          <w:u w:val="none"/>
          <w:lang w:eastAsia="zh-CN"/>
        </w:rPr>
      </w:pPr>
      <w:r>
        <w:rPr>
          <w:rFonts w:hint="eastAsia" w:ascii="黑体" w:hAnsi="黑体" w:eastAsia="黑体" w:cs="黑体"/>
          <w:b/>
          <w:bCs/>
          <w:sz w:val="28"/>
          <w:szCs w:val="36"/>
          <w:u w:val="none"/>
        </w:rPr>
        <w:t>建设单位：</w:t>
      </w:r>
      <w:r>
        <w:rPr>
          <w:rFonts w:hint="eastAsia" w:ascii="黑体" w:hAnsi="黑体" w:eastAsia="黑体" w:cs="黑体"/>
          <w:b/>
          <w:bCs/>
          <w:sz w:val="28"/>
          <w:szCs w:val="36"/>
          <w:u w:val="none"/>
          <w:lang w:eastAsia="zh-CN"/>
        </w:rPr>
        <w:t>湖南博西雅再生资源有限公司</w:t>
      </w:r>
    </w:p>
    <w:p>
      <w:pPr>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b/>
          <w:bCs/>
          <w:sz w:val="30"/>
          <w:szCs w:val="30"/>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b/>
          <w:bCs/>
          <w:color w:val="0000FF"/>
          <w:sz w:val="30"/>
          <w:szCs w:val="30"/>
          <w:u w:val="none"/>
        </w:rPr>
      </w:pPr>
    </w:p>
    <w:p>
      <w:pPr>
        <w:pageBreakBefore w:val="0"/>
        <w:widowControl w:val="0"/>
        <w:kinsoku/>
        <w:overflowPunct/>
        <w:topLinePunct w:val="0"/>
        <w:autoSpaceDE/>
        <w:autoSpaceDN/>
        <w:bidi w:val="0"/>
        <w:adjustRightInd/>
        <w:snapToGrid/>
        <w:spacing w:line="360" w:lineRule="auto"/>
        <w:ind w:firstLine="0" w:firstLineChars="0"/>
        <w:jc w:val="center"/>
        <w:textAlignment w:val="auto"/>
        <w:rPr>
          <w:b/>
          <w:bCs/>
          <w:color w:val="0000FF"/>
          <w:sz w:val="30"/>
          <w:szCs w:val="30"/>
          <w:u w:val="none"/>
        </w:rPr>
      </w:pPr>
    </w:p>
    <w:p>
      <w:pPr>
        <w:pStyle w:val="4"/>
        <w:pageBreakBefore w:val="0"/>
        <w:widowControl w:val="0"/>
        <w:kinsoku/>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
          <w:bCs w:val="0"/>
          <w:sz w:val="24"/>
          <w:szCs w:val="22"/>
          <w:u w:val="none"/>
        </w:rPr>
      </w:pPr>
      <w:bookmarkStart w:id="0" w:name="_Toc10076"/>
      <w:r>
        <w:rPr>
          <w:rFonts w:hint="eastAsia" w:asciiTheme="minorEastAsia" w:hAnsiTheme="minorEastAsia" w:eastAsiaTheme="minorEastAsia" w:cstheme="minorEastAsia"/>
          <w:b/>
          <w:bCs w:val="0"/>
          <w:sz w:val="24"/>
          <w:szCs w:val="22"/>
          <w:u w:val="none"/>
        </w:rPr>
        <w:t>湖南志远环境咨询服务有限公司</w:t>
      </w:r>
      <w:bookmarkEnd w:id="0"/>
    </w:p>
    <w:p>
      <w:pPr>
        <w:pStyle w:val="4"/>
        <w:pageBreakBefore w:val="0"/>
        <w:widowControl w:val="0"/>
        <w:kinsoku/>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
          <w:bCs w:val="0"/>
          <w:sz w:val="24"/>
          <w:szCs w:val="22"/>
          <w:u w:val="none"/>
        </w:rPr>
      </w:pPr>
      <w:bookmarkStart w:id="1" w:name="_Toc3300"/>
      <w:r>
        <w:rPr>
          <w:rFonts w:hint="default" w:ascii="Times New Roman" w:hAnsi="Times New Roman" w:cs="Times New Roman" w:eastAsiaTheme="minorEastAsia"/>
          <w:b/>
          <w:bCs w:val="0"/>
          <w:sz w:val="24"/>
          <w:szCs w:val="22"/>
          <w:u w:val="none"/>
        </w:rPr>
        <w:t>202</w:t>
      </w:r>
      <w:r>
        <w:rPr>
          <w:rFonts w:hint="default" w:ascii="Times New Roman" w:hAnsi="Times New Roman" w:cs="Times New Roman" w:eastAsiaTheme="minorEastAsia"/>
          <w:b/>
          <w:bCs w:val="0"/>
          <w:sz w:val="24"/>
          <w:szCs w:val="22"/>
          <w:u w:val="none"/>
          <w:lang w:val="en-US" w:eastAsia="zh-CN"/>
        </w:rPr>
        <w:t>1</w:t>
      </w:r>
      <w:r>
        <w:rPr>
          <w:rFonts w:hint="default" w:ascii="Times New Roman" w:hAnsi="Times New Roman" w:cs="Times New Roman" w:eastAsiaTheme="minorEastAsia"/>
          <w:b/>
          <w:bCs w:val="0"/>
          <w:sz w:val="24"/>
          <w:szCs w:val="22"/>
          <w:u w:val="none"/>
        </w:rPr>
        <w:t>年</w:t>
      </w:r>
      <w:r>
        <w:rPr>
          <w:rFonts w:hint="eastAsia" w:ascii="Times New Roman" w:hAnsi="Times New Roman" w:cs="Times New Roman" w:eastAsiaTheme="minorEastAsia"/>
          <w:b/>
          <w:bCs w:val="0"/>
          <w:sz w:val="24"/>
          <w:szCs w:val="22"/>
          <w:u w:val="none"/>
          <w:lang w:val="en-US" w:eastAsia="zh-CN"/>
        </w:rPr>
        <w:t>3</w:t>
      </w:r>
      <w:r>
        <w:rPr>
          <w:rFonts w:hint="default" w:ascii="Times New Roman" w:hAnsi="Times New Roman" w:cs="Times New Roman" w:eastAsiaTheme="minorEastAsia"/>
          <w:b/>
          <w:bCs w:val="0"/>
          <w:sz w:val="24"/>
          <w:szCs w:val="22"/>
          <w:u w:val="none"/>
        </w:rPr>
        <w:t>月</w:t>
      </w:r>
      <w:bookmarkEnd w:id="1"/>
    </w:p>
    <w:p>
      <w:pPr>
        <w:pageBreakBefore w:val="0"/>
        <w:widowControl w:val="0"/>
        <w:kinsoku/>
        <w:overflowPunct/>
        <w:topLinePunct w:val="0"/>
        <w:autoSpaceDE/>
        <w:autoSpaceDN/>
        <w:bidi w:val="0"/>
        <w:adjustRightInd/>
        <w:snapToGrid/>
        <w:spacing w:line="360" w:lineRule="auto"/>
        <w:ind w:firstLine="0" w:firstLineChars="0"/>
        <w:jc w:val="center"/>
        <w:textAlignment w:val="auto"/>
        <w:rPr>
          <w:rFonts w:hAnsi="Times New Roman" w:eastAsia="宋体"/>
          <w:color w:val="0000FF"/>
          <w:sz w:val="28"/>
          <w:szCs w:val="28"/>
          <w:u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1418" w:footer="964" w:gutter="0"/>
          <w:cols w:space="720" w:num="1"/>
          <w:docGrid w:type="lines" w:linePitch="435" w:charSpace="0"/>
        </w:sectPr>
      </w:pPr>
    </w:p>
    <w:p>
      <w:pPr>
        <w:jc w:val="center"/>
        <w:rPr>
          <w:rFonts w:hAnsi="Times New Roman" w:eastAsia="宋体"/>
          <w:sz w:val="28"/>
          <w:szCs w:val="28"/>
          <w:u w:val="none"/>
        </w:rPr>
      </w:pPr>
      <w:r>
        <w:rPr>
          <w:rFonts w:hAnsi="Times New Roman" w:eastAsia="宋体"/>
          <w:sz w:val="28"/>
          <w:szCs w:val="28"/>
          <w:u w:val="none"/>
        </w:rPr>
        <w:t>《建设项目环境影响报告表》编制说明</w:t>
      </w:r>
    </w:p>
    <w:p>
      <w:pPr>
        <w:pStyle w:val="35"/>
        <w:ind w:firstLine="560"/>
        <w:rPr>
          <w:rFonts w:eastAsia="宋体"/>
          <w:szCs w:val="28"/>
          <w:u w:val="none"/>
        </w:rPr>
      </w:pPr>
      <w:r>
        <w:rPr>
          <w:rFonts w:eastAsia="宋体"/>
          <w:szCs w:val="28"/>
          <w:u w:val="none"/>
        </w:rPr>
        <w:t>《建设项目环境影响报告表》由具有从事环境影响评价工作资质的单位编制。</w:t>
      </w:r>
    </w:p>
    <w:p>
      <w:pPr>
        <w:pStyle w:val="35"/>
        <w:ind w:firstLine="560"/>
        <w:rPr>
          <w:rFonts w:eastAsia="宋体"/>
          <w:szCs w:val="28"/>
          <w:u w:val="none"/>
        </w:rPr>
      </w:pPr>
      <w:r>
        <w:rPr>
          <w:rFonts w:eastAsia="宋体"/>
          <w:szCs w:val="28"/>
          <w:u w:val="none"/>
        </w:rPr>
        <w:t>1、项目名称——指项目立项批复时的名称，应不超过30个字（两个英文字段作一个汉字）。</w:t>
      </w:r>
    </w:p>
    <w:p>
      <w:pPr>
        <w:pStyle w:val="35"/>
        <w:ind w:firstLine="560"/>
        <w:rPr>
          <w:rFonts w:eastAsia="宋体"/>
          <w:szCs w:val="28"/>
          <w:u w:val="none"/>
        </w:rPr>
      </w:pPr>
      <w:r>
        <w:rPr>
          <w:rFonts w:eastAsia="宋体"/>
          <w:szCs w:val="28"/>
          <w:u w:val="none"/>
        </w:rPr>
        <w:t>2、建设地点——指项目所在地详细地址，公路、铁路应填写起止地点。</w:t>
      </w:r>
    </w:p>
    <w:p>
      <w:pPr>
        <w:pStyle w:val="35"/>
        <w:ind w:firstLine="560"/>
        <w:rPr>
          <w:rFonts w:eastAsia="宋体"/>
          <w:szCs w:val="28"/>
          <w:u w:val="none"/>
        </w:rPr>
      </w:pPr>
      <w:r>
        <w:rPr>
          <w:rFonts w:eastAsia="宋体"/>
          <w:szCs w:val="28"/>
          <w:u w:val="none"/>
        </w:rPr>
        <w:t>3、行业类别——按国标填写。</w:t>
      </w:r>
    </w:p>
    <w:p>
      <w:pPr>
        <w:pStyle w:val="35"/>
        <w:ind w:firstLine="560"/>
        <w:rPr>
          <w:rFonts w:eastAsia="宋体"/>
          <w:szCs w:val="28"/>
          <w:u w:val="none"/>
        </w:rPr>
      </w:pPr>
      <w:r>
        <w:rPr>
          <w:rFonts w:eastAsia="宋体"/>
          <w:szCs w:val="28"/>
          <w:u w:val="none"/>
        </w:rPr>
        <w:t>4、总投资——指项目投资总额。</w:t>
      </w:r>
    </w:p>
    <w:p>
      <w:pPr>
        <w:pStyle w:val="35"/>
        <w:ind w:firstLine="560"/>
        <w:rPr>
          <w:rFonts w:eastAsia="宋体"/>
          <w:szCs w:val="28"/>
          <w:u w:val="none"/>
        </w:rPr>
      </w:pPr>
      <w:r>
        <w:rPr>
          <w:rFonts w:eastAsia="宋体"/>
          <w:szCs w:val="28"/>
          <w:u w:val="none"/>
        </w:rPr>
        <w:t>5、主要环境保护目标——指项目区周围一定范围内集中居民住宅区、学校、医院、保护文物、风景名胜区、水源地和生态敏感点等，应尽可能给出保护目标、性质、规模和距厂界距离等。</w:t>
      </w:r>
    </w:p>
    <w:p>
      <w:pPr>
        <w:pStyle w:val="35"/>
        <w:ind w:firstLine="560"/>
        <w:rPr>
          <w:rFonts w:eastAsia="宋体"/>
          <w:szCs w:val="28"/>
          <w:u w:val="none"/>
        </w:rPr>
      </w:pPr>
      <w:r>
        <w:rPr>
          <w:rFonts w:eastAsia="宋体"/>
          <w:szCs w:val="28"/>
          <w:u w:val="none"/>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35"/>
        <w:ind w:firstLine="560"/>
        <w:rPr>
          <w:rFonts w:eastAsia="宋体"/>
          <w:szCs w:val="28"/>
          <w:u w:val="none"/>
        </w:rPr>
      </w:pPr>
      <w:r>
        <w:rPr>
          <w:rFonts w:eastAsia="宋体"/>
          <w:szCs w:val="28"/>
          <w:u w:val="none"/>
        </w:rPr>
        <w:t>7、预审意见——由行业主管部门填写答复意见，无主管部门项目，可不填。</w:t>
      </w:r>
    </w:p>
    <w:p>
      <w:pPr>
        <w:spacing w:line="600" w:lineRule="exact"/>
        <w:ind w:firstLine="560"/>
        <w:rPr>
          <w:kern w:val="0"/>
          <w:sz w:val="28"/>
          <w:szCs w:val="28"/>
          <w:u w:val="none"/>
        </w:rPr>
      </w:pPr>
      <w:r>
        <w:rPr>
          <w:kern w:val="0"/>
          <w:sz w:val="28"/>
          <w:szCs w:val="28"/>
          <w:u w:val="none"/>
        </w:rPr>
        <w:t>8、审批意见——由负责审批该项目的环境保护行政主管部门批复。</w:t>
      </w:r>
    </w:p>
    <w:p>
      <w:pPr>
        <w:spacing w:line="600" w:lineRule="exact"/>
        <w:ind w:firstLine="964"/>
        <w:rPr>
          <w:b/>
          <w:sz w:val="48"/>
          <w:szCs w:val="48"/>
          <w:u w:val="none"/>
        </w:rPr>
      </w:pPr>
    </w:p>
    <w:p>
      <w:pPr>
        <w:ind w:firstLine="480"/>
        <w:rPr>
          <w:u w:val="none"/>
        </w:rPr>
        <w:sectPr>
          <w:pgSz w:w="11906" w:h="16838"/>
          <w:pgMar w:top="1440" w:right="1800" w:bottom="1440" w:left="1800" w:header="851" w:footer="992" w:gutter="0"/>
          <w:cols w:space="425" w:num="1"/>
          <w:docGrid w:type="lines" w:linePitch="312" w:charSpace="0"/>
        </w:sectPr>
      </w:pPr>
    </w:p>
    <w:sdt>
      <w:sdtPr>
        <w:rPr>
          <w:rFonts w:ascii="Times New Roman" w:hAnsi="Times New Roman" w:eastAsia="宋体" w:cs="Times New Roman"/>
          <w:b w:val="0"/>
          <w:bCs w:val="0"/>
          <w:color w:val="auto"/>
          <w:kern w:val="2"/>
          <w:sz w:val="32"/>
          <w:szCs w:val="24"/>
          <w:u w:val="none"/>
          <w:lang w:val="zh-CN"/>
        </w:rPr>
        <w:id w:val="-275407246"/>
        <w:docPartObj>
          <w:docPartGallery w:val="Table of Contents"/>
          <w:docPartUnique/>
        </w:docPartObj>
      </w:sdtPr>
      <w:sdtEndPr>
        <w:rPr>
          <w:rFonts w:ascii="Times New Roman" w:hAnsi="Times New Roman" w:eastAsia="宋体" w:cs="Times New Roman"/>
          <w:b w:val="0"/>
          <w:bCs w:val="0"/>
          <w:color w:val="auto"/>
          <w:kern w:val="2"/>
          <w:sz w:val="32"/>
          <w:szCs w:val="24"/>
          <w:u w:val="none"/>
          <w:lang w:val="zh-CN"/>
        </w:rPr>
      </w:sdtEndPr>
      <w:sdtContent>
        <w:p>
          <w:pPr>
            <w:ind w:firstLine="640"/>
            <w:jc w:val="center"/>
            <w:rPr>
              <w:color w:val="000000" w:themeColor="text1"/>
              <w:sz w:val="32"/>
              <w:u w:val="none"/>
              <w14:textFill>
                <w14:solidFill>
                  <w14:schemeClr w14:val="tx1"/>
                </w14:solidFill>
              </w14:textFill>
            </w:rPr>
          </w:pPr>
          <w:r>
            <w:rPr>
              <w:color w:val="000000" w:themeColor="text1"/>
              <w:sz w:val="32"/>
              <w:u w:val="none"/>
              <w:lang w:val="zh-CN"/>
              <w14:textFill>
                <w14:solidFill>
                  <w14:schemeClr w14:val="tx1"/>
                </w14:solidFill>
              </w14:textFill>
            </w:rPr>
            <w:t>目</w:t>
          </w:r>
          <w:r>
            <w:rPr>
              <w:rFonts w:hint="eastAsia"/>
              <w:color w:val="000000" w:themeColor="text1"/>
              <w:sz w:val="32"/>
              <w:u w:val="none"/>
              <w:lang w:val="zh-CN"/>
              <w14:textFill>
                <w14:solidFill>
                  <w14:schemeClr w14:val="tx1"/>
                </w14:solidFill>
              </w14:textFill>
            </w:rPr>
            <w:t xml:space="preserve">  </w:t>
          </w:r>
          <w:r>
            <w:rPr>
              <w:color w:val="000000" w:themeColor="text1"/>
              <w:sz w:val="32"/>
              <w:u w:val="none"/>
              <w:lang w:val="zh-CN"/>
              <w14:textFill>
                <w14:solidFill>
                  <w14:schemeClr w14:val="tx1"/>
                </w14:solidFill>
              </w14:textFill>
            </w:rPr>
            <w:t>录</w:t>
          </w:r>
        </w:p>
        <w:p>
          <w:pPr>
            <w:pStyle w:val="18"/>
            <w:tabs>
              <w:tab w:val="right" w:leader="dot" w:pos="8306"/>
            </w:tabs>
            <w:rPr>
              <w:u w:val="none"/>
            </w:rPr>
          </w:pPr>
          <w:r>
            <w:rPr>
              <w:u w:val="none"/>
            </w:rPr>
            <w:fldChar w:fldCharType="begin"/>
          </w:r>
          <w:r>
            <w:rPr>
              <w:u w:val="none"/>
            </w:rPr>
            <w:instrText xml:space="preserve"> TOC \o "1-3" \h \z \u </w:instrText>
          </w:r>
          <w:r>
            <w:rPr>
              <w:u w:val="none"/>
            </w:rPr>
            <w:fldChar w:fldCharType="separate"/>
          </w:r>
        </w:p>
        <w:p>
          <w:pPr>
            <w:pStyle w:val="18"/>
            <w:tabs>
              <w:tab w:val="right" w:leader="dot" w:pos="8306"/>
            </w:tabs>
            <w:rPr>
              <w:u w:val="none"/>
            </w:rPr>
          </w:pPr>
          <w:r>
            <w:rPr>
              <w:bCs/>
              <w:u w:val="none"/>
              <w:lang w:val="zh-CN"/>
            </w:rPr>
            <w:fldChar w:fldCharType="begin"/>
          </w:r>
          <w:r>
            <w:rPr>
              <w:bCs/>
              <w:u w:val="none"/>
              <w:lang w:val="zh-CN"/>
            </w:rPr>
            <w:instrText xml:space="preserve"> HYPERLINK \l _Toc4592 </w:instrText>
          </w:r>
          <w:r>
            <w:rPr>
              <w:bCs/>
              <w:u w:val="none"/>
              <w:lang w:val="zh-CN"/>
            </w:rPr>
            <w:fldChar w:fldCharType="separate"/>
          </w:r>
          <w:r>
            <w:rPr>
              <w:rFonts w:hint="eastAsia"/>
              <w:u w:val="none"/>
            </w:rPr>
            <w:t>一、建设项目基本情况</w:t>
          </w:r>
          <w:r>
            <w:rPr>
              <w:u w:val="none"/>
            </w:rPr>
            <w:tab/>
          </w:r>
          <w:r>
            <w:rPr>
              <w:u w:val="none"/>
            </w:rPr>
            <w:fldChar w:fldCharType="begin"/>
          </w:r>
          <w:r>
            <w:rPr>
              <w:u w:val="none"/>
            </w:rPr>
            <w:instrText xml:space="preserve"> PAGEREF _Toc4592 </w:instrText>
          </w:r>
          <w:r>
            <w:rPr>
              <w:u w:val="none"/>
            </w:rPr>
            <w:fldChar w:fldCharType="separate"/>
          </w:r>
          <w:r>
            <w:rPr>
              <w:u w:val="none"/>
            </w:rPr>
            <w:t>1</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_Toc17508 </w:instrText>
          </w:r>
          <w:r>
            <w:rPr>
              <w:bCs/>
              <w:u w:val="none"/>
              <w:lang w:val="zh-CN"/>
            </w:rPr>
            <w:fldChar w:fldCharType="separate"/>
          </w:r>
          <w:r>
            <w:rPr>
              <w:rFonts w:hint="eastAsia"/>
              <w:szCs w:val="22"/>
              <w:u w:val="none"/>
            </w:rPr>
            <w:t>二、建设项目所在自然环境概况</w:t>
          </w:r>
          <w:r>
            <w:rPr>
              <w:u w:val="none"/>
            </w:rPr>
            <w:tab/>
          </w:r>
          <w:r>
            <w:rPr>
              <w:u w:val="none"/>
            </w:rPr>
            <w:fldChar w:fldCharType="begin"/>
          </w:r>
          <w:r>
            <w:rPr>
              <w:u w:val="none"/>
            </w:rPr>
            <w:instrText xml:space="preserve"> PAGEREF _Toc17508 </w:instrText>
          </w:r>
          <w:r>
            <w:rPr>
              <w:u w:val="none"/>
            </w:rPr>
            <w:fldChar w:fldCharType="separate"/>
          </w:r>
          <w:r>
            <w:rPr>
              <w:u w:val="none"/>
            </w:rPr>
            <w:t>8</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_Toc19542 </w:instrText>
          </w:r>
          <w:r>
            <w:rPr>
              <w:bCs/>
              <w:u w:val="none"/>
              <w:lang w:val="zh-CN"/>
            </w:rPr>
            <w:fldChar w:fldCharType="separate"/>
          </w:r>
          <w:r>
            <w:rPr>
              <w:rFonts w:hint="eastAsia"/>
              <w:szCs w:val="32"/>
              <w:u w:val="none"/>
            </w:rPr>
            <w:t>三、环境质量状况</w:t>
          </w:r>
          <w:r>
            <w:rPr>
              <w:u w:val="none"/>
            </w:rPr>
            <w:tab/>
          </w:r>
          <w:r>
            <w:rPr>
              <w:u w:val="none"/>
            </w:rPr>
            <w:fldChar w:fldCharType="begin"/>
          </w:r>
          <w:r>
            <w:rPr>
              <w:u w:val="none"/>
            </w:rPr>
            <w:instrText xml:space="preserve"> PAGEREF _Toc19542 </w:instrText>
          </w:r>
          <w:r>
            <w:rPr>
              <w:u w:val="none"/>
            </w:rPr>
            <w:fldChar w:fldCharType="separate"/>
          </w:r>
          <w:r>
            <w:rPr>
              <w:u w:val="none"/>
            </w:rPr>
            <w:t>13</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_Toc23674 </w:instrText>
          </w:r>
          <w:r>
            <w:rPr>
              <w:bCs/>
              <w:u w:val="none"/>
              <w:lang w:val="zh-CN"/>
            </w:rPr>
            <w:fldChar w:fldCharType="separate"/>
          </w:r>
          <w:r>
            <w:rPr>
              <w:rFonts w:hint="eastAsia"/>
              <w:u w:val="none"/>
            </w:rPr>
            <w:t>四、评价适用标准</w:t>
          </w:r>
          <w:r>
            <w:rPr>
              <w:u w:val="none"/>
            </w:rPr>
            <w:tab/>
          </w:r>
          <w:r>
            <w:rPr>
              <w:u w:val="none"/>
            </w:rPr>
            <w:fldChar w:fldCharType="begin"/>
          </w:r>
          <w:r>
            <w:rPr>
              <w:u w:val="none"/>
            </w:rPr>
            <w:instrText xml:space="preserve"> PAGEREF _Toc23674 </w:instrText>
          </w:r>
          <w:r>
            <w:rPr>
              <w:u w:val="none"/>
            </w:rPr>
            <w:fldChar w:fldCharType="separate"/>
          </w:r>
          <w:r>
            <w:rPr>
              <w:u w:val="none"/>
            </w:rPr>
            <w:t>23</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_Toc12981 </w:instrText>
          </w:r>
          <w:r>
            <w:rPr>
              <w:bCs/>
              <w:u w:val="none"/>
              <w:lang w:val="zh-CN"/>
            </w:rPr>
            <w:fldChar w:fldCharType="separate"/>
          </w:r>
          <w:r>
            <w:rPr>
              <w:rFonts w:hint="eastAsia"/>
              <w:szCs w:val="32"/>
              <w:u w:val="none"/>
            </w:rPr>
            <w:t>五、建设项目工程分析</w:t>
          </w:r>
          <w:r>
            <w:rPr>
              <w:u w:val="none"/>
            </w:rPr>
            <w:tab/>
          </w:r>
          <w:r>
            <w:rPr>
              <w:u w:val="none"/>
            </w:rPr>
            <w:fldChar w:fldCharType="begin"/>
          </w:r>
          <w:r>
            <w:rPr>
              <w:u w:val="none"/>
            </w:rPr>
            <w:instrText xml:space="preserve"> PAGEREF _Toc12981 </w:instrText>
          </w:r>
          <w:r>
            <w:rPr>
              <w:u w:val="none"/>
            </w:rPr>
            <w:fldChar w:fldCharType="separate"/>
          </w:r>
          <w:r>
            <w:rPr>
              <w:u w:val="none"/>
            </w:rPr>
            <w:t>28</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_Toc1226 </w:instrText>
          </w:r>
          <w:r>
            <w:rPr>
              <w:bCs/>
              <w:u w:val="none"/>
              <w:lang w:val="zh-CN"/>
            </w:rPr>
            <w:fldChar w:fldCharType="separate"/>
          </w:r>
          <w:r>
            <w:rPr>
              <w:rFonts w:hint="eastAsia"/>
              <w:szCs w:val="32"/>
              <w:u w:val="none"/>
            </w:rPr>
            <w:t>六、项目主要污染物及预计排放情况</w:t>
          </w:r>
          <w:r>
            <w:rPr>
              <w:u w:val="none"/>
            </w:rPr>
            <w:tab/>
          </w:r>
          <w:r>
            <w:rPr>
              <w:u w:val="none"/>
            </w:rPr>
            <w:fldChar w:fldCharType="begin"/>
          </w:r>
          <w:r>
            <w:rPr>
              <w:u w:val="none"/>
            </w:rPr>
            <w:instrText xml:space="preserve"> PAGEREF _Toc1226 </w:instrText>
          </w:r>
          <w:r>
            <w:rPr>
              <w:u w:val="none"/>
            </w:rPr>
            <w:fldChar w:fldCharType="separate"/>
          </w:r>
          <w:r>
            <w:rPr>
              <w:u w:val="none"/>
            </w:rPr>
            <w:t>53</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_Toc15031 </w:instrText>
          </w:r>
          <w:r>
            <w:rPr>
              <w:bCs/>
              <w:u w:val="none"/>
              <w:lang w:val="zh-CN"/>
            </w:rPr>
            <w:fldChar w:fldCharType="separate"/>
          </w:r>
          <w:r>
            <w:rPr>
              <w:rFonts w:hint="eastAsia"/>
              <w:u w:val="none"/>
            </w:rPr>
            <w:t>七、环境影响分析</w:t>
          </w:r>
          <w:r>
            <w:rPr>
              <w:u w:val="none"/>
            </w:rPr>
            <w:tab/>
          </w:r>
          <w:r>
            <w:rPr>
              <w:u w:val="none"/>
            </w:rPr>
            <w:fldChar w:fldCharType="begin"/>
          </w:r>
          <w:r>
            <w:rPr>
              <w:u w:val="none"/>
            </w:rPr>
            <w:instrText xml:space="preserve"> PAGEREF _Toc15031 </w:instrText>
          </w:r>
          <w:r>
            <w:rPr>
              <w:u w:val="none"/>
            </w:rPr>
            <w:fldChar w:fldCharType="separate"/>
          </w:r>
          <w:r>
            <w:rPr>
              <w:u w:val="none"/>
            </w:rPr>
            <w:t>55</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_Toc31106 </w:instrText>
          </w:r>
          <w:r>
            <w:rPr>
              <w:bCs/>
              <w:u w:val="none"/>
              <w:lang w:val="zh-CN"/>
            </w:rPr>
            <w:fldChar w:fldCharType="separate"/>
          </w:r>
          <w:r>
            <w:rPr>
              <w:rFonts w:hint="eastAsia"/>
              <w:u w:val="none"/>
            </w:rPr>
            <w:t>八、项目拟采取的防治措施及预期治理效果</w:t>
          </w:r>
          <w:r>
            <w:rPr>
              <w:u w:val="none"/>
            </w:rPr>
            <w:tab/>
          </w:r>
          <w:r>
            <w:rPr>
              <w:u w:val="none"/>
            </w:rPr>
            <w:fldChar w:fldCharType="begin"/>
          </w:r>
          <w:r>
            <w:rPr>
              <w:u w:val="none"/>
            </w:rPr>
            <w:instrText xml:space="preserve"> PAGEREF _Toc31106 </w:instrText>
          </w:r>
          <w:r>
            <w:rPr>
              <w:u w:val="none"/>
            </w:rPr>
            <w:fldChar w:fldCharType="separate"/>
          </w:r>
          <w:r>
            <w:rPr>
              <w:u w:val="none"/>
            </w:rPr>
            <w:t>110</w:t>
          </w:r>
          <w:r>
            <w:rPr>
              <w:u w:val="none"/>
            </w:rPr>
            <w:fldChar w:fldCharType="end"/>
          </w:r>
          <w:r>
            <w:rPr>
              <w:bCs/>
              <w:u w:val="none"/>
              <w:lang w:val="zh-CN"/>
            </w:rPr>
            <w:fldChar w:fldCharType="end"/>
          </w:r>
        </w:p>
        <w:p>
          <w:pPr>
            <w:pStyle w:val="18"/>
            <w:tabs>
              <w:tab w:val="right" w:leader="dot" w:pos="8306"/>
            </w:tabs>
            <w:rPr>
              <w:u w:val="none"/>
            </w:rPr>
          </w:pPr>
          <w:r>
            <w:rPr>
              <w:bCs/>
              <w:u w:val="none"/>
              <w:lang w:val="zh-CN"/>
            </w:rPr>
            <w:fldChar w:fldCharType="begin"/>
          </w:r>
          <w:r>
            <w:rPr>
              <w:bCs/>
              <w:u w:val="none"/>
              <w:lang w:val="zh-CN"/>
            </w:rPr>
            <w:instrText xml:space="preserve"> HYPERLINK \l _Toc28462 </w:instrText>
          </w:r>
          <w:r>
            <w:rPr>
              <w:bCs/>
              <w:u w:val="none"/>
              <w:lang w:val="zh-CN"/>
            </w:rPr>
            <w:fldChar w:fldCharType="separate"/>
          </w:r>
          <w:r>
            <w:rPr>
              <w:rFonts w:hint="eastAsia"/>
              <w:u w:val="none"/>
            </w:rPr>
            <w:t>九、结论与建议</w:t>
          </w:r>
          <w:r>
            <w:rPr>
              <w:u w:val="none"/>
            </w:rPr>
            <w:tab/>
          </w:r>
          <w:r>
            <w:rPr>
              <w:u w:val="none"/>
            </w:rPr>
            <w:fldChar w:fldCharType="begin"/>
          </w:r>
          <w:r>
            <w:rPr>
              <w:u w:val="none"/>
            </w:rPr>
            <w:instrText xml:space="preserve"> PAGEREF _Toc28462 </w:instrText>
          </w:r>
          <w:r>
            <w:rPr>
              <w:u w:val="none"/>
            </w:rPr>
            <w:fldChar w:fldCharType="separate"/>
          </w:r>
          <w:r>
            <w:rPr>
              <w:u w:val="none"/>
            </w:rPr>
            <w:t>112</w:t>
          </w:r>
          <w:r>
            <w:rPr>
              <w:u w:val="none"/>
            </w:rPr>
            <w:fldChar w:fldCharType="end"/>
          </w:r>
          <w:r>
            <w:rPr>
              <w:bCs/>
              <w:u w:val="none"/>
              <w:lang w:val="zh-CN"/>
            </w:rPr>
            <w:fldChar w:fldCharType="end"/>
          </w:r>
        </w:p>
        <w:p>
          <w:pPr>
            <w:ind w:firstLine="482"/>
            <w:jc w:val="center"/>
            <w:rPr>
              <w:u w:val="none"/>
            </w:rPr>
          </w:pPr>
          <w:r>
            <w:rPr>
              <w:bCs/>
              <w:u w:val="none"/>
              <w:lang w:val="zh-CN"/>
            </w:rPr>
            <w:fldChar w:fldCharType="end"/>
          </w:r>
        </w:p>
      </w:sdtContent>
    </w:sdt>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color w:val="auto"/>
          <w:sz w:val="24"/>
          <w:szCs w:val="24"/>
          <w:u w:val="none"/>
        </w:rPr>
      </w:pPr>
      <w:bookmarkStart w:id="2" w:name="_Toc12398"/>
      <w:bookmarkStart w:id="3" w:name="_Toc16886"/>
      <w:r>
        <w:rPr>
          <w:color w:val="auto"/>
          <w:sz w:val="24"/>
          <w:szCs w:val="24"/>
          <w:u w:val="none"/>
        </w:rPr>
        <w:t>附件：</w:t>
      </w:r>
      <w:bookmarkEnd w:id="2"/>
      <w:bookmarkEnd w:id="3"/>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附件1  环评委托书</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附件2  营业执照</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附件3  关于申办湖南博西雅再生资源有限公司的报告</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u w:val="none"/>
          <w:lang w:val="en-US" w:eastAsia="zh-CN"/>
        </w:rPr>
      </w:pPr>
      <w:r>
        <w:rPr>
          <w:rFonts w:hint="eastAsia"/>
          <w:u w:val="none"/>
          <w:lang w:eastAsia="zh-CN"/>
        </w:rPr>
        <w:t>附件</w:t>
      </w:r>
      <w:r>
        <w:rPr>
          <w:rFonts w:hint="eastAsia"/>
          <w:u w:val="none"/>
          <w:lang w:val="en-US" w:eastAsia="zh-CN"/>
        </w:rPr>
        <w:t>4  关于湘阴县顽石再生科技有限公司利用建筑垃圾等废弃资源年产30万</w:t>
      </w:r>
      <w:r>
        <w:rPr>
          <w:rFonts w:hint="eastAsia" w:ascii="Times New Roman" w:hAnsi="Times New Roman" w:eastAsia="宋体" w:cs="Times New Roman"/>
          <w:u w:val="none"/>
          <w:lang w:val="en-US" w:eastAsia="zh-CN"/>
        </w:rPr>
        <w:t>吨预拌砂浆项目环境影响报告表的批复</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cs="Times New Roman"/>
          <w:u w:val="none"/>
          <w:lang w:val="en-US"/>
        </w:rPr>
      </w:pPr>
      <w:r>
        <w:rPr>
          <w:rFonts w:hint="eastAsia" w:ascii="Times New Roman" w:hAnsi="Times New Roman" w:eastAsia="宋体" w:cs="Times New Roman"/>
          <w:u w:val="none"/>
          <w:lang w:eastAsia="zh-CN"/>
        </w:rPr>
        <w:t>附件</w:t>
      </w:r>
      <w:r>
        <w:rPr>
          <w:rFonts w:ascii="Times New Roman" w:hAnsi="Times New Roman" w:eastAsia="宋体" w:cs="Times New Roman"/>
          <w:u w:val="none"/>
          <w:lang w:val="en-US"/>
        </w:rPr>
        <w:t xml:space="preserve">5  </w:t>
      </w:r>
      <w:r>
        <w:rPr>
          <w:rFonts w:hint="eastAsia" w:ascii="Times New Roman" w:hAnsi="Times New Roman" w:eastAsia="宋体" w:cs="Times New Roman"/>
          <w:u w:val="none"/>
          <w:lang w:eastAsia="zh-CN"/>
        </w:rPr>
        <w:t>检测报告及质保单</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cs="Times New Roman"/>
          <w:u w:val="none"/>
          <w:lang w:val="en-US"/>
        </w:rPr>
      </w:pPr>
      <w:r>
        <w:rPr>
          <w:rFonts w:hint="eastAsia" w:ascii="Times New Roman" w:hAnsi="Times New Roman" w:eastAsia="宋体" w:cs="Times New Roman"/>
          <w:u w:val="none"/>
          <w:lang w:eastAsia="zh-CN"/>
        </w:rPr>
        <w:t>附件</w:t>
      </w:r>
      <w:r>
        <w:rPr>
          <w:rFonts w:ascii="Times New Roman" w:hAnsi="Times New Roman" w:eastAsia="宋体" w:cs="Times New Roman"/>
          <w:u w:val="none"/>
          <w:lang w:val="en-US"/>
        </w:rPr>
        <w:t xml:space="preserve">6  </w:t>
      </w:r>
      <w:r>
        <w:rPr>
          <w:rFonts w:hint="eastAsia" w:ascii="Times New Roman" w:hAnsi="Times New Roman" w:eastAsia="宋体" w:cs="Times New Roman"/>
          <w:u w:val="none"/>
          <w:lang w:eastAsia="zh-CN"/>
        </w:rPr>
        <w:t>补充监测及质保单</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b/>
          <w:u w:val="none"/>
        </w:rPr>
      </w:pPr>
    </w:p>
    <w:p>
      <w:pPr>
        <w:pageBreakBefore w:val="0"/>
        <w:widowControl/>
        <w:kinsoku/>
        <w:wordWrap/>
        <w:overflowPunct/>
        <w:topLinePunct w:val="0"/>
        <w:autoSpaceDE/>
        <w:autoSpaceDN/>
        <w:bidi w:val="0"/>
        <w:adjustRightInd/>
        <w:snapToGrid/>
        <w:spacing w:line="360" w:lineRule="auto"/>
        <w:ind w:firstLine="0" w:firstLineChars="0"/>
        <w:jc w:val="left"/>
        <w:textAlignment w:val="auto"/>
        <w:rPr>
          <w:b/>
          <w:u w:val="none"/>
        </w:rPr>
      </w:pPr>
      <w:r>
        <w:rPr>
          <w:b/>
          <w:u w:val="none"/>
        </w:rPr>
        <w:t>附图：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附图1  项目地理位置图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附图2  声环境保护目标图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附图3  湘阴县生态保护红线图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附图4  项目规划总平面图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u w:val="none"/>
        </w:rPr>
      </w:pPr>
      <w:r>
        <w:rPr>
          <w:u w:val="none"/>
        </w:rPr>
        <w:t>附图5  项目现状图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u w:val="none"/>
        </w:rPr>
      </w:pPr>
      <w:r>
        <w:rPr>
          <w:rFonts w:hint="eastAsia"/>
          <w:u w:val="none"/>
        </w:rPr>
        <w:t>附图6  项目厂房布置平面布置图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u w:val="none"/>
          <w:lang w:val="en-US" w:eastAsia="zh-CN"/>
        </w:rPr>
      </w:pPr>
      <w:r>
        <w:rPr>
          <w:rFonts w:hint="eastAsia"/>
          <w:u w:val="none"/>
          <w:lang w:val="en-US" w:eastAsia="zh-CN"/>
        </w:rPr>
        <w:t>附图7</w:t>
      </w:r>
      <w:r>
        <w:rPr>
          <w:rFonts w:hint="default"/>
          <w:u w:val="none"/>
          <w:lang w:val="en-US" w:eastAsia="zh-CN"/>
        </w:rPr>
        <w:t xml:space="preserve">  </w:t>
      </w:r>
      <w:r>
        <w:rPr>
          <w:rFonts w:hint="eastAsia"/>
          <w:u w:val="none"/>
          <w:lang w:val="en-US" w:eastAsia="zh-CN"/>
        </w:rPr>
        <w:t>雨水管网图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u w:val="none"/>
          <w:lang w:val="en-US" w:eastAsia="zh-CN"/>
        </w:rPr>
      </w:pPr>
      <w:r>
        <w:rPr>
          <w:rFonts w:hint="eastAsia"/>
          <w:u w:val="none"/>
          <w:lang w:val="en-US" w:eastAsia="zh-CN"/>
        </w:rPr>
        <w:t>附图8</w:t>
      </w:r>
      <w:r>
        <w:rPr>
          <w:rFonts w:hint="default"/>
          <w:u w:val="none"/>
          <w:lang w:val="en-US" w:eastAsia="zh-CN"/>
        </w:rPr>
        <w:t xml:space="preserve">  </w:t>
      </w:r>
      <w:r>
        <w:rPr>
          <w:rFonts w:hint="eastAsia"/>
          <w:u w:val="none"/>
          <w:lang w:val="en-US" w:eastAsia="zh-CN"/>
        </w:rPr>
        <w:t>污水管网图</w:t>
      </w:r>
    </w:p>
    <w:p>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u w:val="none"/>
          <w:lang w:val="en-US" w:eastAsia="zh-CN"/>
        </w:rPr>
      </w:pPr>
      <w:r>
        <w:rPr>
          <w:rFonts w:hint="eastAsia"/>
          <w:u w:val="none"/>
          <w:lang w:val="en-US" w:eastAsia="zh-CN"/>
        </w:rPr>
        <w:t>附图9</w:t>
      </w:r>
      <w:r>
        <w:rPr>
          <w:rFonts w:hint="default"/>
          <w:u w:val="none"/>
          <w:lang w:val="en-US" w:eastAsia="zh-CN"/>
        </w:rPr>
        <w:t xml:space="preserve">  </w:t>
      </w:r>
      <w:r>
        <w:rPr>
          <w:rFonts w:hint="eastAsia"/>
          <w:u w:val="none"/>
          <w:lang w:val="en-US" w:eastAsia="zh-CN"/>
        </w:rPr>
        <w:t>大气环境保护目标</w:t>
      </w:r>
    </w:p>
    <w:p>
      <w:pPr>
        <w:pageBreakBefore w:val="0"/>
        <w:kinsoku/>
        <w:wordWrap/>
        <w:overflowPunct/>
        <w:topLinePunct w:val="0"/>
        <w:autoSpaceDE/>
        <w:autoSpaceDN/>
        <w:bidi w:val="0"/>
        <w:spacing w:line="360" w:lineRule="auto"/>
        <w:ind w:firstLine="0" w:firstLineChars="0"/>
        <w:textAlignment w:val="auto"/>
        <w:rPr>
          <w:u w:val="none"/>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eastAsia" w:cs="Times New Roman"/>
          <w:b/>
          <w:bCs/>
          <w:sz w:val="24"/>
          <w:szCs w:val="24"/>
          <w:u w:val="none"/>
          <w:lang w:eastAsia="zh-CN"/>
        </w:rPr>
      </w:pPr>
      <w:r>
        <w:rPr>
          <w:rFonts w:hint="eastAsia" w:cs="Times New Roman"/>
          <w:b/>
          <w:bCs/>
          <w:sz w:val="24"/>
          <w:szCs w:val="24"/>
          <w:u w:val="none"/>
          <w:lang w:eastAsia="zh-CN"/>
        </w:rPr>
        <w:t>附表：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default" w:ascii="Times New Roman" w:hAnsi="Times New Roman" w:cs="Times New Roman"/>
          <w:sz w:val="24"/>
          <w:szCs w:val="24"/>
          <w:u w:val="none"/>
          <w:lang w:val="en-US"/>
        </w:rPr>
      </w:pPr>
      <w:r>
        <w:rPr>
          <w:rFonts w:hint="eastAsia" w:ascii="Times New Roman" w:hAnsi="Times New Roman" w:cs="Times New Roman"/>
          <w:sz w:val="24"/>
          <w:szCs w:val="24"/>
          <w:u w:val="none"/>
          <w:lang w:eastAsia="zh-CN"/>
        </w:rPr>
        <w:t>附表</w:t>
      </w:r>
      <w:r>
        <w:rPr>
          <w:rFonts w:hint="eastAsia" w:cs="Times New Roman"/>
          <w:sz w:val="24"/>
          <w:szCs w:val="24"/>
          <w:u w:val="none"/>
          <w:lang w:val="en-US" w:eastAsia="zh-CN"/>
        </w:rPr>
        <w:t>1</w:t>
      </w:r>
      <w:r>
        <w:rPr>
          <w:rFonts w:hint="default" w:ascii="Times New Roman" w:hAnsi="Times New Roman" w:cs="Times New Roman"/>
          <w:sz w:val="24"/>
          <w:szCs w:val="24"/>
          <w:u w:val="none"/>
          <w:lang w:val="en-US"/>
        </w:rPr>
        <w:t xml:space="preserve">  </w:t>
      </w:r>
      <w:r>
        <w:rPr>
          <w:rFonts w:hint="eastAsia" w:ascii="Times New Roman" w:hAnsi="Times New Roman" w:cs="Times New Roman"/>
          <w:sz w:val="24"/>
          <w:szCs w:val="24"/>
          <w:u w:val="none"/>
          <w:lang w:eastAsia="zh-CN"/>
        </w:rPr>
        <w:t>建设项目大气环境影响评价自查表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default" w:ascii="Times New Roman" w:hAnsi="Times New Roman" w:cs="Times New Roman"/>
          <w:sz w:val="24"/>
          <w:szCs w:val="24"/>
          <w:u w:val="none"/>
          <w:lang w:val="en-US"/>
        </w:rPr>
      </w:pPr>
      <w:r>
        <w:rPr>
          <w:rFonts w:hint="eastAsia" w:ascii="Times New Roman" w:hAnsi="Times New Roman" w:cs="Times New Roman"/>
          <w:sz w:val="24"/>
          <w:szCs w:val="24"/>
          <w:u w:val="none"/>
          <w:lang w:eastAsia="zh-CN"/>
        </w:rPr>
        <w:t>附表</w:t>
      </w:r>
      <w:r>
        <w:rPr>
          <w:rFonts w:hint="eastAsia" w:cs="Times New Roman"/>
          <w:sz w:val="24"/>
          <w:szCs w:val="24"/>
          <w:u w:val="none"/>
          <w:lang w:val="en-US" w:eastAsia="zh-CN"/>
        </w:rPr>
        <w:t>2</w:t>
      </w:r>
      <w:r>
        <w:rPr>
          <w:rFonts w:hint="default" w:ascii="Times New Roman" w:hAnsi="Times New Roman" w:cs="Times New Roman"/>
          <w:sz w:val="24"/>
          <w:szCs w:val="24"/>
          <w:u w:val="none"/>
          <w:lang w:val="en-US"/>
        </w:rPr>
        <w:t xml:space="preserve">  </w:t>
      </w:r>
      <w:r>
        <w:rPr>
          <w:rFonts w:hint="eastAsia" w:ascii="Times New Roman" w:hAnsi="Times New Roman" w:cs="Times New Roman"/>
          <w:sz w:val="24"/>
          <w:szCs w:val="24"/>
          <w:u w:val="none"/>
          <w:lang w:eastAsia="zh-CN"/>
        </w:rPr>
        <w:t>地表水环境影响评价自查表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default" w:ascii="Times New Roman" w:hAnsi="Times New Roman" w:cs="Times New Roman"/>
          <w:sz w:val="24"/>
          <w:szCs w:val="24"/>
          <w:u w:val="none"/>
          <w:lang w:val="en-US"/>
        </w:rPr>
      </w:pPr>
      <w:r>
        <w:rPr>
          <w:rFonts w:hint="eastAsia" w:ascii="Times New Roman" w:hAnsi="Times New Roman" w:cs="Times New Roman"/>
          <w:sz w:val="24"/>
          <w:szCs w:val="24"/>
          <w:u w:val="none"/>
          <w:lang w:eastAsia="zh-CN"/>
        </w:rPr>
        <w:t>附表</w:t>
      </w:r>
      <w:r>
        <w:rPr>
          <w:rFonts w:hint="eastAsia" w:cs="Times New Roman"/>
          <w:sz w:val="24"/>
          <w:szCs w:val="24"/>
          <w:u w:val="none"/>
          <w:lang w:val="en-US" w:eastAsia="zh-CN"/>
        </w:rPr>
        <w:t>3</w:t>
      </w:r>
      <w:r>
        <w:rPr>
          <w:rFonts w:hint="default" w:ascii="Times New Roman" w:hAnsi="Times New Roman" w:cs="Times New Roman"/>
          <w:sz w:val="24"/>
          <w:szCs w:val="24"/>
          <w:u w:val="none"/>
          <w:lang w:val="en-US"/>
        </w:rPr>
        <w:t xml:space="preserve">  </w:t>
      </w:r>
      <w:r>
        <w:rPr>
          <w:rFonts w:hint="eastAsia" w:ascii="Times New Roman" w:hAnsi="Times New Roman" w:cs="Times New Roman"/>
          <w:sz w:val="24"/>
          <w:szCs w:val="24"/>
          <w:u w:val="none"/>
          <w:lang w:eastAsia="zh-CN"/>
        </w:rPr>
        <w:t>土壤环境影响评价自查表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default" w:ascii="Times New Roman" w:hAnsi="Times New Roman" w:cs="Times New Roman"/>
          <w:sz w:val="24"/>
          <w:szCs w:val="24"/>
          <w:u w:val="none"/>
          <w:lang w:val="en-US"/>
        </w:rPr>
      </w:pPr>
      <w:r>
        <w:rPr>
          <w:rFonts w:hint="eastAsia" w:ascii="Times New Roman" w:hAnsi="Times New Roman" w:cs="Times New Roman"/>
          <w:sz w:val="24"/>
          <w:szCs w:val="24"/>
          <w:u w:val="none"/>
          <w:lang w:eastAsia="zh-CN"/>
        </w:rPr>
        <w:t>附表</w:t>
      </w:r>
      <w:r>
        <w:rPr>
          <w:rFonts w:hint="eastAsia" w:cs="Times New Roman"/>
          <w:sz w:val="24"/>
          <w:szCs w:val="24"/>
          <w:u w:val="none"/>
          <w:lang w:val="en-US" w:eastAsia="zh-CN"/>
        </w:rPr>
        <w:t>4</w:t>
      </w:r>
      <w:r>
        <w:rPr>
          <w:rFonts w:hint="default" w:ascii="Times New Roman" w:hAnsi="Times New Roman" w:cs="Times New Roman"/>
          <w:sz w:val="24"/>
          <w:szCs w:val="24"/>
          <w:u w:val="none"/>
          <w:lang w:val="en-US"/>
        </w:rPr>
        <w:t xml:space="preserve">  </w:t>
      </w:r>
      <w:r>
        <w:rPr>
          <w:rFonts w:hint="eastAsia" w:ascii="Times New Roman" w:hAnsi="Times New Roman" w:cs="Times New Roman"/>
          <w:sz w:val="24"/>
          <w:szCs w:val="24"/>
          <w:u w:val="none"/>
          <w:lang w:eastAsia="zh-CN"/>
        </w:rPr>
        <w:t>环境风险评价自查表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附表</w:t>
      </w:r>
      <w:r>
        <w:rPr>
          <w:rFonts w:hint="eastAsia" w:cs="Times New Roman"/>
          <w:sz w:val="24"/>
          <w:szCs w:val="24"/>
          <w:u w:val="none"/>
          <w:lang w:val="en-US" w:eastAsia="zh-CN"/>
        </w:rPr>
        <w:t>5</w:t>
      </w:r>
      <w:r>
        <w:rPr>
          <w:rFonts w:hint="default" w:ascii="Times New Roman" w:hAnsi="Times New Roman" w:cs="Times New Roman"/>
          <w:sz w:val="24"/>
          <w:szCs w:val="24"/>
          <w:u w:val="none"/>
        </w:rPr>
        <w:t xml:space="preserve">  建设项目环评审批基础信息表</w:t>
      </w:r>
    </w:p>
    <w:p>
      <w:pPr>
        <w:ind w:firstLine="480"/>
        <w:rPr>
          <w:u w:val="none"/>
        </w:rPr>
        <w:sectPr>
          <w:footerReference r:id="rId9" w:type="default"/>
          <w:pgSz w:w="11906" w:h="16838"/>
          <w:pgMar w:top="1440" w:right="1800" w:bottom="1440" w:left="1800" w:header="851" w:footer="992" w:gutter="0"/>
          <w:cols w:space="425" w:num="1"/>
          <w:docGrid w:type="lines" w:linePitch="312" w:charSpace="0"/>
        </w:sectPr>
      </w:pPr>
    </w:p>
    <w:p>
      <w:pPr>
        <w:pStyle w:val="3"/>
        <w:spacing w:before="0" w:after="0" w:line="360" w:lineRule="auto"/>
        <w:ind w:firstLine="643"/>
        <w:jc w:val="left"/>
        <w:rPr>
          <w:sz w:val="32"/>
          <w:u w:val="none"/>
        </w:rPr>
      </w:pPr>
      <w:bookmarkStart w:id="4" w:name="_Toc4592"/>
      <w:r>
        <w:rPr>
          <w:rFonts w:hint="eastAsia"/>
          <w:sz w:val="32"/>
          <w:u w:val="none"/>
        </w:rPr>
        <w:t>一、建设项目基本情况</w:t>
      </w:r>
      <w:bookmarkEnd w:id="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313"/>
        <w:gridCol w:w="6"/>
        <w:gridCol w:w="613"/>
        <w:gridCol w:w="724"/>
        <w:gridCol w:w="1402"/>
        <w:gridCol w:w="1276"/>
        <w:gridCol w:w="21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项目名称</w:t>
            </w:r>
          </w:p>
        </w:tc>
        <w:tc>
          <w:tcPr>
            <w:tcW w:w="6804" w:type="dxa"/>
            <w:gridSpan w:val="8"/>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4"/>
                <w:szCs w:val="24"/>
                <w:u w:val="none"/>
                <w:lang w:eastAsia="zh-CN"/>
              </w:rPr>
            </w:pPr>
            <w:r>
              <w:rPr>
                <w:rFonts w:hint="eastAsia"/>
                <w:sz w:val="24"/>
                <w:szCs w:val="24"/>
                <w:u w:val="none"/>
                <w:lang w:eastAsia="zh-CN"/>
              </w:rPr>
              <w:t>年拆解回收利用10000辆废旧机动车项目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建设单位</w:t>
            </w:r>
          </w:p>
        </w:tc>
        <w:tc>
          <w:tcPr>
            <w:tcW w:w="6804" w:type="dxa"/>
            <w:gridSpan w:val="8"/>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4"/>
                <w:szCs w:val="24"/>
                <w:u w:val="none"/>
                <w:lang w:eastAsia="zh-CN"/>
              </w:rPr>
            </w:pPr>
            <w:r>
              <w:rPr>
                <w:rFonts w:hint="eastAsia"/>
                <w:sz w:val="24"/>
                <w:szCs w:val="24"/>
                <w:u w:val="none"/>
                <w:lang w:eastAsia="zh-CN"/>
              </w:rPr>
              <w:t>湖南博西雅再生资源有限公司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法人代表</w:t>
            </w:r>
          </w:p>
        </w:tc>
        <w:tc>
          <w:tcPr>
            <w:tcW w:w="2656"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唐建成</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联系人</w:t>
            </w:r>
          </w:p>
        </w:tc>
        <w:tc>
          <w:tcPr>
            <w:tcW w:w="27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甘新伟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通讯地址</w:t>
            </w:r>
          </w:p>
        </w:tc>
        <w:tc>
          <w:tcPr>
            <w:tcW w:w="6804" w:type="dxa"/>
            <w:gridSpan w:val="8"/>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4"/>
                <w:szCs w:val="24"/>
                <w:u w:val="none"/>
                <w:lang w:eastAsia="zh-CN"/>
              </w:rPr>
            </w:pPr>
            <w:r>
              <w:rPr>
                <w:rFonts w:hint="eastAsia"/>
                <w:sz w:val="24"/>
                <w:szCs w:val="24"/>
                <w:u w:val="none"/>
                <w:lang w:eastAsia="zh-CN"/>
              </w:rPr>
              <w:t>湖南省岳阳市湘阴县文星镇板桥村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联系电话</w:t>
            </w:r>
          </w:p>
        </w:tc>
        <w:tc>
          <w:tcPr>
            <w:tcW w:w="1932"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13974027577</w:t>
            </w:r>
          </w:p>
        </w:tc>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传真</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邮政编码</w:t>
            </w:r>
          </w:p>
        </w:tc>
        <w:tc>
          <w:tcPr>
            <w:tcW w:w="147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建设地点</w:t>
            </w:r>
          </w:p>
        </w:tc>
        <w:tc>
          <w:tcPr>
            <w:tcW w:w="6804" w:type="dxa"/>
            <w:gridSpan w:val="8"/>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4"/>
                <w:szCs w:val="24"/>
                <w:u w:val="none"/>
                <w:lang w:eastAsia="zh-CN"/>
              </w:rPr>
            </w:pPr>
            <w:r>
              <w:rPr>
                <w:rFonts w:hint="eastAsia"/>
                <w:sz w:val="24"/>
                <w:szCs w:val="24"/>
                <w:u w:val="none"/>
                <w:lang w:eastAsia="zh-CN"/>
              </w:rPr>
              <w:t>湖南省岳阳市湘阴县文星镇板桥村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立项审批部门</w:t>
            </w:r>
          </w:p>
        </w:tc>
        <w:tc>
          <w:tcPr>
            <w:tcW w:w="2656"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批准文号</w:t>
            </w:r>
          </w:p>
        </w:tc>
        <w:tc>
          <w:tcPr>
            <w:tcW w:w="27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建设性质</w:t>
            </w:r>
          </w:p>
        </w:tc>
        <w:tc>
          <w:tcPr>
            <w:tcW w:w="2656"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4"/>
                <w:szCs w:val="24"/>
                <w:u w:val="none"/>
                <w:lang w:eastAsia="zh-CN"/>
              </w:rPr>
            </w:pPr>
            <w:r>
              <w:rPr>
                <w:rFonts w:hint="eastAsia"/>
                <w:sz w:val="24"/>
                <w:szCs w:val="24"/>
                <w:u w:val="none"/>
                <w:lang w:eastAsia="zh-CN"/>
              </w:rPr>
              <w:t>新建</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行业类别及代码</w:t>
            </w:r>
          </w:p>
        </w:tc>
        <w:tc>
          <w:tcPr>
            <w:tcW w:w="27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C4210金属废料和碎屑加工处理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占地面积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r>
              <w:rPr>
                <w:rFonts w:hint="default"/>
                <w:sz w:val="24"/>
                <w:szCs w:val="24"/>
                <w:u w:val="none"/>
              </w:rPr>
              <w:t>平方米</w:t>
            </w:r>
            <w:r>
              <w:rPr>
                <w:rFonts w:hint="eastAsia"/>
                <w:sz w:val="24"/>
                <w:szCs w:val="24"/>
                <w:u w:val="none"/>
              </w:rPr>
              <w:t>）</w:t>
            </w:r>
          </w:p>
        </w:tc>
        <w:tc>
          <w:tcPr>
            <w:tcW w:w="2656"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3325</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绿化面积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（平方米）</w:t>
            </w:r>
          </w:p>
        </w:tc>
        <w:tc>
          <w:tcPr>
            <w:tcW w:w="27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总投资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r>
              <w:rPr>
                <w:rFonts w:hint="default"/>
                <w:sz w:val="24"/>
                <w:szCs w:val="24"/>
                <w:u w:val="none"/>
              </w:rPr>
              <w:t>万元</w:t>
            </w:r>
            <w:r>
              <w:rPr>
                <w:rFonts w:hint="eastAsia"/>
                <w:sz w:val="24"/>
                <w:szCs w:val="24"/>
                <w:u w:val="none"/>
              </w:rPr>
              <w:t>）</w:t>
            </w:r>
          </w:p>
        </w:tc>
        <w:tc>
          <w:tcPr>
            <w:tcW w:w="13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z w:val="24"/>
                <w:szCs w:val="24"/>
                <w:u w:val="none"/>
                <w:lang w:val="en-US" w:eastAsia="zh-CN"/>
              </w:rPr>
            </w:pPr>
            <w:r>
              <w:rPr>
                <w:rFonts w:hint="eastAsia"/>
                <w:sz w:val="24"/>
                <w:szCs w:val="24"/>
                <w:u w:val="none"/>
                <w:lang w:val="en-US" w:eastAsia="zh-CN"/>
              </w:rPr>
              <w:t>1000</w:t>
            </w:r>
          </w:p>
        </w:tc>
        <w:tc>
          <w:tcPr>
            <w:tcW w:w="133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环保投资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（万元）</w:t>
            </w:r>
          </w:p>
        </w:tc>
        <w:tc>
          <w:tcPr>
            <w:tcW w:w="1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z w:val="24"/>
                <w:szCs w:val="24"/>
                <w:u w:val="none"/>
                <w:lang w:val="en-US" w:eastAsia="zh-CN"/>
              </w:rPr>
            </w:pPr>
            <w:r>
              <w:rPr>
                <w:rFonts w:hint="eastAsia"/>
                <w:sz w:val="24"/>
                <w:szCs w:val="24"/>
                <w:u w:val="none"/>
                <w:lang w:val="en-US" w:eastAsia="zh-CN"/>
              </w:rPr>
              <w:t>129</w:t>
            </w:r>
          </w:p>
        </w:tc>
        <w:tc>
          <w:tcPr>
            <w:tcW w:w="14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环保投资占总投资比例</w:t>
            </w:r>
          </w:p>
        </w:tc>
        <w:tc>
          <w:tcPr>
            <w:tcW w:w="125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z w:val="24"/>
                <w:szCs w:val="24"/>
                <w:u w:val="none"/>
                <w:lang w:val="en-US" w:eastAsia="zh-CN"/>
              </w:rPr>
            </w:pPr>
            <w:r>
              <w:rPr>
                <w:rFonts w:hint="eastAsia"/>
                <w:sz w:val="24"/>
                <w:szCs w:val="24"/>
                <w:u w:val="no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评价经费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r>
              <w:rPr>
                <w:rFonts w:hint="default"/>
                <w:sz w:val="24"/>
                <w:szCs w:val="24"/>
                <w:u w:val="none"/>
              </w:rPr>
              <w:t>万元</w:t>
            </w:r>
            <w:r>
              <w:rPr>
                <w:rFonts w:hint="eastAsia"/>
                <w:sz w:val="24"/>
                <w:szCs w:val="24"/>
                <w:u w:val="none"/>
              </w:rPr>
              <w:t>）</w:t>
            </w:r>
          </w:p>
        </w:tc>
        <w:tc>
          <w:tcPr>
            <w:tcW w:w="13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w:t>
            </w:r>
          </w:p>
        </w:tc>
        <w:tc>
          <w:tcPr>
            <w:tcW w:w="134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eastAsia"/>
                <w:sz w:val="24"/>
                <w:szCs w:val="24"/>
                <w:u w:val="none"/>
              </w:rPr>
              <w:t>预计投产日期</w:t>
            </w:r>
          </w:p>
        </w:tc>
        <w:tc>
          <w:tcPr>
            <w:tcW w:w="4148"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4"/>
                <w:szCs w:val="24"/>
                <w:u w:val="none"/>
              </w:rPr>
            </w:pPr>
            <w:r>
              <w:rPr>
                <w:rFonts w:hint="default"/>
                <w:sz w:val="24"/>
                <w:szCs w:val="24"/>
                <w:u w:val="none"/>
              </w:rPr>
              <w:t>202</w:t>
            </w:r>
            <w:r>
              <w:rPr>
                <w:rFonts w:hint="eastAsia"/>
                <w:sz w:val="24"/>
                <w:szCs w:val="24"/>
                <w:u w:val="none"/>
                <w:lang w:val="en-US" w:eastAsia="zh-CN"/>
              </w:rPr>
              <w:t>1</w:t>
            </w:r>
            <w:r>
              <w:rPr>
                <w:rFonts w:hint="default"/>
                <w:sz w:val="24"/>
                <w:szCs w:val="24"/>
                <w:u w:val="none"/>
              </w:rPr>
              <w:t>年</w:t>
            </w:r>
            <w:r>
              <w:rPr>
                <w:rFonts w:hint="eastAsia"/>
                <w:sz w:val="24"/>
                <w:szCs w:val="24"/>
                <w:u w:val="none"/>
                <w:lang w:val="en-US" w:eastAsia="zh-CN"/>
              </w:rPr>
              <w:t>7</w:t>
            </w:r>
            <w:r>
              <w:rPr>
                <w:rFonts w:hint="default"/>
                <w:sz w:val="24"/>
                <w:szCs w:val="24"/>
                <w:u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keepNext w:val="0"/>
              <w:keepLines w:val="0"/>
              <w:suppressLineNumbers w:val="0"/>
              <w:bidi w:val="0"/>
              <w:spacing w:before="0" w:beforeAutospacing="0" w:after="0" w:afterAutospacing="0"/>
              <w:ind w:left="0" w:right="0"/>
              <w:rPr>
                <w:rFonts w:hint="default"/>
                <w:b/>
                <w:bCs/>
                <w:sz w:val="32"/>
                <w:szCs w:val="32"/>
              </w:rPr>
            </w:pPr>
            <w:r>
              <w:rPr>
                <w:rFonts w:hint="eastAsia"/>
                <w:b/>
                <w:bCs/>
                <w:sz w:val="32"/>
                <w:szCs w:val="32"/>
              </w:rPr>
              <w:t>1.1项目背景由来</w:t>
            </w:r>
          </w:p>
          <w:p>
            <w:pPr>
              <w:keepNext w:val="0"/>
              <w:keepLines w:val="0"/>
              <w:suppressLineNumbers w:val="0"/>
              <w:spacing w:before="0" w:beforeAutospacing="0" w:after="0" w:afterAutospacing="0"/>
              <w:ind w:left="0" w:right="0" w:firstLine="480"/>
              <w:rPr>
                <w:rFonts w:hint="default"/>
                <w:u w:val="none"/>
              </w:rPr>
            </w:pPr>
            <w:r>
              <w:rPr>
                <w:rFonts w:hint="default"/>
                <w:u w:val="none"/>
              </w:rPr>
              <w:t>当今，世界汽车工业的迅速发展，在大量消耗地球资源的同时对环境造成的污染日益严重，除尾气排放对大气环境的影响外，报废汽车的处理问题愈显突出。</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据介绍，目前全世界每年的汽车产量接近6600万辆，每年有4000多万辆汽车报废，仅西欧、美国和日本年报废汽车总量约2500万辆。汽车报废后的环保处理及报废汽车的材料循环利用问题越来越突出和紧迫。报废汽车回收拆解是节约利用资源和国家原生资源保护性开发的重要举措。2009年国家发展改革委、财政部、商务部、工业和信息化部、环境保护部出台《促进扩大内需鼓励汽车、家电“以旧换新”实施方案》，明确国家鼓励支持老日汽车回收、拆解、再生资源利用产业的发展。 </w:t>
            </w:r>
          </w:p>
          <w:p>
            <w:pPr>
              <w:keepNext w:val="0"/>
              <w:keepLines w:val="0"/>
              <w:suppressLineNumbers w:val="0"/>
              <w:bidi w:val="0"/>
              <w:spacing w:before="0" w:beforeAutospacing="0" w:after="0" w:afterAutospacing="0"/>
              <w:ind w:left="0" w:right="0"/>
              <w:rPr>
                <w:rFonts w:hint="default"/>
                <w:u w:val="none"/>
                <w:lang w:val="en-US"/>
              </w:rPr>
            </w:pPr>
            <w:r>
              <w:rPr>
                <w:rFonts w:hint="eastAsia"/>
                <w:bCs/>
                <w:u w:val="single"/>
                <w:lang w:val="en-US" w:eastAsia="zh-CN"/>
              </w:rPr>
              <w:t>2019年末岳阳市民用车保有量已超百万，</w:t>
            </w:r>
            <w:r>
              <w:rPr>
                <w:rFonts w:hint="eastAsia"/>
                <w:u w:val="single"/>
                <w:lang w:eastAsia="zh-CN"/>
              </w:rPr>
              <w:t>湘阴县机动车保有量在</w:t>
            </w:r>
            <w:r>
              <w:rPr>
                <w:rFonts w:hint="eastAsia"/>
                <w:u w:val="single"/>
                <w:lang w:val="en-US" w:eastAsia="zh-CN"/>
              </w:rPr>
              <w:t>2018年已超10万，机动车保有量增速快，</w:t>
            </w:r>
            <w:r>
              <w:rPr>
                <w:rFonts w:hint="eastAsia"/>
                <w:b w:val="0"/>
                <w:bCs/>
                <w:u w:val="single"/>
                <w:lang w:eastAsia="zh-CN"/>
              </w:rPr>
              <w:t>近期汽车回收范围为湘阴县及湘阴县周边等。目前汽车拆解存在的</w:t>
            </w:r>
            <w:r>
              <w:rPr>
                <w:rFonts w:hint="default"/>
                <w:u w:val="none"/>
                <w:lang w:eastAsia="zh-CN"/>
              </w:rPr>
              <w:t>主要问题为：</w:t>
            </w:r>
          </w:p>
          <w:p>
            <w:pPr>
              <w:keepNext w:val="0"/>
              <w:keepLines w:val="0"/>
              <w:suppressLineNumbers w:val="0"/>
              <w:bidi w:val="0"/>
              <w:spacing w:before="0" w:beforeAutospacing="0" w:after="0" w:afterAutospacing="0"/>
              <w:ind w:left="0" w:right="0"/>
              <w:rPr>
                <w:rFonts w:hint="eastAsia" w:eastAsia="宋体"/>
                <w:u w:val="none"/>
                <w:lang w:val="en-US" w:eastAsia="zh-CN"/>
              </w:rPr>
            </w:pPr>
            <w:r>
              <w:rPr>
                <w:rFonts w:hint="default"/>
                <w:u w:val="none"/>
                <w:lang w:eastAsia="zh-CN"/>
              </w:rPr>
              <w:t>①报废汽车回收率不高</w:t>
            </w:r>
            <w:r>
              <w:rPr>
                <w:rFonts w:hint="eastAsia"/>
                <w:u w:val="none"/>
                <w:lang w:val="en-US" w:eastAsia="zh-CN"/>
              </w:rPr>
              <w:t>，</w:t>
            </w:r>
            <w:r>
              <w:rPr>
                <w:rFonts w:hint="default"/>
                <w:u w:val="none"/>
                <w:lang w:eastAsia="zh-CN"/>
              </w:rPr>
              <w:t>利用水平偏低</w:t>
            </w:r>
            <w:r>
              <w:rPr>
                <w:rFonts w:hint="eastAsia"/>
                <w:u w:val="none"/>
                <w:lang w:val="en-US" w:eastAsia="zh-CN"/>
              </w:rPr>
              <w:t>，</w:t>
            </w:r>
            <w:r>
              <w:rPr>
                <w:rFonts w:hint="default"/>
                <w:u w:val="none"/>
                <w:lang w:eastAsia="zh-CN"/>
              </w:rPr>
              <w:t>尚未形成完善的市场竞争机制</w:t>
            </w:r>
            <w:r>
              <w:rPr>
                <w:rFonts w:hint="eastAsia"/>
                <w:u w:val="none"/>
                <w:lang w:val="en-US" w:eastAsia="zh-CN"/>
              </w:rPr>
              <w:t>；</w:t>
            </w:r>
          </w:p>
          <w:p>
            <w:pPr>
              <w:keepNext w:val="0"/>
              <w:keepLines w:val="0"/>
              <w:suppressLineNumbers w:val="0"/>
              <w:bidi w:val="0"/>
              <w:spacing w:before="0" w:beforeAutospacing="0" w:after="0" w:afterAutospacing="0"/>
              <w:ind w:left="0" w:right="0"/>
              <w:rPr>
                <w:rFonts w:hint="eastAsia" w:eastAsia="宋体"/>
                <w:u w:val="none"/>
                <w:lang w:val="en-US" w:eastAsia="zh-CN"/>
              </w:rPr>
            </w:pPr>
            <w:r>
              <w:rPr>
                <w:rFonts w:hint="default"/>
                <w:u w:val="none"/>
                <w:lang w:eastAsia="zh-CN"/>
              </w:rPr>
              <w:t>②现有报废汽车回收拆解企业数量少</w:t>
            </w:r>
            <w:r>
              <w:rPr>
                <w:rFonts w:hint="eastAsia"/>
                <w:u w:val="none"/>
                <w:lang w:val="en-US" w:eastAsia="zh-CN"/>
              </w:rPr>
              <w:t>，</w:t>
            </w:r>
            <w:r>
              <w:rPr>
                <w:rFonts w:hint="default"/>
                <w:u w:val="none"/>
                <w:lang w:eastAsia="zh-CN"/>
              </w:rPr>
              <w:t>拆解能力不强，不能满足报废汽车拆解的需要</w:t>
            </w:r>
            <w:r>
              <w:rPr>
                <w:rFonts w:hint="eastAsia"/>
                <w:u w:val="none"/>
                <w:lang w:val="en-US" w:eastAsia="zh-CN"/>
              </w:rPr>
              <w:t>，</w:t>
            </w:r>
            <w:r>
              <w:rPr>
                <w:rFonts w:hint="default"/>
                <w:u w:val="none"/>
                <w:lang w:eastAsia="zh-CN"/>
              </w:rPr>
              <w:t>致使一些企业和个人将已报废的汽车</w:t>
            </w:r>
            <w:r>
              <w:rPr>
                <w:rFonts w:hint="eastAsia"/>
                <w:u w:val="none"/>
                <w:lang w:val="en-US" w:eastAsia="zh-CN"/>
              </w:rPr>
              <w:t>，</w:t>
            </w:r>
            <w:r>
              <w:rPr>
                <w:rFonts w:hint="default"/>
                <w:u w:val="none"/>
                <w:lang w:eastAsia="zh-CN"/>
              </w:rPr>
              <w:t>擅自销售给不具备报废汽车回收拆解资格的不法经营者</w:t>
            </w:r>
            <w:r>
              <w:rPr>
                <w:rFonts w:hint="eastAsia"/>
                <w:u w:val="none"/>
                <w:lang w:val="en-US" w:eastAsia="zh-CN"/>
              </w:rPr>
              <w:t>，</w:t>
            </w:r>
            <w:r>
              <w:rPr>
                <w:rFonts w:hint="default"/>
                <w:u w:val="none"/>
                <w:lang w:eastAsia="zh-CN"/>
              </w:rPr>
              <w:t>给非法从事倒买倒卖活动提供了货源</w:t>
            </w:r>
            <w:r>
              <w:rPr>
                <w:rFonts w:hint="eastAsia"/>
                <w:u w:val="none"/>
                <w:lang w:val="en-US" w:eastAsia="zh-CN"/>
              </w:rPr>
              <w:t>；</w:t>
            </w:r>
          </w:p>
          <w:p>
            <w:pPr>
              <w:keepNext w:val="0"/>
              <w:keepLines w:val="0"/>
              <w:suppressLineNumbers w:val="0"/>
              <w:bidi w:val="0"/>
              <w:spacing w:before="0" w:beforeAutospacing="0" w:after="0" w:afterAutospacing="0"/>
              <w:ind w:left="0" w:right="0"/>
              <w:rPr>
                <w:rFonts w:hint="eastAsia" w:eastAsia="宋体"/>
                <w:u w:val="none"/>
                <w:lang w:val="en-US" w:eastAsia="zh-CN"/>
              </w:rPr>
            </w:pPr>
            <w:r>
              <w:rPr>
                <w:rFonts w:hint="default"/>
                <w:u w:val="none"/>
                <w:lang w:eastAsia="zh-CN"/>
              </w:rPr>
              <w:t>③部分报废车辆有的仍在路上行驶</w:t>
            </w:r>
            <w:r>
              <w:rPr>
                <w:rFonts w:hint="eastAsia"/>
                <w:u w:val="none"/>
                <w:lang w:val="en-US" w:eastAsia="zh-CN"/>
              </w:rPr>
              <w:t>，</w:t>
            </w:r>
            <w:r>
              <w:rPr>
                <w:rFonts w:hint="default"/>
                <w:u w:val="none"/>
                <w:lang w:eastAsia="zh-CN"/>
              </w:rPr>
              <w:t>有的被非法拆解市场收购后组装成拼装车</w:t>
            </w:r>
            <w:r>
              <w:rPr>
                <w:rFonts w:hint="eastAsia"/>
                <w:u w:val="none"/>
                <w:lang w:val="en-US" w:eastAsia="zh-CN"/>
              </w:rPr>
              <w:t>，</w:t>
            </w:r>
            <w:r>
              <w:rPr>
                <w:rFonts w:hint="default"/>
                <w:u w:val="none"/>
                <w:lang w:eastAsia="zh-CN"/>
              </w:rPr>
              <w:t>有的转移到乡村进行无照经营</w:t>
            </w:r>
            <w:r>
              <w:rPr>
                <w:rFonts w:hint="eastAsia"/>
                <w:u w:val="none"/>
                <w:lang w:val="en-US" w:eastAsia="zh-CN"/>
              </w:rPr>
              <w:t>，</w:t>
            </w:r>
            <w:r>
              <w:rPr>
                <w:rFonts w:hint="default"/>
                <w:u w:val="none"/>
                <w:lang w:eastAsia="zh-CN"/>
              </w:rPr>
              <w:t>给道路交通安全造成了极大隐患</w:t>
            </w:r>
            <w:r>
              <w:rPr>
                <w:rFonts w:hint="eastAsia"/>
                <w:u w:val="none"/>
                <w:lang w:val="en-US" w:eastAsia="zh-CN"/>
              </w:rPr>
              <w:t>；</w:t>
            </w:r>
          </w:p>
          <w:p>
            <w:pPr>
              <w:keepNext w:val="0"/>
              <w:keepLines w:val="0"/>
              <w:suppressLineNumbers w:val="0"/>
              <w:bidi w:val="0"/>
              <w:spacing w:before="0" w:beforeAutospacing="0" w:after="0" w:afterAutospacing="0"/>
              <w:ind w:left="0" w:right="0"/>
              <w:rPr>
                <w:rFonts w:hint="default"/>
                <w:u w:val="none"/>
                <w:lang w:val="en-US"/>
              </w:rPr>
            </w:pPr>
            <w:r>
              <w:rPr>
                <w:rFonts w:hint="default"/>
                <w:u w:val="none"/>
                <w:lang w:eastAsia="zh-CN"/>
              </w:rPr>
              <w:t>④现有回收拆解企业技术装备落后、管理水平低下、从业人员素质不高，有待进一步整改和规范。</w:t>
            </w:r>
          </w:p>
          <w:p>
            <w:pPr>
              <w:keepNext w:val="0"/>
              <w:keepLines w:val="0"/>
              <w:suppressLineNumbers w:val="0"/>
              <w:bidi w:val="0"/>
              <w:spacing w:before="0" w:beforeAutospacing="0" w:after="0" w:afterAutospacing="0"/>
              <w:ind w:left="0" w:right="0"/>
              <w:rPr>
                <w:rFonts w:hint="default"/>
                <w:u w:val="none"/>
              </w:rPr>
            </w:pPr>
            <w:r>
              <w:rPr>
                <w:rFonts w:hint="eastAsia"/>
                <w:b w:val="0"/>
                <w:bCs/>
                <w:u w:val="single"/>
                <w:lang w:eastAsia="zh-CN"/>
              </w:rPr>
              <w:t>根据</w:t>
            </w:r>
            <w:r>
              <w:rPr>
                <w:rFonts w:hint="eastAsia"/>
                <w:b w:val="0"/>
                <w:bCs/>
                <w:u w:val="single"/>
                <w:lang w:val="en-US" w:eastAsia="zh-CN"/>
              </w:rPr>
              <w:t>GB22128-2019中地区年总拆解产能计算公式：地区年机动车保有量x（4%~5%）可知，本项目年拆解回收利用10000辆废旧机动车产能合理，</w:t>
            </w:r>
            <w:r>
              <w:rPr>
                <w:rFonts w:hint="eastAsia"/>
                <w:u w:val="none"/>
                <w:lang w:val="en-US" w:eastAsia="zh-CN"/>
              </w:rPr>
              <w:t>为弥补岳阳地区汽车拆解产能，</w:t>
            </w:r>
            <w:r>
              <w:rPr>
                <w:rFonts w:hint="default"/>
                <w:u w:val="none"/>
              </w:rPr>
              <w:t>湖南博西雅再生资源有限公司拟在湖南省岳阳市湘阴县文星镇板桥村</w:t>
            </w:r>
            <w:r>
              <w:rPr>
                <w:rFonts w:hint="eastAsia"/>
                <w:u w:val="none"/>
                <w:lang w:eastAsia="zh-CN"/>
              </w:rPr>
              <w:t>租赁湘阴县顽石再生科技有限公司现有厂房</w:t>
            </w:r>
            <w:r>
              <w:rPr>
                <w:rFonts w:hint="default"/>
                <w:u w:val="none"/>
              </w:rPr>
              <w:t>建设</w:t>
            </w:r>
            <w:r>
              <w:rPr>
                <w:rFonts w:hint="eastAsia"/>
                <w:u w:val="none"/>
                <w:lang w:eastAsia="zh-CN"/>
              </w:rPr>
              <w:t>年拆解回收利用10000辆废旧机动车项目</w:t>
            </w:r>
            <w:r>
              <w:rPr>
                <w:rFonts w:hint="default"/>
                <w:u w:val="none"/>
              </w:rPr>
              <w:t>，年拆解能力为10000辆/年。项目的建成将有利于提高当地社会资源综合利用率，以及减轻废旧车辆随意处置所带来的环境问题。</w:t>
            </w:r>
          </w:p>
          <w:p>
            <w:pPr>
              <w:keepNext w:val="0"/>
              <w:keepLines w:val="0"/>
              <w:suppressLineNumbers w:val="0"/>
              <w:spacing w:before="0" w:beforeAutospacing="0" w:after="0" w:afterAutospacing="0"/>
              <w:ind w:left="0" w:right="0" w:firstLine="480"/>
              <w:rPr>
                <w:rFonts w:hint="default"/>
                <w:u w:val="none"/>
              </w:rPr>
            </w:pPr>
            <w:r>
              <w:rPr>
                <w:rFonts w:hint="eastAsia" w:ascii="Times New Roman" w:hAnsi="Times New Roman" w:eastAsia="宋体" w:cs="Times New Roman"/>
                <w:color w:val="000000"/>
                <w:kern w:val="2"/>
                <w:sz w:val="24"/>
                <w:szCs w:val="24"/>
                <w:u w:val="none"/>
                <w:lang w:val="zh-CN" w:eastAsia="zh-CN" w:bidi="ar"/>
              </w:rPr>
              <w:t>根据《产业结构调整指导目录》（</w:t>
            </w:r>
            <w:r>
              <w:rPr>
                <w:rFonts w:hint="default" w:ascii="Times New Roman" w:hAnsi="Times New Roman" w:eastAsia="宋体" w:cs="Times New Roman"/>
                <w:color w:val="000000"/>
                <w:kern w:val="2"/>
                <w:sz w:val="24"/>
                <w:szCs w:val="24"/>
                <w:u w:val="none"/>
                <w:lang w:val="zh-CN" w:eastAsia="zh-CN" w:bidi="ar"/>
              </w:rPr>
              <w:t>201</w:t>
            </w:r>
            <w:r>
              <w:rPr>
                <w:rFonts w:hint="default" w:ascii="Times New Roman" w:hAnsi="Times New Roman" w:eastAsia="宋体" w:cs="Times New Roman"/>
                <w:color w:val="000000"/>
                <w:kern w:val="2"/>
                <w:sz w:val="24"/>
                <w:szCs w:val="24"/>
                <w:u w:val="none"/>
                <w:lang w:val="en-US" w:eastAsia="zh-CN" w:bidi="ar"/>
              </w:rPr>
              <w:t>9</w:t>
            </w:r>
            <w:r>
              <w:rPr>
                <w:rFonts w:hint="eastAsia" w:ascii="Times New Roman" w:hAnsi="Times New Roman" w:eastAsia="宋体" w:cs="Times New Roman"/>
                <w:color w:val="000000"/>
                <w:kern w:val="2"/>
                <w:sz w:val="24"/>
                <w:szCs w:val="24"/>
                <w:u w:val="none"/>
                <w:lang w:val="zh-CN" w:eastAsia="zh-CN" w:bidi="ar"/>
              </w:rPr>
              <w:t>年本）的规定，本项目为废旧汽车回收拆解及资源化利用项目，属于鼓励类“区域性废旧汽车、废旧电器电子产品、废旧船舶、废钢铁、废旧木材等资源循环利用基地建设”。因此，本项目建设符合国家产业政策。</w:t>
            </w:r>
          </w:p>
          <w:p>
            <w:pPr>
              <w:keepNext w:val="0"/>
              <w:keepLines w:val="0"/>
              <w:suppressLineNumbers w:val="0"/>
              <w:spacing w:before="0" w:beforeAutospacing="0" w:after="0" w:afterAutospacing="0"/>
              <w:ind w:left="0" w:right="0" w:firstLine="480"/>
              <w:rPr>
                <w:rFonts w:hint="eastAsia"/>
                <w:u w:val="none"/>
                <w:lang w:val="en-US" w:eastAsia="zh-CN"/>
              </w:rPr>
            </w:pPr>
            <w:r>
              <w:rPr>
                <w:rFonts w:hint="eastAsia"/>
                <w:u w:val="single"/>
                <w:lang w:val="en-US" w:eastAsia="zh-CN"/>
              </w:rPr>
              <w:t>根据《建设项目环境影响评价分类管理名录》（2021年版）</w:t>
            </w:r>
            <w:r>
              <w:rPr>
                <w:rFonts w:hint="default"/>
                <w:u w:val="single"/>
              </w:rPr>
              <w:t>属于“</w:t>
            </w:r>
            <w:r>
              <w:rPr>
                <w:rFonts w:hint="eastAsia"/>
                <w:u w:val="single"/>
              </w:rPr>
              <w:t>三十九、废弃资源综合利用业85金属废料和碎屑加工处理 421；非金属废料和碎屑加工处理422（421和422均不含原料为危险废物的，均不含仅分拣、破碎的）</w:t>
            </w:r>
            <w:r>
              <w:rPr>
                <w:rFonts w:hint="default"/>
                <w:u w:val="single"/>
              </w:rPr>
              <w:t>”中“</w:t>
            </w:r>
            <w:r>
              <w:rPr>
                <w:rFonts w:hint="eastAsia"/>
                <w:u w:val="single"/>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default"/>
                <w:u w:val="single"/>
              </w:rPr>
              <w:t>”，需编制环境影响评价报告</w:t>
            </w:r>
            <w:r>
              <w:rPr>
                <w:rFonts w:hint="eastAsia"/>
                <w:u w:val="single"/>
                <w:lang w:eastAsia="zh-CN"/>
              </w:rPr>
              <w:t>表</w:t>
            </w:r>
            <w:r>
              <w:rPr>
                <w:rFonts w:hint="eastAsia"/>
                <w:u w:val="single"/>
                <w:lang w:val="en-US" w:eastAsia="zh-CN"/>
              </w:rPr>
              <w:t>。</w:t>
            </w:r>
          </w:p>
          <w:p>
            <w:pPr>
              <w:keepNext w:val="0"/>
              <w:keepLines w:val="0"/>
              <w:suppressLineNumbers w:val="0"/>
              <w:spacing w:before="0" w:beforeAutospacing="0" w:after="0" w:afterAutospacing="0"/>
              <w:ind w:left="0" w:right="0" w:firstLine="480"/>
              <w:rPr>
                <w:rFonts w:hint="default"/>
                <w:kern w:val="24"/>
                <w:u w:val="none"/>
              </w:rPr>
            </w:pPr>
            <w:r>
              <w:rPr>
                <w:rFonts w:hint="default"/>
                <w:u w:val="none"/>
              </w:rPr>
              <w:t>湖南博西雅再生资源有限公司委托湖南志远环境咨询服务有限公司承担该项目的环境影响评价编制工作。评价单位在充分收集有关资料并深入进行现场踏勘后，依据国家、地方的有关环保法律、法规，在建设单位大力支持下，完成了《湖南博西雅再生资源有限公司</w:t>
            </w:r>
            <w:r>
              <w:rPr>
                <w:rFonts w:hint="eastAsia"/>
                <w:u w:val="none"/>
                <w:lang w:eastAsia="zh-CN"/>
              </w:rPr>
              <w:t>年拆解回收利用10000辆废旧机动车项目</w:t>
            </w:r>
            <w:r>
              <w:rPr>
                <w:rFonts w:hint="default"/>
                <w:u w:val="none"/>
              </w:rPr>
              <w:t>》的编制工作</w:t>
            </w:r>
            <w:r>
              <w:rPr>
                <w:rFonts w:hint="default"/>
                <w:snapToGrid w:val="0"/>
                <w:u w:val="none"/>
              </w:rPr>
              <w:t>，</w:t>
            </w:r>
            <w:r>
              <w:rPr>
                <w:rFonts w:hint="default"/>
                <w:kern w:val="24"/>
                <w:u w:val="none"/>
              </w:rPr>
              <w:t>上报有关环境保护行政主管部门审批。</w:t>
            </w:r>
          </w:p>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default"/>
                <w:b w:val="0"/>
                <w:bCs/>
                <w:u w:val="none"/>
              </w:rPr>
            </w:pPr>
          </w:p>
          <w:p>
            <w:pPr>
              <w:pStyle w:val="4"/>
              <w:suppressLineNumbers w:val="0"/>
              <w:spacing w:before="0" w:beforeAutospacing="0" w:after="0" w:afterAutospacing="0"/>
              <w:ind w:left="0" w:right="0" w:firstLine="562"/>
              <w:rPr>
                <w:rFonts w:hint="default"/>
                <w:u w:val="none"/>
              </w:rPr>
            </w:pPr>
            <w:bookmarkStart w:id="5" w:name="_Toc15853"/>
            <w:r>
              <w:rPr>
                <w:rFonts w:hint="eastAsia"/>
                <w:u w:val="none"/>
              </w:rPr>
              <w:t>1.2项目概况</w:t>
            </w:r>
            <w:bookmarkEnd w:id="5"/>
          </w:p>
          <w:p>
            <w:pPr>
              <w:pStyle w:val="5"/>
              <w:suppressLineNumbers w:val="0"/>
              <w:spacing w:before="0" w:beforeAutospacing="0" w:after="0" w:afterAutospacing="0"/>
              <w:ind w:left="0" w:right="0" w:firstLine="562"/>
              <w:rPr>
                <w:rFonts w:hint="default"/>
                <w:u w:val="none"/>
              </w:rPr>
            </w:pPr>
            <w:bookmarkStart w:id="6" w:name="_Toc7662"/>
            <w:r>
              <w:rPr>
                <w:rFonts w:hint="eastAsia"/>
                <w:u w:val="none"/>
              </w:rPr>
              <w:t>1.2</w:t>
            </w:r>
            <w:r>
              <w:rPr>
                <w:rFonts w:hint="default"/>
                <w:u w:val="none"/>
              </w:rPr>
              <w:t>.1项目名称、地点及建设性质</w:t>
            </w:r>
            <w:bookmarkEnd w:id="6"/>
          </w:p>
          <w:p>
            <w:pPr>
              <w:keepNext w:val="0"/>
              <w:keepLines w:val="0"/>
              <w:suppressLineNumbers w:val="0"/>
              <w:spacing w:before="0" w:beforeAutospacing="0" w:after="0" w:afterAutospacing="0" w:line="276" w:lineRule="auto"/>
              <w:ind w:left="0" w:right="0" w:firstLine="480"/>
              <w:jc w:val="left"/>
              <w:rPr>
                <w:rFonts w:hint="eastAsia" w:eastAsia="宋体"/>
                <w:u w:val="none"/>
                <w:lang w:eastAsia="zh-CN"/>
              </w:rPr>
            </w:pPr>
            <w:r>
              <w:rPr>
                <w:rFonts w:hint="eastAsia"/>
                <w:u w:val="none"/>
              </w:rPr>
              <w:t>（1）</w:t>
            </w:r>
            <w:r>
              <w:rPr>
                <w:rFonts w:hint="default"/>
                <w:u w:val="none"/>
              </w:rPr>
              <w:t>项目名称</w:t>
            </w:r>
            <w:r>
              <w:rPr>
                <w:rFonts w:hint="eastAsia"/>
                <w:u w:val="none"/>
              </w:rPr>
              <w:t>：</w:t>
            </w:r>
            <w:r>
              <w:rPr>
                <w:rFonts w:hint="eastAsia"/>
                <w:u w:val="none"/>
                <w:lang w:eastAsia="zh-CN"/>
              </w:rPr>
              <w:t>年拆解回收利用10000辆废旧机动车项目</w:t>
            </w:r>
          </w:p>
          <w:p>
            <w:pPr>
              <w:keepNext w:val="0"/>
              <w:keepLines w:val="0"/>
              <w:suppressLineNumbers w:val="0"/>
              <w:spacing w:before="0" w:beforeAutospacing="0" w:after="0" w:afterAutospacing="0" w:line="276" w:lineRule="auto"/>
              <w:ind w:left="0" w:right="0" w:firstLine="480"/>
              <w:jc w:val="left"/>
              <w:rPr>
                <w:rFonts w:hint="eastAsia" w:eastAsia="宋体"/>
                <w:u w:val="none"/>
                <w:lang w:eastAsia="zh-CN"/>
              </w:rPr>
            </w:pPr>
            <w:r>
              <w:rPr>
                <w:rFonts w:hint="eastAsia"/>
                <w:u w:val="none"/>
              </w:rPr>
              <w:t>（2）建设单位：</w:t>
            </w:r>
            <w:r>
              <w:rPr>
                <w:rFonts w:hint="eastAsia"/>
                <w:u w:val="none"/>
                <w:lang w:eastAsia="zh-CN"/>
              </w:rPr>
              <w:t>湖南博西雅再生资源有限公司</w:t>
            </w:r>
          </w:p>
          <w:p>
            <w:pPr>
              <w:keepNext w:val="0"/>
              <w:keepLines w:val="0"/>
              <w:suppressLineNumbers w:val="0"/>
              <w:spacing w:before="0" w:beforeAutospacing="0" w:after="0" w:afterAutospacing="0" w:line="276" w:lineRule="auto"/>
              <w:ind w:left="0" w:right="0" w:firstLine="480"/>
              <w:jc w:val="left"/>
              <w:rPr>
                <w:rFonts w:hint="eastAsia"/>
                <w:u w:val="none"/>
                <w:lang w:eastAsia="zh-CN"/>
              </w:rPr>
            </w:pPr>
            <w:r>
              <w:rPr>
                <w:rFonts w:hint="eastAsia"/>
                <w:u w:val="none"/>
              </w:rPr>
              <w:t>（3）建设地点：</w:t>
            </w:r>
            <w:r>
              <w:rPr>
                <w:rFonts w:hint="eastAsia"/>
                <w:u w:val="none"/>
                <w:lang w:eastAsia="zh-CN"/>
              </w:rPr>
              <w:t>湖南省岳阳市湘阴县文星镇板桥村（租赁湘阴县顽石再生科技有限公司现有厂房进行建设本项目，经纬度：东经</w:t>
            </w:r>
            <w:r>
              <w:rPr>
                <w:rFonts w:hint="default"/>
                <w:u w:val="none"/>
              </w:rPr>
              <w:t>112.93059647</w:t>
            </w:r>
            <w:r>
              <w:rPr>
                <w:rFonts w:hint="eastAsia"/>
                <w:u w:val="none"/>
                <w:lang w:eastAsia="zh-CN"/>
              </w:rPr>
              <w:t>，北纬28.69208409）</w:t>
            </w:r>
          </w:p>
          <w:p>
            <w:pPr>
              <w:keepNext w:val="0"/>
              <w:keepLines w:val="0"/>
              <w:suppressLineNumbers w:val="0"/>
              <w:spacing w:before="0" w:beforeAutospacing="0" w:after="0" w:afterAutospacing="0" w:line="276" w:lineRule="auto"/>
              <w:ind w:left="0" w:right="0" w:firstLine="480"/>
              <w:jc w:val="left"/>
              <w:rPr>
                <w:rFonts w:hint="eastAsia" w:eastAsia="宋体"/>
                <w:u w:val="none"/>
                <w:lang w:eastAsia="zh-CN"/>
              </w:rPr>
            </w:pPr>
            <w:r>
              <w:rPr>
                <w:rFonts w:hint="eastAsia"/>
                <w:u w:val="none"/>
              </w:rPr>
              <w:t>（4）</w:t>
            </w:r>
            <w:r>
              <w:rPr>
                <w:rFonts w:hint="default"/>
                <w:u w:val="none"/>
              </w:rPr>
              <w:t>项目性质</w:t>
            </w:r>
            <w:r>
              <w:rPr>
                <w:rFonts w:hint="eastAsia"/>
                <w:u w:val="none"/>
              </w:rPr>
              <w:t>：</w:t>
            </w:r>
            <w:r>
              <w:rPr>
                <w:rFonts w:hint="eastAsia"/>
                <w:u w:val="none"/>
                <w:lang w:eastAsia="zh-CN"/>
              </w:rPr>
              <w:t>新建</w:t>
            </w:r>
          </w:p>
          <w:p>
            <w:pPr>
              <w:keepNext w:val="0"/>
              <w:keepLines w:val="0"/>
              <w:suppressLineNumbers w:val="0"/>
              <w:spacing w:before="0" w:beforeAutospacing="0" w:after="0" w:afterAutospacing="0"/>
              <w:ind w:left="0" w:right="0" w:firstLine="480"/>
              <w:rPr>
                <w:rFonts w:hint="default"/>
                <w:u w:val="none"/>
              </w:rPr>
            </w:pPr>
            <w:r>
              <w:rPr>
                <w:rFonts w:hint="eastAsia"/>
                <w:u w:val="none"/>
              </w:rPr>
              <w:t>（5）建设内容：</w:t>
            </w:r>
            <w:r>
              <w:rPr>
                <w:rFonts w:hint="default"/>
                <w:u w:val="none"/>
              </w:rPr>
              <w:t>生产性用房、非生产性用房及辅助用房的建筑安装工程，分为管理区、未拆解的报废机动车贮存区、拆解作业区、产品（半成品）贮存区、污染控制区（即各类废物的收集、贮存和处理区，以及其他道路、绿化、给排水、供配电、污水处理等总图运输及公用辅助工程，购置精细化拆解设备、氟利昂抽取设备、油水分离设备、切割机、压块机、叉车、牵引设备、称重设备、起重设备等，建设年拆解10000</w:t>
            </w:r>
            <w:r>
              <w:rPr>
                <w:rFonts w:hint="eastAsia"/>
                <w:u w:val="none"/>
                <w:lang w:eastAsia="zh-CN"/>
              </w:rPr>
              <w:t>辆</w:t>
            </w:r>
            <w:r>
              <w:rPr>
                <w:rFonts w:hint="default"/>
                <w:u w:val="none"/>
              </w:rPr>
              <w:t>机动车生产线。</w:t>
            </w:r>
          </w:p>
          <w:p>
            <w:pPr>
              <w:keepNext w:val="0"/>
              <w:keepLines w:val="0"/>
              <w:suppressLineNumbers w:val="0"/>
              <w:spacing w:before="0" w:beforeAutospacing="0" w:after="0" w:afterAutospacing="0"/>
              <w:ind w:left="0" w:right="0" w:firstLine="480"/>
              <w:rPr>
                <w:rFonts w:hint="default" w:ascii="Times New Roman" w:hAnsi="Times New Roman" w:eastAsia="宋体" w:cs="Times New Roman"/>
                <w:kern w:val="2"/>
                <w:sz w:val="24"/>
                <w:szCs w:val="22"/>
                <w:u w:val="none"/>
                <w:vertAlign w:val="superscript"/>
                <w:lang w:val="en-US" w:eastAsia="zh-CN" w:bidi="ar"/>
              </w:rPr>
            </w:pPr>
            <w:r>
              <w:rPr>
                <w:rFonts w:hint="eastAsia"/>
                <w:u w:val="none"/>
              </w:rPr>
              <w:t>（6）</w:t>
            </w:r>
            <w:r>
              <w:rPr>
                <w:rFonts w:hint="eastAsia" w:ascii="Times New Roman" w:hAnsi="Times New Roman" w:eastAsia="宋体" w:cs="Times New Roman"/>
                <w:kern w:val="2"/>
                <w:sz w:val="24"/>
                <w:szCs w:val="22"/>
                <w:u w:val="none"/>
                <w:lang w:val="en-US" w:eastAsia="zh-CN" w:bidi="ar"/>
              </w:rPr>
              <w:t>占地面积及建筑面积：总用地面积</w:t>
            </w:r>
            <w:r>
              <w:rPr>
                <w:rFonts w:hint="default"/>
                <w:u w:val="none"/>
              </w:rPr>
              <w:t>3325平方米</w:t>
            </w:r>
            <w:r>
              <w:rPr>
                <w:rFonts w:hint="eastAsia" w:ascii="Times New Roman" w:hAnsi="Times New Roman" w:eastAsia="宋体" w:cs="Times New Roman"/>
                <w:kern w:val="2"/>
                <w:sz w:val="24"/>
                <w:szCs w:val="22"/>
                <w:u w:val="none"/>
                <w:lang w:val="en-US" w:eastAsia="zh-CN" w:bidi="ar"/>
              </w:rPr>
              <w:t>，总建筑面积约</w:t>
            </w:r>
            <w:r>
              <w:rPr>
                <w:rFonts w:hint="default"/>
                <w:u w:val="none"/>
              </w:rPr>
              <w:t>3325平方米</w:t>
            </w:r>
          </w:p>
          <w:p>
            <w:pPr>
              <w:keepNext w:val="0"/>
              <w:keepLines w:val="0"/>
              <w:suppressLineNumbers w:val="0"/>
              <w:spacing w:before="0" w:beforeAutospacing="0" w:after="0" w:afterAutospacing="0"/>
              <w:ind w:left="0" w:right="0" w:firstLine="480"/>
              <w:rPr>
                <w:rFonts w:hint="default"/>
                <w:u w:val="none"/>
              </w:rPr>
            </w:pPr>
            <w:r>
              <w:rPr>
                <w:rFonts w:hint="eastAsia"/>
                <w:u w:val="none"/>
              </w:rPr>
              <w:t>（</w:t>
            </w:r>
            <w:r>
              <w:rPr>
                <w:rFonts w:hint="eastAsia"/>
                <w:u w:val="none"/>
                <w:lang w:val="en-US" w:eastAsia="zh-CN"/>
              </w:rPr>
              <w:t>7</w:t>
            </w:r>
            <w:r>
              <w:rPr>
                <w:rFonts w:hint="eastAsia"/>
                <w:u w:val="none"/>
              </w:rPr>
              <w:t>）总投资：</w:t>
            </w:r>
            <w:r>
              <w:rPr>
                <w:rFonts w:hint="default"/>
                <w:color w:val="000000" w:themeColor="text1"/>
                <w:u w:val="none"/>
                <w14:textFill>
                  <w14:solidFill>
                    <w14:schemeClr w14:val="tx1"/>
                  </w14:solidFill>
                </w14:textFill>
              </w:rPr>
              <w:t>本项目总投资约</w:t>
            </w:r>
            <w:r>
              <w:rPr>
                <w:rFonts w:hint="eastAsia"/>
                <w:u w:val="none"/>
                <w:lang w:val="en-US" w:eastAsia="zh-CN"/>
              </w:rPr>
              <w:t>1000</w:t>
            </w:r>
            <w:r>
              <w:rPr>
                <w:rFonts w:hint="default"/>
                <w:color w:val="000000" w:themeColor="text1"/>
                <w:u w:val="none"/>
                <w14:textFill>
                  <w14:solidFill>
                    <w14:schemeClr w14:val="tx1"/>
                  </w14:solidFill>
                </w14:textFill>
              </w:rPr>
              <w:t>万元，其中环保投资估算为</w:t>
            </w:r>
            <w:r>
              <w:rPr>
                <w:rFonts w:hint="eastAsia"/>
                <w:color w:val="000000" w:themeColor="text1"/>
                <w:u w:val="none"/>
                <w:lang w:val="en-US" w:eastAsia="zh-CN"/>
                <w14:textFill>
                  <w14:solidFill>
                    <w14:schemeClr w14:val="tx1"/>
                  </w14:solidFill>
                </w14:textFill>
              </w:rPr>
              <w:t>129</w:t>
            </w:r>
            <w:r>
              <w:rPr>
                <w:rFonts w:hint="default"/>
                <w:color w:val="000000" w:themeColor="text1"/>
                <w:u w:val="none"/>
                <w14:textFill>
                  <w14:solidFill>
                    <w14:schemeClr w14:val="tx1"/>
                  </w14:solidFill>
                </w14:textFill>
              </w:rPr>
              <w:t>万元，约占工程总投资的</w:t>
            </w:r>
            <w:r>
              <w:rPr>
                <w:rFonts w:hint="eastAsia"/>
                <w:color w:val="000000" w:themeColor="text1"/>
                <w:u w:val="none"/>
                <w14:textFill>
                  <w14:solidFill>
                    <w14:schemeClr w14:val="tx1"/>
                  </w14:solidFill>
                </w14:textFill>
              </w:rPr>
              <w:t>12.</w:t>
            </w:r>
            <w:r>
              <w:rPr>
                <w:rFonts w:hint="eastAsia"/>
                <w:color w:val="000000" w:themeColor="text1"/>
                <w:u w:val="none"/>
                <w:lang w:val="en-US" w:eastAsia="zh-CN"/>
                <w14:textFill>
                  <w14:solidFill>
                    <w14:schemeClr w14:val="tx1"/>
                  </w14:solidFill>
                </w14:textFill>
              </w:rPr>
              <w:t>9</w:t>
            </w:r>
            <w:r>
              <w:rPr>
                <w:rFonts w:hint="default"/>
                <w:color w:val="000000" w:themeColor="text1"/>
                <w:u w:val="none"/>
                <w14:textFill>
                  <w14:solidFill>
                    <w14:schemeClr w14:val="tx1"/>
                  </w14:solidFill>
                </w14:textFill>
              </w:rPr>
              <w:t>%</w:t>
            </w:r>
          </w:p>
          <w:p>
            <w:pPr>
              <w:keepNext w:val="0"/>
              <w:keepLines w:val="0"/>
              <w:suppressLineNumbers w:val="0"/>
              <w:spacing w:before="0" w:beforeAutospacing="0" w:after="0" w:afterAutospacing="0"/>
              <w:ind w:left="0" w:right="0" w:firstLine="480"/>
              <w:rPr>
                <w:rFonts w:hint="eastAsia" w:ascii="Times New Roman" w:hAnsi="Times New Roman" w:eastAsia="宋体" w:cs="Times New Roman"/>
                <w:kern w:val="2"/>
                <w:sz w:val="24"/>
                <w:szCs w:val="22"/>
                <w:u w:val="none"/>
                <w:lang w:val="en-US" w:eastAsia="zh-CN" w:bidi="ar"/>
              </w:rPr>
            </w:pPr>
            <w:r>
              <w:rPr>
                <w:rFonts w:hint="eastAsia"/>
                <w:u w:val="none"/>
              </w:rPr>
              <w:t>（</w:t>
            </w:r>
            <w:r>
              <w:rPr>
                <w:rFonts w:hint="eastAsia"/>
                <w:u w:val="none"/>
                <w:lang w:val="en-US" w:eastAsia="zh-CN"/>
              </w:rPr>
              <w:t>8</w:t>
            </w:r>
            <w:r>
              <w:rPr>
                <w:rFonts w:hint="eastAsia"/>
                <w:u w:val="none"/>
              </w:rPr>
              <w:t>）</w:t>
            </w:r>
            <w:r>
              <w:rPr>
                <w:rFonts w:hint="eastAsia" w:ascii="Times New Roman" w:hAnsi="Times New Roman" w:eastAsia="宋体" w:cs="Times New Roman"/>
                <w:kern w:val="2"/>
                <w:sz w:val="24"/>
                <w:szCs w:val="22"/>
                <w:u w:val="none"/>
                <w:lang w:val="en-US" w:eastAsia="zh-CN" w:bidi="ar"/>
              </w:rPr>
              <w:t>生产规模：年拆解废旧乘用车（小汽车）6000</w:t>
            </w:r>
            <w:r>
              <w:rPr>
                <w:rFonts w:hint="eastAsia"/>
                <w:u w:val="none"/>
                <w:lang w:eastAsia="zh-CN"/>
              </w:rPr>
              <w:t>辆</w:t>
            </w:r>
            <w:r>
              <w:rPr>
                <w:rFonts w:hint="eastAsia" w:ascii="Times New Roman" w:hAnsi="Times New Roman" w:eastAsia="宋体" w:cs="Times New Roman"/>
                <w:kern w:val="2"/>
                <w:sz w:val="24"/>
                <w:szCs w:val="22"/>
                <w:u w:val="none"/>
                <w:lang w:val="en-US" w:eastAsia="zh-CN" w:bidi="ar"/>
              </w:rPr>
              <w:t>、废旧载重货车2000</w:t>
            </w:r>
            <w:r>
              <w:rPr>
                <w:rFonts w:hint="eastAsia"/>
                <w:u w:val="none"/>
                <w:lang w:eastAsia="zh-CN"/>
              </w:rPr>
              <w:t>辆</w:t>
            </w:r>
            <w:r>
              <w:rPr>
                <w:rFonts w:hint="eastAsia" w:ascii="Times New Roman" w:hAnsi="Times New Roman" w:eastAsia="宋体" w:cs="Times New Roman"/>
                <w:kern w:val="2"/>
                <w:sz w:val="24"/>
                <w:szCs w:val="22"/>
                <w:u w:val="none"/>
                <w:lang w:val="en-US" w:eastAsia="zh-CN" w:bidi="ar"/>
              </w:rPr>
              <w:t>、废旧客车500</w:t>
            </w:r>
            <w:r>
              <w:rPr>
                <w:rFonts w:hint="eastAsia"/>
                <w:u w:val="none"/>
                <w:lang w:eastAsia="zh-CN"/>
              </w:rPr>
              <w:t>辆</w:t>
            </w:r>
            <w:r>
              <w:rPr>
                <w:rFonts w:hint="eastAsia" w:ascii="Times New Roman" w:hAnsi="Times New Roman" w:eastAsia="宋体" w:cs="Times New Roman"/>
                <w:kern w:val="2"/>
                <w:sz w:val="24"/>
                <w:szCs w:val="22"/>
                <w:u w:val="none"/>
                <w:lang w:val="en-US" w:eastAsia="zh-CN" w:bidi="ar"/>
              </w:rPr>
              <w:t>、废旧农用车1000</w:t>
            </w:r>
            <w:r>
              <w:rPr>
                <w:rFonts w:hint="eastAsia"/>
                <w:u w:val="none"/>
                <w:lang w:eastAsia="zh-CN"/>
              </w:rPr>
              <w:t>辆</w:t>
            </w:r>
            <w:r>
              <w:rPr>
                <w:rFonts w:hint="eastAsia" w:ascii="Times New Roman" w:hAnsi="Times New Roman" w:eastAsia="宋体" w:cs="Times New Roman"/>
                <w:kern w:val="2"/>
                <w:sz w:val="24"/>
                <w:szCs w:val="22"/>
                <w:u w:val="none"/>
                <w:lang w:val="en-US" w:eastAsia="zh-CN" w:bidi="ar"/>
              </w:rPr>
              <w:t>、废旧摩托车500</w:t>
            </w:r>
            <w:r>
              <w:rPr>
                <w:rFonts w:hint="eastAsia"/>
                <w:u w:val="none"/>
                <w:lang w:eastAsia="zh-CN"/>
              </w:rPr>
              <w:t>辆，共计</w:t>
            </w:r>
            <w:r>
              <w:rPr>
                <w:rFonts w:hint="default"/>
                <w:u w:val="none"/>
              </w:rPr>
              <w:t>10000</w:t>
            </w:r>
            <w:r>
              <w:rPr>
                <w:rFonts w:hint="eastAsia"/>
                <w:u w:val="none"/>
                <w:lang w:eastAsia="zh-CN"/>
              </w:rPr>
              <w:t>辆。</w:t>
            </w:r>
          </w:p>
          <w:p>
            <w:pPr>
              <w:keepNext w:val="0"/>
              <w:keepLines w:val="0"/>
              <w:suppressLineNumbers w:val="0"/>
              <w:spacing w:before="0" w:beforeAutospacing="0" w:after="0" w:afterAutospacing="0"/>
              <w:ind w:left="0" w:right="0" w:firstLine="480"/>
              <w:rPr>
                <w:rFonts w:hint="eastAsia"/>
                <w:u w:val="none"/>
                <w:lang w:eastAsia="zh-CN"/>
              </w:rPr>
            </w:pPr>
            <w:r>
              <w:rPr>
                <w:rFonts w:hint="eastAsia"/>
                <w:u w:val="none"/>
              </w:rPr>
              <w:t>（</w:t>
            </w:r>
            <w:r>
              <w:rPr>
                <w:rFonts w:hint="eastAsia"/>
                <w:u w:val="none"/>
                <w:lang w:val="en-US" w:eastAsia="zh-CN"/>
              </w:rPr>
              <w:t>9</w:t>
            </w:r>
            <w:r>
              <w:rPr>
                <w:rFonts w:hint="eastAsia"/>
                <w:u w:val="none"/>
              </w:rPr>
              <w:t>）</w:t>
            </w:r>
            <w:r>
              <w:rPr>
                <w:rFonts w:hint="eastAsia"/>
                <w:u w:val="none"/>
                <w:lang w:eastAsia="zh-CN"/>
              </w:rPr>
              <w:t>预计投产日期：2021年7月投产。</w:t>
            </w:r>
          </w:p>
          <w:p>
            <w:pPr>
              <w:keepNext w:val="0"/>
              <w:keepLines w:val="0"/>
              <w:suppressLineNumbers w:val="0"/>
              <w:spacing w:before="0" w:beforeAutospacing="0" w:after="0" w:afterAutospacing="0"/>
              <w:ind w:left="0" w:right="0" w:firstLine="480"/>
              <w:rPr>
                <w:rFonts w:hint="eastAsia"/>
                <w:u w:val="none"/>
                <w:lang w:eastAsia="zh-CN"/>
              </w:rPr>
            </w:pPr>
            <w:r>
              <w:rPr>
                <w:rFonts w:hint="eastAsia"/>
                <w:u w:val="none"/>
              </w:rPr>
              <w:t>（</w:t>
            </w:r>
            <w:r>
              <w:rPr>
                <w:rFonts w:hint="eastAsia"/>
                <w:u w:val="none"/>
                <w:lang w:val="en-US" w:eastAsia="zh-CN"/>
              </w:rPr>
              <w:t>10</w:t>
            </w:r>
            <w:r>
              <w:rPr>
                <w:rFonts w:hint="eastAsia"/>
                <w:u w:val="none"/>
              </w:rPr>
              <w:t>）</w:t>
            </w:r>
            <w:r>
              <w:rPr>
                <w:rFonts w:hint="eastAsia"/>
                <w:u w:val="none"/>
                <w:lang w:eastAsia="zh-CN"/>
              </w:rPr>
              <w:t>汽车回收范围：近期汽车回收范围为湘阴县及湘阴县周边等。</w:t>
            </w:r>
          </w:p>
          <w:p>
            <w:pPr>
              <w:keepNext w:val="0"/>
              <w:keepLines w:val="0"/>
              <w:suppressLineNumbers w:val="0"/>
              <w:spacing w:before="0" w:beforeAutospacing="0" w:after="0" w:afterAutospacing="0"/>
              <w:ind w:left="0" w:right="0" w:firstLine="480"/>
              <w:rPr>
                <w:rFonts w:hint="eastAsia"/>
                <w:u w:val="none"/>
                <w:lang w:eastAsia="zh-CN"/>
              </w:rPr>
            </w:pPr>
            <w:r>
              <w:rPr>
                <w:rFonts w:hint="eastAsia"/>
                <w:u w:val="none"/>
              </w:rPr>
              <w:t>（</w:t>
            </w:r>
            <w:r>
              <w:rPr>
                <w:rFonts w:hint="eastAsia"/>
                <w:u w:val="none"/>
                <w:lang w:val="en-US" w:eastAsia="zh-CN"/>
              </w:rPr>
              <w:t>11</w:t>
            </w:r>
            <w:r>
              <w:rPr>
                <w:rFonts w:hint="eastAsia"/>
                <w:u w:val="none"/>
              </w:rPr>
              <w:t>）</w:t>
            </w:r>
            <w:r>
              <w:rPr>
                <w:rFonts w:hint="eastAsia"/>
                <w:u w:val="none"/>
                <w:lang w:eastAsia="zh-CN"/>
              </w:rPr>
              <w:t>劳动定员及工作制度：本项目劳动定员14人，一班8h制，工作时间：300天，共计2400h，无食宿。</w:t>
            </w:r>
          </w:p>
          <w:p>
            <w:pPr>
              <w:pStyle w:val="5"/>
              <w:suppressLineNumbers w:val="0"/>
              <w:spacing w:before="0" w:beforeAutospacing="0" w:after="0" w:afterAutospacing="0"/>
              <w:ind w:left="0" w:right="0" w:firstLine="562"/>
              <w:rPr>
                <w:rFonts w:hint="default"/>
                <w:u w:val="none"/>
              </w:rPr>
            </w:pPr>
            <w:bookmarkStart w:id="7" w:name="_Toc28287"/>
            <w:r>
              <w:rPr>
                <w:rFonts w:hint="eastAsia"/>
                <w:u w:val="none"/>
              </w:rPr>
              <w:t>1.2</w:t>
            </w:r>
            <w:r>
              <w:rPr>
                <w:rFonts w:hint="default"/>
                <w:u w:val="none"/>
              </w:rPr>
              <w:t>.</w:t>
            </w:r>
            <w:r>
              <w:rPr>
                <w:rFonts w:hint="eastAsia"/>
                <w:u w:val="none"/>
              </w:rPr>
              <w:t>2</w:t>
            </w:r>
            <w:r>
              <w:rPr>
                <w:rFonts w:hint="default"/>
                <w:u w:val="none"/>
              </w:rPr>
              <w:t>项目</w:t>
            </w:r>
            <w:r>
              <w:rPr>
                <w:rFonts w:hint="eastAsia"/>
                <w:u w:val="none"/>
              </w:rPr>
              <w:t>组成</w:t>
            </w:r>
            <w:bookmarkEnd w:id="7"/>
          </w:p>
          <w:p>
            <w:pPr>
              <w:keepNext w:val="0"/>
              <w:keepLines w:val="0"/>
              <w:suppressLineNumbers w:val="0"/>
              <w:spacing w:before="0" w:beforeAutospacing="0" w:after="0" w:afterAutospacing="0" w:line="276" w:lineRule="auto"/>
              <w:ind w:left="0" w:right="0" w:firstLine="480"/>
              <w:jc w:val="left"/>
              <w:rPr>
                <w:rFonts w:hint="default"/>
                <w:u w:val="none"/>
              </w:rPr>
            </w:pPr>
            <w:r>
              <w:rPr>
                <w:rFonts w:hint="default"/>
                <w:u w:val="none"/>
              </w:rPr>
              <w:t>本项目为新建项目，为</w:t>
            </w:r>
            <w:r>
              <w:rPr>
                <w:rFonts w:hint="eastAsia"/>
                <w:u w:val="none"/>
                <w:lang w:eastAsia="zh-CN"/>
              </w:rPr>
              <w:t>年拆解回收利用10000辆废旧机动车项目</w:t>
            </w:r>
            <w:r>
              <w:rPr>
                <w:rFonts w:hint="default"/>
                <w:u w:val="none"/>
              </w:rPr>
              <w:t>，项目建成后，形成10000辆/年的报废机动车拆解能力。主要建设内容包括主体工程、辅助工程、公用工程、储运工程和环保工程、主要建设内容见下表。。</w:t>
            </w:r>
          </w:p>
          <w:p>
            <w:pPr>
              <w:pStyle w:val="50"/>
              <w:keepNext w:val="0"/>
              <w:keepLines w:val="0"/>
              <w:suppressLineNumbers w:val="0"/>
              <w:spacing w:before="217" w:beforeAutospacing="0" w:after="0" w:afterAutospacing="0"/>
              <w:ind w:left="0" w:right="0"/>
              <w:rPr>
                <w:rFonts w:hint="default"/>
                <w:u w:val="none"/>
              </w:rPr>
            </w:pPr>
            <w:r>
              <w:rPr>
                <w:rFonts w:hint="default"/>
                <w:u w:val="none"/>
              </w:rPr>
              <w:t>表1</w:t>
            </w:r>
            <w:r>
              <w:rPr>
                <w:rFonts w:hint="eastAsia"/>
                <w:u w:val="none"/>
              </w:rPr>
              <w:t>-1</w:t>
            </w:r>
            <w:r>
              <w:rPr>
                <w:rFonts w:hint="default"/>
                <w:u w:val="none"/>
              </w:rPr>
              <w:t xml:space="preserve">  项目主要建设工程组成一览表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171"/>
              <w:gridCol w:w="3554"/>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工程</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类别</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工程</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名称</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主要建设内容</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主体工程</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拆解作业区</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占地面积约</w:t>
                  </w:r>
                  <w:r>
                    <w:rPr>
                      <w:rFonts w:hint="eastAsia"/>
                      <w:u w:val="none"/>
                      <w:lang w:val="en-US" w:eastAsia="zh-CN"/>
                    </w:rPr>
                    <w:t>5</w:t>
                  </w:r>
                  <w:r>
                    <w:rPr>
                      <w:rFonts w:hint="eastAsia"/>
                      <w:u w:val="none"/>
                    </w:rPr>
                    <w:t>00平方米，拆解机动车生产线一条，包括预拆解过程、拆解过程等工艺</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辅助工程</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办公生活区（管理区）</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占地面积约200平方米，用于职工办公生活及管理等功能</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地磅</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用于称量</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工具间</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存放工具</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公用工程</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供水系统</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依托现有自来水管网</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排水系统</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雨污分流</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供电系统</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依托现有供电管网</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储运工程</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未拆解的报废机动车贮存区</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占地面积约</w:t>
                  </w:r>
                  <w:r>
                    <w:rPr>
                      <w:rFonts w:hint="eastAsia"/>
                      <w:u w:val="none"/>
                      <w:lang w:val="en-US" w:eastAsia="zh-CN"/>
                    </w:rPr>
                    <w:t>1</w:t>
                  </w:r>
                  <w:r>
                    <w:rPr>
                      <w:rFonts w:hint="eastAsia"/>
                      <w:u w:val="none"/>
                    </w:rPr>
                    <w:t>500平方米</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产品（半成品）贮存区</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占地面积约</w:t>
                  </w:r>
                  <w:r>
                    <w:rPr>
                      <w:rFonts w:hint="eastAsia"/>
                      <w:u w:val="none"/>
                      <w:lang w:val="en-US" w:eastAsia="zh-CN"/>
                    </w:rPr>
                    <w:t>4</w:t>
                  </w:r>
                  <w:r>
                    <w:rPr>
                      <w:rFonts w:hint="eastAsia"/>
                      <w:u w:val="none"/>
                    </w:rPr>
                    <w:t>00平方米，分为零部件销售库房、有色金属存放区、发动机零件暂存区、橡胶暂存区、塑料暂存区、钢材暂存区、玻璃暂存区、纤维/皮革暂存区、车胎暂存区、周转箱暂存区、油品库房</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环保工程</w:t>
                  </w: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废气治理</w:t>
                  </w:r>
                </w:p>
              </w:tc>
              <w:tc>
                <w:tcPr>
                  <w:tcW w:w="2141"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少量非甲烷总烃无组织排放</w:t>
                  </w:r>
                  <w:r>
                    <w:rPr>
                      <w:rFonts w:hint="eastAsia"/>
                      <w:u w:val="none"/>
                      <w:lang w:eastAsia="zh-CN"/>
                    </w:rPr>
                    <w:t>，切割粉尘降落在车间内进行人工清扫</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废水治理</w:t>
                  </w:r>
                </w:p>
              </w:tc>
              <w:tc>
                <w:tcPr>
                  <w:tcW w:w="2141"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厂区生活废水经化粪池处理后作农肥</w:t>
                  </w:r>
                  <w:r>
                    <w:rPr>
                      <w:rFonts w:hint="eastAsia"/>
                      <w:u w:val="none"/>
                      <w:lang w:eastAsia="zh-CN"/>
                    </w:rPr>
                    <w:t>，初期雨水、车间地面清洗废水、车辆清洗废水依托湘阴县顽石再生科技有限公司隔油池</w:t>
                  </w:r>
                  <w:r>
                    <w:rPr>
                      <w:rFonts w:hint="eastAsia"/>
                      <w:u w:val="none"/>
                      <w:lang w:val="en-US" w:eastAsia="zh-CN"/>
                    </w:rPr>
                    <w:t>+</w:t>
                  </w:r>
                  <w:r>
                    <w:rPr>
                      <w:rFonts w:hint="eastAsia"/>
                      <w:u w:val="none"/>
                      <w:lang w:eastAsia="zh-CN"/>
                    </w:rPr>
                    <w:t>三级沉淀池处理后再利用</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固废处理</w:t>
                  </w:r>
                </w:p>
              </w:tc>
              <w:tc>
                <w:tcPr>
                  <w:tcW w:w="2141"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危废暂存间</w:t>
                  </w:r>
                  <w:r>
                    <w:rPr>
                      <w:rFonts w:hint="eastAsia"/>
                      <w:u w:val="none"/>
                      <w:lang w:eastAsia="zh-CN"/>
                    </w:rPr>
                    <w:t>，</w:t>
                  </w:r>
                  <w:r>
                    <w:rPr>
                      <w:rFonts w:hint="eastAsia"/>
                      <w:u w:val="none"/>
                    </w:rPr>
                    <w:t>约</w:t>
                  </w:r>
                  <w:r>
                    <w:rPr>
                      <w:rFonts w:hint="eastAsia"/>
                      <w:u w:val="none"/>
                      <w:lang w:val="en-US" w:eastAsia="zh-CN"/>
                    </w:rPr>
                    <w:t>1</w:t>
                  </w:r>
                  <w:r>
                    <w:rPr>
                      <w:rFonts w:hint="eastAsia"/>
                      <w:u w:val="none"/>
                    </w:rPr>
                    <w:t>00平方米</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一般固废暂存间</w:t>
                  </w:r>
                  <w:r>
                    <w:rPr>
                      <w:rFonts w:hint="eastAsia"/>
                      <w:u w:val="none"/>
                      <w:lang w:eastAsia="zh-CN"/>
                    </w:rPr>
                    <w:t>，</w:t>
                  </w:r>
                  <w:r>
                    <w:rPr>
                      <w:rFonts w:hint="eastAsia"/>
                      <w:u w:val="none"/>
                    </w:rPr>
                    <w:t>约</w:t>
                  </w:r>
                  <w:r>
                    <w:rPr>
                      <w:rFonts w:hint="eastAsia"/>
                      <w:u w:val="none"/>
                      <w:lang w:val="en-US" w:eastAsia="zh-CN"/>
                    </w:rPr>
                    <w:t>50</w:t>
                  </w:r>
                  <w:r>
                    <w:rPr>
                      <w:rFonts w:hint="eastAsia"/>
                      <w:u w:val="none"/>
                    </w:rPr>
                    <w:t>平方米</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30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噪声处理</w:t>
                  </w:r>
                </w:p>
              </w:tc>
              <w:tc>
                <w:tcPr>
                  <w:tcW w:w="214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隔声、减震等</w:t>
                  </w:r>
                </w:p>
              </w:tc>
              <w:tc>
                <w:tcPr>
                  <w:tcW w:w="876" w:type="pct"/>
                  <w:vAlign w:val="center"/>
                </w:tcPr>
                <w:p>
                  <w:pPr>
                    <w:pStyle w:val="49"/>
                    <w:keepNext w:val="0"/>
                    <w:keepLines w:val="0"/>
                    <w:suppressLineNumbers w:val="0"/>
                    <w:bidi w:val="0"/>
                    <w:spacing w:before="0" w:beforeAutospacing="0" w:after="0" w:afterAutospacing="0"/>
                    <w:ind w:left="0" w:right="0"/>
                    <w:rPr>
                      <w:rFonts w:hint="default"/>
                      <w:u w:val="none"/>
                    </w:rPr>
                  </w:pPr>
                </w:p>
              </w:tc>
            </w:tr>
          </w:tbl>
          <w:p>
            <w:pPr>
              <w:pStyle w:val="5"/>
              <w:suppressLineNumbers w:val="0"/>
              <w:bidi w:val="0"/>
              <w:spacing w:before="0" w:beforeAutospacing="0" w:after="0" w:afterAutospacing="0"/>
              <w:ind w:left="0" w:right="0"/>
              <w:rPr>
                <w:rFonts w:hint="eastAsia"/>
                <w:u w:val="none"/>
              </w:rPr>
            </w:pPr>
            <w:bookmarkStart w:id="8" w:name="_Toc21443"/>
            <w:r>
              <w:rPr>
                <w:rFonts w:hint="default"/>
                <w:u w:val="none"/>
              </w:rPr>
              <w:t>1.</w:t>
            </w:r>
            <w:r>
              <w:rPr>
                <w:rFonts w:hint="eastAsia"/>
                <w:u w:val="none"/>
              </w:rPr>
              <w:t>2</w:t>
            </w:r>
            <w:r>
              <w:rPr>
                <w:rFonts w:hint="default"/>
                <w:u w:val="none"/>
              </w:rPr>
              <w:t>.</w:t>
            </w:r>
            <w:r>
              <w:rPr>
                <w:rFonts w:hint="eastAsia"/>
                <w:u w:val="none"/>
              </w:rPr>
              <w:t>3</w:t>
            </w:r>
            <w:r>
              <w:rPr>
                <w:rFonts w:hint="default"/>
                <w:u w:val="none"/>
              </w:rPr>
              <w:t>主要</w:t>
            </w:r>
            <w:r>
              <w:rPr>
                <w:rFonts w:hint="eastAsia"/>
                <w:u w:val="none"/>
              </w:rPr>
              <w:t>设备及原辅材料</w:t>
            </w:r>
            <w:bookmarkEnd w:id="8"/>
          </w:p>
          <w:p>
            <w:pPr>
              <w:keepNext w:val="0"/>
              <w:keepLines w:val="0"/>
              <w:suppressLineNumbers w:val="0"/>
              <w:spacing w:before="0" w:beforeAutospacing="0" w:after="0" w:afterAutospacing="0"/>
              <w:ind w:left="0" w:right="0" w:firstLine="480"/>
              <w:rPr>
                <w:rFonts w:hint="default"/>
                <w:u w:val="none"/>
              </w:rPr>
            </w:pPr>
            <w:r>
              <w:rPr>
                <w:rFonts w:hint="default"/>
                <w:u w:val="none"/>
              </w:rPr>
              <w:t>本项目年拆解能力为10000辆，仅对机动车进行拆解回收，无破碎、加工等其他工艺。</w:t>
            </w:r>
          </w:p>
          <w:p>
            <w:pPr>
              <w:pStyle w:val="50"/>
              <w:keepNext w:val="0"/>
              <w:keepLines w:val="0"/>
              <w:suppressLineNumbers w:val="0"/>
              <w:bidi w:val="0"/>
              <w:spacing w:beforeAutospacing="0" w:after="0" w:afterAutospacing="0"/>
              <w:ind w:left="0" w:right="0"/>
              <w:rPr>
                <w:rFonts w:hint="default"/>
                <w:u w:val="none"/>
              </w:rPr>
            </w:pPr>
            <w:r>
              <w:rPr>
                <w:rFonts w:hint="default"/>
                <w:u w:val="none"/>
              </w:rPr>
              <w:t>表</w:t>
            </w:r>
            <w:r>
              <w:rPr>
                <w:rFonts w:hint="eastAsia"/>
                <w:u w:val="none"/>
              </w:rPr>
              <w:t>1-</w:t>
            </w:r>
            <w:r>
              <w:rPr>
                <w:rFonts w:hint="default"/>
                <w:u w:val="none"/>
              </w:rPr>
              <w:t xml:space="preserve">2 </w:t>
            </w:r>
            <w:r>
              <w:rPr>
                <w:rFonts w:hint="eastAsia"/>
                <w:u w:val="none"/>
                <w:lang w:val="en-US" w:eastAsia="zh-CN"/>
              </w:rPr>
              <w:t xml:space="preserve"> </w:t>
            </w:r>
            <w:r>
              <w:rPr>
                <w:rFonts w:hint="default"/>
                <w:u w:val="none"/>
              </w:rPr>
              <w:t>主要设备一览表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2256"/>
              <w:gridCol w:w="1365"/>
              <w:gridCol w:w="1170"/>
              <w:gridCol w:w="117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序号</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设备名称</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规格型号</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单位</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数量</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升降平台</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PM15</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液压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玻璃拆卸刀具</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TVP</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只</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5</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液压剪</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125/T</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只</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4</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气动排液系统</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IBC-1</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5</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油液抽排系统</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12-8</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6</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轮胎拆卸设备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SR系列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7</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翻转平台</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BB/T</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8</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油液抽排系统</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2V21</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9</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油液排放凿孔器</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402</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10</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油水分离器</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21</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11</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排液臂</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VT12</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12</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氟利昂回收设备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BGF</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13</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柴油汽油储存罐</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SBG</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只</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4</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14</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残余油气回收装置</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MRG</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4</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15</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拆解流水线</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BML-01</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套</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16</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金属打包机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Y46-1</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17</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金属屑压块机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Y46-2</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18</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除尘设备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CCD</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19</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自动加料机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非标</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5</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20</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皮带输送机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非标</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21</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螺旋输送机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非标</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22</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垂直提升机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非标</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23</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电动桥式起重机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24</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双梁门式起重机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25</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门式剪切机</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26</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收集车</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27</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收集设备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28</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分拣设备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29</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压实处理设备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30</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固化处理设备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31</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包装设备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32</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配电设备</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33</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装载铲车</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34</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运输车辆</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辆</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4</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eastAsia="宋体"/>
                      <w:u w:val="single"/>
                      <w:lang w:val="en-US" w:eastAsia="zh-CN"/>
                    </w:rPr>
                  </w:pPr>
                  <w:r>
                    <w:rPr>
                      <w:rFonts w:hint="eastAsia"/>
                      <w:u w:val="single"/>
                      <w:lang w:val="en-US" w:eastAsia="zh-CN"/>
                    </w:rPr>
                    <w:t>35</w:t>
                  </w:r>
                </w:p>
              </w:tc>
              <w:tc>
                <w:tcPr>
                  <w:tcW w:w="13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安全气囊引爆器</w:t>
                  </w:r>
                </w:p>
              </w:tc>
              <w:tc>
                <w:tcPr>
                  <w:tcW w:w="822"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single"/>
                      <w:lang w:val="en-US" w:eastAsia="zh-CN" w:bidi="ar-SA"/>
                    </w:rPr>
                  </w:pPr>
                  <w:r>
                    <w:rPr>
                      <w:rFonts w:hint="default"/>
                      <w:u w:val="single"/>
                    </w:rPr>
                    <w:t>台</w:t>
                  </w:r>
                </w:p>
              </w:tc>
              <w:tc>
                <w:tcPr>
                  <w:tcW w:w="705" w:type="pct"/>
                  <w:shd w:val="clear" w:color="auto" w:fill="auto"/>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single"/>
                      <w:lang w:val="en-US" w:eastAsia="zh-CN" w:bidi="ar-SA"/>
                    </w:rPr>
                  </w:pPr>
                  <w:r>
                    <w:rPr>
                      <w:rFonts w:hint="default"/>
                      <w:u w:val="single"/>
                    </w:rPr>
                    <w:t>2</w:t>
                  </w:r>
                </w:p>
              </w:tc>
              <w:tc>
                <w:tcPr>
                  <w:tcW w:w="7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single"/>
                    </w:rPr>
                  </w:pPr>
                </w:p>
              </w:tc>
            </w:tr>
          </w:tbl>
          <w:p>
            <w:pPr>
              <w:pStyle w:val="50"/>
              <w:keepNext w:val="0"/>
              <w:keepLines w:val="0"/>
              <w:suppressLineNumbers w:val="0"/>
              <w:spacing w:before="217"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表1-</w:t>
            </w:r>
            <w:r>
              <w:rPr>
                <w:rFonts w:hint="eastAsia" w:ascii="Times New Roman" w:hAnsi="Times New Roman" w:cs="Times New Roman"/>
                <w:u w:val="none"/>
                <w:lang w:val="en-US" w:eastAsia="zh-CN"/>
              </w:rPr>
              <w:t>3</w:t>
            </w:r>
            <w:r>
              <w:rPr>
                <w:rFonts w:hint="default" w:ascii="Times New Roman" w:hAnsi="Times New Roman" w:cs="Times New Roman"/>
                <w:u w:val="none"/>
              </w:rPr>
              <w:t xml:space="preserve">  主要原辅材料及能源消耗表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2902"/>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回收机动车类别</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数量（辆）</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废旧乘用车（小汽车）</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废旧载重货车</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废旧客车</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废旧农用车</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废旧摩托车</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tcPr>
                <w:p>
                  <w:pPr>
                    <w:pStyle w:val="49"/>
                    <w:keepNext w:val="0"/>
                    <w:keepLines w:val="0"/>
                    <w:suppressLineNumbers w:val="0"/>
                    <w:bidi w:val="0"/>
                    <w:spacing w:before="0" w:beforeAutospacing="0" w:after="0" w:afterAutospacing="0"/>
                    <w:ind w:left="0" w:right="0"/>
                    <w:rPr>
                      <w:rFonts w:hint="default"/>
                      <w:u w:val="none"/>
                    </w:rPr>
                  </w:pPr>
                </w:p>
              </w:tc>
              <w:tc>
                <w:tcPr>
                  <w:tcW w:w="174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合计</w:t>
                  </w:r>
                </w:p>
              </w:tc>
              <w:tc>
                <w:tcPr>
                  <w:tcW w:w="125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10000</w:t>
                  </w:r>
                </w:p>
              </w:tc>
              <w:tc>
                <w:tcPr>
                  <w:tcW w:w="1250" w:type="pct"/>
                </w:tcPr>
                <w:p>
                  <w:pPr>
                    <w:pStyle w:val="49"/>
                    <w:keepNext w:val="0"/>
                    <w:keepLines w:val="0"/>
                    <w:suppressLineNumbers w:val="0"/>
                    <w:bidi w:val="0"/>
                    <w:spacing w:before="0" w:beforeAutospacing="0" w:after="0" w:afterAutospacing="0"/>
                    <w:ind w:left="0" w:right="0"/>
                    <w:rPr>
                      <w:rFonts w:hint="default"/>
                      <w:u w:val="none"/>
                    </w:rPr>
                  </w:pPr>
                </w:p>
              </w:tc>
            </w:tr>
          </w:tbl>
          <w:p>
            <w:pPr>
              <w:pStyle w:val="49"/>
              <w:keepNext w:val="0"/>
              <w:keepLines w:val="0"/>
              <w:suppressLineNumbers w:val="0"/>
              <w:spacing w:before="0" w:beforeAutospacing="0" w:after="0" w:afterAutospacing="0"/>
              <w:ind w:left="0" w:right="0"/>
              <w:jc w:val="left"/>
              <w:rPr>
                <w:rFonts w:hint="eastAsia" w:eastAsia="宋体"/>
                <w:u w:val="single"/>
                <w:vertAlign w:val="baseline"/>
                <w:lang w:eastAsia="zh-CN"/>
              </w:rPr>
            </w:pPr>
            <w:r>
              <w:rPr>
                <w:rFonts w:hint="eastAsia"/>
                <w:u w:val="single"/>
                <w:vertAlign w:val="baseline"/>
                <w:lang w:eastAsia="zh-CN"/>
              </w:rPr>
              <w:t>注：</w:t>
            </w:r>
            <w:r>
              <w:rPr>
                <w:rFonts w:hint="default"/>
                <w:u w:val="single"/>
                <w:vertAlign w:val="baseline"/>
              </w:rPr>
              <w:t>机动车</w:t>
            </w:r>
            <w:r>
              <w:rPr>
                <w:rFonts w:hint="eastAsia"/>
                <w:u w:val="single"/>
                <w:vertAlign w:val="baseline"/>
                <w:lang w:eastAsia="zh-CN"/>
              </w:rPr>
              <w:t>包含电动汽车、小电动</w:t>
            </w:r>
            <w:r>
              <w:rPr>
                <w:rFonts w:hint="default"/>
                <w:u w:val="single"/>
                <w:vertAlign w:val="baseline"/>
              </w:rPr>
              <w:t>车</w:t>
            </w:r>
            <w:r>
              <w:rPr>
                <w:rFonts w:hint="eastAsia"/>
                <w:u w:val="single"/>
                <w:vertAlign w:val="baseline"/>
                <w:lang w:eastAsia="zh-CN"/>
              </w:rPr>
              <w:t>等。</w:t>
            </w:r>
          </w:p>
          <w:p>
            <w:pPr>
              <w:keepNext w:val="0"/>
              <w:keepLines w:val="0"/>
              <w:suppressLineNumbers w:val="0"/>
              <w:spacing w:before="120" w:beforeLines="50" w:beforeAutospacing="0" w:after="0" w:afterAutospacing="0"/>
              <w:ind w:left="0" w:right="0" w:firstLine="0" w:firstLineChars="0"/>
              <w:jc w:val="center"/>
              <w:rPr>
                <w:rFonts w:hint="default"/>
                <w:u w:val="none"/>
              </w:rPr>
            </w:pPr>
            <w:r>
              <w:rPr>
                <w:rFonts w:hint="default"/>
                <w:b/>
                <w:sz w:val="24"/>
                <w:u w:val="none"/>
              </w:rPr>
              <w:t>表</w:t>
            </w:r>
            <w:r>
              <w:rPr>
                <w:rFonts w:hint="eastAsia"/>
                <w:b/>
                <w:sz w:val="24"/>
                <w:u w:val="none"/>
                <w:lang w:val="en-US" w:eastAsia="zh-CN"/>
              </w:rPr>
              <w:t>1-4</w:t>
            </w:r>
            <w:r>
              <w:rPr>
                <w:rFonts w:hint="default"/>
                <w:b/>
                <w:sz w:val="24"/>
                <w:u w:val="none"/>
              </w:rPr>
              <w:t xml:space="preserve">  公用工程消耗一览表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321"/>
              <w:gridCol w:w="3228"/>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6" w:type="pct"/>
                  <w:tcBorders>
                    <w:top w:val="single" w:color="auto" w:sz="4" w:space="0"/>
                    <w:left w:val="single" w:color="auto" w:sz="4" w:space="0"/>
                    <w:bottom w:val="single" w:color="auto" w:sz="4" w:space="0"/>
                    <w:right w:val="single" w:color="auto" w:sz="4" w:space="0"/>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796"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品种</w:t>
                  </w:r>
                </w:p>
              </w:tc>
              <w:tc>
                <w:tcPr>
                  <w:tcW w:w="1945"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年用量</w:t>
                  </w:r>
                </w:p>
              </w:tc>
              <w:tc>
                <w:tcPr>
                  <w:tcW w:w="1462"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 w:type="pct"/>
                  <w:tcBorders>
                    <w:top w:val="single" w:color="auto" w:sz="4" w:space="0"/>
                    <w:left w:val="single" w:color="auto" w:sz="4" w:space="0"/>
                    <w:bottom w:val="single" w:color="auto" w:sz="4" w:space="0"/>
                    <w:right w:val="single" w:color="auto" w:sz="4" w:space="0"/>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796"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w:t>
                  </w:r>
                </w:p>
              </w:tc>
              <w:tc>
                <w:tcPr>
                  <w:tcW w:w="1945"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79.62万kWh</w:t>
                  </w:r>
                </w:p>
              </w:tc>
              <w:tc>
                <w:tcPr>
                  <w:tcW w:w="1462"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6" w:type="pct"/>
                  <w:tcBorders>
                    <w:top w:val="single" w:color="auto" w:sz="4" w:space="0"/>
                    <w:left w:val="single" w:color="auto" w:sz="4" w:space="0"/>
                    <w:bottom w:val="single" w:color="auto" w:sz="4" w:space="0"/>
                    <w:right w:val="single" w:color="auto" w:sz="4" w:space="0"/>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796"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水</w:t>
                  </w:r>
                </w:p>
              </w:tc>
              <w:tc>
                <w:tcPr>
                  <w:tcW w:w="1945" w:type="pct"/>
                  <w:tcBorders>
                    <w:top w:val="single" w:color="auto" w:sz="4" w:space="0"/>
                    <w:left w:val="single" w:color="auto" w:sz="4" w:space="0"/>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single"/>
                      <w:lang w:val="en-US" w:eastAsia="zh-CN"/>
                    </w:rPr>
                    <w:t>1910</w:t>
                  </w:r>
                  <w:r>
                    <w:rPr>
                      <w:rFonts w:hint="default"/>
                      <w:u w:val="single"/>
                    </w:rPr>
                    <w:t>m³/a</w:t>
                  </w:r>
                </w:p>
              </w:tc>
              <w:tc>
                <w:tcPr>
                  <w:tcW w:w="1462"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r>
          </w:tbl>
          <w:p>
            <w:pPr>
              <w:pStyle w:val="49"/>
              <w:keepNext w:val="0"/>
              <w:keepLines w:val="0"/>
              <w:suppressLineNumbers w:val="0"/>
              <w:spacing w:before="0" w:beforeAutospacing="0" w:after="0" w:afterAutospacing="0"/>
              <w:ind w:left="0" w:right="0"/>
              <w:rPr>
                <w:rFonts w:hint="default"/>
                <w:u w:val="none"/>
              </w:rPr>
            </w:pPr>
          </w:p>
          <w:p>
            <w:pPr>
              <w:pStyle w:val="5"/>
              <w:suppressLineNumbers w:val="0"/>
              <w:spacing w:before="0" w:beforeAutospacing="0" w:after="0" w:afterAutospacing="0"/>
              <w:ind w:left="0" w:right="0" w:firstLine="562"/>
              <w:rPr>
                <w:rFonts w:hint="eastAsia"/>
                <w:u w:val="none"/>
                <w:lang w:val="en-US" w:eastAsia="zh-CN"/>
              </w:rPr>
            </w:pPr>
            <w:bookmarkStart w:id="9" w:name="_Toc25853"/>
            <w:r>
              <w:rPr>
                <w:rFonts w:hint="default"/>
                <w:u w:val="none"/>
              </w:rPr>
              <w:t>1.2.4</w:t>
            </w:r>
            <w:r>
              <w:rPr>
                <w:rFonts w:hint="eastAsia"/>
                <w:u w:val="none"/>
                <w:lang w:val="en-US" w:eastAsia="zh-CN"/>
              </w:rPr>
              <w:t xml:space="preserve"> 产品方案</w:t>
            </w:r>
            <w:bookmarkEnd w:id="9"/>
          </w:p>
          <w:p>
            <w:pPr>
              <w:keepNext w:val="0"/>
              <w:keepLines w:val="0"/>
              <w:suppressLineNumbers w:val="0"/>
              <w:spacing w:before="120" w:beforeLines="50" w:beforeAutospacing="0" w:after="0" w:afterAutospacing="0"/>
              <w:ind w:left="0" w:right="0" w:firstLine="0" w:firstLineChars="0"/>
              <w:jc w:val="center"/>
              <w:rPr>
                <w:rFonts w:hint="default"/>
                <w:b/>
                <w:bCs/>
                <w:iCs/>
                <w:sz w:val="24"/>
                <w:u w:val="none"/>
              </w:rPr>
            </w:pPr>
            <w:r>
              <w:rPr>
                <w:rFonts w:hint="default"/>
                <w:b/>
                <w:bCs/>
                <w:iCs/>
                <w:sz w:val="24"/>
                <w:u w:val="none"/>
              </w:rPr>
              <w:t>表</w:t>
            </w:r>
            <w:r>
              <w:rPr>
                <w:rFonts w:hint="eastAsia"/>
                <w:b/>
                <w:bCs/>
                <w:iCs/>
                <w:sz w:val="24"/>
                <w:u w:val="none"/>
                <w:lang w:val="en-US" w:eastAsia="zh-CN"/>
              </w:rPr>
              <w:t>1-5</w:t>
            </w:r>
            <w:r>
              <w:rPr>
                <w:rFonts w:hint="default"/>
                <w:b/>
                <w:bCs/>
                <w:iCs/>
                <w:sz w:val="24"/>
                <w:u w:val="none"/>
              </w:rPr>
              <w:t xml:space="preserve">  产品方案</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4397"/>
              <w:gridCol w:w="1418"/>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可回收利用物质</w:t>
                  </w:r>
                  <w:r>
                    <w:rPr>
                      <w:rFonts w:hint="eastAsia"/>
                      <w:u w:val="none"/>
                      <w:lang w:eastAsia="zh-CN"/>
                    </w:rPr>
                    <w:t>（产品及副产品）</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重量（kg/a）</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重量（</w:t>
                  </w:r>
                  <w:r>
                    <w:rPr>
                      <w:rFonts w:hint="eastAsia"/>
                      <w:u w:val="none"/>
                      <w:lang w:val="en-US" w:eastAsia="zh-CN"/>
                    </w:rPr>
                    <w:t>t</w:t>
                  </w:r>
                  <w:r>
                    <w:rPr>
                      <w:rFonts w:hint="default"/>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废安全气囊</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920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可用零部件（发动机、变速器、消声器）</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2743037</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2743</w:t>
                  </w:r>
                  <w:r>
                    <w:rPr>
                      <w:rFonts w:hint="eastAsia"/>
                      <w:u w:val="none"/>
                      <w:lang w:val="en-US" w:eastAsia="zh-CN"/>
                    </w:rPr>
                    <w:t>.</w:t>
                  </w:r>
                  <w:r>
                    <w:rPr>
                      <w:rFonts w:hint="default"/>
                      <w:u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玻璃</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505400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505</w:t>
                  </w:r>
                  <w:r>
                    <w:rPr>
                      <w:rFonts w:hint="eastAsia"/>
                      <w:u w:val="none"/>
                      <w:lang w:val="en-US" w:eastAsia="zh-CN"/>
                    </w:rPr>
                    <w:t>.</w:t>
                  </w:r>
                  <w:r>
                    <w:rPr>
                      <w:rFonts w:hint="default"/>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钢材（保险杠、车门、车身、悬架）</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16782900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16782</w:t>
                  </w:r>
                  <w:r>
                    <w:rPr>
                      <w:rFonts w:hint="eastAsia"/>
                      <w:u w:val="none"/>
                      <w:lang w:val="en-US" w:eastAsia="zh-CN"/>
                    </w:rPr>
                    <w:t>.</w:t>
                  </w:r>
                  <w:r>
                    <w:rPr>
                      <w:rFonts w:hint="default"/>
                      <w:u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橡胶</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784000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有色金属</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100750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100</w:t>
                  </w:r>
                  <w:r>
                    <w:rPr>
                      <w:rFonts w:hint="eastAsia"/>
                      <w:u w:val="none"/>
                      <w:lang w:val="en-US" w:eastAsia="zh-CN"/>
                    </w:rPr>
                    <w:t>.</w:t>
                  </w:r>
                  <w:r>
                    <w:rPr>
                      <w:rFonts w:hint="default"/>
                      <w:u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塑料</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318900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318</w:t>
                  </w:r>
                  <w:r>
                    <w:rPr>
                      <w:rFonts w:hint="eastAsia"/>
                      <w:u w:val="none"/>
                      <w:lang w:val="en-US" w:eastAsia="zh-CN"/>
                    </w:rPr>
                    <w:t>.</w:t>
                  </w:r>
                  <w:r>
                    <w:rPr>
                      <w:rFonts w:hint="default"/>
                      <w:u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266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纤维、皮革</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380000</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9</w:t>
                  </w:r>
                </w:p>
              </w:tc>
              <w:tc>
                <w:tcPr>
                  <w:tcW w:w="266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收集的剪切粉尘</w:t>
                  </w:r>
                </w:p>
              </w:tc>
              <w:tc>
                <w:tcPr>
                  <w:tcW w:w="813"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1530</w:t>
                  </w:r>
                </w:p>
              </w:tc>
              <w:tc>
                <w:tcPr>
                  <w:tcW w:w="8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266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合计</w:t>
                  </w:r>
                </w:p>
              </w:tc>
              <w:tc>
                <w:tcPr>
                  <w:tcW w:w="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21617437</w:t>
                  </w:r>
                </w:p>
              </w:tc>
              <w:tc>
                <w:tcPr>
                  <w:tcW w:w="81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21617.437</w:t>
                  </w:r>
                </w:p>
              </w:tc>
            </w:tr>
          </w:tbl>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10" w:name="_Toc23663"/>
            <w:r>
              <w:rPr>
                <w:rFonts w:hint="eastAsia"/>
                <w:u w:val="none"/>
                <w:lang w:val="en-US" w:eastAsia="zh-CN"/>
              </w:rPr>
              <w:t>1.2.5</w:t>
            </w:r>
            <w:r>
              <w:rPr>
                <w:rFonts w:hint="default" w:ascii="Times New Roman" w:hAnsi="Times New Roman" w:cs="Times New Roman"/>
                <w:color w:val="auto"/>
                <w:u w:val="none"/>
              </w:rPr>
              <w:t>厂区平面布置及周围环境概况</w:t>
            </w:r>
            <w:bookmarkEnd w:id="10"/>
          </w:p>
          <w:p>
            <w:pPr>
              <w:keepNext w:val="0"/>
              <w:keepLines w:val="0"/>
              <w:suppressLineNumbers w:val="0"/>
              <w:spacing w:before="0" w:beforeAutospacing="0" w:after="0" w:afterAutospacing="0"/>
              <w:ind w:left="0" w:right="0" w:firstLine="480"/>
              <w:rPr>
                <w:rFonts w:hint="default"/>
                <w:u w:val="none"/>
              </w:rPr>
            </w:pPr>
            <w:r>
              <w:rPr>
                <w:rFonts w:hint="default"/>
                <w:u w:val="none"/>
              </w:rPr>
              <w:t>（1）平面布置</w:t>
            </w:r>
          </w:p>
          <w:p>
            <w:pPr>
              <w:keepNext w:val="0"/>
              <w:keepLines w:val="0"/>
              <w:suppressLineNumbers w:val="0"/>
              <w:bidi w:val="0"/>
              <w:spacing w:before="0" w:beforeAutospacing="0" w:after="0" w:afterAutospacing="0"/>
              <w:ind w:left="0" w:right="0"/>
              <w:rPr>
                <w:rFonts w:hint="default" w:eastAsia="宋体"/>
                <w:u w:val="none"/>
                <w:lang w:val="en-US" w:eastAsia="zh-CN"/>
              </w:rPr>
            </w:pPr>
            <w:r>
              <w:rPr>
                <w:rFonts w:hint="default"/>
                <w:u w:val="none"/>
              </w:rPr>
              <w:t>项目管理区位于厂区北部，未拆解的报废机动车贮存区位于管理区南侧，可有效隔离拆解作业区对管理区</w:t>
            </w:r>
            <w:r>
              <w:rPr>
                <w:rFonts w:hint="eastAsia"/>
                <w:u w:val="none"/>
                <w:lang w:eastAsia="zh-CN"/>
              </w:rPr>
              <w:t>及西侧及东北侧居民的</w:t>
            </w:r>
            <w:r>
              <w:rPr>
                <w:rFonts w:hint="default"/>
                <w:u w:val="none"/>
              </w:rPr>
              <w:t>的噪声干扰，拆解作业区位于厂区中部，高噪声设备均设置在拆解作业区中，远离厂界，产品、半成品贮存区位于拆解作业区的南侧，危废暂存区位于厂区南部，方便转运，总体来说，平面布局合理。</w:t>
            </w:r>
            <w:r>
              <w:rPr>
                <w:rFonts w:hint="eastAsia"/>
                <w:u w:val="none"/>
                <w:lang w:eastAsia="zh-CN"/>
              </w:rPr>
              <w:t>厂区平面布置图见附图</w:t>
            </w:r>
            <w:r>
              <w:rPr>
                <w:rFonts w:hint="eastAsia"/>
                <w:u w:val="none"/>
                <w:lang w:val="en-US" w:eastAsia="zh-CN"/>
              </w:rPr>
              <w:t>4</w:t>
            </w:r>
            <w:r>
              <w:rPr>
                <w:rFonts w:hint="eastAsia"/>
                <w:u w:val="none"/>
                <w:lang w:eastAsia="zh-CN"/>
              </w:rPr>
              <w:t>，车间平面布置图见附图</w:t>
            </w:r>
            <w:r>
              <w:rPr>
                <w:rFonts w:hint="eastAsia"/>
                <w:u w:val="none"/>
                <w:lang w:val="en-US" w:eastAsia="zh-CN"/>
              </w:rPr>
              <w:t>6。</w:t>
            </w:r>
          </w:p>
          <w:p>
            <w:pPr>
              <w:keepNext w:val="0"/>
              <w:keepLines w:val="0"/>
              <w:suppressLineNumbers w:val="0"/>
              <w:spacing w:before="0" w:beforeAutospacing="0" w:after="0" w:afterAutospacing="0"/>
              <w:ind w:left="0" w:right="0" w:firstLine="480"/>
              <w:rPr>
                <w:rFonts w:hint="default"/>
                <w:u w:val="none"/>
              </w:rPr>
            </w:pPr>
            <w:r>
              <w:rPr>
                <w:rFonts w:hint="default"/>
                <w:u w:val="none"/>
              </w:rPr>
              <w:t>（2）周围环境概况</w:t>
            </w:r>
          </w:p>
          <w:p>
            <w:pPr>
              <w:keepNext w:val="0"/>
              <w:keepLines w:val="0"/>
              <w:suppressLineNumbers w:val="0"/>
              <w:spacing w:before="0" w:beforeAutospacing="0" w:after="0" w:afterAutospacing="0" w:line="276" w:lineRule="auto"/>
              <w:ind w:left="0" w:right="0" w:firstLine="480"/>
              <w:jc w:val="left"/>
              <w:rPr>
                <w:rFonts w:hint="default"/>
                <w:u w:val="none"/>
              </w:rPr>
            </w:pPr>
            <w:r>
              <w:rPr>
                <w:rFonts w:hint="default"/>
                <w:u w:val="none"/>
              </w:rPr>
              <w:t>本项目</w:t>
            </w:r>
            <w:r>
              <w:rPr>
                <w:rFonts w:hint="eastAsia"/>
                <w:u w:val="none"/>
                <w:lang w:eastAsia="zh-CN"/>
              </w:rPr>
              <w:t>位于湘阴县顽石再生科技有限公司厂区内，租赁湘阴县顽石再生科技有限公司现有厂房进行建设生产，</w:t>
            </w:r>
            <w:r>
              <w:rPr>
                <w:rFonts w:hint="eastAsia"/>
                <w:u w:val="none"/>
                <w:lang w:val="en-US" w:eastAsia="zh-CN"/>
              </w:rPr>
              <w:t xml:space="preserve"> </w:t>
            </w:r>
            <w:r>
              <w:rPr>
                <w:rFonts w:hint="default"/>
                <w:u w:val="none"/>
              </w:rPr>
              <w:t>四周主要为少部分居民及一些现有企业，西侧、北侧有少部分居民，南侧为</w:t>
            </w:r>
            <w:r>
              <w:rPr>
                <w:rFonts w:hint="eastAsia"/>
                <w:u w:val="none"/>
                <w:lang w:eastAsia="zh-CN"/>
              </w:rPr>
              <w:t>湘阴县顽石再生科技有限公司</w:t>
            </w:r>
            <w:r>
              <w:rPr>
                <w:rFonts w:hint="default"/>
                <w:u w:val="none"/>
              </w:rPr>
              <w:t>的建筑垃圾破碎生产线，东侧为空地及少部分居民。项目现状为空地。</w:t>
            </w:r>
          </w:p>
          <w:p>
            <w:pPr>
              <w:pStyle w:val="5"/>
              <w:suppressLineNumbers w:val="0"/>
              <w:spacing w:before="0" w:beforeAutospacing="0" w:after="0" w:afterAutospacing="0"/>
              <w:ind w:left="0" w:right="0" w:firstLine="562"/>
              <w:rPr>
                <w:rFonts w:hint="default"/>
                <w:u w:val="none"/>
              </w:rPr>
            </w:pPr>
            <w:bookmarkStart w:id="11" w:name="_Toc27181"/>
            <w:r>
              <w:rPr>
                <w:rFonts w:hint="default"/>
                <w:u w:val="none"/>
              </w:rPr>
              <w:t>1.2.</w:t>
            </w:r>
            <w:r>
              <w:rPr>
                <w:rFonts w:hint="eastAsia"/>
                <w:u w:val="none"/>
                <w:lang w:val="en-US" w:eastAsia="zh-CN"/>
              </w:rPr>
              <w:t>6</w:t>
            </w:r>
            <w:r>
              <w:rPr>
                <w:rFonts w:hint="eastAsia"/>
                <w:u w:val="none"/>
              </w:rPr>
              <w:t>公用工程</w:t>
            </w:r>
            <w:bookmarkEnd w:id="11"/>
          </w:p>
          <w:p>
            <w:pPr>
              <w:keepNext w:val="0"/>
              <w:keepLines w:val="0"/>
              <w:suppressLineNumbers w:val="0"/>
              <w:spacing w:before="0" w:beforeAutospacing="0" w:after="0" w:afterAutospacing="0"/>
              <w:ind w:left="0" w:right="0" w:firstLine="480"/>
              <w:rPr>
                <w:rFonts w:hint="default"/>
                <w:u w:val="none"/>
              </w:rPr>
            </w:pPr>
            <w:r>
              <w:rPr>
                <w:rFonts w:hint="default"/>
                <w:u w:val="none"/>
              </w:rPr>
              <w:t>（1）供水</w:t>
            </w:r>
          </w:p>
          <w:p>
            <w:pPr>
              <w:keepNext w:val="0"/>
              <w:keepLines w:val="0"/>
              <w:suppressLineNumbers w:val="0"/>
              <w:spacing w:before="0" w:beforeAutospacing="0" w:after="0" w:afterAutospacing="0"/>
              <w:ind w:left="0" w:right="0" w:firstLine="480"/>
              <w:rPr>
                <w:rFonts w:hint="default"/>
                <w:u w:val="none"/>
              </w:rPr>
            </w:pPr>
            <w:r>
              <w:rPr>
                <w:rFonts w:hint="default"/>
                <w:u w:val="none"/>
              </w:rPr>
              <w:t>项目所在地已连接自来水管，利用现有自来水管道作为项目水源。</w:t>
            </w:r>
          </w:p>
          <w:p>
            <w:pPr>
              <w:keepNext w:val="0"/>
              <w:keepLines w:val="0"/>
              <w:suppressLineNumbers w:val="0"/>
              <w:spacing w:before="0" w:beforeAutospacing="0" w:after="0" w:afterAutospacing="0"/>
              <w:ind w:left="0" w:right="0" w:firstLine="480"/>
              <w:rPr>
                <w:rFonts w:hint="default"/>
                <w:u w:val="none"/>
              </w:rPr>
            </w:pPr>
            <w:r>
              <w:rPr>
                <w:rFonts w:hint="default"/>
                <w:u w:val="none"/>
              </w:rPr>
              <w:t>（2）排水</w:t>
            </w:r>
          </w:p>
          <w:p>
            <w:pPr>
              <w:keepNext w:val="0"/>
              <w:keepLines w:val="0"/>
              <w:suppressLineNumbers w:val="0"/>
              <w:spacing w:before="0" w:beforeAutospacing="0" w:after="0" w:afterAutospacing="0"/>
              <w:ind w:left="0" w:right="0" w:firstLine="480"/>
              <w:rPr>
                <w:rFonts w:hint="default"/>
                <w:u w:val="none"/>
              </w:rPr>
            </w:pPr>
            <w:r>
              <w:rPr>
                <w:rFonts w:hint="default"/>
                <w:u w:val="none"/>
              </w:rPr>
              <w:t>项目采用雨污分流排水机制</w:t>
            </w:r>
          </w:p>
          <w:p>
            <w:pPr>
              <w:keepNext w:val="0"/>
              <w:keepLines w:val="0"/>
              <w:suppressLineNumbers w:val="0"/>
              <w:spacing w:before="0" w:beforeAutospacing="0" w:after="0" w:afterAutospacing="0"/>
              <w:ind w:left="0" w:right="0" w:firstLine="480"/>
              <w:rPr>
                <w:rFonts w:hint="default"/>
                <w:u w:val="none"/>
              </w:rPr>
            </w:pPr>
            <w:r>
              <w:rPr>
                <w:rFonts w:hint="eastAsia" w:ascii="宋体" w:hAnsi="宋体" w:cs="宋体"/>
                <w:u w:val="none"/>
              </w:rPr>
              <w:t>①</w:t>
            </w:r>
            <w:r>
              <w:rPr>
                <w:rFonts w:hint="default"/>
                <w:u w:val="none"/>
              </w:rPr>
              <w:t>雨水：室外雨水为有组织排放，屋面雨水与场地雨水汇合后，采取明沟收集方式，排入市政雨水管网。</w:t>
            </w:r>
          </w:p>
          <w:p>
            <w:pPr>
              <w:keepNext w:val="0"/>
              <w:keepLines w:val="0"/>
              <w:suppressLineNumbers w:val="0"/>
              <w:spacing w:before="0" w:beforeAutospacing="0" w:after="0" w:afterAutospacing="0"/>
              <w:ind w:left="0" w:right="0" w:firstLine="480"/>
              <w:rPr>
                <w:rFonts w:hint="default"/>
                <w:u w:val="none"/>
              </w:rPr>
            </w:pPr>
            <w:r>
              <w:rPr>
                <w:rFonts w:hint="eastAsia" w:ascii="宋体" w:hAnsi="宋体" w:cs="宋体"/>
                <w:u w:val="none"/>
              </w:rPr>
              <w:t>②</w:t>
            </w:r>
            <w:r>
              <w:rPr>
                <w:rFonts w:hint="default"/>
                <w:u w:val="none"/>
              </w:rPr>
              <w:t>污水：项目废水主要为生活污水，生活污水经化粪池处理后做农肥，不外排。</w:t>
            </w:r>
          </w:p>
          <w:p>
            <w:pPr>
              <w:keepNext w:val="0"/>
              <w:keepLines w:val="0"/>
              <w:suppressLineNumbers w:val="0"/>
              <w:spacing w:before="0" w:beforeAutospacing="0" w:after="0" w:afterAutospacing="0"/>
              <w:ind w:left="0" w:right="0" w:firstLine="480"/>
              <w:rPr>
                <w:rFonts w:hint="default"/>
                <w:u w:val="none"/>
              </w:rPr>
            </w:pPr>
            <w:r>
              <w:rPr>
                <w:rFonts w:hint="default"/>
                <w:u w:val="none"/>
              </w:rPr>
              <w:t>（3）供电</w:t>
            </w:r>
          </w:p>
          <w:p>
            <w:pPr>
              <w:keepNext w:val="0"/>
              <w:keepLines w:val="0"/>
              <w:suppressLineNumbers w:val="0"/>
              <w:spacing w:before="0" w:beforeAutospacing="0" w:after="0" w:afterAutospacing="0"/>
              <w:ind w:left="0" w:right="0" w:firstLine="480"/>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由市政供电管网接入厂区，能满足本项目生产及生活用电需要。</w:t>
            </w:r>
          </w:p>
          <w:p>
            <w:pPr>
              <w:keepNext w:val="0"/>
              <w:keepLines w:val="0"/>
              <w:suppressLineNumbers w:val="0"/>
              <w:spacing w:before="0" w:beforeAutospacing="0" w:after="0" w:afterAutospacing="0" w:line="276" w:lineRule="auto"/>
              <w:ind w:left="0" w:right="0" w:firstLine="480"/>
              <w:jc w:val="left"/>
              <w:rPr>
                <w:rFonts w:hint="eastAsia"/>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keepNext w:val="0"/>
              <w:keepLines w:val="0"/>
              <w:suppressLineNumbers w:val="0"/>
              <w:spacing w:before="0" w:beforeAutospacing="0" w:after="0" w:afterAutospacing="0" w:line="276" w:lineRule="auto"/>
              <w:ind w:left="0" w:right="0" w:firstLine="482"/>
              <w:jc w:val="left"/>
              <w:rPr>
                <w:rFonts w:hint="default"/>
                <w:b/>
                <w:bCs/>
                <w:u w:val="none"/>
              </w:rPr>
            </w:pPr>
            <w:r>
              <w:rPr>
                <w:rFonts w:hint="default"/>
                <w:b/>
                <w:bCs/>
                <w:u w:val="none"/>
              </w:rPr>
              <w:t>与项目有关的原有污染情况及主要环境问题</w:t>
            </w:r>
          </w:p>
          <w:p>
            <w:pPr>
              <w:keepNext w:val="0"/>
              <w:keepLines w:val="0"/>
              <w:suppressLineNumbers w:val="0"/>
              <w:spacing w:before="0" w:beforeAutospacing="0" w:after="0" w:afterAutospacing="0" w:line="276" w:lineRule="auto"/>
              <w:ind w:left="0" w:right="0" w:firstLine="480"/>
              <w:jc w:val="left"/>
              <w:rPr>
                <w:rFonts w:hint="eastAsia" w:eastAsia="宋体"/>
                <w:u w:val="none"/>
                <w:lang w:eastAsia="zh-CN"/>
              </w:rPr>
            </w:pPr>
            <w:r>
              <w:rPr>
                <w:rFonts w:hint="eastAsia"/>
                <w:u w:val="none"/>
                <w:lang w:eastAsia="zh-CN"/>
              </w:rPr>
              <w:t>无</w:t>
            </w:r>
          </w:p>
        </w:tc>
      </w:tr>
    </w:tbl>
    <w:p>
      <w:pPr>
        <w:pStyle w:val="3"/>
        <w:spacing w:before="0" w:after="0" w:line="360" w:lineRule="auto"/>
        <w:ind w:firstLine="883"/>
        <w:rPr>
          <w:szCs w:val="32"/>
          <w:u w:val="none"/>
        </w:rPr>
      </w:pPr>
      <w:r>
        <w:rPr>
          <w:szCs w:val="32"/>
          <w:u w:val="none"/>
        </w:rPr>
        <w:br w:type="page"/>
      </w:r>
      <w:bookmarkStart w:id="12" w:name="_Toc17508"/>
      <w:r>
        <w:rPr>
          <w:rFonts w:hint="eastAsia"/>
          <w:sz w:val="32"/>
          <w:szCs w:val="22"/>
          <w:u w:val="none"/>
        </w:rPr>
        <w:t>二、建设项目所在自然环境概况</w:t>
      </w:r>
      <w:bookmarkEnd w:id="1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suppressLineNumbers w:val="0"/>
              <w:spacing w:before="0" w:beforeAutospacing="0" w:after="0" w:afterAutospacing="0" w:line="360" w:lineRule="auto"/>
              <w:ind w:left="0" w:right="0" w:firstLine="562"/>
              <w:jc w:val="left"/>
              <w:rPr>
                <w:rFonts w:hint="default"/>
                <w:b/>
                <w:bCs/>
                <w:sz w:val="28"/>
                <w:szCs w:val="28"/>
                <w:u w:val="none"/>
              </w:rPr>
            </w:pPr>
            <w:r>
              <w:rPr>
                <w:rFonts w:hint="default"/>
                <w:b/>
                <w:bCs/>
                <w:sz w:val="28"/>
                <w:szCs w:val="28"/>
                <w:u w:val="none"/>
              </w:rPr>
              <w:t>自然环境简况（地形、地貌、地质、气候、气象、水文、植被、生物多样性等）</w:t>
            </w:r>
          </w:p>
          <w:p>
            <w:pPr>
              <w:keepNext w:val="0"/>
              <w:keepLines w:val="0"/>
              <w:suppressLineNumbers w:val="0"/>
              <w:snapToGrid w:val="0"/>
              <w:spacing w:before="0" w:beforeAutospacing="0" w:after="0" w:afterAutospacing="0" w:line="360" w:lineRule="auto"/>
              <w:ind w:left="0" w:right="0" w:firstLine="482"/>
              <w:jc w:val="left"/>
              <w:rPr>
                <w:rFonts w:hint="default"/>
                <w:b/>
                <w:bCs/>
                <w:u w:val="none"/>
              </w:rPr>
            </w:pPr>
            <w:r>
              <w:rPr>
                <w:rFonts w:hint="eastAsia"/>
                <w:b/>
                <w:bCs/>
                <w:u w:val="none"/>
                <w:lang w:val="en-US" w:eastAsia="zh-CN"/>
              </w:rPr>
              <w:t>2.</w:t>
            </w:r>
            <w:r>
              <w:rPr>
                <w:rFonts w:hint="default"/>
                <w:b/>
                <w:bCs/>
                <w:u w:val="none"/>
              </w:rPr>
              <w:t>1地理位置和交通</w:t>
            </w:r>
          </w:p>
          <w:p>
            <w:pPr>
              <w:keepNext w:val="0"/>
              <w:keepLines w:val="0"/>
              <w:suppressLineNumbers w:val="0"/>
              <w:bidi w:val="0"/>
              <w:spacing w:before="0" w:beforeAutospacing="0" w:after="0" w:afterAutospacing="0"/>
              <w:ind w:left="0" w:right="0"/>
              <w:rPr>
                <w:rFonts w:hint="default"/>
                <w:u w:val="none"/>
              </w:rPr>
            </w:pPr>
            <w:r>
              <w:rPr>
                <w:rFonts w:hint="default"/>
                <w:u w:val="none"/>
              </w:rPr>
              <w:t>湘阴位于湖南省东北部洞庭南岸，处幕阜山余脉，居湘、资两水尾闾；东据逶迤山岭，西展坦荡湖乡；东临汩罗，西接益阳，南连长沙、望城，北抵岳阳、沅江，水陆交通便利。地理坐标为北纬28°30′13″~29°3′2″，东经112°30′20″~113°1′50″之间。南北长61km，东西宽51.3km。</w:t>
            </w:r>
          </w:p>
          <w:p>
            <w:pPr>
              <w:keepNext w:val="0"/>
              <w:keepLines w:val="0"/>
              <w:suppressLineNumbers w:val="0"/>
              <w:bidi w:val="0"/>
              <w:spacing w:before="0" w:beforeAutospacing="0" w:after="0" w:afterAutospacing="0"/>
              <w:ind w:left="0" w:right="0"/>
              <w:rPr>
                <w:rFonts w:hint="default"/>
                <w:u w:val="none"/>
              </w:rPr>
            </w:pPr>
            <w:r>
              <w:rPr>
                <w:rFonts w:hint="eastAsia"/>
                <w:u w:val="none"/>
                <w:lang w:eastAsia="zh-CN"/>
              </w:rPr>
              <w:t>本项目位于</w:t>
            </w:r>
            <w:r>
              <w:rPr>
                <w:rFonts w:hint="default"/>
                <w:u w:val="none"/>
              </w:rPr>
              <w:t>湖南省岳阳市湘阴县文星镇板桥村</w:t>
            </w:r>
            <w:r>
              <w:rPr>
                <w:rFonts w:hint="eastAsia"/>
                <w:u w:val="none"/>
                <w:lang w:eastAsia="zh-CN"/>
              </w:rPr>
              <w:t>（租赁湘阴县顽石再生科技有限公司现有厂房进行建设本项目，经纬度：东经</w:t>
            </w:r>
            <w:r>
              <w:rPr>
                <w:rFonts w:hint="default"/>
                <w:u w:val="none"/>
              </w:rPr>
              <w:t>112.93059647</w:t>
            </w:r>
            <w:r>
              <w:rPr>
                <w:rFonts w:hint="eastAsia"/>
                <w:u w:val="none"/>
                <w:lang w:eastAsia="zh-CN"/>
              </w:rPr>
              <w:t>，北纬28.69208409），</w:t>
            </w:r>
            <w:r>
              <w:rPr>
                <w:rFonts w:hint="default"/>
                <w:u w:val="none"/>
              </w:rPr>
              <w:t>项目</w:t>
            </w:r>
            <w:r>
              <w:rPr>
                <w:rFonts w:hint="eastAsia"/>
                <w:u w:val="none"/>
                <w:lang w:eastAsia="zh-CN"/>
              </w:rPr>
              <w:t>地理位置图</w:t>
            </w:r>
            <w:r>
              <w:rPr>
                <w:rFonts w:hint="default"/>
                <w:u w:val="none"/>
              </w:rPr>
              <w:t>详见附图1。</w:t>
            </w:r>
          </w:p>
          <w:p>
            <w:pPr>
              <w:keepNext w:val="0"/>
              <w:keepLines w:val="0"/>
              <w:suppressLineNumbers w:val="0"/>
              <w:snapToGrid w:val="0"/>
              <w:spacing w:before="0" w:beforeAutospacing="0" w:after="0" w:afterAutospacing="0" w:line="360" w:lineRule="auto"/>
              <w:ind w:left="0" w:right="0" w:firstLine="482"/>
              <w:jc w:val="left"/>
              <w:rPr>
                <w:rFonts w:hint="default"/>
                <w:b/>
                <w:bCs/>
                <w:u w:val="none"/>
              </w:rPr>
            </w:pPr>
            <w:r>
              <w:rPr>
                <w:rFonts w:hint="eastAsia"/>
                <w:b/>
                <w:bCs/>
                <w:u w:val="none"/>
                <w:lang w:val="en-US" w:eastAsia="zh-CN"/>
              </w:rPr>
              <w:t>2.2</w:t>
            </w:r>
            <w:r>
              <w:rPr>
                <w:rFonts w:hint="default"/>
                <w:b/>
                <w:bCs/>
                <w:u w:val="none"/>
              </w:rPr>
              <w:t>地形、地貌</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倾斜面。其二、以滨湖平原为主体，成块状分布。地处湘江大断裂带，其东盘上升，基岩裸露，构成低山、岗地；西盘下降，阶台下切，形成滨湖平源。全县除去江河湖泊及其他水面，滨湖、江河、溪谷三种平原共702.11平方公里，占全县总面积的44.4%；岗地占13.59%；低山占1.51%。其三、河湖交会，水域广阔。湘江自南而北贯穿全景，自然分成东西两部，江东为东乡，为低山岗丘地，岗丘婉蜒，地形起伏；江西为西乡，属滨湖平原地，河渠纵横，湖沼塘堰星罗棋布。全县国土总面积1581.5平方公里，湖区、山丘区、湖洲分别为675.0平方公里、484.6平方公里、421.9平方公里。水域面积98.56万亩，占全县总面积的41.56%。各类地貌中的水面面积占总面积的百分比分别为：滨湖平原为89.06万亩，占53.99%；江河平原为2.37万亩，占21.68%；溪谷平原为3.82万亩，占15.54%；岗地为2.95万亩，占8.92%，低山为3600亩，占10.08%。</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根据《建筑抗震设计规范》GB50011—2001附录A及相关规定，湘阴为</w:t>
            </w:r>
            <w:r>
              <w:rPr>
                <w:rFonts w:hint="eastAsia" w:ascii="宋体" w:hAnsi="宋体" w:cs="宋体"/>
                <w:u w:val="none"/>
              </w:rPr>
              <w:t>Ⅶ</w:t>
            </w:r>
            <w:r>
              <w:rPr>
                <w:rFonts w:hint="default"/>
                <w:u w:val="none"/>
              </w:rPr>
              <w:t>度烈度区。</w:t>
            </w:r>
          </w:p>
          <w:p>
            <w:pPr>
              <w:keepNext w:val="0"/>
              <w:keepLines w:val="0"/>
              <w:suppressLineNumbers w:val="0"/>
              <w:snapToGrid w:val="0"/>
              <w:spacing w:before="0" w:beforeAutospacing="0" w:after="0" w:afterAutospacing="0" w:line="360" w:lineRule="auto"/>
              <w:ind w:left="0" w:right="0" w:firstLine="480"/>
              <w:jc w:val="left"/>
              <w:rPr>
                <w:rFonts w:hint="default"/>
                <w:bCs/>
                <w:u w:val="none"/>
              </w:rPr>
            </w:pPr>
          </w:p>
          <w:p>
            <w:pPr>
              <w:keepNext w:val="0"/>
              <w:keepLines w:val="0"/>
              <w:suppressLineNumbers w:val="0"/>
              <w:snapToGrid w:val="0"/>
              <w:spacing w:before="0" w:beforeAutospacing="0" w:after="0" w:afterAutospacing="0" w:line="360" w:lineRule="auto"/>
              <w:ind w:left="0" w:right="0" w:firstLine="482"/>
              <w:jc w:val="left"/>
              <w:rPr>
                <w:rFonts w:hint="default"/>
                <w:b/>
                <w:bCs/>
                <w:u w:val="none"/>
              </w:rPr>
            </w:pPr>
            <w:r>
              <w:rPr>
                <w:rFonts w:hint="eastAsia"/>
                <w:b/>
                <w:bCs/>
                <w:u w:val="none"/>
                <w:lang w:val="en-US" w:eastAsia="zh-CN"/>
              </w:rPr>
              <w:t>2.3</w:t>
            </w:r>
            <w:r>
              <w:rPr>
                <w:rFonts w:hint="default"/>
                <w:b/>
                <w:bCs/>
                <w:u w:val="none"/>
              </w:rPr>
              <w:t>气候和气象</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湘阴县地处中亚热带向北亚热带过渡的季风气候区，县域内地貌类型简单，东西两部分气候差异不显著，气候温和，雨量充沛，光照充足，四季分明。主要灾害性天气有暴雨、干旱、大风、雷雹、低温、冰冻。县气象站记载，1959～1985年的27年间，共发生此类天气141次，年均5.2次。各种灾害性天气发生次数及占此类天气总数的百分比为：暴雨25次，占17.85%；干旱23次，占16.42%，低温31次，占22.17%；大风26次，占18.57%；雷雹13次，占9.28%，冰冻23次，占15.71%。</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湘阴县区域主要气象数据；</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年平均气温                     16.9</w:t>
            </w:r>
            <w:r>
              <w:rPr>
                <w:rFonts w:hint="eastAsia" w:ascii="宋体" w:hAnsi="宋体" w:cs="宋体"/>
                <w:u w:val="none"/>
              </w:rPr>
              <w:t>℃</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最热月平均气温                 29.0</w:t>
            </w:r>
            <w:r>
              <w:rPr>
                <w:rFonts w:hint="eastAsia" w:ascii="宋体" w:hAnsi="宋体" w:cs="宋体"/>
                <w:u w:val="none"/>
              </w:rPr>
              <w:t>℃</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最冷月平均气温                 4.4</w:t>
            </w:r>
            <w:r>
              <w:rPr>
                <w:rFonts w:hint="eastAsia" w:ascii="宋体" w:hAnsi="宋体" w:cs="宋体"/>
                <w:u w:val="none"/>
              </w:rPr>
              <w:t>℃</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极端最高气温                   38.4</w:t>
            </w:r>
            <w:r>
              <w:rPr>
                <w:rFonts w:hint="eastAsia" w:ascii="宋体" w:hAnsi="宋体" w:cs="宋体"/>
                <w:u w:val="none"/>
              </w:rPr>
              <w:t>℃</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极端最低气温                   -12.0</w:t>
            </w:r>
            <w:r>
              <w:rPr>
                <w:rFonts w:hint="eastAsia" w:ascii="宋体" w:hAnsi="宋体" w:cs="宋体"/>
                <w:u w:val="none"/>
              </w:rPr>
              <w:t>℃</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年总降水量                     1410.8mm</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年总日照                       1610.5h</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年总辐射量                     1410.4千卡/平方厘米</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年主导风向                    西北风</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年平均风速                     2.5m/s</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年相对湿度                     81%</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年平均降雨量                   1383毫米</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年总蒸发量                     1329.4mm</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全年无霜期                     274天。</w:t>
            </w:r>
          </w:p>
          <w:p>
            <w:pPr>
              <w:keepNext w:val="0"/>
              <w:keepLines w:val="0"/>
              <w:suppressLineNumbers w:val="0"/>
              <w:snapToGrid w:val="0"/>
              <w:spacing w:before="0" w:beforeAutospacing="0" w:after="0" w:afterAutospacing="0" w:line="360" w:lineRule="auto"/>
              <w:ind w:left="0" w:right="0" w:firstLine="480"/>
              <w:jc w:val="left"/>
              <w:rPr>
                <w:rFonts w:hint="default"/>
                <w:bCs/>
                <w:u w:val="none"/>
              </w:rPr>
            </w:pPr>
          </w:p>
          <w:p>
            <w:pPr>
              <w:keepNext w:val="0"/>
              <w:keepLines w:val="0"/>
              <w:suppressLineNumbers w:val="0"/>
              <w:snapToGrid w:val="0"/>
              <w:spacing w:before="0" w:beforeAutospacing="0" w:after="0" w:afterAutospacing="0" w:line="360" w:lineRule="auto"/>
              <w:ind w:left="0" w:right="0" w:firstLine="482"/>
              <w:jc w:val="left"/>
              <w:rPr>
                <w:rFonts w:hint="default"/>
                <w:b/>
                <w:bCs/>
                <w:u w:val="none"/>
              </w:rPr>
            </w:pPr>
            <w:r>
              <w:rPr>
                <w:rFonts w:hint="eastAsia"/>
                <w:b/>
                <w:bCs/>
                <w:u w:val="none"/>
                <w:lang w:val="en-US" w:eastAsia="zh-CN"/>
              </w:rPr>
              <w:t>2.4</w:t>
            </w:r>
            <w:r>
              <w:rPr>
                <w:rFonts w:hint="default"/>
                <w:b/>
                <w:bCs/>
                <w:u w:val="none"/>
              </w:rPr>
              <w:t>水文</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（1）地表水</w:t>
            </w:r>
          </w:p>
          <w:p>
            <w:pPr>
              <w:keepNext w:val="0"/>
              <w:keepLines w:val="0"/>
              <w:suppressLineNumbers w:val="0"/>
              <w:spacing w:before="0" w:beforeAutospacing="0" w:after="0" w:afterAutospacing="0" w:line="520" w:lineRule="exact"/>
              <w:ind w:left="0" w:right="0" w:firstLine="480"/>
              <w:rPr>
                <w:rFonts w:hint="default"/>
                <w:u w:val="none"/>
              </w:rPr>
            </w:pPr>
            <w:r>
              <w:rPr>
                <w:rFonts w:hint="default"/>
                <w:u w:val="none"/>
              </w:rPr>
              <w:t>湘阴江湖甚多，水域面积98.56万亩，占全县总面积的41.56%。其中，江河面积14.55万亩，占水域面积的14.76%；湖泊面积约33.2万亩，占水域面积的33.69%。余为洪水季节是水、枯水季节即洲的湖洲，约占水域的15.55%。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u w:val="none"/>
              </w:rPr>
            </w:pPr>
            <w:r>
              <w:rPr>
                <w:rFonts w:hint="eastAsia" w:ascii="宋体" w:hAnsi="宋体" w:cs="宋体"/>
                <w:u w:val="none"/>
              </w:rPr>
              <w:t>①</w:t>
            </w:r>
            <w:r>
              <w:rPr>
                <w:rFonts w:hint="default"/>
                <w:u w:val="none"/>
              </w:rPr>
              <w:t>湘江是我省的最大河流，其发源于广西省临桂县海洋坪龙门界，经金沙入湖南省东安县，流经零陵、湘阴、株洲、湘潭、岳阳，然后自岳阳入洞庭湖，于城陵矶入湘江，全长856km，是岳阳市的主要供水源。湘江岳阳段全长95km，江面宽500～1500m，一般水深6～15m，河床多砂砾石且坡度平缓，河水流速慢。其流量分平、洪、丰、枯四个水期，有明显的季节变化，洪水期多出现在5～7月，枯水期多出现在12～翌年2月。湘江是岳阳市的一条景观河流，既是岳阳市的主要供水水源，又是岳阳市的污水最终受纳水体。</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其主要水文参数如下：</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年平均水位                    27.31m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平均最高水位                  36.65m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平均最低水位                  23.25m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历史最高洪峰水位              37.37m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平均径流深                    7.76m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年平均流量                    2131</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平均最大流量                  12900</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历史最大洪峰流量              23000</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平均最小流量                  248</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枯水期流量（90%保证率）      410</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历史最小流量                  120</w:t>
            </w:r>
            <w:r>
              <w:rPr>
                <w:rFonts w:hint="eastAsia" w:cs="Times New Roman"/>
                <w:sz w:val="24"/>
                <w:u w:val="none"/>
                <w:lang w:eastAsia="zh-CN"/>
              </w:rPr>
              <w:t>m³</w:t>
            </w:r>
            <w:r>
              <w:rPr>
                <w:rFonts w:hint="default" w:cs="Times New Roman"/>
                <w:sz w:val="24"/>
                <w:u w:val="none"/>
              </w:rPr>
              <w:t>/s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最大流速                      2.6m/s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年平均流速                    0.45m/s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枯水期平均流速                0.18m/s</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eastAsia" w:eastAsia="宋体" w:cs="Times New Roman"/>
                <w:sz w:val="24"/>
                <w:u w:val="none"/>
                <w:lang w:eastAsia="zh-CN"/>
              </w:rPr>
            </w:pPr>
            <w:r>
              <w:rPr>
                <w:rFonts w:hint="default" w:cs="Times New Roman"/>
                <w:sz w:val="24"/>
                <w:u w:val="none"/>
              </w:rPr>
              <w:t>平均含砂量                    0.1-0.2kg/</w:t>
            </w:r>
            <w:r>
              <w:rPr>
                <w:rFonts w:hint="eastAsia" w:cs="Times New Roman"/>
                <w:sz w:val="24"/>
                <w:u w:val="none"/>
                <w:lang w:eastAsia="zh-CN"/>
              </w:rPr>
              <w:t>m³</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eastAsia" w:ascii="宋体" w:hAnsi="宋体" w:eastAsia="宋体" w:cs="宋体"/>
                <w:sz w:val="24"/>
                <w:u w:val="none"/>
              </w:rPr>
              <w:t>②</w:t>
            </w:r>
            <w:r>
              <w:rPr>
                <w:rFonts w:hint="default" w:cs="Times New Roman"/>
                <w:sz w:val="24"/>
                <w:u w:val="none"/>
              </w:rPr>
              <w:t>白水江是城区南面的1条小可，多年平均流量12.5</w:t>
            </w:r>
            <w:r>
              <w:rPr>
                <w:rFonts w:hint="eastAsia" w:cs="Times New Roman"/>
                <w:sz w:val="24"/>
                <w:u w:val="none"/>
                <w:lang w:eastAsia="zh-CN"/>
              </w:rPr>
              <w:t>m³</w:t>
            </w:r>
            <w:r>
              <w:rPr>
                <w:rFonts w:hint="default" w:cs="Times New Roman"/>
                <w:sz w:val="24"/>
                <w:u w:val="none"/>
              </w:rPr>
              <w:t>/s，在新城区的建设中拟改道，南移300m，为景观用水区，为第二污水处理厂环评时的排水去向。</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（2）地下水</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cs="Times New Roman"/>
                <w:sz w:val="24"/>
                <w:u w:val="none"/>
              </w:rPr>
            </w:pPr>
            <w:r>
              <w:rPr>
                <w:rFonts w:hint="default" w:cs="Times New Roman"/>
                <w:sz w:val="24"/>
                <w:u w:val="none"/>
              </w:rPr>
              <w:t>地下水以沙卵石层含量为最丰富。据湖南地质局勘测，湘阴年平补给地下水的总量为14.03亿立方米。其中，降水补给1.64亿立方米，江湖补给2.39亿立方米。枯水年地下水径流量为0.78亿立方米，孔隙水总储量为131.67亿立方米。年可开采量为3.29亿立方米。县境地下水质良好。</w:t>
            </w:r>
          </w:p>
          <w:p>
            <w:pPr>
              <w:pStyle w:val="39"/>
              <w:keepNext w:val="0"/>
              <w:keepLines w:val="0"/>
              <w:suppressLineNumbers w:val="0"/>
              <w:adjustRightInd/>
              <w:snapToGrid/>
              <w:spacing w:before="0" w:beforeAutospacing="0" w:after="0" w:afterAutospacing="0" w:line="276" w:lineRule="auto"/>
              <w:ind w:left="0" w:right="0" w:firstLine="480"/>
              <w:rPr>
                <w:rFonts w:hint="eastAsia" w:ascii="Times New Roman" w:hAnsi="Times New Roman" w:eastAsia="宋体" w:cs="Times New Roman"/>
                <w:b/>
                <w:bCs/>
                <w:kern w:val="2"/>
                <w:sz w:val="24"/>
                <w:szCs w:val="24"/>
                <w:u w:val="single"/>
                <w:lang w:val="en-US" w:eastAsia="zh-CN" w:bidi="ar"/>
              </w:rPr>
            </w:pPr>
            <w:r>
              <w:rPr>
                <w:rFonts w:hint="eastAsia"/>
                <w:b/>
                <w:bCs/>
                <w:u w:val="single"/>
                <w:lang w:val="en-US" w:eastAsia="zh-CN"/>
              </w:rPr>
              <w:t>2.5</w:t>
            </w:r>
            <w:r>
              <w:rPr>
                <w:rFonts w:hint="eastAsia" w:ascii="Times New Roman" w:hAnsi="Times New Roman" w:eastAsia="宋体" w:cs="Times New Roman"/>
                <w:b/>
                <w:bCs/>
                <w:kern w:val="2"/>
                <w:sz w:val="24"/>
                <w:szCs w:val="24"/>
                <w:u w:val="single"/>
                <w:lang w:val="en-US" w:eastAsia="zh-CN" w:bidi="ar"/>
              </w:rPr>
              <w:t>湘阴县顽石再生科技有限公司现有生产及污染物产生治理排放情况</w:t>
            </w:r>
          </w:p>
          <w:p>
            <w:pPr>
              <w:keepNext w:val="0"/>
              <w:keepLines w:val="0"/>
              <w:suppressLineNumbers w:val="0"/>
              <w:bidi w:val="0"/>
              <w:spacing w:before="0" w:beforeAutospacing="0" w:after="0" w:afterAutospacing="0"/>
              <w:ind w:left="0" w:right="0"/>
              <w:rPr>
                <w:rFonts w:hint="eastAsia"/>
                <w:lang w:val="en-US" w:eastAsia="zh-CN"/>
              </w:rPr>
            </w:pPr>
            <w:r>
              <w:rPr>
                <w:rFonts w:hint="eastAsia"/>
                <w:u w:val="single"/>
                <w:lang w:val="en-US" w:eastAsia="zh-CN"/>
              </w:rPr>
              <w:t>湘阴县顽石再生科技有限公司现有生产及污染物产生治理排放情况如下表所示。</w:t>
            </w:r>
          </w:p>
          <w:tbl>
            <w:tblPr>
              <w:tblStyle w:val="23"/>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79"/>
              <w:gridCol w:w="1374"/>
              <w:gridCol w:w="489"/>
              <w:gridCol w:w="1558"/>
              <w:gridCol w:w="979"/>
              <w:gridCol w:w="1140"/>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trPr>
              <w:tc>
                <w:tcPr>
                  <w:tcW w:w="3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内容</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类型</w:t>
                  </w: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排放源</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（编号）</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污染物名称</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产生浓度及产生量</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大</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气</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污</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染</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物</w:t>
                  </w: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破碎加工粉尘</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无组织粉尘</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13t/a</w:t>
                  </w:r>
                  <w:r>
                    <w:rPr>
                      <w:rFonts w:hint="eastAsia"/>
                      <w:lang w:val="en-US" w:eastAsia="zh-CN"/>
                    </w:rPr>
                    <w:t>、</w:t>
                  </w:r>
                  <w:r>
                    <w:rPr>
                      <w:rFonts w:hint="default"/>
                      <w:lang w:val="en-US" w:eastAsia="zh-CN"/>
                    </w:rPr>
                    <w:t>5.42kg/h</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1.95t/a</w:t>
                  </w:r>
                  <w:r>
                    <w:rPr>
                      <w:rFonts w:hint="eastAsia"/>
                      <w:lang w:val="en-US" w:eastAsia="zh-CN"/>
                    </w:rPr>
                    <w:t>、</w:t>
                  </w:r>
                  <w:r>
                    <w:rPr>
                      <w:rFonts w:hint="default"/>
                      <w:lang w:val="en-US" w:eastAsia="zh-CN"/>
                    </w:rPr>
                    <w:t>0.8125kg/h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筒库粉尘</w:t>
                  </w:r>
                </w:p>
              </w:tc>
              <w:tc>
                <w:tcPr>
                  <w:tcW w:w="1234" w:type="pct"/>
                  <w:gridSpan w:val="2"/>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有组织粉尘</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85.272t/a</w:t>
                  </w:r>
                  <w:r>
                    <w:rPr>
                      <w:rFonts w:hint="eastAsia"/>
                      <w:lang w:val="en-US" w:eastAsia="zh-CN"/>
                    </w:rPr>
                    <w:t>、</w:t>
                  </w:r>
                  <w:r>
                    <w:rPr>
                      <w:rFonts w:hint="default"/>
                      <w:lang w:val="en-US" w:eastAsia="zh-CN"/>
                    </w:rPr>
                    <w:t>4543mg/</w:t>
                  </w:r>
                  <w:r>
                    <w:rPr>
                      <w:rFonts w:hint="eastAsia"/>
                      <w:lang w:val="en-US" w:eastAsia="zh-CN"/>
                    </w:rPr>
                    <w:t>m³</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0.34129t/a</w:t>
                  </w:r>
                  <w:r>
                    <w:rPr>
                      <w:rFonts w:hint="eastAsia"/>
                      <w:lang w:val="en-US" w:eastAsia="zh-CN"/>
                    </w:rPr>
                    <w:t>、</w:t>
                  </w:r>
                  <w:r>
                    <w:rPr>
                      <w:rFonts w:hint="default"/>
                      <w:lang w:val="en-US" w:eastAsia="zh-CN"/>
                    </w:rPr>
                    <w:t>9.086mg/</w:t>
                  </w:r>
                  <w:r>
                    <w:rPr>
                      <w:rFonts w:hint="eastAsia"/>
                      <w:lang w:val="en-US"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混合搅拌粉尘</w:t>
                  </w:r>
                </w:p>
              </w:tc>
              <w:tc>
                <w:tcPr>
                  <w:tcW w:w="1234" w:type="pct"/>
                  <w:gridSpan w:val="2"/>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231.7t/a</w:t>
                  </w:r>
                  <w:r>
                    <w:rPr>
                      <w:rFonts w:hint="eastAsia"/>
                      <w:lang w:val="en-US" w:eastAsia="zh-CN"/>
                    </w:rPr>
                    <w:t>、</w:t>
                  </w:r>
                  <w:r>
                    <w:rPr>
                      <w:rFonts w:hint="default"/>
                      <w:lang w:val="en-US" w:eastAsia="zh-CN"/>
                    </w:rPr>
                    <w:t>405.2mg/</w:t>
                  </w:r>
                  <w:r>
                    <w:rPr>
                      <w:rFonts w:hint="eastAsia"/>
                      <w:lang w:val="en-US" w:eastAsia="zh-CN"/>
                    </w:rPr>
                    <w:t>m³</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0.9368t/a</w:t>
                  </w:r>
                  <w:r>
                    <w:rPr>
                      <w:rFonts w:hint="eastAsia"/>
                      <w:lang w:val="en-US" w:eastAsia="zh-CN"/>
                    </w:rPr>
                    <w:t>、</w:t>
                  </w:r>
                  <w:r>
                    <w:rPr>
                      <w:rFonts w:hint="default"/>
                      <w:lang w:val="en-US" w:eastAsia="zh-CN"/>
                    </w:rPr>
                    <w:t>4.05mg/</w:t>
                  </w:r>
                  <w:r>
                    <w:rPr>
                      <w:rFonts w:hint="eastAsia"/>
                      <w:lang w:val="en-US"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原料装卸扬尘、运输扬尘</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无组织粉尘</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0.082t/a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0.082t/a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运输车辆</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车辆尾气</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极少量</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食堂</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食堂油烟</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3.6kg/a</w:t>
                  </w:r>
                  <w:r>
                    <w:rPr>
                      <w:rFonts w:hint="eastAsia"/>
                      <w:lang w:val="en-US" w:eastAsia="zh-CN"/>
                    </w:rPr>
                    <w:t>（</w:t>
                  </w:r>
                  <w:r>
                    <w:rPr>
                      <w:rFonts w:hint="default"/>
                      <w:lang w:val="en-US" w:eastAsia="zh-CN"/>
                    </w:rPr>
                    <w:t>1.6mg/</w:t>
                  </w:r>
                  <w:r>
                    <w:rPr>
                      <w:rFonts w:hint="eastAsia"/>
                      <w:lang w:val="en-US" w:eastAsia="zh-CN"/>
                    </w:rPr>
                    <w:t>m³）</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3.6kg/a</w:t>
                  </w:r>
                  <w:r>
                    <w:rPr>
                      <w:rFonts w:hint="eastAsia"/>
                      <w:lang w:val="en-US" w:eastAsia="zh-CN"/>
                    </w:rPr>
                    <w:t>（</w:t>
                  </w:r>
                  <w:r>
                    <w:rPr>
                      <w:rFonts w:hint="default"/>
                      <w:lang w:val="en-US" w:eastAsia="zh-CN"/>
                    </w:rPr>
                    <w:t>1.6mg/</w:t>
                  </w:r>
                  <w:r>
                    <w:rPr>
                      <w:rFonts w:hint="eastAsia"/>
                      <w:lang w:val="en-US"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水</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污</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染</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物</w:t>
                  </w:r>
                </w:p>
              </w:tc>
              <w:tc>
                <w:tcPr>
                  <w:tcW w:w="828"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生活污水</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废水量</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1392t/a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1392t/a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COD</w:t>
                  </w:r>
                </w:p>
              </w:tc>
              <w:tc>
                <w:tcPr>
                  <w:tcW w:w="59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300mg/l</w:t>
                  </w:r>
                </w:p>
              </w:tc>
              <w:tc>
                <w:tcPr>
                  <w:tcW w:w="686"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0.4176</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氨氮</w:t>
                  </w:r>
                </w:p>
              </w:tc>
              <w:tc>
                <w:tcPr>
                  <w:tcW w:w="59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30mg/l</w:t>
                  </w:r>
                </w:p>
              </w:tc>
              <w:tc>
                <w:tcPr>
                  <w:tcW w:w="686"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0.04176</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49"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固</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体</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废</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物</w:t>
                  </w: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办公生活</w:t>
                  </w:r>
                </w:p>
              </w:tc>
              <w:tc>
                <w:tcPr>
                  <w:tcW w:w="29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一般固废</w:t>
                  </w:r>
                </w:p>
              </w:tc>
              <w:tc>
                <w:tcPr>
                  <w:tcW w:w="93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生活垃圾</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6t/a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生产固废</w:t>
                  </w:r>
                </w:p>
              </w:tc>
              <w:tc>
                <w:tcPr>
                  <w:tcW w:w="295"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93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收集到的粉尘</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326.744t/a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295"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93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沉淀池沉渣</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8.7t/a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828"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rPr>
                  </w:pPr>
                </w:p>
              </w:tc>
              <w:tc>
                <w:tcPr>
                  <w:tcW w:w="295"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危险固废</w:t>
                  </w:r>
                </w:p>
              </w:tc>
              <w:tc>
                <w:tcPr>
                  <w:tcW w:w="93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废矿物油</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0.01t/a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噪</w:t>
                  </w:r>
                </w:p>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声</w:t>
                  </w:r>
                </w:p>
              </w:tc>
              <w:tc>
                <w:tcPr>
                  <w:tcW w:w="828"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营运期噪声</w:t>
                  </w:r>
                </w:p>
              </w:tc>
              <w:tc>
                <w:tcPr>
                  <w:tcW w:w="1234"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eastAsia"/>
                      <w:lang w:val="en-US" w:eastAsia="zh-CN"/>
                    </w:rPr>
                    <w:t>机加工设备的运行噪声</w:t>
                  </w:r>
                </w:p>
              </w:tc>
              <w:tc>
                <w:tcPr>
                  <w:tcW w:w="1277"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80-105[dB(A)]</w:t>
                  </w:r>
                </w:p>
              </w:tc>
              <w:tc>
                <w:tcPr>
                  <w:tcW w:w="1310" w:type="pct"/>
                  <w:shd w:val="clear" w:color="auto" w:fill="auto"/>
                  <w:vAlign w:val="center"/>
                </w:tcPr>
                <w:p>
                  <w:pPr>
                    <w:pStyle w:val="49"/>
                    <w:keepNext w:val="0"/>
                    <w:keepLines w:val="0"/>
                    <w:suppressLineNumbers w:val="0"/>
                    <w:bidi w:val="0"/>
                    <w:spacing w:before="0" w:beforeAutospacing="0" w:after="0" w:afterAutospacing="0"/>
                    <w:ind w:left="0" w:right="0"/>
                    <w:rPr>
                      <w:rFonts w:hint="default"/>
                      <w:lang w:val="en-US"/>
                    </w:rPr>
                  </w:pPr>
                  <w:r>
                    <w:rPr>
                      <w:rFonts w:hint="default"/>
                      <w:lang w:val="en-US" w:eastAsia="zh-CN"/>
                    </w:rPr>
                    <w:t>2</w:t>
                  </w:r>
                  <w:r>
                    <w:rPr>
                      <w:rFonts w:hint="eastAsia"/>
                      <w:lang w:val="en-US" w:eastAsia="zh-CN"/>
                    </w:rPr>
                    <w:t>类标准昼间</w:t>
                  </w:r>
                  <w:r>
                    <w:rPr>
                      <w:rFonts w:hint="default"/>
                      <w:lang w:val="en-US" w:eastAsia="zh-CN"/>
                    </w:rPr>
                    <w:t>≤60dB(A)</w:t>
                  </w:r>
                  <w:r>
                    <w:rPr>
                      <w:rFonts w:hint="eastAsia"/>
                      <w:lang w:val="en-US" w:eastAsia="zh-CN"/>
                    </w:rPr>
                    <w:t>，夜间</w:t>
                  </w:r>
                  <w:r>
                    <w:rPr>
                      <w:rFonts w:hint="default"/>
                      <w:lang w:val="en-US" w:eastAsia="zh-CN"/>
                    </w:rPr>
                    <w:t>≤50dB(A)</w:t>
                  </w:r>
                </w:p>
              </w:tc>
            </w:tr>
          </w:tbl>
          <w:p>
            <w:pPr>
              <w:pStyle w:val="39"/>
              <w:keepNext w:val="0"/>
              <w:keepLines w:val="0"/>
              <w:suppressLineNumbers w:val="0"/>
              <w:adjustRightInd/>
              <w:snapToGrid/>
              <w:spacing w:before="0" w:beforeAutospacing="0" w:after="0" w:afterAutospacing="0" w:line="276" w:lineRule="auto"/>
              <w:ind w:left="0" w:right="0" w:firstLine="480"/>
              <w:rPr>
                <w:rFonts w:hint="eastAsia" w:ascii="Times New Roman" w:hAnsi="Times New Roman" w:eastAsia="宋体" w:cs="Times New Roman"/>
                <w:kern w:val="2"/>
                <w:sz w:val="24"/>
                <w:szCs w:val="24"/>
                <w:u w:val="single"/>
                <w:lang w:val="en-US" w:eastAsia="zh-CN" w:bidi="ar"/>
              </w:rPr>
            </w:pPr>
            <w:r>
              <w:rPr>
                <w:rFonts w:hint="eastAsia"/>
                <w:u w:val="single"/>
                <w:lang w:val="en-US" w:eastAsia="zh-CN"/>
              </w:rPr>
              <w:t>湘阴县顽石再生科技有限公司</w:t>
            </w:r>
            <w:r>
              <w:rPr>
                <w:rFonts w:hint="eastAsia" w:ascii="Times New Roman" w:hAnsi="Times New Roman" w:eastAsia="宋体" w:cs="Times New Roman"/>
                <w:kern w:val="2"/>
                <w:sz w:val="24"/>
                <w:szCs w:val="24"/>
                <w:u w:val="single"/>
                <w:lang w:val="en-US" w:eastAsia="zh-CN" w:bidi="ar"/>
              </w:rPr>
              <w:t>公用工程如下所示。</w:t>
            </w:r>
          </w:p>
          <w:tbl>
            <w:tblPr>
              <w:tblStyle w:val="23"/>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754"/>
              <w:gridCol w:w="1219"/>
              <w:gridCol w:w="3825"/>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88"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公用工程</w:t>
                  </w:r>
                </w:p>
              </w:tc>
              <w:tc>
                <w:tcPr>
                  <w:tcW w:w="1682"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供电</w:t>
                  </w:r>
                </w:p>
              </w:tc>
              <w:tc>
                <w:tcPr>
                  <w:tcW w:w="326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市政供电网供给</w:t>
                  </w:r>
                </w:p>
              </w:tc>
              <w:tc>
                <w:tcPr>
                  <w:tcW w:w="1223"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8"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682"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给水</w:t>
                  </w:r>
                </w:p>
              </w:tc>
              <w:tc>
                <w:tcPr>
                  <w:tcW w:w="326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rPr>
                    <w:t>雨水（不够时调取附近水库用水）</w:t>
                  </w:r>
                </w:p>
              </w:tc>
              <w:tc>
                <w:tcPr>
                  <w:tcW w:w="1223"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8"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643"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排水</w:t>
                  </w:r>
                </w:p>
              </w:tc>
              <w:tc>
                <w:tcPr>
                  <w:tcW w:w="1039"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雨水</w:t>
                  </w:r>
                </w:p>
              </w:tc>
              <w:tc>
                <w:tcPr>
                  <w:tcW w:w="4483"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由屋面雨水斗收集，经雨水管排至</w:t>
                  </w:r>
                  <w:r>
                    <w:rPr>
                      <w:rFonts w:hint="eastAsia"/>
                      <w:u w:val="single"/>
                    </w:rPr>
                    <w:t>沉淀池</w:t>
                  </w:r>
                </w:p>
              </w:tc>
            </w:tr>
          </w:tbl>
          <w:p>
            <w:pPr>
              <w:pStyle w:val="39"/>
              <w:keepNext w:val="0"/>
              <w:keepLines w:val="0"/>
              <w:suppressLineNumbers w:val="0"/>
              <w:adjustRightInd/>
              <w:snapToGrid/>
              <w:spacing w:before="0" w:beforeAutospacing="0" w:after="0" w:afterAutospacing="0" w:line="276" w:lineRule="auto"/>
              <w:ind w:left="0" w:right="0" w:firstLine="480"/>
              <w:rPr>
                <w:rFonts w:hint="eastAsia" w:ascii="Times New Roman" w:hAnsi="Times New Roman" w:eastAsia="宋体" w:cs="Times New Roman"/>
                <w:kern w:val="2"/>
                <w:sz w:val="24"/>
                <w:szCs w:val="24"/>
                <w:u w:val="single"/>
                <w:lang w:val="en-US" w:eastAsia="zh-CN" w:bidi="ar"/>
              </w:rPr>
            </w:pPr>
            <w:r>
              <w:rPr>
                <w:rFonts w:hint="eastAsia"/>
                <w:u w:val="single"/>
                <w:lang w:val="en-US" w:eastAsia="zh-CN"/>
              </w:rPr>
              <w:t>湘阴县顽石再生科技有限公司</w:t>
            </w:r>
            <w:r>
              <w:rPr>
                <w:rFonts w:hint="eastAsia" w:ascii="Times New Roman" w:hAnsi="Times New Roman" w:eastAsia="宋体" w:cs="Times New Roman"/>
                <w:kern w:val="2"/>
                <w:sz w:val="24"/>
                <w:szCs w:val="24"/>
                <w:u w:val="single"/>
                <w:lang w:val="en-US" w:eastAsia="zh-CN" w:bidi="ar"/>
              </w:rPr>
              <w:t>污染防治设施规模：</w:t>
            </w:r>
          </w:p>
          <w:p>
            <w:pPr>
              <w:pStyle w:val="39"/>
              <w:keepNext w:val="0"/>
              <w:keepLines w:val="0"/>
              <w:suppressLineNumbers w:val="0"/>
              <w:adjustRightInd/>
              <w:snapToGrid/>
              <w:spacing w:before="0" w:beforeAutospacing="0" w:after="0" w:afterAutospacing="0" w:line="276" w:lineRule="auto"/>
              <w:ind w:left="0" w:right="0" w:firstLine="480"/>
              <w:rPr>
                <w:rFonts w:hint="eastAsia" w:ascii="Times New Roman" w:hAnsi="Times New Roman"/>
                <w:u w:val="single"/>
                <w:lang w:val="en-US" w:eastAsia="zh-CN"/>
              </w:rPr>
            </w:pPr>
            <w:r>
              <w:rPr>
                <w:rFonts w:hint="eastAsia"/>
                <w:u w:val="single"/>
                <w:lang w:val="en-US" w:eastAsia="zh-CN"/>
              </w:rPr>
              <w:t>湘阴县顽石再生科技有限公司现有污水处</w:t>
            </w:r>
            <w:r>
              <w:rPr>
                <w:rFonts w:hint="eastAsia" w:ascii="Times New Roman" w:hAnsi="Times New Roman"/>
                <w:u w:val="single"/>
                <w:lang w:val="en-US" w:eastAsia="zh-CN"/>
              </w:rPr>
              <w:t>理设施为：化粪池、隔油池、沉淀池，沉淀池容积约为1800立方米。</w:t>
            </w:r>
            <w:r>
              <w:rPr>
                <w:rFonts w:hint="eastAsia"/>
                <w:u w:val="single"/>
                <w:lang w:val="en-US" w:eastAsia="zh-CN"/>
              </w:rPr>
              <w:t>湘阴县顽石再生科技有限公司现</w:t>
            </w:r>
            <w:r>
              <w:rPr>
                <w:rFonts w:hint="default" w:cs="Calibri"/>
                <w:sz w:val="24"/>
                <w:u w:val="single"/>
              </w:rPr>
              <w:t>沉淀池平均每天补充水量为</w:t>
            </w:r>
            <w:r>
              <w:rPr>
                <w:rFonts w:hint="eastAsia" w:cs="Calibri"/>
                <w:sz w:val="24"/>
                <w:u w:val="single"/>
              </w:rPr>
              <w:t>40</w:t>
            </w:r>
            <w:r>
              <w:rPr>
                <w:rFonts w:hint="eastAsia" w:cs="Calibri"/>
                <w:sz w:val="24"/>
                <w:u w:val="single"/>
                <w:lang w:eastAsia="zh-CN"/>
              </w:rPr>
              <w:t>m³</w:t>
            </w:r>
            <w:r>
              <w:rPr>
                <w:rFonts w:hint="eastAsia" w:cs="Calibri"/>
                <w:sz w:val="24"/>
                <w:u w:val="single"/>
                <w:vertAlign w:val="baseline"/>
                <w:lang w:eastAsia="zh-CN"/>
              </w:rPr>
              <w:t>，本项目废水，增加</w:t>
            </w:r>
            <w:r>
              <w:rPr>
                <w:rFonts w:hint="eastAsia" w:cs="Calibri"/>
                <w:sz w:val="24"/>
                <w:u w:val="single"/>
                <w:lang w:val="en-US" w:eastAsia="zh-CN"/>
              </w:rPr>
              <w:t>6.7</w:t>
            </w:r>
            <w:r>
              <w:rPr>
                <w:rFonts w:hint="eastAsia" w:cs="Calibri"/>
                <w:sz w:val="24"/>
                <w:u w:val="single"/>
                <w:lang w:eastAsia="zh-CN"/>
              </w:rPr>
              <w:t>m³</w:t>
            </w:r>
            <w:r>
              <w:rPr>
                <w:rFonts w:hint="eastAsia" w:cs="Calibri"/>
                <w:sz w:val="24"/>
                <w:u w:val="single"/>
                <w:vertAlign w:val="baseline"/>
                <w:lang w:val="en-US" w:eastAsia="zh-CN"/>
              </w:rPr>
              <w:t>/d，</w:t>
            </w:r>
            <w:r>
              <w:rPr>
                <w:rFonts w:hint="eastAsia" w:cs="Calibri"/>
                <w:sz w:val="24"/>
                <w:u w:val="single"/>
                <w:vertAlign w:val="baseline"/>
                <w:lang w:eastAsia="zh-CN"/>
              </w:rPr>
              <w:t>汇入后一共为</w:t>
            </w:r>
            <w:r>
              <w:rPr>
                <w:rFonts w:hint="eastAsia" w:cs="Calibri"/>
                <w:sz w:val="24"/>
                <w:u w:val="single"/>
                <w:vertAlign w:val="baseline"/>
                <w:lang w:val="en-US" w:eastAsia="zh-CN"/>
              </w:rPr>
              <w:t>4</w:t>
            </w:r>
            <w:r>
              <w:rPr>
                <w:rFonts w:hint="eastAsia" w:cs="Calibri"/>
                <w:sz w:val="24"/>
                <w:u w:val="single"/>
                <w:lang w:val="en-US" w:eastAsia="zh-CN"/>
              </w:rPr>
              <w:t>6.7</w:t>
            </w:r>
            <w:r>
              <w:rPr>
                <w:rFonts w:hint="eastAsia" w:cs="Calibri"/>
                <w:sz w:val="24"/>
                <w:u w:val="single"/>
                <w:lang w:eastAsia="zh-CN"/>
              </w:rPr>
              <w:t>m³</w:t>
            </w:r>
            <w:r>
              <w:rPr>
                <w:rFonts w:hint="eastAsia" w:cs="Calibri"/>
                <w:sz w:val="24"/>
                <w:u w:val="single"/>
                <w:vertAlign w:val="baseline"/>
                <w:lang w:val="en-US" w:eastAsia="zh-CN"/>
              </w:rPr>
              <w:t>/d，因此现有效容积</w:t>
            </w:r>
            <w:r>
              <w:rPr>
                <w:rFonts w:hint="eastAsia" w:ascii="Times New Roman" w:hAnsi="Times New Roman"/>
                <w:u w:val="single"/>
                <w:lang w:val="en-US" w:eastAsia="zh-CN"/>
              </w:rPr>
              <w:t>可满足本项目废水需求</w:t>
            </w:r>
          </w:p>
          <w:p>
            <w:pPr>
              <w:pStyle w:val="39"/>
              <w:keepNext w:val="0"/>
              <w:keepLines w:val="0"/>
              <w:suppressLineNumbers w:val="0"/>
              <w:adjustRightInd/>
              <w:snapToGrid/>
              <w:spacing w:before="0" w:beforeAutospacing="0" w:after="0" w:afterAutospacing="0" w:line="276" w:lineRule="auto"/>
              <w:ind w:left="0" w:right="0" w:firstLine="480"/>
              <w:rPr>
                <w:rFonts w:hint="eastAsia" w:ascii="Times New Roman" w:hAnsi="Times New Roman" w:eastAsia="宋体" w:cs="Times New Roman"/>
                <w:kern w:val="2"/>
                <w:sz w:val="24"/>
                <w:szCs w:val="24"/>
                <w:lang w:val="en-US" w:eastAsia="zh-CN" w:bidi="ar"/>
              </w:rPr>
            </w:pPr>
          </w:p>
          <w:p>
            <w:pPr>
              <w:pStyle w:val="39"/>
              <w:keepNext w:val="0"/>
              <w:keepLines w:val="0"/>
              <w:suppressLineNumbers w:val="0"/>
              <w:adjustRightInd/>
              <w:snapToGrid/>
              <w:spacing w:before="0" w:beforeAutospacing="0" w:after="0" w:afterAutospacing="0" w:line="276" w:lineRule="auto"/>
              <w:ind w:left="0" w:right="0" w:firstLine="482"/>
              <w:rPr>
                <w:rFonts w:hint="default"/>
                <w:b/>
                <w:bCs/>
                <w:u w:val="none"/>
              </w:rPr>
            </w:pPr>
            <w:r>
              <w:rPr>
                <w:rFonts w:hint="eastAsia"/>
                <w:b/>
                <w:bCs/>
                <w:u w:val="none"/>
                <w:lang w:val="en-US" w:eastAsia="zh-CN"/>
              </w:rPr>
              <w:t>2.6</w:t>
            </w:r>
            <w:r>
              <w:rPr>
                <w:rFonts w:hint="eastAsia"/>
                <w:b/>
                <w:bCs/>
                <w:u w:val="none"/>
              </w:rPr>
              <w:t>区域环境功能：</w:t>
            </w:r>
          </w:p>
          <w:p>
            <w:pPr>
              <w:keepNext w:val="0"/>
              <w:keepLines w:val="0"/>
              <w:suppressLineNumbers w:val="0"/>
              <w:spacing w:before="0" w:beforeAutospacing="0" w:after="0" w:afterAutospacing="0" w:line="276" w:lineRule="auto"/>
              <w:ind w:left="0" w:right="0" w:firstLine="480"/>
              <w:rPr>
                <w:rFonts w:hint="default"/>
                <w:u w:val="none"/>
              </w:rPr>
            </w:pPr>
            <w:r>
              <w:rPr>
                <w:rFonts w:hint="default"/>
                <w:u w:val="none"/>
              </w:rPr>
              <w:t>本项目所在地环境功能属性见表2-</w:t>
            </w:r>
            <w:r>
              <w:rPr>
                <w:rFonts w:hint="eastAsia"/>
                <w:u w:val="none"/>
              </w:rPr>
              <w:t>1</w:t>
            </w:r>
            <w:r>
              <w:rPr>
                <w:rFonts w:hint="default"/>
                <w:u w:val="none"/>
              </w:rPr>
              <w:t>：</w:t>
            </w:r>
          </w:p>
          <w:p>
            <w:pPr>
              <w:keepNext w:val="0"/>
              <w:keepLines w:val="0"/>
              <w:suppressLineNumbers w:val="0"/>
              <w:spacing w:before="0" w:beforeAutospacing="0" w:after="0" w:afterAutospacing="0"/>
              <w:ind w:left="0" w:right="0" w:firstLine="422"/>
              <w:jc w:val="center"/>
              <w:rPr>
                <w:rFonts w:hint="default"/>
                <w:b/>
                <w:bCs/>
                <w:sz w:val="21"/>
                <w:szCs w:val="21"/>
                <w:u w:val="none"/>
              </w:rPr>
            </w:pPr>
            <w:r>
              <w:rPr>
                <w:rFonts w:hint="default"/>
                <w:b/>
                <w:bCs/>
                <w:sz w:val="21"/>
                <w:szCs w:val="21"/>
                <w:u w:val="none"/>
              </w:rPr>
              <w:t>表2-</w:t>
            </w:r>
            <w:r>
              <w:rPr>
                <w:rFonts w:hint="eastAsia"/>
                <w:b/>
                <w:bCs/>
                <w:sz w:val="21"/>
                <w:szCs w:val="21"/>
                <w:u w:val="none"/>
              </w:rPr>
              <w:t>1</w:t>
            </w:r>
            <w:r>
              <w:rPr>
                <w:rFonts w:hint="default"/>
                <w:b/>
                <w:bCs/>
                <w:sz w:val="21"/>
                <w:szCs w:val="21"/>
                <w:u w:val="none"/>
              </w:rPr>
              <w:t xml:space="preserve">  项目</w:t>
            </w:r>
            <w:r>
              <w:rPr>
                <w:rFonts w:hint="eastAsia"/>
                <w:b/>
                <w:bCs/>
                <w:sz w:val="21"/>
                <w:szCs w:val="21"/>
                <w:u w:val="none"/>
              </w:rPr>
              <w:t>所在地</w:t>
            </w:r>
            <w:r>
              <w:rPr>
                <w:rFonts w:hint="default"/>
                <w:b/>
                <w:bCs/>
                <w:sz w:val="21"/>
                <w:szCs w:val="21"/>
                <w:u w:val="none"/>
              </w:rPr>
              <w:t>环境功能属性</w:t>
            </w:r>
          </w:p>
          <w:tbl>
            <w:tblPr>
              <w:tblStyle w:val="23"/>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998"/>
              <w:gridCol w:w="4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水环境功能区划</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湘江乌龙嘴断面执行《地表水环境质量标准》(GB3838-2002)Ⅲ类标准</w:t>
                  </w:r>
                  <w:r>
                    <w:rPr>
                      <w:rFonts w:hint="eastAsia"/>
                      <w:u w:val="none"/>
                      <w:lang w:eastAsia="zh-CN"/>
                    </w:rPr>
                    <w:t>；</w:t>
                  </w:r>
                  <w:r>
                    <w:rPr>
                      <w:rFonts w:hint="eastAsia"/>
                      <w:u w:val="none"/>
                    </w:rPr>
                    <w:t>地下水执行《地下水质量标准》（GB/T14848 -2017）Ⅲ类标准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环境空气功能区划</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根据《环境空气质量功能区划分原则与技术方法》（HJ14-1996），项目选址属环境空气质量二类功能区，执行《环境空气质量标准》（GB3095-2012）中的</w:t>
                  </w:r>
                  <w:bookmarkStart w:id="343" w:name="_GoBack"/>
                  <w:r>
                    <w:rPr>
                      <w:rFonts w:hint="default"/>
                      <w:u w:val="none"/>
                    </w:rPr>
                    <w:t>二级</w:t>
                  </w:r>
                  <w:bookmarkEnd w:id="343"/>
                  <w:r>
                    <w:rPr>
                      <w:rFonts w:hint="default"/>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声环境功能区划</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区域声环境执行《声环境质量标准》（GB3096-2008）中的</w:t>
                  </w:r>
                  <w:r>
                    <w:rPr>
                      <w:rFonts w:hint="eastAsia"/>
                      <w:u w:val="none"/>
                      <w:lang w:val="en-US" w:eastAsia="zh-CN"/>
                    </w:rPr>
                    <w:t>2</w:t>
                  </w:r>
                  <w:r>
                    <w:rPr>
                      <w:rFonts w:hint="default"/>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是否是基本农田</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是否是森林公园</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是否是生态功能保护区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是否水土流失重点防治区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是否人口密集区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是否重点文物保护单位</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是否三河、三湖、两控区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是（两控区</w:t>
                  </w:r>
                  <w:r>
                    <w:rPr>
                      <w:rFonts w:hint="eastAsia"/>
                      <w:u w:val="none"/>
                    </w:rPr>
                    <w:t>，岳阳为酸雨控制区）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是否水库库区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是否污水处理厂纳污集水范围</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w:t>
                  </w:r>
                </w:p>
              </w:tc>
              <w:tc>
                <w:tcPr>
                  <w:tcW w:w="180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是否属于生态敏感脆弱区</w:t>
                  </w:r>
                </w:p>
              </w:tc>
              <w:tc>
                <w:tcPr>
                  <w:tcW w:w="273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bl>
          <w:p>
            <w:pPr>
              <w:keepNext w:val="0"/>
              <w:keepLines w:val="0"/>
              <w:suppressLineNumbers w:val="0"/>
              <w:spacing w:before="0" w:beforeAutospacing="0" w:after="0" w:afterAutospacing="0"/>
              <w:ind w:left="0" w:right="0" w:firstLine="480"/>
              <w:rPr>
                <w:rFonts w:hint="default"/>
                <w:u w:val="none"/>
              </w:rPr>
            </w:pPr>
          </w:p>
        </w:tc>
      </w:tr>
    </w:tbl>
    <w:p>
      <w:pPr>
        <w:ind w:firstLine="480"/>
        <w:rPr>
          <w:u w:val="none"/>
        </w:rPr>
      </w:pPr>
    </w:p>
    <w:p>
      <w:pPr>
        <w:widowControl/>
        <w:ind w:firstLine="482"/>
        <w:jc w:val="left"/>
        <w:rPr>
          <w:b/>
          <w:bCs/>
          <w:kern w:val="44"/>
          <w:szCs w:val="32"/>
          <w:u w:val="none"/>
        </w:rPr>
      </w:pPr>
      <w:r>
        <w:rPr>
          <w:b/>
          <w:bCs/>
          <w:kern w:val="44"/>
          <w:szCs w:val="32"/>
          <w:u w:val="none"/>
        </w:rPr>
        <w:br w:type="page"/>
      </w:r>
    </w:p>
    <w:p>
      <w:pPr>
        <w:pStyle w:val="3"/>
        <w:spacing w:before="0" w:after="0"/>
        <w:ind w:firstLine="643"/>
        <w:rPr>
          <w:sz w:val="32"/>
          <w:szCs w:val="32"/>
          <w:u w:val="none"/>
        </w:rPr>
      </w:pPr>
      <w:bookmarkStart w:id="13" w:name="_Toc19542"/>
      <w:r>
        <w:rPr>
          <w:rFonts w:hint="eastAsia"/>
          <w:sz w:val="32"/>
          <w:szCs w:val="32"/>
          <w:u w:val="none"/>
        </w:rPr>
        <w:t>三、环境质量状况</w:t>
      </w:r>
      <w:bookmarkEnd w:id="13"/>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keepNext w:val="0"/>
              <w:keepLines w:val="0"/>
              <w:suppressLineNumbers w:val="0"/>
              <w:spacing w:before="0" w:beforeAutospacing="0" w:after="0" w:afterAutospacing="0"/>
              <w:ind w:left="0" w:right="0" w:firstLine="562"/>
              <w:rPr>
                <w:rFonts w:hint="default"/>
                <w:b/>
                <w:sz w:val="28"/>
                <w:u w:val="none"/>
              </w:rPr>
            </w:pPr>
            <w:r>
              <w:rPr>
                <w:rFonts w:hint="default"/>
                <w:b/>
                <w:sz w:val="28"/>
                <w:u w:val="none"/>
              </w:rPr>
              <w:t>建设项目所在地区域环境质量现状及主要环境问题</w:t>
            </w:r>
            <w:r>
              <w:rPr>
                <w:rFonts w:hint="eastAsia"/>
                <w:b/>
                <w:sz w:val="28"/>
                <w:u w:val="none"/>
              </w:rPr>
              <w:t>（</w:t>
            </w:r>
            <w:r>
              <w:rPr>
                <w:rFonts w:hint="default"/>
                <w:b/>
                <w:sz w:val="28"/>
                <w:u w:val="none"/>
              </w:rPr>
              <w:t>环境空气、地面水、声环境、生态环境等</w:t>
            </w:r>
            <w:r>
              <w:rPr>
                <w:rFonts w:hint="eastAsia"/>
                <w:b/>
                <w:sz w:val="28"/>
                <w:u w:val="none"/>
              </w:rPr>
              <w:t>）</w:t>
            </w:r>
          </w:p>
          <w:p>
            <w:pPr>
              <w:pStyle w:val="4"/>
              <w:suppressLineNumbers w:val="0"/>
              <w:bidi w:val="0"/>
              <w:spacing w:before="0" w:beforeAutospacing="0" w:after="0" w:afterAutospacing="0"/>
              <w:ind w:left="0" w:right="0"/>
              <w:rPr>
                <w:rFonts w:hint="default"/>
                <w:u w:val="none"/>
              </w:rPr>
            </w:pPr>
            <w:bookmarkStart w:id="14" w:name="_Toc19953"/>
            <w:r>
              <w:rPr>
                <w:rFonts w:hint="eastAsia"/>
                <w:u w:val="none"/>
                <w:lang w:val="en-US" w:eastAsia="zh-CN"/>
              </w:rPr>
              <w:t>3.1</w:t>
            </w:r>
            <w:r>
              <w:rPr>
                <w:rFonts w:hint="default"/>
                <w:u w:val="none"/>
              </w:rPr>
              <w:t>环境空气质量现状</w:t>
            </w:r>
            <w:bookmarkEnd w:id="14"/>
          </w:p>
          <w:p>
            <w:pPr>
              <w:keepNext w:val="0"/>
              <w:keepLines w:val="0"/>
              <w:suppressLineNumbers w:val="0"/>
              <w:spacing w:before="0" w:beforeAutospacing="0" w:after="0" w:afterAutospacing="0"/>
              <w:ind w:left="0" w:right="0" w:firstLine="482"/>
              <w:jc w:val="center"/>
              <w:rPr>
                <w:rFonts w:hint="default"/>
                <w:b/>
                <w:bCs/>
                <w:u w:val="none"/>
              </w:rPr>
            </w:pPr>
            <w:r>
              <w:rPr>
                <w:rFonts w:hint="default"/>
                <w:b/>
                <w:bCs/>
                <w:u w:val="none"/>
              </w:rPr>
              <w:t>表3-1  2018</w:t>
            </w:r>
            <w:r>
              <w:rPr>
                <w:rFonts w:hint="eastAsia"/>
                <w:b/>
                <w:bCs/>
                <w:u w:val="none"/>
                <w:lang w:eastAsia="zh-CN"/>
              </w:rPr>
              <w:t>湘阴县</w:t>
            </w:r>
            <w:r>
              <w:rPr>
                <w:rFonts w:hint="default"/>
                <w:b/>
                <w:bCs/>
                <w:u w:val="none"/>
              </w:rPr>
              <w:t>区域空气质量现状评价表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741"/>
              <w:gridCol w:w="868"/>
              <w:gridCol w:w="1203"/>
              <w:gridCol w:w="1203"/>
              <w:gridCol w:w="1110"/>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评价因子</w:t>
                  </w:r>
                </w:p>
              </w:tc>
              <w:tc>
                <w:tcPr>
                  <w:tcW w:w="1049"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平均时段</w:t>
                  </w:r>
                </w:p>
              </w:tc>
              <w:tc>
                <w:tcPr>
                  <w:tcW w:w="523"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现状浓度/</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标准限值/</w:t>
                  </w:r>
                </w:p>
              </w:tc>
              <w:tc>
                <w:tcPr>
                  <w:tcW w:w="669"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占标率/%</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2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（μg/</w:t>
                  </w:r>
                  <w:r>
                    <w:rPr>
                      <w:rFonts w:hint="eastAsia"/>
                      <w:kern w:val="0"/>
                      <w:sz w:val="21"/>
                      <w:szCs w:val="21"/>
                      <w:u w:val="none"/>
                    </w:rPr>
                    <w:t>m³</w:t>
                  </w: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（μg/</w:t>
                  </w:r>
                  <w:r>
                    <w:rPr>
                      <w:rFonts w:hint="eastAsia"/>
                      <w:kern w:val="0"/>
                      <w:sz w:val="21"/>
                      <w:szCs w:val="21"/>
                      <w:u w:val="none"/>
                    </w:rPr>
                    <w:t>m³</w:t>
                  </w:r>
                  <w:r>
                    <w:rPr>
                      <w:rFonts w:hint="default"/>
                      <w:u w:val="none"/>
                    </w:rPr>
                    <w:t>）</w:t>
                  </w:r>
                </w:p>
              </w:tc>
              <w:tc>
                <w:tcPr>
                  <w:tcW w:w="669"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vertAlign w:val="baseline"/>
                    </w:rPr>
                    <w:t>SO</w:t>
                  </w:r>
                  <w:r>
                    <w:rPr>
                      <w:rFonts w:hint="default"/>
                      <w:u w:val="none"/>
                      <w:vertAlign w:val="subscript"/>
                    </w:rPr>
                    <w:t>2</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8.11</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0.14 </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98</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30</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0.20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NO</w:t>
                  </w:r>
                  <w:r>
                    <w:rPr>
                      <w:rFonts w:hint="default"/>
                      <w:u w:val="none"/>
                      <w:vertAlign w:val="subscript"/>
                    </w:rPr>
                    <w:t>2</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18.38</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0.46 </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98</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0.75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PM</w:t>
                  </w:r>
                  <w:r>
                    <w:rPr>
                      <w:rFonts w:hint="default"/>
                      <w:u w:val="none"/>
                      <w:vertAlign w:val="subscript"/>
                    </w:rPr>
                    <w:t>10</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54.37</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0.78 </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95</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156</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1.04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PM</w:t>
                  </w:r>
                  <w:r>
                    <w:rPr>
                      <w:rFonts w:hint="eastAsia"/>
                      <w:u w:val="none"/>
                      <w:vertAlign w:val="subscript"/>
                      <w:lang w:eastAsia="zh-CN"/>
                    </w:rPr>
                    <w:t>2.5</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39.44</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1.13 </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95</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102</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1.36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CO</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0.85</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95</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0.40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O</w:t>
                  </w:r>
                  <w:r>
                    <w:rPr>
                      <w:rFonts w:hint="default"/>
                      <w:u w:val="none"/>
                      <w:vertAlign w:val="subscript"/>
                    </w:rPr>
                    <w:t>3</w:t>
                  </w: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年平均质量浓度</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90.4</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54"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百分位数日平均</w:t>
                  </w:r>
                </w:p>
              </w:tc>
              <w:tc>
                <w:tcPr>
                  <w:tcW w:w="52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154</w:t>
                  </w:r>
                </w:p>
              </w:tc>
              <w:tc>
                <w:tcPr>
                  <w:tcW w:w="725"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160</w:t>
                  </w:r>
                </w:p>
              </w:tc>
              <w:tc>
                <w:tcPr>
                  <w:tcW w:w="66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0.96 </w:t>
                  </w:r>
                </w:p>
              </w:tc>
              <w:tc>
                <w:tcPr>
                  <w:tcW w:w="65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bl>
          <w:p>
            <w:pPr>
              <w:keepNext w:val="0"/>
              <w:keepLines w:val="0"/>
              <w:suppressLineNumbers w:val="0"/>
              <w:spacing w:before="217" w:beforeLines="50" w:beforeAutospacing="0" w:after="0" w:afterAutospacing="0" w:line="240" w:lineRule="auto"/>
              <w:ind w:left="0" w:right="0" w:firstLine="482"/>
              <w:jc w:val="center"/>
              <w:rPr>
                <w:rFonts w:hint="default"/>
                <w:u w:val="none"/>
              </w:rPr>
            </w:pPr>
            <w:r>
              <w:rPr>
                <w:rFonts w:hint="default"/>
                <w:b/>
                <w:bCs/>
                <w:u w:val="none"/>
              </w:rPr>
              <w:t>表3-2  201</w:t>
            </w:r>
            <w:r>
              <w:rPr>
                <w:rFonts w:hint="eastAsia"/>
                <w:b/>
                <w:bCs/>
                <w:u w:val="none"/>
                <w:lang w:val="en-US" w:eastAsia="zh-CN"/>
              </w:rPr>
              <w:t>9</w:t>
            </w:r>
            <w:r>
              <w:rPr>
                <w:rFonts w:hint="eastAsia"/>
                <w:b/>
                <w:bCs/>
                <w:u w:val="none"/>
                <w:lang w:eastAsia="zh-CN"/>
              </w:rPr>
              <w:t>湘阴县</w:t>
            </w:r>
            <w:r>
              <w:rPr>
                <w:rFonts w:hint="default"/>
                <w:b/>
                <w:bCs/>
                <w:u w:val="none"/>
              </w:rPr>
              <w:t>区域空气质量现状评价表</w:t>
            </w:r>
          </w:p>
          <w:tbl>
            <w:tblPr>
              <w:tblStyle w:val="23"/>
              <w:tblW w:w="4998" w:type="pct"/>
              <w:tblInd w:w="0" w:type="dxa"/>
              <w:shd w:val="clear" w:color="auto" w:fill="auto"/>
              <w:tblLayout w:type="autofit"/>
              <w:tblCellMar>
                <w:top w:w="0" w:type="dxa"/>
                <w:left w:w="0" w:type="dxa"/>
                <w:bottom w:w="0" w:type="dxa"/>
                <w:right w:w="0" w:type="dxa"/>
              </w:tblCellMar>
            </w:tblPr>
            <w:tblGrid>
              <w:gridCol w:w="1065"/>
              <w:gridCol w:w="1836"/>
              <w:gridCol w:w="808"/>
              <w:gridCol w:w="1218"/>
              <w:gridCol w:w="1218"/>
              <w:gridCol w:w="1093"/>
              <w:gridCol w:w="1065"/>
            </w:tblGrid>
            <w:tr>
              <w:tblPrEx>
                <w:shd w:val="clear" w:color="auto" w:fill="auto"/>
                <w:tblCellMar>
                  <w:top w:w="0" w:type="dxa"/>
                  <w:left w:w="0" w:type="dxa"/>
                  <w:bottom w:w="0" w:type="dxa"/>
                  <w:right w:w="0" w:type="dxa"/>
                </w:tblCellMar>
              </w:tblPrEx>
              <w:trPr>
                <w:trHeight w:val="0" w:hRule="atLeast"/>
              </w:trPr>
              <w:tc>
                <w:tcPr>
                  <w:tcW w:w="641" w:type="pct"/>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评价因子</w:t>
                  </w:r>
                </w:p>
              </w:tc>
              <w:tc>
                <w:tcPr>
                  <w:tcW w:w="1105" w:type="pct"/>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平均时段</w:t>
                  </w:r>
                </w:p>
              </w:tc>
              <w:tc>
                <w:tcPr>
                  <w:tcW w:w="486" w:type="pct"/>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w:t>
                  </w:r>
                </w:p>
              </w:tc>
              <w:tc>
                <w:tcPr>
                  <w:tcW w:w="733" w:type="pct"/>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现状浓度</w:t>
                  </w:r>
                  <w:r>
                    <w:rPr>
                      <w:rFonts w:hint="default"/>
                      <w:u w:val="none"/>
                      <w:lang w:val="en-US" w:eastAsia="zh-CN"/>
                    </w:rPr>
                    <w:t>/</w:t>
                  </w:r>
                </w:p>
              </w:tc>
              <w:tc>
                <w:tcPr>
                  <w:tcW w:w="733" w:type="pct"/>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标准限值</w:t>
                  </w:r>
                  <w:r>
                    <w:rPr>
                      <w:rFonts w:hint="default"/>
                      <w:u w:val="none"/>
                      <w:lang w:val="en-US" w:eastAsia="zh-CN"/>
                    </w:rPr>
                    <w:t>/</w:t>
                  </w:r>
                </w:p>
              </w:tc>
              <w:tc>
                <w:tcPr>
                  <w:tcW w:w="658" w:type="pct"/>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占标率</w:t>
                  </w:r>
                  <w:r>
                    <w:rPr>
                      <w:rFonts w:hint="default"/>
                      <w:u w:val="none"/>
                      <w:lang w:val="en-US" w:eastAsia="zh-CN"/>
                    </w:rPr>
                    <w:t>/%</w:t>
                  </w:r>
                </w:p>
              </w:tc>
              <w:tc>
                <w:tcPr>
                  <w:tcW w:w="641" w:type="pct"/>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达标情况</w:t>
                  </w:r>
                </w:p>
              </w:tc>
            </w:tr>
            <w:tr>
              <w:tblPrEx>
                <w:tblCellMar>
                  <w:top w:w="0" w:type="dxa"/>
                  <w:left w:w="0" w:type="dxa"/>
                  <w:bottom w:w="0" w:type="dxa"/>
                  <w:right w:w="0" w:type="dxa"/>
                </w:tblCellMar>
              </w:tblPrEx>
              <w:trPr>
                <w:trHeight w:val="0" w:hRule="atLeast"/>
              </w:trPr>
              <w:tc>
                <w:tcPr>
                  <w:tcW w:w="641" w:type="pct"/>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c>
                <w:tcPr>
                  <w:tcW w:w="1105" w:type="pct"/>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c>
                <w:tcPr>
                  <w:tcW w:w="486" w:type="pct"/>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w:t>
                  </w:r>
                  <w:r>
                    <w:rPr>
                      <w:rFonts w:hint="default"/>
                      <w:u w:val="none"/>
                      <w:lang w:val="en-US" w:eastAsia="zh-CN"/>
                    </w:rPr>
                    <w:t>μg/</w:t>
                  </w:r>
                  <w:r>
                    <w:rPr>
                      <w:rFonts w:hint="eastAsia"/>
                      <w:u w:val="none"/>
                      <w:lang w:val="en-US" w:eastAsia="zh-CN"/>
                    </w:rPr>
                    <w:t>m³）</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w:t>
                  </w:r>
                  <w:r>
                    <w:rPr>
                      <w:rFonts w:hint="default"/>
                      <w:u w:val="none"/>
                      <w:lang w:val="en-US" w:eastAsia="zh-CN"/>
                    </w:rPr>
                    <w:t>μg/</w:t>
                  </w:r>
                  <w:r>
                    <w:rPr>
                      <w:rFonts w:hint="eastAsia"/>
                      <w:u w:val="none"/>
                      <w:lang w:val="en-US" w:eastAsia="zh-CN"/>
                    </w:rPr>
                    <w:t>m³）</w:t>
                  </w:r>
                </w:p>
              </w:tc>
              <w:tc>
                <w:tcPr>
                  <w:tcW w:w="658" w:type="pct"/>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c>
                <w:tcPr>
                  <w:tcW w:w="641" w:type="pct"/>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default"/>
                      <w:u w:val="none"/>
                      <w:vertAlign w:val="baseline"/>
                    </w:rPr>
                    <w:t>SO</w:t>
                  </w:r>
                  <w:r>
                    <w:rPr>
                      <w:rFonts w:hint="default"/>
                      <w:u w:val="none"/>
                      <w:vertAlign w:val="subscript"/>
                    </w:rPr>
                    <w:t>2</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5.7041096</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60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0.10 </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98</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21</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0.14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default"/>
                      <w:u w:val="none"/>
                    </w:rPr>
                    <w:t>NO</w:t>
                  </w:r>
                  <w:r>
                    <w:rPr>
                      <w:rFonts w:hint="default"/>
                      <w:u w:val="none"/>
                      <w:vertAlign w:val="subscript"/>
                    </w:rPr>
                    <w:t>2</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22.950685</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40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0.57 </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98</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56</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80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0.70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default"/>
                      <w:u w:val="none"/>
                    </w:rPr>
                    <w:t>PM</w:t>
                  </w:r>
                  <w:r>
                    <w:rPr>
                      <w:rFonts w:hint="default"/>
                      <w:u w:val="none"/>
                      <w:vertAlign w:val="subscript"/>
                    </w:rPr>
                    <w:t>10</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51.372603</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70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0.73 </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95</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139</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0.93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eastAsia"/>
                      <w:u w:val="none"/>
                      <w:lang w:eastAsia="zh-CN"/>
                    </w:rPr>
                    <w:t>PM</w:t>
                  </w:r>
                  <w:r>
                    <w:rPr>
                      <w:rFonts w:hint="eastAsia"/>
                      <w:u w:val="none"/>
                      <w:vertAlign w:val="subscript"/>
                      <w:lang w:eastAsia="zh-CN"/>
                    </w:rPr>
                    <w:t>2.5</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39.378082</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35</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1.13 </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不达标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95</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110</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75</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1.47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default"/>
                      <w:u w:val="none"/>
                    </w:rPr>
                    <w:t>CO</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0.9276712</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95</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1.7</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4</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0.43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r>
              <w:tblPrEx>
                <w:tblCellMar>
                  <w:top w:w="0" w:type="dxa"/>
                  <w:left w:w="0" w:type="dxa"/>
                  <w:bottom w:w="0" w:type="dxa"/>
                  <w:right w:w="0" w:type="dxa"/>
                </w:tblCellMar>
              </w:tblPrEx>
              <w:trPr>
                <w:trHeight w:val="0" w:hRule="atLeast"/>
              </w:trPr>
              <w:tc>
                <w:tcPr>
                  <w:tcW w:w="1065" w:type="dxa"/>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firstLine="0" w:firstLineChars="0"/>
                    <w:rPr>
                      <w:rFonts w:hint="default"/>
                      <w:u w:val="none"/>
                    </w:rPr>
                  </w:pPr>
                  <w:r>
                    <w:rPr>
                      <w:rFonts w:hint="default"/>
                      <w:u w:val="none"/>
                    </w:rPr>
                    <w:t>O</w:t>
                  </w:r>
                  <w:r>
                    <w:rPr>
                      <w:rFonts w:hint="default"/>
                      <w:u w:val="none"/>
                      <w:vertAlign w:val="subscript"/>
                    </w:rPr>
                    <w:t>3</w:t>
                  </w: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年平均质量浓度</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86.320548</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w:t>
                  </w:r>
                </w:p>
              </w:tc>
              <w:tc>
                <w:tcPr>
                  <w:tcW w:w="641" w:type="pct"/>
                  <w:vMerge w:val="restart"/>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CellMar>
                  <w:top w:w="0" w:type="dxa"/>
                  <w:left w:w="0" w:type="dxa"/>
                  <w:bottom w:w="0" w:type="dxa"/>
                  <w:right w:w="0" w:type="dxa"/>
                </w:tblCellMar>
              </w:tblPrEx>
              <w:trPr>
                <w:trHeight w:val="0" w:hRule="atLeast"/>
              </w:trPr>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05"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百分位数日平均</w:t>
                  </w:r>
                </w:p>
              </w:tc>
              <w:tc>
                <w:tcPr>
                  <w:tcW w:w="48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90</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152</w:t>
                  </w:r>
                </w:p>
              </w:tc>
              <w:tc>
                <w:tcPr>
                  <w:tcW w:w="733"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160</w:t>
                  </w:r>
                </w:p>
              </w:tc>
              <w:tc>
                <w:tcPr>
                  <w:tcW w:w="658"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 xml:space="preserve">0.95 </w:t>
                  </w:r>
                </w:p>
              </w:tc>
              <w:tc>
                <w:tcPr>
                  <w:tcW w:w="641" w:type="pct"/>
                  <w:vMerge w:val="continue"/>
                  <w:tcBorders>
                    <w:top w:val="nil"/>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p>
              </w:tc>
            </w:tr>
          </w:tbl>
          <w:p>
            <w:pPr>
              <w:keepNext w:val="0"/>
              <w:keepLines w:val="0"/>
              <w:suppressLineNumbers w:val="0"/>
              <w:spacing w:before="0" w:beforeAutospacing="0" w:after="0" w:afterAutospacing="0" w:line="276" w:lineRule="auto"/>
              <w:ind w:left="0" w:right="0" w:firstLine="480"/>
              <w:rPr>
                <w:rFonts w:hint="default"/>
                <w:szCs w:val="24"/>
                <w:u w:val="none"/>
              </w:rPr>
            </w:pPr>
            <w:r>
              <w:rPr>
                <w:rFonts w:hint="default"/>
                <w:u w:val="none"/>
              </w:rPr>
              <w:t>根据表3-1和表3-2，本项目所在区域为不达标区。对比表3-1和表3-2可知，大气环境质量得到改善。</w:t>
            </w:r>
            <w:r>
              <w:rPr>
                <w:rFonts w:hint="default"/>
                <w:szCs w:val="24"/>
                <w:u w:val="none"/>
              </w:rPr>
              <w:t>根据《湖南省“蓝天保卫战”实施方案（2018—2020年）》，“重点抓好全省特护期和长沙市、株洲市、湘潭市以及常德市、岳阳市、益阳市等传输通道城市环境空气质量改善，确保完成目标任务。” 湖南省近期采取产业和能源结构调整措施、大气污染治理的措施等一系列措施，根据《湘阴县“蓝天保卫战”实施方案》，完善工业企业污染防治设施，做到污染物达标排放，改善城区空气质量，湘阴县的空气质量正在逐步改善。</w:t>
            </w:r>
          </w:p>
          <w:p>
            <w:pPr>
              <w:keepNext w:val="0"/>
              <w:keepLines w:val="0"/>
              <w:suppressLineNumbers w:val="0"/>
              <w:spacing w:before="0" w:beforeAutospacing="0" w:after="0" w:afterAutospacing="0" w:line="276" w:lineRule="auto"/>
              <w:ind w:left="0" w:right="0" w:firstLine="480"/>
              <w:rPr>
                <w:rFonts w:hint="default" w:ascii="Times New Roman" w:hAnsi="Times New Roman" w:cs="Times New Roman"/>
                <w:szCs w:val="24"/>
                <w:u w:val="single"/>
                <w:lang w:eastAsia="zh-CN"/>
              </w:rPr>
            </w:pPr>
            <w:r>
              <w:rPr>
                <w:rFonts w:hint="default" w:ascii="Times New Roman" w:hAnsi="Times New Roman" w:cs="Times New Roman"/>
                <w:szCs w:val="24"/>
                <w:u w:val="single"/>
                <w:lang w:eastAsia="zh-CN"/>
              </w:rPr>
              <w:t>本项目特征因子为“</w:t>
            </w:r>
            <w:r>
              <w:rPr>
                <w:rFonts w:hint="default" w:ascii="Times New Roman" w:hAnsi="Times New Roman" w:cs="Times New Roman"/>
                <w:szCs w:val="24"/>
                <w:u w:val="single"/>
                <w:lang w:val="en-US"/>
              </w:rPr>
              <w:t>TVOC</w:t>
            </w:r>
            <w:r>
              <w:rPr>
                <w:rFonts w:hint="default" w:ascii="Times New Roman" w:hAnsi="Times New Roman" w:cs="Times New Roman"/>
                <w:szCs w:val="24"/>
                <w:u w:val="single"/>
                <w:lang w:eastAsia="zh-CN"/>
              </w:rPr>
              <w:t>”，故本环评引用《</w:t>
            </w:r>
            <w:r>
              <w:rPr>
                <w:rFonts w:hint="eastAsia" w:ascii="宋体" w:hAnsi="宋体" w:eastAsia="宋体"/>
                <w:sz w:val="24"/>
                <w:u w:val="single"/>
              </w:rPr>
              <w:t>湖南洋沙湖危险废物治理有限公司年收集暂存危险废物</w:t>
            </w:r>
            <w:r>
              <w:rPr>
                <w:rFonts w:hint="eastAsia" w:ascii="TimesNewRomanPSMT" w:hAnsi="TimesNewRomanPSMT" w:eastAsia="TimesNewRomanPSMT"/>
                <w:sz w:val="24"/>
                <w:u w:val="single"/>
              </w:rPr>
              <w:t xml:space="preserve">5000 </w:t>
            </w:r>
            <w:r>
              <w:rPr>
                <w:rFonts w:hint="eastAsia" w:ascii="宋体" w:hAnsi="宋体" w:eastAsia="宋体"/>
                <w:sz w:val="24"/>
                <w:u w:val="single"/>
              </w:rPr>
              <w:t>吨项目</w:t>
            </w:r>
            <w:r>
              <w:rPr>
                <w:rFonts w:hint="eastAsia" w:ascii="宋体" w:hAnsi="宋体" w:eastAsia="宋体"/>
                <w:sz w:val="24"/>
                <w:u w:val="single"/>
                <w:lang w:eastAsia="zh-CN"/>
              </w:rPr>
              <w:t>环境影响报告表</w:t>
            </w:r>
            <w:r>
              <w:rPr>
                <w:rFonts w:hint="default" w:ascii="Times New Roman" w:hAnsi="Times New Roman" w:cs="Times New Roman"/>
                <w:szCs w:val="24"/>
                <w:u w:val="single"/>
                <w:lang w:eastAsia="zh-CN"/>
              </w:rPr>
              <w:t>》</w:t>
            </w:r>
            <w:r>
              <w:rPr>
                <w:rFonts w:hint="eastAsia" w:ascii="Times New Roman" w:hAnsi="Times New Roman" w:cs="Times New Roman"/>
                <w:szCs w:val="24"/>
                <w:u w:val="single"/>
                <w:lang w:eastAsia="zh-CN"/>
              </w:rPr>
              <w:t>中</w:t>
            </w:r>
            <w:r>
              <w:rPr>
                <w:rFonts w:hint="default" w:ascii="Times New Roman" w:hAnsi="Times New Roman" w:cs="Times New Roman"/>
                <w:szCs w:val="24"/>
                <w:u w:val="single"/>
                <w:lang w:eastAsia="zh-CN"/>
              </w:rPr>
              <w:t>对</w:t>
            </w:r>
            <w:r>
              <w:rPr>
                <w:rFonts w:hint="eastAsia" w:ascii="Times New Roman" w:hAnsi="Times New Roman" w:cs="Times New Roman"/>
                <w:szCs w:val="24"/>
                <w:u w:val="single"/>
                <w:lang w:eastAsia="zh-CN"/>
              </w:rPr>
              <w:t>该项目所在地上下风向</w:t>
            </w:r>
            <w:r>
              <w:rPr>
                <w:rFonts w:hint="default" w:ascii="Times New Roman" w:hAnsi="Times New Roman" w:cs="Times New Roman"/>
                <w:szCs w:val="24"/>
                <w:u w:val="single"/>
                <w:lang w:eastAsia="zh-CN"/>
              </w:rPr>
              <w:t>空气现状监测的数据。</w:t>
            </w:r>
            <w:r>
              <w:rPr>
                <w:rFonts w:hint="eastAsia" w:ascii="宋体" w:hAnsi="宋体" w:eastAsia="宋体"/>
                <w:sz w:val="24"/>
                <w:u w:val="single"/>
              </w:rPr>
              <w:t>湖南洋沙湖危险废物治理有限公司</w:t>
            </w:r>
            <w:r>
              <w:rPr>
                <w:rFonts w:hint="default" w:ascii="Times New Roman" w:hAnsi="Times New Roman" w:cs="Times New Roman"/>
                <w:szCs w:val="24"/>
                <w:u w:val="single"/>
                <w:lang w:eastAsia="zh-CN"/>
              </w:rPr>
              <w:t>位于</w:t>
            </w:r>
            <w:r>
              <w:rPr>
                <w:rFonts w:hint="eastAsia" w:ascii="Times New Roman" w:hAnsi="Times New Roman" w:cs="Times New Roman"/>
                <w:szCs w:val="24"/>
                <w:u w:val="single"/>
                <w:lang w:eastAsia="zh-CN"/>
              </w:rPr>
              <w:t>湘阴县工业园区（距本项目南部偏西约</w:t>
            </w:r>
            <w:r>
              <w:rPr>
                <w:rFonts w:hint="eastAsia" w:ascii="Times New Roman" w:hAnsi="Times New Roman" w:cs="Times New Roman"/>
                <w:szCs w:val="24"/>
                <w:u w:val="single"/>
                <w:lang w:val="en-US" w:eastAsia="zh-CN"/>
              </w:rPr>
              <w:t>5.4km）</w:t>
            </w:r>
            <w:r>
              <w:rPr>
                <w:rFonts w:hint="eastAsia" w:ascii="Times New Roman" w:hAnsi="Times New Roman" w:cs="Times New Roman"/>
                <w:szCs w:val="24"/>
                <w:u w:val="single"/>
                <w:lang w:eastAsia="zh-CN"/>
              </w:rPr>
              <w:t>。监测时间</w:t>
            </w:r>
            <w:r>
              <w:rPr>
                <w:rFonts w:hint="default" w:ascii="Times New Roman" w:hAnsi="Times New Roman" w:cs="Times New Roman"/>
                <w:szCs w:val="24"/>
                <w:u w:val="single"/>
                <w:lang w:eastAsia="zh-CN"/>
              </w:rPr>
              <w:t>：</w:t>
            </w:r>
            <w:r>
              <w:rPr>
                <w:rFonts w:hint="default" w:ascii="Times New Roman" w:hAnsi="Times New Roman" w:eastAsia="宋体" w:cs="Times New Roman"/>
                <w:sz w:val="24"/>
                <w:u w:val="single"/>
              </w:rPr>
              <w:t>2019 年7 月15 日-16 日</w:t>
            </w:r>
            <w:r>
              <w:rPr>
                <w:rFonts w:hint="default" w:ascii="Times New Roman" w:hAnsi="Times New Roman" w:cs="Times New Roman"/>
                <w:szCs w:val="24"/>
                <w:u w:val="single"/>
                <w:lang w:eastAsia="zh-CN"/>
              </w:rPr>
              <w:t>。引用监测结果统计见下表所示。</w:t>
            </w:r>
          </w:p>
          <w:p>
            <w:pPr>
              <w:pStyle w:val="50"/>
              <w:keepNext w:val="0"/>
              <w:keepLines w:val="0"/>
              <w:suppressLineNumbers w:val="0"/>
              <w:bidi w:val="0"/>
              <w:spacing w:beforeAutospacing="0" w:after="0" w:afterAutospacing="0"/>
              <w:ind w:left="0" w:right="0"/>
              <w:rPr>
                <w:rFonts w:hint="default"/>
                <w:lang w:val="en-US" w:eastAsia="zh-CN"/>
              </w:rPr>
            </w:pPr>
            <w:r>
              <w:rPr>
                <w:rFonts w:hint="default"/>
                <w:lang w:eastAsia="zh-CN"/>
              </w:rPr>
              <w:t>表</w:t>
            </w:r>
            <w:r>
              <w:rPr>
                <w:rFonts w:hint="default"/>
                <w:lang w:val="en-US"/>
              </w:rPr>
              <w:t>3-</w:t>
            </w:r>
            <w:r>
              <w:rPr>
                <w:rFonts w:hint="eastAsia"/>
                <w:lang w:val="en-US" w:eastAsia="zh-CN"/>
              </w:rPr>
              <w:t>3</w:t>
            </w:r>
            <w:r>
              <w:rPr>
                <w:rFonts w:hint="default"/>
                <w:lang w:val="en-US"/>
              </w:rPr>
              <w:t xml:space="preserve"> </w:t>
            </w:r>
            <w:r>
              <w:rPr>
                <w:rFonts w:hint="eastAsia"/>
                <w:lang w:val="en-US" w:eastAsia="zh-CN"/>
              </w:rPr>
              <w:t xml:space="preserve"> </w:t>
            </w:r>
            <w:r>
              <w:rPr>
                <w:rFonts w:hint="default"/>
                <w:lang w:eastAsia="zh-CN"/>
              </w:rPr>
              <w:t>引用数据统计结果</w:t>
            </w:r>
            <w:r>
              <w:rPr>
                <w:rFonts w:hint="default"/>
                <w:lang w:val="en-US"/>
              </w:rPr>
              <w:t xml:space="preserve">  </w:t>
            </w:r>
            <w:r>
              <w:rPr>
                <w:rFonts w:hint="default"/>
                <w:lang w:eastAsia="zh-CN"/>
              </w:rPr>
              <w:t>单位：（</w:t>
            </w:r>
            <w:r>
              <w:rPr>
                <w:rFonts w:hint="default"/>
                <w:lang w:val="en-US"/>
              </w:rPr>
              <w:t>mg/</w:t>
            </w:r>
            <w:r>
              <w:rPr>
                <w:rFonts w:hint="eastAsia"/>
                <w:lang w:val="en-US" w:eastAsia="zh-CN"/>
              </w:rPr>
              <w:t>m³</w:t>
            </w:r>
            <w:r>
              <w:rPr>
                <w:rFonts w:hint="default"/>
                <w:lang w:eastAsia="zh-CN"/>
              </w:rPr>
              <w:t>）</w:t>
            </w:r>
          </w:p>
          <w:tbl>
            <w:tblPr>
              <w:tblStyle w:val="6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92"/>
              <w:gridCol w:w="649"/>
              <w:gridCol w:w="1198"/>
              <w:gridCol w:w="1649"/>
              <w:gridCol w:w="898"/>
              <w:gridCol w:w="898"/>
              <w:gridCol w:w="898"/>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719"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eastAsia="zh-CN"/>
                    </w:rPr>
                  </w:pPr>
                </w:p>
                <w:p>
                  <w:pPr>
                    <w:pStyle w:val="49"/>
                    <w:keepNext w:val="0"/>
                    <w:keepLines w:val="0"/>
                    <w:suppressLineNumbers w:val="0"/>
                    <w:autoSpaceDE w:val="0"/>
                    <w:autoSpaceDN w:val="0"/>
                    <w:bidi w:val="0"/>
                    <w:spacing w:before="0" w:beforeAutospacing="0" w:after="0" w:afterAutospacing="0"/>
                    <w:ind w:left="0" w:right="0"/>
                    <w:rPr>
                      <w:rFonts w:hint="default"/>
                      <w:lang w:val="en-US" w:eastAsia="zh-CN"/>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检测项目</w:t>
                  </w:r>
                </w:p>
              </w:tc>
              <w:tc>
                <w:tcPr>
                  <w:tcW w:w="391"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单位</w:t>
                  </w:r>
                </w:p>
              </w:tc>
              <w:tc>
                <w:tcPr>
                  <w:tcW w:w="722"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采样位置</w:t>
                  </w:r>
                </w:p>
              </w:tc>
              <w:tc>
                <w:tcPr>
                  <w:tcW w:w="994"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采样时间</w:t>
                  </w:r>
                </w:p>
              </w:tc>
              <w:tc>
                <w:tcPr>
                  <w:tcW w:w="2172" w:type="pct"/>
                  <w:gridSpan w:val="4"/>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994"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第一次</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第二次</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第三次</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TVOC</w:t>
                  </w:r>
                </w:p>
              </w:tc>
              <w:tc>
                <w:tcPr>
                  <w:tcW w:w="391"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mg/L</w:t>
                  </w:r>
                </w:p>
              </w:tc>
              <w:tc>
                <w:tcPr>
                  <w:tcW w:w="722"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西北面</w:t>
                  </w: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15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0.249</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0.246</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0.242</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16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0.242</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0.235</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0.238</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东南面</w:t>
                  </w: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15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0.159</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0.146</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0.153</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16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0.0547</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0.0522</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0.0565</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南面</w:t>
                  </w: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15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0.0744</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0.0721</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0.0703</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16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0.0733</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0.0694</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0.0696</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restar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西南</w:t>
                  </w: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15 日</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0.0619</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0.0556</w:t>
                  </w:r>
                </w:p>
              </w:tc>
              <w:tc>
                <w:tcPr>
                  <w:tcW w:w="541"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0.0573</w:t>
                  </w:r>
                </w:p>
              </w:tc>
              <w:tc>
                <w:tcPr>
                  <w:tcW w:w="548"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0.0471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19"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391"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eastAsia="en-US"/>
                    </w:rPr>
                  </w:pPr>
                </w:p>
              </w:tc>
              <w:tc>
                <w:tcPr>
                  <w:tcW w:w="722" w:type="pct"/>
                  <w:vMerge w:val="continue"/>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p>
              </w:tc>
              <w:tc>
                <w:tcPr>
                  <w:tcW w:w="994" w:type="pct"/>
                  <w:shd w:val="clear" w:color="auto" w:fill="auto"/>
                  <w:vAlign w:val="center"/>
                </w:tcPr>
                <w:p>
                  <w:pPr>
                    <w:pStyle w:val="49"/>
                    <w:keepNext w:val="0"/>
                    <w:keepLines w:val="0"/>
                    <w:suppressLineNumbers w:val="0"/>
                    <w:autoSpaceDE w:val="0"/>
                    <w:autoSpaceDN w:val="0"/>
                    <w:bidi w:val="0"/>
                    <w:spacing w:before="0" w:beforeAutospacing="0" w:after="0" w:afterAutospacing="0"/>
                    <w:ind w:left="0" w:right="0"/>
                    <w:rPr>
                      <w:rFonts w:hint="default"/>
                      <w:lang w:val="en-US"/>
                    </w:rPr>
                  </w:pPr>
                  <w:r>
                    <w:rPr>
                      <w:rFonts w:hint="default"/>
                      <w:lang w:val="en-US"/>
                    </w:rPr>
                    <w:t>07 月 16 日</w:t>
                  </w:r>
                </w:p>
              </w:tc>
              <w:tc>
                <w:tcPr>
                  <w:tcW w:w="541" w:type="pct"/>
                  <w:shd w:val="clear" w:color="auto" w:fill="auto"/>
                  <w:vAlign w:val="top"/>
                </w:tcPr>
                <w:p>
                  <w:pPr>
                    <w:pStyle w:val="49"/>
                    <w:keepNext w:val="0"/>
                    <w:keepLines w:val="0"/>
                    <w:suppressLineNumbers w:val="0"/>
                    <w:autoSpaceDE w:val="0"/>
                    <w:autoSpaceDN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0.149</w:t>
                  </w:r>
                </w:p>
              </w:tc>
              <w:tc>
                <w:tcPr>
                  <w:tcW w:w="541" w:type="pct"/>
                  <w:shd w:val="clear" w:color="auto" w:fill="auto"/>
                  <w:vAlign w:val="top"/>
                </w:tcPr>
                <w:p>
                  <w:pPr>
                    <w:pStyle w:val="49"/>
                    <w:keepNext w:val="0"/>
                    <w:keepLines w:val="0"/>
                    <w:suppressLineNumbers w:val="0"/>
                    <w:autoSpaceDE w:val="0"/>
                    <w:autoSpaceDN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0.143</w:t>
                  </w:r>
                </w:p>
              </w:tc>
              <w:tc>
                <w:tcPr>
                  <w:tcW w:w="541" w:type="pct"/>
                  <w:shd w:val="clear" w:color="auto" w:fill="auto"/>
                  <w:vAlign w:val="top"/>
                </w:tcPr>
                <w:p>
                  <w:pPr>
                    <w:pStyle w:val="49"/>
                    <w:keepNext w:val="0"/>
                    <w:keepLines w:val="0"/>
                    <w:suppressLineNumbers w:val="0"/>
                    <w:autoSpaceDE w:val="0"/>
                    <w:autoSpaceDN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0.145</w:t>
                  </w:r>
                </w:p>
              </w:tc>
              <w:tc>
                <w:tcPr>
                  <w:tcW w:w="548" w:type="pct"/>
                  <w:shd w:val="clear" w:color="auto" w:fill="auto"/>
                  <w:vAlign w:val="top"/>
                </w:tcPr>
                <w:p>
                  <w:pPr>
                    <w:pStyle w:val="49"/>
                    <w:keepNext w:val="0"/>
                    <w:keepLines w:val="0"/>
                    <w:suppressLineNumbers w:val="0"/>
                    <w:autoSpaceDE w:val="0"/>
                    <w:autoSpaceDN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0.141</w:t>
                  </w:r>
                </w:p>
              </w:tc>
            </w:tr>
          </w:tbl>
          <w:p>
            <w:pPr>
              <w:keepNext w:val="0"/>
              <w:keepLines w:val="0"/>
              <w:suppressLineNumbers w:val="0"/>
              <w:spacing w:before="0" w:beforeAutospacing="0" w:after="0" w:afterAutospacing="0" w:line="276" w:lineRule="auto"/>
              <w:ind w:left="0" w:right="0" w:firstLine="480"/>
              <w:rPr>
                <w:rFonts w:hint="default" w:ascii="Times New Roman" w:hAnsi="Times New Roman" w:cs="Times New Roman"/>
                <w:szCs w:val="24"/>
                <w:u w:val="single"/>
                <w:lang w:eastAsia="zh-CN"/>
              </w:rPr>
            </w:pPr>
            <w:r>
              <w:rPr>
                <w:rFonts w:hint="eastAsia" w:ascii="Times New Roman" w:hAnsi="Times New Roman" w:cs="Times New Roman"/>
                <w:szCs w:val="24"/>
                <w:u w:val="single"/>
                <w:lang w:val="en-US" w:eastAsia="zh-CN"/>
              </w:rPr>
              <w:t>由上表可见，监测因子</w:t>
            </w:r>
            <w:r>
              <w:rPr>
                <w:rFonts w:hint="default" w:ascii="Times New Roman" w:hAnsi="Times New Roman" w:cs="Times New Roman"/>
                <w:szCs w:val="24"/>
                <w:u w:val="single"/>
                <w:lang w:val="en-US" w:eastAsia="zh-CN"/>
              </w:rPr>
              <w:t>TVOC</w:t>
            </w:r>
            <w:r>
              <w:rPr>
                <w:rFonts w:hint="eastAsia" w:ascii="Times New Roman" w:hAnsi="Times New Roman" w:cs="Times New Roman"/>
                <w:szCs w:val="24"/>
                <w:u w:val="single"/>
                <w:lang w:val="en-US" w:eastAsia="zh-CN"/>
              </w:rPr>
              <w:t>满足《环境影响评价技术导则</w:t>
            </w:r>
            <w:r>
              <w:rPr>
                <w:rFonts w:hint="default" w:ascii="Times New Roman" w:hAnsi="Times New Roman" w:cs="Times New Roman"/>
                <w:szCs w:val="24"/>
                <w:u w:val="single"/>
                <w:lang w:val="en-US" w:eastAsia="zh-CN"/>
              </w:rPr>
              <w:t xml:space="preserve"> </w:t>
            </w:r>
            <w:r>
              <w:rPr>
                <w:rFonts w:hint="eastAsia" w:ascii="Times New Roman" w:hAnsi="Times New Roman" w:cs="Times New Roman"/>
                <w:szCs w:val="24"/>
                <w:u w:val="single"/>
                <w:lang w:val="en-US" w:eastAsia="zh-CN"/>
              </w:rPr>
              <w:t>大气环境》（</w:t>
            </w:r>
            <w:r>
              <w:rPr>
                <w:rFonts w:hint="default" w:ascii="Times New Roman" w:hAnsi="Times New Roman" w:cs="Times New Roman"/>
                <w:szCs w:val="24"/>
                <w:u w:val="single"/>
                <w:lang w:val="en-US" w:eastAsia="zh-CN"/>
              </w:rPr>
              <w:t>HJ2.2-2018</w:t>
            </w:r>
            <w:r>
              <w:rPr>
                <w:rFonts w:hint="eastAsia" w:ascii="Times New Roman" w:hAnsi="Times New Roman" w:cs="Times New Roman"/>
                <w:szCs w:val="24"/>
                <w:u w:val="single"/>
                <w:lang w:val="en-US" w:eastAsia="zh-CN"/>
              </w:rPr>
              <w:t>）附录</w:t>
            </w:r>
            <w:r>
              <w:rPr>
                <w:rFonts w:hint="default" w:ascii="Times New Roman" w:hAnsi="Times New Roman" w:cs="Times New Roman"/>
                <w:szCs w:val="24"/>
                <w:u w:val="single"/>
                <w:lang w:val="en-US" w:eastAsia="zh-CN"/>
              </w:rPr>
              <w:t>D</w:t>
            </w:r>
            <w:r>
              <w:rPr>
                <w:rFonts w:hint="eastAsia" w:ascii="Times New Roman" w:hAnsi="Times New Roman" w:cs="Times New Roman"/>
                <w:szCs w:val="24"/>
                <w:u w:val="single"/>
                <w:lang w:val="en-US" w:eastAsia="zh-CN"/>
              </w:rPr>
              <w:t>中相应的标准。</w:t>
            </w:r>
          </w:p>
          <w:p>
            <w:pPr>
              <w:pStyle w:val="4"/>
              <w:suppressLineNumbers w:val="0"/>
              <w:bidi w:val="0"/>
              <w:spacing w:before="0" w:beforeAutospacing="0" w:after="0" w:afterAutospacing="0"/>
              <w:ind w:left="0" w:right="0"/>
              <w:rPr>
                <w:rFonts w:hint="default"/>
                <w:u w:val="none"/>
              </w:rPr>
            </w:pPr>
            <w:bookmarkStart w:id="15" w:name="_Toc9538"/>
            <w:r>
              <w:rPr>
                <w:rFonts w:hint="eastAsia"/>
                <w:u w:val="none"/>
                <w:lang w:val="en-US" w:eastAsia="zh-CN"/>
              </w:rPr>
              <w:t>3.2</w:t>
            </w:r>
            <w:r>
              <w:rPr>
                <w:rFonts w:hint="eastAsia"/>
                <w:u w:val="none"/>
              </w:rPr>
              <w:t>地表水环境质量现状调查</w:t>
            </w:r>
            <w:bookmarkEnd w:id="1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本评价收集了201</w:t>
            </w:r>
            <w:r>
              <w:rPr>
                <w:rFonts w:hint="eastAsia"/>
                <w:u w:val="none"/>
                <w:lang w:val="en-US" w:eastAsia="zh-CN"/>
              </w:rPr>
              <w:t>9</w:t>
            </w:r>
            <w:r>
              <w:rPr>
                <w:rFonts w:hint="default"/>
                <w:u w:val="none"/>
                <w:lang w:val="en-US" w:eastAsia="zh-CN"/>
              </w:rPr>
              <w:t>年省站对湘江的常规监测数据说明地表水环境质量现状。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（1）监测断面：湘江乌龙嘴断面。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（2）监测因子：pH、溶解氧、高锰酸盐指数、化学需氧量、五日生化需氧量、氨氮、总磷、铜、锌、氟化物、硒、砷、汞、镉、六价铬、铅、氰化物、挥发酚、石油类、阴离子表面活性剂、硫化物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（3）监测时间：201</w:t>
            </w:r>
            <w:r>
              <w:rPr>
                <w:rFonts w:hint="eastAsia"/>
                <w:u w:val="none"/>
                <w:lang w:val="en-US" w:eastAsia="zh-CN"/>
              </w:rPr>
              <w:t>9</w:t>
            </w:r>
            <w:r>
              <w:rPr>
                <w:rFonts w:hint="default"/>
                <w:u w:val="none"/>
                <w:lang w:val="en-US" w:eastAsia="zh-CN"/>
              </w:rPr>
              <w:t>年1月~201</w:t>
            </w:r>
            <w:r>
              <w:rPr>
                <w:rFonts w:hint="eastAsia"/>
                <w:u w:val="none"/>
                <w:lang w:val="en-US" w:eastAsia="zh-CN"/>
              </w:rPr>
              <w:t>9</w:t>
            </w:r>
            <w:r>
              <w:rPr>
                <w:rFonts w:hint="default"/>
                <w:u w:val="none"/>
                <w:lang w:val="en-US" w:eastAsia="zh-CN"/>
              </w:rPr>
              <w:t>年12月。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（4）评价标准：水环境质量执行《地表水环境质量标准》（GB3838-2002）</w:t>
            </w:r>
            <w:r>
              <w:rPr>
                <w:rFonts w:hint="eastAsia"/>
                <w:u w:val="none"/>
                <w:lang w:val="en-US" w:eastAsia="zh-CN"/>
              </w:rPr>
              <w:t>Ⅲ</w:t>
            </w:r>
            <w:r>
              <w:rPr>
                <w:rFonts w:hint="default"/>
                <w:u w:val="none"/>
                <w:lang w:val="en-US" w:eastAsia="zh-CN"/>
              </w:rPr>
              <w:t>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（5）评价方法：本项目地表水环境质量现状评价采用单因子超标率、超标倍数法进行评价。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lang w:val="en-US" w:eastAsia="zh-CN"/>
              </w:rPr>
            </w:pPr>
            <w:r>
              <w:rPr>
                <w:rFonts w:hint="default"/>
                <w:u w:val="none"/>
                <w:lang w:val="en-US" w:eastAsia="zh-CN"/>
              </w:rPr>
              <w:t>（6）监测结果</w:t>
            </w:r>
          </w:p>
          <w:p>
            <w:pPr>
              <w:keepNext w:val="0"/>
              <w:keepLines w:val="0"/>
              <w:suppressLineNumbers w:val="0"/>
              <w:spacing w:before="0" w:beforeAutospacing="0" w:after="0" w:afterAutospacing="0"/>
              <w:ind w:left="0" w:right="0" w:firstLine="482"/>
              <w:jc w:val="center"/>
              <w:rPr>
                <w:rFonts w:hint="default"/>
                <w:b/>
                <w:bCs/>
                <w:u w:val="none"/>
              </w:rPr>
            </w:pPr>
            <w:r>
              <w:rPr>
                <w:rFonts w:hint="default"/>
                <w:b/>
                <w:bCs/>
                <w:u w:val="none"/>
              </w:rPr>
              <w:t>表3-</w:t>
            </w:r>
            <w:r>
              <w:rPr>
                <w:rFonts w:hint="eastAsia"/>
                <w:b/>
                <w:bCs/>
                <w:u w:val="none"/>
                <w:lang w:val="en-US" w:eastAsia="zh-CN"/>
              </w:rPr>
              <w:t>4</w:t>
            </w:r>
            <w:r>
              <w:rPr>
                <w:rFonts w:hint="default"/>
                <w:b/>
                <w:bCs/>
                <w:u w:val="none"/>
              </w:rPr>
              <w:t xml:space="preserve">  </w:t>
            </w:r>
            <w:r>
              <w:rPr>
                <w:rFonts w:hint="eastAsia"/>
                <w:b/>
                <w:bCs/>
                <w:u w:val="none"/>
              </w:rPr>
              <w:t>2019年湘江乌龙嘴断面</w:t>
            </w:r>
            <w:r>
              <w:rPr>
                <w:rFonts w:hint="default"/>
                <w:b/>
                <w:bCs/>
                <w:u w:val="none"/>
              </w:rPr>
              <w:t>监测结果统计表</w:t>
            </w:r>
          </w:p>
          <w:tbl>
            <w:tblPr>
              <w:tblStyle w:val="23"/>
              <w:tblW w:w="2376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35"/>
              <w:gridCol w:w="374"/>
              <w:gridCol w:w="374"/>
              <w:gridCol w:w="374"/>
              <w:gridCol w:w="374"/>
              <w:gridCol w:w="374"/>
              <w:gridCol w:w="374"/>
              <w:gridCol w:w="374"/>
              <w:gridCol w:w="374"/>
              <w:gridCol w:w="374"/>
              <w:gridCol w:w="374"/>
              <w:gridCol w:w="374"/>
              <w:gridCol w:w="374"/>
              <w:gridCol w:w="374"/>
              <w:gridCol w:w="374"/>
              <w:gridCol w:w="375"/>
              <w:gridCol w:w="375"/>
              <w:gridCol w:w="375"/>
              <w:gridCol w:w="375"/>
              <w:gridCol w:w="375"/>
              <w:gridCol w:w="375"/>
              <w:gridCol w:w="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月</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pH</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溶解氧</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高锰酸盐指数</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化学需氧量</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五日生化需氧量</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氨氮</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总磷</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铜</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锌</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氟化物</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硒</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砷</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汞</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镉</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六价铬</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铅</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氰化物</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挥发酚</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石油类</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阴离子表面活性剂</w:t>
                  </w:r>
                </w:p>
              </w:tc>
              <w:tc>
                <w:tcPr>
                  <w:tcW w:w="1080"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2019年01月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7.29</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7.73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0.9</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0.13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0.337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2019年02月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7.24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0.46</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0.262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2019年03月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6.77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0.38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0.223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2019年04月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7.37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8.03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0.232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2019年05月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7.67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6.53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1.9</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9</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0.283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2019年06月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7.24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1.5</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0.13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0.244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2019年07月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7.68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6.77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0.250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2019年08月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7.32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6.93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1.9</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0.238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2019年09月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5.30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0.225</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2019年10月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7.46</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6.23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0.10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0.247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2019年11月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7.53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5.43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0.17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0.235</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2019年12月</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7.62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6.00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2.0</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2.3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0.243</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3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合计</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7.4</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6.7</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11.2</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1.6</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0.18</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0.021</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0.25</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0.0001L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0.004L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0.002L</w:t>
                  </w:r>
                </w:p>
              </w:tc>
              <w:tc>
                <w:tcPr>
                  <w:tcW w:w="374"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0.001L</w:t>
                  </w:r>
                </w:p>
              </w:tc>
              <w:tc>
                <w:tcPr>
                  <w:tcW w:w="375"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0.0003L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0.01</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0.05L</w:t>
                  </w:r>
                </w:p>
              </w:tc>
              <w:tc>
                <w:tcPr>
                  <w:tcW w:w="376" w:type="dxa"/>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sz w:val="16"/>
                      <w:szCs w:val="20"/>
                      <w:u w:val="none"/>
                    </w:rPr>
                  </w:pPr>
                  <w:r>
                    <w:rPr>
                      <w:rFonts w:hint="eastAsia"/>
                      <w:sz w:val="16"/>
                      <w:szCs w:val="20"/>
                      <w:u w:val="none"/>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标准值（GB3838-2002</w:t>
                  </w:r>
                  <w:r>
                    <w:rPr>
                      <w:rFonts w:hint="eastAsia"/>
                      <w:sz w:val="16"/>
                      <w:szCs w:val="20"/>
                      <w:u w:val="none"/>
                      <w:lang w:val="en-US" w:eastAsia="zh-CN"/>
                    </w:rPr>
                    <w:t>）</w:t>
                  </w:r>
                  <w:r>
                    <w:rPr>
                      <w:rFonts w:hint="default"/>
                      <w:sz w:val="16"/>
                      <w:szCs w:val="20"/>
                      <w:u w:val="none"/>
                      <w:lang w:val="en-US" w:eastAsia="zh-CN"/>
                    </w:rPr>
                    <w:t>Ⅲ</w:t>
                  </w:r>
                  <w:r>
                    <w:rPr>
                      <w:rFonts w:hint="eastAsia"/>
                      <w:sz w:val="16"/>
                      <w:szCs w:val="20"/>
                      <w:u w:val="none"/>
                      <w:lang w:val="en-US" w:eastAsia="zh-CN"/>
                    </w:rPr>
                    <w:t>类</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6~9</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6</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20</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4</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0.2</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0.0001</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0.2</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0.05</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0.2</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达标情况</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c>
                <w:tcPr>
                  <w:tcW w:w="1080" w:type="dxa"/>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sz w:val="16"/>
                      <w:szCs w:val="20"/>
                      <w:u w:val="none"/>
                    </w:rPr>
                  </w:pPr>
                  <w:r>
                    <w:rPr>
                      <w:rFonts w:hint="default"/>
                      <w:sz w:val="16"/>
                      <w:szCs w:val="20"/>
                      <w:u w:val="none"/>
                      <w:lang w:val="en-US" w:eastAsia="zh-CN"/>
                    </w:rPr>
                    <w:t>达标</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监测结果表明，监测因子水质指标均符合《地表水环境质量标准》（GB3838-2002）</w:t>
            </w:r>
            <w:r>
              <w:rPr>
                <w:rFonts w:hint="eastAsia"/>
                <w:u w:val="none"/>
              </w:rPr>
              <w:t>Ⅲ</w:t>
            </w:r>
            <w:r>
              <w:rPr>
                <w:rFonts w:hint="default"/>
                <w:u w:val="none"/>
              </w:rPr>
              <w:t>类标准。</w:t>
            </w:r>
          </w:p>
          <w:p>
            <w:pPr>
              <w:keepNext w:val="0"/>
              <w:keepLines w:val="0"/>
              <w:suppressLineNumbers w:val="0"/>
              <w:tabs>
                <w:tab w:val="left" w:pos="-120"/>
              </w:tabs>
              <w:spacing w:before="0" w:beforeAutospacing="0" w:after="0" w:afterAutospacing="0"/>
              <w:ind w:left="0" w:right="0" w:firstLine="480"/>
              <w:rPr>
                <w:rFonts w:hint="default"/>
                <w:u w:val="none"/>
              </w:rPr>
            </w:pPr>
            <w:r>
              <w:rPr>
                <w:rFonts w:hint="default"/>
                <w:u w:val="none"/>
              </w:rPr>
              <w:t>本项目位于湖南省岳阳市湘阴县文星镇板桥村，为了解本项目所在地地下水质量现状，引用2019年1月~7月的集中式饮用水水源地（地下水）湘阴县自来水公司三水厂的水质监测数据。</w:t>
            </w:r>
          </w:p>
          <w:p>
            <w:pPr>
              <w:keepNext w:val="0"/>
              <w:keepLines w:val="0"/>
              <w:suppressLineNumbers w:val="0"/>
              <w:spacing w:before="0" w:beforeAutospacing="0" w:after="0" w:afterAutospacing="0"/>
              <w:ind w:left="0" w:right="0" w:firstLine="480"/>
              <w:rPr>
                <w:rFonts w:hint="default"/>
                <w:u w:val="none"/>
              </w:rPr>
            </w:pPr>
            <w:r>
              <w:rPr>
                <w:rFonts w:hint="default"/>
                <w:u w:val="none"/>
              </w:rPr>
              <w:t>（1）采样点：湘阴县自来水公司三水厂</w:t>
            </w:r>
          </w:p>
          <w:p>
            <w:pPr>
              <w:keepNext w:val="0"/>
              <w:keepLines w:val="0"/>
              <w:suppressLineNumbers w:val="0"/>
              <w:spacing w:before="0" w:beforeAutospacing="0" w:after="0" w:afterAutospacing="0"/>
              <w:ind w:left="0" w:right="0" w:firstLine="480"/>
              <w:rPr>
                <w:rFonts w:hint="default"/>
                <w:u w:val="none"/>
              </w:rPr>
            </w:pPr>
            <w:r>
              <w:rPr>
                <w:rFonts w:hint="default"/>
                <w:u w:val="none"/>
              </w:rPr>
              <w:t>（2）监测项目：色度、嗅和味、浑浊度(NTU)、肉眼可见物、pH(无量纲)、总硬度、溶解性总固体、硫酸盐、氯化物、铁、锰、铜、锌、铝、挥发酚、阴离子表面活性剂、耗氧量、氨氮、硫化物、钠、总大肠菌群、菌落总数、亚硝酸盐、硝酸盐、氰化物、氟化物、碘化物、汞、砷、硒、镉、六价铬、铅、三氯甲烷、四氯化碳、苯、甲苯、总α(Bq/L)、总β(Bq/L)</w:t>
            </w:r>
          </w:p>
          <w:p>
            <w:pPr>
              <w:keepNext w:val="0"/>
              <w:keepLines w:val="0"/>
              <w:suppressLineNumbers w:val="0"/>
              <w:spacing w:before="0" w:beforeAutospacing="0" w:after="0" w:afterAutospacing="0"/>
              <w:ind w:left="0" w:right="0" w:firstLine="480"/>
              <w:rPr>
                <w:rFonts w:hint="default"/>
                <w:u w:val="none"/>
              </w:rPr>
            </w:pPr>
            <w:r>
              <w:rPr>
                <w:rFonts w:hint="default"/>
                <w:u w:val="none"/>
              </w:rPr>
              <w:t>（3）监测时间：2019年1月~2019年7月。</w:t>
            </w:r>
          </w:p>
          <w:p>
            <w:pPr>
              <w:keepNext w:val="0"/>
              <w:keepLines w:val="0"/>
              <w:suppressLineNumbers w:val="0"/>
              <w:spacing w:before="0" w:beforeAutospacing="0" w:after="0" w:afterAutospacing="0"/>
              <w:ind w:left="0" w:right="0" w:firstLine="480"/>
              <w:rPr>
                <w:rFonts w:hint="default"/>
                <w:u w:val="none"/>
              </w:rPr>
            </w:pPr>
            <w:r>
              <w:rPr>
                <w:rFonts w:hint="default"/>
                <w:u w:val="none"/>
              </w:rPr>
              <w:t>（4）执行标准：《地下水质量标准》（GB/T 14848-2017）</w:t>
            </w:r>
            <w:r>
              <w:rPr>
                <w:rFonts w:hint="eastAsia" w:ascii="宋体" w:hAnsi="宋体" w:cs="宋体"/>
                <w:u w:val="none"/>
              </w:rPr>
              <w:t>Ⅲ</w:t>
            </w:r>
            <w:r>
              <w:rPr>
                <w:rFonts w:hint="default"/>
                <w:u w:val="none"/>
              </w:rPr>
              <w:t>类标准。</w:t>
            </w:r>
          </w:p>
          <w:p>
            <w:pPr>
              <w:keepNext w:val="0"/>
              <w:keepLines w:val="0"/>
              <w:suppressLineNumbers w:val="0"/>
              <w:bidi w:val="0"/>
              <w:spacing w:before="0" w:beforeAutospacing="0" w:after="0" w:afterAutospacing="0"/>
              <w:ind w:left="0" w:right="0"/>
              <w:rPr>
                <w:rFonts w:hint="default"/>
                <w:u w:val="none"/>
              </w:rPr>
            </w:pPr>
            <w:r>
              <w:rPr>
                <w:rFonts w:hint="default"/>
                <w:u w:val="none"/>
              </w:rPr>
              <w:t>（5）监测结果及评价结果</w:t>
            </w:r>
            <w:r>
              <w:rPr>
                <w:rFonts w:hint="eastAsia"/>
                <w:u w:val="none"/>
                <w:lang w:eastAsia="zh-CN"/>
              </w:rPr>
              <w:t>下表</w:t>
            </w:r>
            <w:r>
              <w:rPr>
                <w:rFonts w:hint="default"/>
                <w:u w:val="none"/>
              </w:rPr>
              <w:t>。</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表</w:t>
            </w:r>
            <w:r>
              <w:rPr>
                <w:rFonts w:hint="eastAsia"/>
                <w:b/>
                <w:sz w:val="21"/>
                <w:szCs w:val="21"/>
                <w:u w:val="none"/>
                <w:lang w:val="en-US" w:eastAsia="zh-CN"/>
              </w:rPr>
              <w:t>3-5</w:t>
            </w:r>
            <w:r>
              <w:rPr>
                <w:rFonts w:hint="default"/>
                <w:b/>
                <w:sz w:val="21"/>
                <w:szCs w:val="21"/>
                <w:u w:val="none"/>
              </w:rPr>
              <w:t xml:space="preserve">  集中式饮用水水源地地下水监测结果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532"/>
              <w:gridCol w:w="588"/>
              <w:gridCol w:w="529"/>
              <w:gridCol w:w="529"/>
              <w:gridCol w:w="553"/>
              <w:gridCol w:w="532"/>
              <w:gridCol w:w="529"/>
              <w:gridCol w:w="1028"/>
              <w:gridCol w:w="690"/>
              <w:gridCol w:w="532"/>
              <w:gridCol w:w="533"/>
              <w:gridCol w:w="533"/>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采样时间</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色度(度)</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嗅和味</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浑浊度(NTU)</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肉眼可见物</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pH(无量纲)</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总硬度(mg/L)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溶解性总固体(mg/L)</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硫酸盐(mg/L)</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氯化物(mg/L)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铁(mg/L)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锰(mg/L)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铜(mg/L)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锌(mg/L)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标准值</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≤15</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≤3</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6.5~8.5</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≤450</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≤1000</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≤250</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≤250</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≤0.3</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≤0.10</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≤1.00</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2019/1/7</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6.69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55.5 </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2.77 </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2.52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2019/2/1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6.78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20.3 </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4.45 </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7.09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2019/3/4</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6.72</w:t>
                  </w:r>
                </w:p>
              </w:tc>
              <w:tc>
                <w:tcPr>
                  <w:tcW w:w="32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26.5 </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2.60 </w:t>
                  </w:r>
                </w:p>
              </w:tc>
              <w:tc>
                <w:tcPr>
                  <w:tcW w:w="41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2.40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0.22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0.03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0.097 </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2019/4/1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5L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6.52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66.3</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113</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12.0 </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12.4</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0.09</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0.04</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0.019</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2019/5/5</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5L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6.81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29.3</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145</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14.0 </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4.7</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0.07</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2019/6/3</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5L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6.61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15.2</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102</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8L</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4.0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0.25</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2019/7/1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5L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无</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6.86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27.6</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99</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15.0 </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7.7 </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0.18</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是否达标</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5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8"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8"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33"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6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7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15"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采样时间</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铝(mg/L)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挥发酚(mg/L)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阴离子表面活性剂(mg/L)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耗氧量(mg/L)</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氨氮(mg/L)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硫化物(mg/L)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钠(mg/L)</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总大肠菌群（MPN/100mL）</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菌落总数(CFU/mL)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亚硝酸盐(mg/L)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硝酸盐(mg/L)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氰化物(mg/L)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氟化物(mg/L)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标准值</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≤0.20</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≤0.002</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≤0.3</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≤3.0</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≤0.50</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≤0.02</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≤200</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≤3.0</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≤100</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≤1.00</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≤20.0</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2019/1/7</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1.1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&lt;2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2019/2/1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1.6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&lt;2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0.323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2019/3/4</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1.1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0.03L</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&lt;2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2019/4/1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0.013</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0.80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0.09</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26.3</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17</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0.006</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0.80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2019/5/5</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0.009</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0.55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0.07</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16.6</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61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0.50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2019/6/3</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0.008L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0.51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0.09</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2.87</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55</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0.11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2019/7/1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0.008L</w:t>
                  </w:r>
                </w:p>
              </w:tc>
              <w:tc>
                <w:tcPr>
                  <w:tcW w:w="354"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0.0003L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0.05L</w:t>
                  </w:r>
                </w:p>
              </w:tc>
              <w:tc>
                <w:tcPr>
                  <w:tcW w:w="318"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0.48 </w:t>
                  </w:r>
                </w:p>
              </w:tc>
              <w:tc>
                <w:tcPr>
                  <w:tcW w:w="333"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0.131</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0.005L</w:t>
                  </w:r>
                </w:p>
              </w:tc>
              <w:tc>
                <w:tcPr>
                  <w:tcW w:w="46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2.74</w:t>
                  </w:r>
                </w:p>
              </w:tc>
              <w:tc>
                <w:tcPr>
                  <w:tcW w:w="4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＜2</w:t>
                  </w:r>
                </w:p>
              </w:tc>
              <w:tc>
                <w:tcPr>
                  <w:tcW w:w="415"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72</w:t>
                  </w:r>
                </w:p>
              </w:tc>
              <w:tc>
                <w:tcPr>
                  <w:tcW w:w="320"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0.001L</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0.14 </w:t>
                  </w:r>
                </w:p>
              </w:tc>
              <w:tc>
                <w:tcPr>
                  <w:tcW w:w="32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0.004L</w:t>
                  </w:r>
                </w:p>
              </w:tc>
              <w:tc>
                <w:tcPr>
                  <w:tcW w:w="319"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 xml:space="preserve">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是否达标</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5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8"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8"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33"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6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7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415"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2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c>
                <w:tcPr>
                  <w:tcW w:w="31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21"/>
                      <w:u w:val="none"/>
                    </w:rPr>
                  </w:pPr>
                  <w:r>
                    <w:rPr>
                      <w:rFonts w:hint="default"/>
                      <w:sz w:val="18"/>
                      <w:szCs w:val="21"/>
                      <w:u w:val="none"/>
                    </w:rPr>
                    <w:t>是</w:t>
                  </w:r>
                </w:p>
              </w:tc>
            </w:tr>
          </w:tbl>
          <w:p>
            <w:pPr>
              <w:pStyle w:val="50"/>
              <w:keepNext w:val="0"/>
              <w:keepLines w:val="0"/>
              <w:suppressLineNumbers w:val="0"/>
              <w:bidi w:val="0"/>
              <w:spacing w:beforeAutospacing="0" w:after="0" w:afterAutospacing="0"/>
              <w:ind w:left="0" w:right="0"/>
              <w:rPr>
                <w:rFonts w:hint="default"/>
                <w:u w:val="none"/>
              </w:rPr>
            </w:pPr>
            <w:r>
              <w:rPr>
                <w:rFonts w:hint="default"/>
                <w:u w:val="none"/>
              </w:rPr>
              <w:t>表</w:t>
            </w:r>
            <w:r>
              <w:rPr>
                <w:rFonts w:hint="eastAsia"/>
                <w:u w:val="none"/>
                <w:lang w:val="en-US" w:eastAsia="zh-CN"/>
              </w:rPr>
              <w:t>3-6</w:t>
            </w:r>
            <w:r>
              <w:rPr>
                <w:rFonts w:hint="default"/>
                <w:u w:val="none"/>
              </w:rPr>
              <w:t xml:space="preserve">  集中式饮用水水源地地下水监测结果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558"/>
              <w:gridCol w:w="677"/>
              <w:gridCol w:w="618"/>
              <w:gridCol w:w="677"/>
              <w:gridCol w:w="618"/>
              <w:gridCol w:w="558"/>
              <w:gridCol w:w="604"/>
              <w:gridCol w:w="521"/>
              <w:gridCol w:w="521"/>
              <w:gridCol w:w="521"/>
              <w:gridCol w:w="521"/>
              <w:gridCol w:w="605"/>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采样时间</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碘化物(mg/L)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汞(mg/L)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砷(mg/L)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硒(mg/L)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镉(mg/L)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六价铬(mg/L)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铅(mg/L)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三氯甲烷(ug/L)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四氯化碳(ug/L)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苯(ug/L)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甲苯(ug/L)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总α(Bq/L)</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总β(Bq/L)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标准值</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≤0.08</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≤0.005</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≤0.05</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≤60</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≤10.0</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≤700</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≤0.5</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5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2019/1/7</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0.0003L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0.002L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2019/2/1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0.0003L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0.002L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56"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2019/3/4</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0.0003L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0.002L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2019/4/1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0.025L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0.00039</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0.00009L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6.38</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0.21L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0.016L</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0.028L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2019/5/5</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0.025L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0.00055</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0.00009L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20.3</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0.21L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0.016L</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2019/6/3</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0.002L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0.00048</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0.00037</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0.00007</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0.03L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0.21L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0.016L</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2019/7/1</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0.004L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0.00008</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2.4</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0.1L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5L</w:t>
                  </w:r>
                </w:p>
              </w:tc>
              <w:tc>
                <w:tcPr>
                  <w:tcW w:w="356"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0.016L</w:t>
                  </w:r>
                </w:p>
              </w:tc>
              <w:tc>
                <w:tcPr>
                  <w:tcW w:w="361" w:type="pct"/>
                  <w:shd w:val="clear" w:color="auto" w:fill="auto"/>
                  <w:vAlign w:val="center"/>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0.028L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是否达标</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5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c>
                <w:tcPr>
                  <w:tcW w:w="36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sz w:val="18"/>
                      <w:szCs w:val="18"/>
                      <w:u w:val="none"/>
                    </w:rPr>
                  </w:pPr>
                  <w:r>
                    <w:rPr>
                      <w:rFonts w:hint="default"/>
                      <w:sz w:val="18"/>
                      <w:szCs w:val="18"/>
                      <w:u w:val="none"/>
                    </w:rPr>
                    <w:t>是</w:t>
                  </w:r>
                </w:p>
              </w:tc>
            </w:tr>
          </w:tbl>
          <w:p>
            <w:pPr>
              <w:keepNext w:val="0"/>
              <w:keepLines w:val="0"/>
              <w:suppressLineNumbers w:val="0"/>
              <w:spacing w:before="0" w:beforeAutospacing="0" w:after="0" w:afterAutospacing="0"/>
              <w:ind w:left="0" w:right="0" w:firstLine="480"/>
              <w:rPr>
                <w:rFonts w:hint="default"/>
                <w:u w:val="none"/>
              </w:rPr>
            </w:pPr>
          </w:p>
          <w:p>
            <w:pPr>
              <w:pStyle w:val="4"/>
              <w:suppressLineNumbers w:val="0"/>
              <w:bidi w:val="0"/>
              <w:spacing w:before="0" w:beforeAutospacing="0" w:after="0" w:afterAutospacing="0"/>
              <w:ind w:left="0" w:right="0"/>
              <w:rPr>
                <w:rFonts w:hint="default"/>
                <w:u w:val="none"/>
              </w:rPr>
            </w:pPr>
            <w:bookmarkStart w:id="16" w:name="_Toc23411135"/>
            <w:bookmarkStart w:id="17" w:name="_Toc12151"/>
            <w:bookmarkStart w:id="18" w:name="_Toc20888"/>
            <w:r>
              <w:rPr>
                <w:rFonts w:hint="default"/>
                <w:u w:val="none"/>
              </w:rPr>
              <w:t>3.</w:t>
            </w:r>
            <w:r>
              <w:rPr>
                <w:rFonts w:hint="eastAsia"/>
                <w:u w:val="none"/>
                <w:lang w:val="en-US" w:eastAsia="zh-CN"/>
              </w:rPr>
              <w:t>3</w:t>
            </w:r>
            <w:r>
              <w:rPr>
                <w:rFonts w:hint="eastAsia"/>
                <w:u w:val="none"/>
                <w:lang w:eastAsia="zh-CN"/>
              </w:rPr>
              <w:t>地下水</w:t>
            </w:r>
            <w:r>
              <w:rPr>
                <w:rFonts w:hint="default"/>
                <w:u w:val="none"/>
              </w:rPr>
              <w:t>环境质量现状监测</w:t>
            </w:r>
            <w:bookmarkEnd w:id="16"/>
            <w:bookmarkEnd w:id="17"/>
            <w:bookmarkEnd w:id="18"/>
          </w:p>
          <w:p>
            <w:pPr>
              <w:keepNext w:val="0"/>
              <w:keepLines w:val="0"/>
              <w:suppressLineNumbers w:val="0"/>
              <w:bidi w:val="0"/>
              <w:spacing w:before="0" w:beforeAutospacing="0" w:after="0" w:afterAutospacing="0"/>
              <w:ind w:left="0" w:right="0"/>
              <w:rPr>
                <w:rFonts w:hint="default"/>
                <w:u w:val="none"/>
              </w:rPr>
            </w:pPr>
            <w:r>
              <w:rPr>
                <w:rFonts w:hint="default"/>
                <w:u w:val="none"/>
              </w:rPr>
              <w:t>委托湖南永蓝检测技术股份有限公司对项目所在地地下水环境进行监测。</w:t>
            </w:r>
          </w:p>
          <w:p>
            <w:pPr>
              <w:keepNext w:val="0"/>
              <w:keepLines w:val="0"/>
              <w:suppressLineNumbers w:val="0"/>
              <w:bidi w:val="0"/>
              <w:spacing w:before="0" w:beforeAutospacing="0" w:after="0" w:afterAutospacing="0"/>
              <w:ind w:left="0" w:right="0"/>
              <w:rPr>
                <w:rFonts w:hint="default"/>
                <w:u w:val="none"/>
              </w:rPr>
            </w:pPr>
            <w:r>
              <w:rPr>
                <w:rFonts w:hint="default"/>
                <w:u w:val="none"/>
              </w:rPr>
              <w:t>（1）监测点位：项目西侧外水井、项目南侧外水井、项目东侧外水井。</w:t>
            </w:r>
          </w:p>
          <w:p>
            <w:pPr>
              <w:keepNext w:val="0"/>
              <w:keepLines w:val="0"/>
              <w:suppressLineNumbers w:val="0"/>
              <w:bidi w:val="0"/>
              <w:spacing w:before="0" w:beforeAutospacing="0" w:after="0" w:afterAutospacing="0"/>
              <w:ind w:left="0" w:right="0"/>
              <w:rPr>
                <w:rFonts w:hint="default"/>
                <w:u w:val="none"/>
              </w:rPr>
            </w:pPr>
            <w:r>
              <w:rPr>
                <w:rFonts w:hint="default"/>
                <w:u w:val="none"/>
              </w:rPr>
              <w:t>（2）监测因子：pH、氨氮、硝酸盐、亚硝酸盐、挥发性酚类、氰化物、砷、汞、六价铬、总硬度、铅、氟化物、镉、铁、锰、溶解性总固体、耗量氧、硫酸盐、氯化物、总大肠菌群、细菌总数</w:t>
            </w:r>
          </w:p>
          <w:p>
            <w:pPr>
              <w:keepNext w:val="0"/>
              <w:keepLines w:val="0"/>
              <w:suppressLineNumbers w:val="0"/>
              <w:bidi w:val="0"/>
              <w:spacing w:before="0" w:beforeAutospacing="0" w:after="0" w:afterAutospacing="0"/>
              <w:ind w:left="0" w:right="0"/>
              <w:rPr>
                <w:rFonts w:hint="default"/>
                <w:u w:val="none"/>
              </w:rPr>
            </w:pPr>
            <w:r>
              <w:rPr>
                <w:rFonts w:hint="default"/>
                <w:u w:val="none"/>
              </w:rPr>
              <w:t>（3）监测时间：2019年9月14日。</w:t>
            </w:r>
          </w:p>
          <w:p>
            <w:pPr>
              <w:keepNext w:val="0"/>
              <w:keepLines w:val="0"/>
              <w:suppressLineNumbers w:val="0"/>
              <w:bidi w:val="0"/>
              <w:spacing w:before="0" w:beforeAutospacing="0" w:after="0" w:afterAutospacing="0"/>
              <w:ind w:left="0" w:right="0"/>
              <w:rPr>
                <w:rFonts w:hint="default"/>
                <w:u w:val="none"/>
              </w:rPr>
            </w:pPr>
            <w:r>
              <w:rPr>
                <w:rFonts w:hint="default"/>
                <w:u w:val="none"/>
              </w:rPr>
              <w:t>（4）评价标准：地下水环境质量执行《地下水质量标准》（GB/T 14848-2017）</w:t>
            </w:r>
            <w:r>
              <w:rPr>
                <w:rFonts w:hint="eastAsia"/>
                <w:u w:val="none"/>
              </w:rPr>
              <w:t>Ⅲ</w:t>
            </w:r>
            <w:r>
              <w:rPr>
                <w:rFonts w:hint="default"/>
                <w:u w:val="none"/>
              </w:rPr>
              <w:t>类标准。</w:t>
            </w:r>
          </w:p>
          <w:p>
            <w:pPr>
              <w:keepNext w:val="0"/>
              <w:keepLines w:val="0"/>
              <w:suppressLineNumbers w:val="0"/>
              <w:bidi w:val="0"/>
              <w:spacing w:before="0" w:beforeAutospacing="0" w:after="0" w:afterAutospacing="0"/>
              <w:ind w:left="0" w:right="0"/>
              <w:rPr>
                <w:rFonts w:hint="default"/>
                <w:u w:val="none"/>
              </w:rPr>
            </w:pPr>
            <w:r>
              <w:rPr>
                <w:rFonts w:hint="default"/>
                <w:u w:val="none"/>
              </w:rPr>
              <w:t>（5）监测结果如下表所示。</w:t>
            </w:r>
          </w:p>
          <w:p>
            <w:pPr>
              <w:pStyle w:val="50"/>
              <w:keepNext w:val="0"/>
              <w:keepLines w:val="0"/>
              <w:suppressLineNumbers w:val="0"/>
              <w:bidi w:val="0"/>
              <w:spacing w:beforeAutospacing="0" w:after="0" w:afterAutospacing="0"/>
              <w:ind w:left="0" w:right="0"/>
              <w:rPr>
                <w:rFonts w:hint="default"/>
                <w:color w:val="000000"/>
                <w:u w:val="none"/>
              </w:rPr>
            </w:pPr>
            <w:r>
              <w:rPr>
                <w:rFonts w:hint="default"/>
                <w:u w:val="none"/>
              </w:rPr>
              <w:t>表</w:t>
            </w:r>
            <w:r>
              <w:rPr>
                <w:rFonts w:hint="eastAsia"/>
                <w:u w:val="none"/>
                <w:lang w:val="en-US" w:eastAsia="zh-CN"/>
              </w:rPr>
              <w:t>3-7</w:t>
            </w:r>
            <w:r>
              <w:rPr>
                <w:rFonts w:hint="default"/>
                <w:b/>
                <w:snapToGrid w:val="0"/>
                <w:kern w:val="0"/>
                <w:u w:val="none"/>
              </w:rPr>
              <w:t xml:space="preserve">  项目所在地地下水监测数据</w:t>
            </w:r>
          </w:p>
          <w:tbl>
            <w:tblPr>
              <w:tblStyle w:val="23"/>
              <w:tblW w:w="5000" w:type="pct"/>
              <w:tblInd w:w="0" w:type="dxa"/>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340"/>
              <w:gridCol w:w="938"/>
              <w:gridCol w:w="1072"/>
              <w:gridCol w:w="1207"/>
              <w:gridCol w:w="1121"/>
              <w:gridCol w:w="1117"/>
            </w:tblGrid>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检测项目</w:t>
                  </w:r>
                </w:p>
              </w:tc>
              <w:tc>
                <w:tcPr>
                  <w:tcW w:w="807"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单位</w:t>
                  </w:r>
                </w:p>
              </w:tc>
              <w:tc>
                <w:tcPr>
                  <w:tcW w:w="1938" w:type="pct"/>
                  <w:gridSpan w:val="3"/>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检测结果</w:t>
                  </w:r>
                </w:p>
              </w:tc>
              <w:tc>
                <w:tcPr>
                  <w:tcW w:w="675" w:type="pct"/>
                  <w:vMerge w:val="restar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标准值</w:t>
                  </w:r>
                </w:p>
              </w:tc>
              <w:tc>
                <w:tcPr>
                  <w:tcW w:w="673" w:type="pct"/>
                  <w:vMerge w:val="restar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是否达标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p>
              </w:tc>
              <w:tc>
                <w:tcPr>
                  <w:tcW w:w="807"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p>
              </w:tc>
              <w:tc>
                <w:tcPr>
                  <w:tcW w:w="565"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项目西侧外水井</w:t>
                  </w:r>
                </w:p>
              </w:tc>
              <w:tc>
                <w:tcPr>
                  <w:tcW w:w="64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项目南侧外水井</w:t>
                  </w:r>
                </w:p>
              </w:tc>
              <w:tc>
                <w:tcPr>
                  <w:tcW w:w="72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项目东侧外水井</w:t>
                  </w:r>
                </w:p>
              </w:tc>
              <w:tc>
                <w:tcPr>
                  <w:tcW w:w="675" w:type="pct"/>
                  <w:vMerge w:val="continue"/>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p>
              </w:tc>
              <w:tc>
                <w:tcPr>
                  <w:tcW w:w="673" w:type="pct"/>
                  <w:vMerge w:val="continue"/>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pH</w:t>
                  </w:r>
                </w:p>
              </w:tc>
              <w:tc>
                <w:tcPr>
                  <w:tcW w:w="8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无量纲</w:t>
                  </w:r>
                </w:p>
              </w:tc>
              <w:tc>
                <w:tcPr>
                  <w:tcW w:w="565"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6.78</w:t>
                  </w:r>
                </w:p>
              </w:tc>
              <w:tc>
                <w:tcPr>
                  <w:tcW w:w="64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6.63</w:t>
                  </w:r>
                </w:p>
              </w:tc>
              <w:tc>
                <w:tcPr>
                  <w:tcW w:w="72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6.82</w:t>
                  </w:r>
                </w:p>
              </w:tc>
              <w:tc>
                <w:tcPr>
                  <w:tcW w:w="675"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6.5~8.5</w:t>
                  </w:r>
                </w:p>
              </w:tc>
              <w:tc>
                <w:tcPr>
                  <w:tcW w:w="673"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氨氮</w:t>
                  </w:r>
                </w:p>
              </w:tc>
              <w:tc>
                <w:tcPr>
                  <w:tcW w:w="8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0.057</w:t>
                  </w:r>
                </w:p>
              </w:tc>
              <w:tc>
                <w:tcPr>
                  <w:tcW w:w="64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0.071</w:t>
                  </w:r>
                </w:p>
              </w:tc>
              <w:tc>
                <w:tcPr>
                  <w:tcW w:w="72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0.084</w:t>
                  </w:r>
                </w:p>
              </w:tc>
              <w:tc>
                <w:tcPr>
                  <w:tcW w:w="675"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0.5</w:t>
                  </w:r>
                </w:p>
              </w:tc>
              <w:tc>
                <w:tcPr>
                  <w:tcW w:w="673"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硝酸盐</w:t>
                  </w:r>
                </w:p>
              </w:tc>
              <w:tc>
                <w:tcPr>
                  <w:tcW w:w="80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2.64</w:t>
                  </w:r>
                </w:p>
              </w:tc>
              <w:tc>
                <w:tcPr>
                  <w:tcW w:w="64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5.38</w:t>
                  </w:r>
                </w:p>
              </w:tc>
              <w:tc>
                <w:tcPr>
                  <w:tcW w:w="72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4.17</w:t>
                  </w:r>
                </w:p>
              </w:tc>
              <w:tc>
                <w:tcPr>
                  <w:tcW w:w="675"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20</w:t>
                  </w:r>
                </w:p>
              </w:tc>
              <w:tc>
                <w:tcPr>
                  <w:tcW w:w="673" w:type="pct"/>
                  <w:tcBorders>
                    <w:tl2br w:val="nil"/>
                    <w:tr2bl w:val="nil"/>
                  </w:tcBorders>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亚硝酸盐</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0.015</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0.036</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0.032</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挥发性酚类</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0.002</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氰化物</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0.05</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砷</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汞</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0.001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六价铬</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0.05</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总硬度</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165</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236</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208</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450</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铅</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氟化物</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0.05</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0.13</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0.09</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镉</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0.005</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铁</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0.05</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0.3</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锰</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ND</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0.1</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溶解性总固体</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452</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584</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615</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1000</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耗量氧</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1.2</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1.4</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1.5</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3</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硫酸盐</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14</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17</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18</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250</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氯化物</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mg/L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17.3</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22.6</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20.5</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250</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总大肠菌群</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CFU/100mL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1.0</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2.0</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2.0</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3</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细菌总数</w:t>
                  </w:r>
                </w:p>
              </w:tc>
              <w:tc>
                <w:tcPr>
                  <w:tcW w:w="80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CFU/100mL</w:t>
                  </w:r>
                </w:p>
              </w:tc>
              <w:tc>
                <w:tcPr>
                  <w:tcW w:w="565"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34</w:t>
                  </w:r>
                </w:p>
              </w:tc>
              <w:tc>
                <w:tcPr>
                  <w:tcW w:w="646"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40</w:t>
                  </w:r>
                </w:p>
              </w:tc>
              <w:tc>
                <w:tcPr>
                  <w:tcW w:w="727" w:type="pct"/>
                  <w:vAlign w:val="center"/>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38</w:t>
                  </w:r>
                </w:p>
              </w:tc>
              <w:tc>
                <w:tcPr>
                  <w:tcW w:w="675"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100</w:t>
                  </w:r>
                </w:p>
              </w:tc>
              <w:tc>
                <w:tcPr>
                  <w:tcW w:w="673" w:type="pct"/>
                </w:tcPr>
                <w:p>
                  <w:pPr>
                    <w:pStyle w:val="49"/>
                    <w:keepNext w:val="0"/>
                    <w:keepLines w:val="0"/>
                    <w:suppressLineNumbers w:val="0"/>
                    <w:bidi w:val="0"/>
                    <w:spacing w:before="0" w:beforeAutospacing="0" w:after="0" w:afterAutospacing="0"/>
                    <w:ind w:left="0" w:right="0"/>
                    <w:rPr>
                      <w:rFonts w:hint="default"/>
                      <w:sz w:val="20"/>
                      <w:szCs w:val="20"/>
                      <w:u w:val="none"/>
                    </w:rPr>
                  </w:pPr>
                  <w:r>
                    <w:rPr>
                      <w:rFonts w:hint="default"/>
                      <w:sz w:val="20"/>
                      <w:szCs w:val="20"/>
                      <w:u w:val="none"/>
                    </w:rPr>
                    <w:t>达标</w:t>
                  </w:r>
                </w:p>
              </w:tc>
            </w:tr>
          </w:tbl>
          <w:p>
            <w:pPr>
              <w:keepNext w:val="0"/>
              <w:keepLines w:val="0"/>
              <w:suppressLineNumbers w:val="0"/>
              <w:bidi w:val="0"/>
              <w:spacing w:before="0" w:beforeAutospacing="0" w:after="0" w:afterAutospacing="0"/>
              <w:ind w:left="0" w:right="0"/>
              <w:rPr>
                <w:rFonts w:hint="default"/>
                <w:u w:val="none"/>
              </w:rPr>
            </w:pPr>
            <w:r>
              <w:rPr>
                <w:rFonts w:hint="default"/>
                <w:u w:val="none"/>
              </w:rPr>
              <w:t>委托湖南永蓝检测技术股份有限公司对项目所在地地下水环境进行</w:t>
            </w:r>
            <w:r>
              <w:rPr>
                <w:rFonts w:hint="eastAsia"/>
                <w:u w:val="none"/>
                <w:lang w:eastAsia="zh-CN"/>
              </w:rPr>
              <w:t>补充</w:t>
            </w:r>
            <w:r>
              <w:rPr>
                <w:rFonts w:hint="default"/>
                <w:u w:val="none"/>
              </w:rPr>
              <w:t>监测</w:t>
            </w:r>
            <w:r>
              <w:rPr>
                <w:rFonts w:hint="eastAsia"/>
                <w:u w:val="none"/>
                <w:lang w:eastAsia="zh-CN"/>
              </w:rPr>
              <w:t>石油类因子</w:t>
            </w:r>
            <w:r>
              <w:rPr>
                <w:rFonts w:hint="default"/>
                <w:u w:val="none"/>
              </w:rPr>
              <w:t>。</w:t>
            </w:r>
          </w:p>
          <w:p>
            <w:pPr>
              <w:pStyle w:val="49"/>
              <w:keepNext w:val="0"/>
              <w:keepLines w:val="0"/>
              <w:suppressLineNumbers w:val="0"/>
              <w:bidi w:val="0"/>
              <w:spacing w:before="0" w:beforeAutospacing="0" w:after="0" w:afterAutospacing="0"/>
              <w:ind w:left="0" w:right="0"/>
              <w:rPr>
                <w:rFonts w:hint="default"/>
                <w:b/>
                <w:bCs/>
                <w:lang w:val="en-US"/>
              </w:rPr>
            </w:pPr>
            <w:r>
              <w:rPr>
                <w:rFonts w:hint="default"/>
                <w:b/>
                <w:bCs/>
              </w:rPr>
              <w:t>表</w:t>
            </w:r>
            <w:r>
              <w:rPr>
                <w:rFonts w:hint="eastAsia"/>
                <w:b/>
                <w:bCs/>
                <w:lang w:val="en-US" w:eastAsia="zh-CN"/>
              </w:rPr>
              <w:t xml:space="preserve">3-8  </w:t>
            </w:r>
            <w:r>
              <w:rPr>
                <w:rFonts w:hint="default"/>
                <w:b/>
                <w:bCs/>
              </w:rPr>
              <w:t>项目所在地</w:t>
            </w:r>
            <w:r>
              <w:rPr>
                <w:rFonts w:hint="eastAsia"/>
                <w:b/>
                <w:bCs/>
                <w:lang w:eastAsia="zh-CN"/>
              </w:rPr>
              <w:t>石油类</w:t>
            </w:r>
            <w:r>
              <w:rPr>
                <w:rFonts w:hint="default"/>
                <w:b/>
                <w:bCs/>
              </w:rPr>
              <w:t>地下水监测数据</w:t>
            </w:r>
          </w:p>
          <w:tbl>
            <w:tblPr>
              <w:tblStyle w:val="23"/>
              <w:tblW w:w="6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420"/>
              <w:gridCol w:w="1080"/>
              <w:gridCol w:w="1080"/>
              <w:gridCol w:w="1500"/>
              <w:gridCol w:w="15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420" w:type="dxa"/>
                  <w:vMerge w:val="restar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采样时间</w:t>
                  </w:r>
                </w:p>
              </w:tc>
              <w:tc>
                <w:tcPr>
                  <w:tcW w:w="1080" w:type="dxa"/>
                  <w:vMerge w:val="restar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检测项目</w:t>
                  </w:r>
                </w:p>
              </w:tc>
              <w:tc>
                <w:tcPr>
                  <w:tcW w:w="1080" w:type="dxa"/>
                  <w:vMerge w:val="restar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单位</w:t>
                  </w:r>
                </w:p>
              </w:tc>
              <w:tc>
                <w:tcPr>
                  <w:tcW w:w="3240" w:type="dxa"/>
                  <w:gridSpan w:val="3"/>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0" w:type="dxa"/>
                  <w:vMerge w:val="continue"/>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p>
              </w:tc>
              <w:tc>
                <w:tcPr>
                  <w:tcW w:w="1080" w:type="dxa"/>
                  <w:vMerge w:val="continue"/>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p>
              </w:tc>
              <w:tc>
                <w:tcPr>
                  <w:tcW w:w="1080" w:type="dxa"/>
                  <w:vMerge w:val="continue"/>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项目西侧外水井</w:t>
                  </w: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项目南侧外水井</w:t>
                  </w: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项目东侧外水井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2019/12/6</w:t>
                  </w:r>
                </w:p>
              </w:tc>
              <w:tc>
                <w:tcPr>
                  <w:tcW w:w="108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石油类</w:t>
                  </w:r>
                </w:p>
              </w:tc>
              <w:tc>
                <w:tcPr>
                  <w:tcW w:w="108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mg/L</w:t>
                  </w: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1500" w:type="dxa"/>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地下水现状监测结果均能达到《地下水质量标准》（GB/T 14848-2017） </w:t>
            </w:r>
            <w:r>
              <w:rPr>
                <w:rFonts w:hint="eastAsia" w:ascii="宋体" w:hAnsi="宋体" w:cs="宋体"/>
                <w:u w:val="none"/>
              </w:rPr>
              <w:t>Ⅲ</w:t>
            </w:r>
            <w:r>
              <w:rPr>
                <w:rFonts w:hint="default"/>
                <w:u w:val="none"/>
              </w:rPr>
              <w:t>类标准的要求。</w:t>
            </w:r>
          </w:p>
          <w:p>
            <w:pPr>
              <w:pStyle w:val="4"/>
              <w:suppressLineNumbers w:val="0"/>
              <w:bidi w:val="0"/>
              <w:spacing w:before="0" w:beforeAutospacing="0" w:after="0" w:afterAutospacing="0"/>
              <w:ind w:left="0" w:right="0"/>
              <w:rPr>
                <w:rFonts w:hint="default"/>
                <w:u w:val="none"/>
              </w:rPr>
            </w:pPr>
            <w:bookmarkStart w:id="19" w:name="_Toc8614"/>
            <w:r>
              <w:rPr>
                <w:rFonts w:hint="eastAsia"/>
                <w:u w:val="none"/>
                <w:lang w:val="en-US" w:eastAsia="zh-CN"/>
              </w:rPr>
              <w:t>3.4</w:t>
            </w:r>
            <w:r>
              <w:rPr>
                <w:rFonts w:hint="eastAsia"/>
                <w:u w:val="none"/>
              </w:rPr>
              <w:t>声环境质量</w:t>
            </w:r>
            <w:bookmarkEnd w:id="19"/>
          </w:p>
          <w:p>
            <w:pPr>
              <w:keepNext w:val="0"/>
              <w:keepLines w:val="0"/>
              <w:suppressLineNumbers w:val="0"/>
              <w:spacing w:before="0" w:beforeAutospacing="0" w:after="0" w:afterAutospacing="0"/>
              <w:ind w:left="0" w:right="0" w:firstLine="480"/>
              <w:rPr>
                <w:rFonts w:hint="default"/>
                <w:u w:val="none"/>
              </w:rPr>
            </w:pPr>
            <w:r>
              <w:rPr>
                <w:rFonts w:hint="default"/>
                <w:u w:val="none"/>
              </w:rPr>
              <w:t>本次评价委托湖南永蓝检测技术股份有限公司对项目厂界四周进行声环境质量现状监测，监测时间为2019年9月14日~2019年9月15日。</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（1）监测项目：等效连续A声级</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（2）监测频次：监测2天，每天昼间、夜间各1次。噪声监测按《声环境质量标准》（GB3096-2008）执行。</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（3）监测点位置：</w:t>
            </w:r>
            <w:r>
              <w:rPr>
                <w:rFonts w:hint="default"/>
                <w:u w:val="none"/>
              </w:rPr>
              <w:t>在项目厂界四周布设N1~N4四个声环境监测点。</w:t>
            </w:r>
          </w:p>
          <w:p>
            <w:pPr>
              <w:keepNext w:val="0"/>
              <w:keepLines w:val="0"/>
              <w:suppressLineNumbers w:val="0"/>
              <w:spacing w:before="0" w:beforeAutospacing="0" w:after="0" w:afterAutospacing="0"/>
              <w:ind w:left="0" w:right="0" w:firstLine="480"/>
              <w:rPr>
                <w:rFonts w:hint="default"/>
                <w:u w:val="none"/>
              </w:rPr>
            </w:pPr>
            <w:r>
              <w:rPr>
                <w:rFonts w:hint="default"/>
                <w:u w:val="none"/>
              </w:rPr>
              <w:t>（4）监测统计结果见下表。</w:t>
            </w:r>
          </w:p>
          <w:p>
            <w:pPr>
              <w:pStyle w:val="5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ind w:left="0" w:right="0"/>
              <w:textAlignment w:val="auto"/>
              <w:rPr>
                <w:rFonts w:hint="default"/>
                <w:b/>
                <w:bCs/>
                <w:sz w:val="21"/>
                <w:szCs w:val="21"/>
                <w:u w:val="none"/>
              </w:rPr>
            </w:pPr>
            <w:r>
              <w:rPr>
                <w:rFonts w:hint="default"/>
                <w:sz w:val="21"/>
                <w:szCs w:val="21"/>
                <w:u w:val="none"/>
              </w:rPr>
              <w:t>表</w:t>
            </w:r>
            <w:r>
              <w:rPr>
                <w:rFonts w:hint="eastAsia"/>
                <w:sz w:val="21"/>
                <w:szCs w:val="21"/>
                <w:u w:val="none"/>
                <w:lang w:val="en-US" w:eastAsia="zh-CN"/>
              </w:rPr>
              <w:t>3-9</w:t>
            </w:r>
            <w:r>
              <w:rPr>
                <w:rFonts w:hint="default"/>
                <w:b/>
                <w:bCs/>
                <w:sz w:val="21"/>
                <w:szCs w:val="21"/>
                <w:u w:val="none"/>
              </w:rPr>
              <w:t xml:space="preserve">  噪声监测统计结果表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956"/>
              <w:gridCol w:w="1709"/>
              <w:gridCol w:w="16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点位序号</w:t>
                  </w:r>
                </w:p>
                <w:p>
                  <w:pPr>
                    <w:pStyle w:val="49"/>
                    <w:keepNext w:val="0"/>
                    <w:keepLines w:val="0"/>
                    <w:suppressLineNumbers w:val="0"/>
                    <w:bidi w:val="0"/>
                    <w:spacing w:before="0" w:beforeAutospacing="0" w:after="0" w:afterAutospacing="0"/>
                    <w:ind w:left="0" w:right="0"/>
                    <w:rPr>
                      <w:rFonts w:hint="default"/>
                      <w:u w:val="none"/>
                    </w:rPr>
                  </w:pPr>
                </w:p>
              </w:tc>
              <w:tc>
                <w:tcPr>
                  <w:tcW w:w="117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采样位置</w:t>
                  </w:r>
                </w:p>
                <w:p>
                  <w:pPr>
                    <w:pStyle w:val="49"/>
                    <w:keepNext w:val="0"/>
                    <w:keepLines w:val="0"/>
                    <w:suppressLineNumbers w:val="0"/>
                    <w:bidi w:val="0"/>
                    <w:spacing w:before="0" w:beforeAutospacing="0" w:after="0" w:afterAutospacing="0"/>
                    <w:ind w:left="0" w:right="0"/>
                    <w:rPr>
                      <w:rFonts w:hint="default"/>
                      <w:u w:val="none"/>
                    </w:rPr>
                  </w:pPr>
                </w:p>
              </w:tc>
              <w:tc>
                <w:tcPr>
                  <w:tcW w:w="102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检测时间</w:t>
                  </w:r>
                </w:p>
              </w:tc>
              <w:tc>
                <w:tcPr>
                  <w:tcW w:w="2031" w:type="pct"/>
                  <w:gridSpan w:val="2"/>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7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2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 昼间</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N1</w:t>
                  </w:r>
                </w:p>
              </w:tc>
              <w:tc>
                <w:tcPr>
                  <w:tcW w:w="117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厂界东侧外一米处</w:t>
                  </w: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09月14日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56.3</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7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09月15日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56.8</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N2</w:t>
                  </w:r>
                </w:p>
              </w:tc>
              <w:tc>
                <w:tcPr>
                  <w:tcW w:w="117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厂界南侧外一米处</w:t>
                  </w: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09月14日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57.1</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7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09月15日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56.6</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N3</w:t>
                  </w:r>
                </w:p>
              </w:tc>
              <w:tc>
                <w:tcPr>
                  <w:tcW w:w="117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厂界西侧外一米处</w:t>
                  </w: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09月14日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54.3</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7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09月15日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53.9</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N4</w:t>
                  </w:r>
                </w:p>
              </w:tc>
              <w:tc>
                <w:tcPr>
                  <w:tcW w:w="1179"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厂界北侧外一米处</w:t>
                  </w: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09月14日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52.6</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79"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2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09月15日</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53.0</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9" w:type="pct"/>
                  <w:gridSpan w:val="3"/>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标准值（2类区）</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9" w:type="pct"/>
                  <w:gridSpan w:val="3"/>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是否达标</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c>
                <w:tcPr>
                  <w:tcW w:w="1016"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bl>
          <w:p>
            <w:pPr>
              <w:keepNext w:val="0"/>
              <w:keepLines w:val="0"/>
              <w:suppressLineNumbers w:val="0"/>
              <w:adjustRightInd w:val="0"/>
              <w:snapToGrid w:val="0"/>
              <w:spacing w:before="0" w:beforeAutospacing="0" w:after="0" w:afterAutospacing="0" w:line="360" w:lineRule="auto"/>
              <w:ind w:left="0" w:right="0" w:firstLine="480"/>
              <w:jc w:val="left"/>
              <w:rPr>
                <w:rFonts w:hint="default"/>
                <w:u w:val="none"/>
              </w:rPr>
            </w:pPr>
            <w:r>
              <w:rPr>
                <w:rFonts w:hint="default"/>
                <w:u w:val="none"/>
              </w:rPr>
              <w:t>现状监测结果表明，项目所在区域声环境质量现状满足《声环境质量标准》（GB3096-2008）中的2类区标准。</w:t>
            </w:r>
          </w:p>
          <w:p>
            <w:pPr>
              <w:pStyle w:val="4"/>
              <w:suppressLineNumbers w:val="0"/>
              <w:bidi w:val="0"/>
              <w:spacing w:before="0" w:beforeAutospacing="0" w:after="0" w:afterAutospacing="0"/>
              <w:ind w:left="0" w:right="0"/>
              <w:rPr>
                <w:rFonts w:hint="default"/>
                <w:u w:val="none"/>
              </w:rPr>
            </w:pPr>
            <w:bookmarkStart w:id="20" w:name="_Toc11897"/>
            <w:r>
              <w:rPr>
                <w:rFonts w:hint="eastAsia"/>
                <w:u w:val="none"/>
                <w:lang w:val="en-US" w:eastAsia="zh-CN"/>
              </w:rPr>
              <w:t>3.5</w:t>
            </w:r>
            <w:r>
              <w:rPr>
                <w:rFonts w:hint="default"/>
                <w:u w:val="none"/>
              </w:rPr>
              <w:t>土壤环境质量现状</w:t>
            </w:r>
            <w:bookmarkEnd w:id="20"/>
          </w:p>
          <w:p>
            <w:pPr>
              <w:keepNext w:val="0"/>
              <w:keepLines w:val="0"/>
              <w:suppressLineNumbers w:val="0"/>
              <w:spacing w:before="0" w:beforeAutospacing="0" w:after="0" w:afterAutospacing="0"/>
              <w:ind w:left="0" w:right="0" w:firstLine="480"/>
              <w:rPr>
                <w:rFonts w:hint="default"/>
                <w:u w:val="none"/>
              </w:rPr>
            </w:pPr>
            <w:r>
              <w:rPr>
                <w:rFonts w:hint="default"/>
                <w:u w:val="none"/>
              </w:rPr>
              <w:t>本次评价委托湖南永蓝检测技术股份有限公司对项目所在地进行土壤环境质量现状监测，监测时间为2019年9月14日。</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（1）监测项目：砷、镉、六价铬、铜、铅、汞、镍、氰化物</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（2）监测频次：监测1天。</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（3）监测点位置：</w:t>
            </w:r>
            <w:r>
              <w:rPr>
                <w:rFonts w:hint="default"/>
                <w:u w:val="none"/>
              </w:rPr>
              <w:t>在项目所在地0.05km范围内未受人为污染或相对未受污染的区域进行采样，采样点位为3个。</w:t>
            </w:r>
          </w:p>
          <w:p>
            <w:pPr>
              <w:keepNext w:val="0"/>
              <w:keepLines w:val="0"/>
              <w:suppressLineNumbers w:val="0"/>
              <w:spacing w:before="0" w:beforeAutospacing="0" w:after="0" w:afterAutospacing="0"/>
              <w:ind w:left="0" w:right="0" w:firstLine="480"/>
              <w:rPr>
                <w:rFonts w:hint="default"/>
                <w:u w:val="none"/>
              </w:rPr>
            </w:pPr>
            <w:r>
              <w:rPr>
                <w:rFonts w:hint="default"/>
                <w:u w:val="none"/>
              </w:rPr>
              <w:t>（4）执行标准：《土壤环境质量 建设用地土壤污染风险管控标准》（GB36600-2018）表1中的筛选值中的第二类用地中的标准限值要求</w:t>
            </w:r>
          </w:p>
          <w:p>
            <w:pPr>
              <w:keepNext w:val="0"/>
              <w:keepLines w:val="0"/>
              <w:suppressLineNumbers w:val="0"/>
              <w:spacing w:before="0" w:beforeAutospacing="0" w:after="0" w:afterAutospacing="0"/>
              <w:ind w:left="0" w:right="0" w:firstLine="480"/>
              <w:rPr>
                <w:rFonts w:hint="default"/>
                <w:u w:val="none"/>
              </w:rPr>
            </w:pPr>
            <w:r>
              <w:rPr>
                <w:rFonts w:hint="default"/>
                <w:u w:val="none"/>
              </w:rPr>
              <w:t>（5）监测统计结果见下表。</w:t>
            </w:r>
          </w:p>
          <w:p>
            <w:pPr>
              <w:pStyle w:val="50"/>
              <w:keepNext w:val="0"/>
              <w:keepLines w:val="0"/>
              <w:suppressLineNumbers w:val="0"/>
              <w:bidi w:val="0"/>
              <w:spacing w:beforeAutospacing="0" w:after="0" w:afterAutospacing="0"/>
              <w:ind w:left="0" w:right="0"/>
              <w:rPr>
                <w:rFonts w:hint="default"/>
                <w:b/>
                <w:u w:val="none"/>
              </w:rPr>
            </w:pPr>
            <w:r>
              <w:rPr>
                <w:rFonts w:hint="default"/>
                <w:u w:val="none"/>
              </w:rPr>
              <w:t>表</w:t>
            </w:r>
            <w:r>
              <w:rPr>
                <w:rFonts w:hint="eastAsia"/>
                <w:u w:val="none"/>
                <w:lang w:val="en-US" w:eastAsia="zh-CN"/>
              </w:rPr>
              <w:t>3-10</w:t>
            </w:r>
            <w:r>
              <w:rPr>
                <w:rFonts w:hint="eastAsia"/>
                <w:b/>
                <w:u w:val="none"/>
              </w:rPr>
              <w:t xml:space="preserve">  土壤监测结果一览表</w:t>
            </w:r>
          </w:p>
          <w:tbl>
            <w:tblPr>
              <w:tblStyle w:val="23"/>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948"/>
              <w:gridCol w:w="833"/>
              <w:gridCol w:w="1160"/>
              <w:gridCol w:w="1074"/>
              <w:gridCol w:w="1074"/>
              <w:gridCol w:w="121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采样时间</w:t>
                  </w:r>
                </w:p>
              </w:tc>
              <w:tc>
                <w:tcPr>
                  <w:tcW w:w="571"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检测项目</w:t>
                  </w:r>
                </w:p>
              </w:tc>
              <w:tc>
                <w:tcPr>
                  <w:tcW w:w="502"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单位</w:t>
                  </w:r>
                </w:p>
              </w:tc>
              <w:tc>
                <w:tcPr>
                  <w:tcW w:w="1993" w:type="pct"/>
                  <w:gridSpan w:val="3"/>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检测结果</w:t>
                  </w:r>
                </w:p>
              </w:tc>
              <w:tc>
                <w:tcPr>
                  <w:tcW w:w="733" w:type="pct"/>
                  <w:vMerge w:val="restart"/>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标准值（mg/kg）</w:t>
                  </w:r>
                </w:p>
              </w:tc>
              <w:tc>
                <w:tcPr>
                  <w:tcW w:w="643" w:type="pct"/>
                  <w:vMerge w:val="restart"/>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502"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69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项目北部</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项目中部</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项目南部</w:t>
                  </w:r>
                </w:p>
              </w:tc>
              <w:tc>
                <w:tcPr>
                  <w:tcW w:w="733" w:type="pct"/>
                  <w:vMerge w:val="continue"/>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p>
              </w:tc>
              <w:tc>
                <w:tcPr>
                  <w:tcW w:w="643" w:type="pct"/>
                  <w:vMerge w:val="continue"/>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2019年</w:t>
                  </w:r>
                  <w:r>
                    <w:rPr>
                      <w:rFonts w:hint="default"/>
                      <w:u w:val="none"/>
                    </w:rPr>
                    <w:t>09月14日</w:t>
                  </w:r>
                </w:p>
              </w:tc>
              <w:tc>
                <w:tcPr>
                  <w:tcW w:w="571"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砷</w:t>
                  </w:r>
                </w:p>
              </w:tc>
              <w:tc>
                <w:tcPr>
                  <w:tcW w:w="502"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733"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643" w:type="pct"/>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镉</w:t>
                  </w:r>
                </w:p>
              </w:tc>
              <w:tc>
                <w:tcPr>
                  <w:tcW w:w="502"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0.36</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0.21</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0.44</w:t>
                  </w:r>
                </w:p>
              </w:tc>
              <w:tc>
                <w:tcPr>
                  <w:tcW w:w="733"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65</w:t>
                  </w:r>
                </w:p>
              </w:tc>
              <w:tc>
                <w:tcPr>
                  <w:tcW w:w="643" w:type="pct"/>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六价铬</w:t>
                  </w:r>
                </w:p>
              </w:tc>
              <w:tc>
                <w:tcPr>
                  <w:tcW w:w="502"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733" w:type="pct"/>
                  <w:tcBorders>
                    <w:tl2br w:val="nil"/>
                    <w:tr2bl w:val="nil"/>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5.7</w:t>
                  </w:r>
                </w:p>
              </w:tc>
              <w:tc>
                <w:tcPr>
                  <w:tcW w:w="643" w:type="pct"/>
                  <w:tcBorders>
                    <w:tl2br w:val="nil"/>
                    <w:tr2bl w:val="nil"/>
                  </w:tcBorders>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铜</w:t>
                  </w:r>
                </w:p>
              </w:tc>
              <w:tc>
                <w:tcPr>
                  <w:tcW w:w="50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162</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185</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193</w:t>
                  </w:r>
                </w:p>
              </w:tc>
              <w:tc>
                <w:tcPr>
                  <w:tcW w:w="7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18000</w:t>
                  </w:r>
                </w:p>
              </w:tc>
              <w:tc>
                <w:tcPr>
                  <w:tcW w:w="6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铅</w:t>
                  </w:r>
                </w:p>
              </w:tc>
              <w:tc>
                <w:tcPr>
                  <w:tcW w:w="50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13.5</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17.1</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10.8</w:t>
                  </w:r>
                </w:p>
              </w:tc>
              <w:tc>
                <w:tcPr>
                  <w:tcW w:w="7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800</w:t>
                  </w:r>
                </w:p>
              </w:tc>
              <w:tc>
                <w:tcPr>
                  <w:tcW w:w="6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汞</w:t>
                  </w:r>
                </w:p>
              </w:tc>
              <w:tc>
                <w:tcPr>
                  <w:tcW w:w="50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7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38</w:t>
                  </w:r>
                </w:p>
              </w:tc>
              <w:tc>
                <w:tcPr>
                  <w:tcW w:w="6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镍</w:t>
                  </w:r>
                </w:p>
              </w:tc>
              <w:tc>
                <w:tcPr>
                  <w:tcW w:w="50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7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w:t>
                  </w:r>
                </w:p>
              </w:tc>
              <w:tc>
                <w:tcPr>
                  <w:tcW w:w="6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氰化物</w:t>
                  </w:r>
                </w:p>
              </w:tc>
              <w:tc>
                <w:tcPr>
                  <w:tcW w:w="50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mg/kg</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64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ND</w:t>
                  </w:r>
                </w:p>
              </w:tc>
              <w:tc>
                <w:tcPr>
                  <w:tcW w:w="7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135</w:t>
                  </w:r>
                </w:p>
              </w:tc>
              <w:tc>
                <w:tcPr>
                  <w:tcW w:w="6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u w:val="none"/>
              </w:rPr>
            </w:pPr>
            <w:r>
              <w:rPr>
                <w:rFonts w:hint="default"/>
                <w:u w:val="none"/>
              </w:rPr>
              <w:t>委托湖南永蓝检测技术股份有限公司对项目所在地进行土壤环境质量现状</w:t>
            </w:r>
            <w:r>
              <w:rPr>
                <w:rFonts w:hint="eastAsia"/>
                <w:u w:val="none"/>
                <w:lang w:eastAsia="zh-CN"/>
              </w:rPr>
              <w:t>进行补充</w:t>
            </w:r>
            <w:r>
              <w:rPr>
                <w:rFonts w:hint="default"/>
                <w:u w:val="none"/>
              </w:rPr>
              <w:t>监测，监测时间为2019年</w:t>
            </w:r>
            <w:r>
              <w:rPr>
                <w:rFonts w:hint="eastAsia"/>
                <w:u w:val="none"/>
                <w:lang w:val="en-US" w:eastAsia="zh-CN"/>
              </w:rPr>
              <w:t>12</w:t>
            </w:r>
            <w:r>
              <w:rPr>
                <w:rFonts w:hint="default"/>
                <w:u w:val="none"/>
              </w:rPr>
              <w:t>月</w:t>
            </w:r>
            <w:r>
              <w:rPr>
                <w:rFonts w:hint="eastAsia"/>
                <w:u w:val="none"/>
                <w:lang w:val="en-US" w:eastAsia="zh-CN"/>
              </w:rPr>
              <w:t>6</w:t>
            </w:r>
            <w:r>
              <w:rPr>
                <w:rFonts w:hint="default"/>
                <w:u w:val="none"/>
              </w:rPr>
              <w:t>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eastAsia="宋体"/>
                <w:bCs/>
                <w:u w:val="none"/>
                <w:lang w:eastAsia="zh-CN"/>
              </w:rPr>
            </w:pPr>
            <w:r>
              <w:rPr>
                <w:rFonts w:hint="default"/>
                <w:bCs/>
                <w:u w:val="none"/>
              </w:rPr>
              <w:t>（1）监测项目：</w:t>
            </w:r>
            <w:r>
              <w:rPr>
                <w:rFonts w:hint="eastAsia"/>
                <w:bCs/>
                <w:u w:val="none"/>
              </w:rPr>
              <w:t>四氯化碳</w:t>
            </w:r>
            <w:r>
              <w:rPr>
                <w:rFonts w:hint="eastAsia"/>
                <w:bCs/>
                <w:u w:val="none"/>
                <w:lang w:eastAsia="zh-CN"/>
              </w:rPr>
              <w:t>、</w:t>
            </w:r>
            <w:r>
              <w:rPr>
                <w:rFonts w:hint="eastAsia"/>
                <w:bCs/>
                <w:u w:val="none"/>
              </w:rPr>
              <w:t>氯仿</w:t>
            </w:r>
            <w:r>
              <w:rPr>
                <w:rFonts w:hint="eastAsia"/>
                <w:bCs/>
                <w:u w:val="none"/>
                <w:lang w:eastAsia="zh-CN"/>
              </w:rPr>
              <w:t>、</w:t>
            </w:r>
            <w:r>
              <w:rPr>
                <w:rFonts w:hint="eastAsia"/>
                <w:bCs/>
                <w:u w:val="none"/>
              </w:rPr>
              <w:t>氯甲烷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1-二氯乙烷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2-二氯乙烷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1-二氯乙烯</w:t>
            </w:r>
            <w:r>
              <w:rPr>
                <w:rFonts w:hint="eastAsia"/>
                <w:bCs/>
                <w:u w:val="none"/>
                <w:lang w:eastAsia="zh-CN"/>
              </w:rPr>
              <w:t>、</w:t>
            </w:r>
            <w:r>
              <w:rPr>
                <w:rFonts w:hint="eastAsia"/>
                <w:bCs/>
                <w:u w:val="none"/>
              </w:rPr>
              <w:t>顺-1</w:t>
            </w:r>
            <w:r>
              <w:rPr>
                <w:rFonts w:hint="eastAsia"/>
                <w:bCs/>
                <w:u w:val="none"/>
                <w:lang w:eastAsia="zh-CN"/>
              </w:rPr>
              <w:t>，</w:t>
            </w:r>
            <w:r>
              <w:rPr>
                <w:rFonts w:hint="eastAsia"/>
                <w:bCs/>
                <w:u w:val="none"/>
              </w:rPr>
              <w:t>2-二氯乙烯</w:t>
            </w:r>
            <w:r>
              <w:rPr>
                <w:rFonts w:hint="eastAsia"/>
                <w:bCs/>
                <w:u w:val="none"/>
                <w:lang w:eastAsia="zh-CN"/>
              </w:rPr>
              <w:t>、</w:t>
            </w:r>
            <w:r>
              <w:rPr>
                <w:rFonts w:hint="eastAsia"/>
                <w:bCs/>
                <w:u w:val="none"/>
              </w:rPr>
              <w:t>反-1</w:t>
            </w:r>
            <w:r>
              <w:rPr>
                <w:rFonts w:hint="eastAsia"/>
                <w:bCs/>
                <w:u w:val="none"/>
                <w:lang w:eastAsia="zh-CN"/>
              </w:rPr>
              <w:t>，</w:t>
            </w:r>
            <w:r>
              <w:rPr>
                <w:rFonts w:hint="eastAsia"/>
                <w:bCs/>
                <w:u w:val="none"/>
              </w:rPr>
              <w:t>2-二氯乙烯</w:t>
            </w:r>
            <w:r>
              <w:rPr>
                <w:rFonts w:hint="eastAsia"/>
                <w:bCs/>
                <w:u w:val="none"/>
                <w:lang w:eastAsia="zh-CN"/>
              </w:rPr>
              <w:t>、</w:t>
            </w:r>
            <w:r>
              <w:rPr>
                <w:rFonts w:hint="eastAsia"/>
                <w:bCs/>
                <w:u w:val="none"/>
              </w:rPr>
              <w:t>二氯甲烷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2-二氯丙烷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2-四氯乙烷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w:t>
            </w:r>
            <w:r>
              <w:rPr>
                <w:rFonts w:hint="eastAsia"/>
                <w:bCs/>
                <w:u w:val="none"/>
                <w:lang w:eastAsia="zh-CN"/>
              </w:rPr>
              <w:t>，</w:t>
            </w:r>
            <w:r>
              <w:rPr>
                <w:rFonts w:hint="eastAsia"/>
                <w:bCs/>
                <w:u w:val="none"/>
              </w:rPr>
              <w:t>2-四氯乙烷</w:t>
            </w:r>
            <w:r>
              <w:rPr>
                <w:rFonts w:hint="eastAsia"/>
                <w:bCs/>
                <w:u w:val="none"/>
                <w:lang w:eastAsia="zh-CN"/>
              </w:rPr>
              <w:t>、</w:t>
            </w:r>
            <w:r>
              <w:rPr>
                <w:rFonts w:hint="eastAsia"/>
                <w:bCs/>
                <w:u w:val="none"/>
              </w:rPr>
              <w:t>四氯乙烯</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1-三氯乙烷</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2-三氯乙烷</w:t>
            </w:r>
            <w:r>
              <w:rPr>
                <w:rFonts w:hint="eastAsia"/>
                <w:bCs/>
                <w:u w:val="none"/>
                <w:lang w:eastAsia="zh-CN"/>
              </w:rPr>
              <w:t>、</w:t>
            </w:r>
            <w:r>
              <w:rPr>
                <w:rFonts w:hint="eastAsia"/>
                <w:bCs/>
                <w:u w:val="none"/>
              </w:rPr>
              <w:t>三氯乙烯</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w:t>
            </w:r>
            <w:r>
              <w:rPr>
                <w:rFonts w:hint="eastAsia"/>
                <w:bCs/>
                <w:u w:val="none"/>
                <w:lang w:eastAsia="zh-CN"/>
              </w:rPr>
              <w:t>，</w:t>
            </w:r>
            <w:r>
              <w:rPr>
                <w:rFonts w:hint="eastAsia"/>
                <w:bCs/>
                <w:u w:val="none"/>
              </w:rPr>
              <w:t>3-三氯丙烷</w:t>
            </w:r>
            <w:r>
              <w:rPr>
                <w:rFonts w:hint="eastAsia"/>
                <w:bCs/>
                <w:u w:val="none"/>
                <w:lang w:eastAsia="zh-CN"/>
              </w:rPr>
              <w:t>、</w:t>
            </w:r>
            <w:r>
              <w:rPr>
                <w:rFonts w:hint="eastAsia"/>
                <w:bCs/>
                <w:u w:val="none"/>
              </w:rPr>
              <w:t>氯乙烯</w:t>
            </w:r>
            <w:r>
              <w:rPr>
                <w:rFonts w:hint="eastAsia"/>
                <w:bCs/>
                <w:u w:val="none"/>
                <w:lang w:eastAsia="zh-CN"/>
              </w:rPr>
              <w:t>、</w:t>
            </w:r>
            <w:r>
              <w:rPr>
                <w:rFonts w:hint="eastAsia"/>
                <w:bCs/>
                <w:u w:val="none"/>
              </w:rPr>
              <w:t>苯</w:t>
            </w:r>
            <w:r>
              <w:rPr>
                <w:rFonts w:hint="eastAsia"/>
                <w:bCs/>
                <w:u w:val="none"/>
                <w:lang w:eastAsia="zh-CN"/>
              </w:rPr>
              <w:t>、</w:t>
            </w:r>
            <w:r>
              <w:rPr>
                <w:rFonts w:hint="eastAsia"/>
                <w:bCs/>
                <w:u w:val="none"/>
              </w:rPr>
              <w:t>氯苯</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2-二氯苯</w:t>
            </w:r>
            <w:r>
              <w:rPr>
                <w:rFonts w:hint="eastAsia"/>
                <w:bCs/>
                <w:u w:val="none"/>
                <w:lang w:eastAsia="zh-CN"/>
              </w:rPr>
              <w:t>、</w:t>
            </w:r>
            <w:r>
              <w:rPr>
                <w:rFonts w:hint="eastAsia"/>
                <w:bCs/>
                <w:u w:val="none"/>
              </w:rPr>
              <w:t>1</w:t>
            </w:r>
            <w:r>
              <w:rPr>
                <w:rFonts w:hint="eastAsia"/>
                <w:bCs/>
                <w:u w:val="none"/>
                <w:lang w:eastAsia="zh-CN"/>
              </w:rPr>
              <w:t>，</w:t>
            </w:r>
            <w:r>
              <w:rPr>
                <w:rFonts w:hint="eastAsia"/>
                <w:bCs/>
                <w:u w:val="none"/>
              </w:rPr>
              <w:t>4-二氯苯</w:t>
            </w:r>
            <w:r>
              <w:rPr>
                <w:rFonts w:hint="eastAsia"/>
                <w:bCs/>
                <w:u w:val="none"/>
                <w:lang w:eastAsia="zh-CN"/>
              </w:rPr>
              <w:t>、</w:t>
            </w:r>
            <w:r>
              <w:rPr>
                <w:rFonts w:hint="eastAsia"/>
                <w:bCs/>
                <w:u w:val="none"/>
              </w:rPr>
              <w:t>乙苯</w:t>
            </w:r>
            <w:r>
              <w:rPr>
                <w:rFonts w:hint="eastAsia"/>
                <w:bCs/>
                <w:u w:val="none"/>
                <w:lang w:eastAsia="zh-CN"/>
              </w:rPr>
              <w:t>、</w:t>
            </w:r>
            <w:r>
              <w:rPr>
                <w:rFonts w:hint="eastAsia"/>
                <w:bCs/>
                <w:u w:val="none"/>
              </w:rPr>
              <w:t>苯乙烯</w:t>
            </w:r>
            <w:r>
              <w:rPr>
                <w:rFonts w:hint="eastAsia"/>
                <w:bCs/>
                <w:u w:val="none"/>
                <w:lang w:eastAsia="zh-CN"/>
              </w:rPr>
              <w:t>、</w:t>
            </w:r>
            <w:r>
              <w:rPr>
                <w:rFonts w:hint="eastAsia"/>
                <w:bCs/>
                <w:u w:val="none"/>
              </w:rPr>
              <w:t>甲苯</w:t>
            </w:r>
            <w:r>
              <w:rPr>
                <w:rFonts w:hint="eastAsia"/>
                <w:bCs/>
                <w:u w:val="none"/>
                <w:lang w:eastAsia="zh-CN"/>
              </w:rPr>
              <w:t>、</w:t>
            </w:r>
            <w:r>
              <w:rPr>
                <w:rFonts w:hint="eastAsia"/>
                <w:bCs/>
                <w:u w:val="none"/>
              </w:rPr>
              <w:t>间二甲苯</w:t>
            </w:r>
            <w:r>
              <w:rPr>
                <w:rFonts w:hint="eastAsia"/>
                <w:bCs/>
                <w:u w:val="none"/>
                <w:lang w:eastAsia="zh-CN"/>
              </w:rPr>
              <w:t>、</w:t>
            </w:r>
            <w:r>
              <w:rPr>
                <w:rFonts w:hint="eastAsia"/>
                <w:bCs/>
                <w:u w:val="none"/>
              </w:rPr>
              <w:t>对二甲苯</w:t>
            </w:r>
            <w:r>
              <w:rPr>
                <w:rFonts w:hint="eastAsia"/>
                <w:bCs/>
                <w:u w:val="none"/>
                <w:lang w:eastAsia="zh-CN"/>
              </w:rPr>
              <w:t>、</w:t>
            </w:r>
            <w:r>
              <w:rPr>
                <w:rFonts w:hint="eastAsia"/>
                <w:bCs/>
                <w:u w:val="none"/>
              </w:rPr>
              <w:t>邻二甲苯</w:t>
            </w:r>
            <w:r>
              <w:rPr>
                <w:rFonts w:hint="eastAsia"/>
                <w:bCs/>
                <w:u w:val="none"/>
                <w:lang w:eastAsia="zh-CN"/>
              </w:rPr>
              <w:t>、</w:t>
            </w:r>
            <w:r>
              <w:rPr>
                <w:rFonts w:hint="eastAsia"/>
                <w:bCs/>
                <w:u w:val="none"/>
              </w:rPr>
              <w:t>硝基苯</w:t>
            </w:r>
            <w:r>
              <w:rPr>
                <w:rFonts w:hint="eastAsia"/>
                <w:bCs/>
                <w:u w:val="none"/>
                <w:lang w:eastAsia="zh-CN"/>
              </w:rPr>
              <w:t>、</w:t>
            </w:r>
            <w:r>
              <w:rPr>
                <w:rFonts w:hint="eastAsia"/>
                <w:bCs/>
                <w:u w:val="none"/>
              </w:rPr>
              <w:t>苯胺</w:t>
            </w:r>
            <w:r>
              <w:rPr>
                <w:rFonts w:hint="eastAsia"/>
                <w:bCs/>
                <w:u w:val="none"/>
                <w:lang w:eastAsia="zh-CN"/>
              </w:rPr>
              <w:t>、</w:t>
            </w:r>
            <w:r>
              <w:rPr>
                <w:rFonts w:hint="eastAsia"/>
                <w:bCs/>
                <w:u w:val="none"/>
              </w:rPr>
              <w:t>2-氯酚</w:t>
            </w:r>
            <w:r>
              <w:rPr>
                <w:rFonts w:hint="eastAsia"/>
                <w:bCs/>
                <w:u w:val="none"/>
                <w:lang w:eastAsia="zh-CN"/>
              </w:rPr>
              <w:t>、</w:t>
            </w:r>
            <w:r>
              <w:rPr>
                <w:rFonts w:hint="eastAsia"/>
                <w:bCs/>
                <w:u w:val="none"/>
              </w:rPr>
              <w:t>苯并[a]蒽</w:t>
            </w:r>
            <w:r>
              <w:rPr>
                <w:rFonts w:hint="eastAsia"/>
                <w:bCs/>
                <w:u w:val="none"/>
                <w:lang w:eastAsia="zh-CN"/>
              </w:rPr>
              <w:t>、</w:t>
            </w:r>
            <w:r>
              <w:rPr>
                <w:rFonts w:hint="eastAsia"/>
                <w:bCs/>
                <w:u w:val="none"/>
              </w:rPr>
              <w:t>苯并[a]芘</w:t>
            </w:r>
            <w:r>
              <w:rPr>
                <w:rFonts w:hint="eastAsia"/>
                <w:bCs/>
                <w:u w:val="none"/>
                <w:lang w:eastAsia="zh-CN"/>
              </w:rPr>
              <w:t>、</w:t>
            </w:r>
            <w:r>
              <w:rPr>
                <w:rFonts w:hint="eastAsia"/>
                <w:bCs/>
                <w:u w:val="none"/>
              </w:rPr>
              <w:t>苯并[b]荧蒽</w:t>
            </w:r>
            <w:r>
              <w:rPr>
                <w:rFonts w:hint="eastAsia"/>
                <w:bCs/>
                <w:u w:val="none"/>
                <w:lang w:eastAsia="zh-CN"/>
              </w:rPr>
              <w:t>、</w:t>
            </w:r>
            <w:r>
              <w:rPr>
                <w:rFonts w:hint="eastAsia"/>
                <w:bCs/>
                <w:u w:val="none"/>
              </w:rPr>
              <w:t>苯并[k]荧蒽</w:t>
            </w:r>
            <w:r>
              <w:rPr>
                <w:rFonts w:hint="eastAsia"/>
                <w:bCs/>
                <w:u w:val="none"/>
                <w:lang w:eastAsia="zh-CN"/>
              </w:rPr>
              <w:t>、</w:t>
            </w:r>
            <w:r>
              <w:rPr>
                <w:rFonts w:hint="eastAsia"/>
                <w:bCs/>
                <w:u w:val="none"/>
              </w:rPr>
              <w:t>䓛</w:t>
            </w:r>
            <w:r>
              <w:rPr>
                <w:rFonts w:hint="eastAsia"/>
                <w:bCs/>
                <w:u w:val="none"/>
                <w:lang w:eastAsia="zh-CN"/>
              </w:rPr>
              <w:t>、</w:t>
            </w:r>
            <w:r>
              <w:rPr>
                <w:rFonts w:hint="eastAsia"/>
                <w:bCs/>
                <w:u w:val="none"/>
              </w:rPr>
              <w:t>二苯并[a，h]蒽</w:t>
            </w:r>
            <w:r>
              <w:rPr>
                <w:rFonts w:hint="eastAsia"/>
                <w:bCs/>
                <w:u w:val="none"/>
                <w:lang w:eastAsia="zh-CN"/>
              </w:rPr>
              <w:t>、</w:t>
            </w:r>
            <w:r>
              <w:rPr>
                <w:rFonts w:hint="eastAsia"/>
                <w:bCs/>
                <w:u w:val="none"/>
              </w:rPr>
              <w:t>茚并[1</w:t>
            </w:r>
            <w:r>
              <w:rPr>
                <w:rFonts w:hint="eastAsia"/>
                <w:bCs/>
                <w:u w:val="none"/>
                <w:lang w:eastAsia="zh-CN"/>
              </w:rPr>
              <w:t>，</w:t>
            </w:r>
            <w:r>
              <w:rPr>
                <w:rFonts w:hint="eastAsia"/>
                <w:bCs/>
                <w:u w:val="none"/>
              </w:rPr>
              <w:t>2</w:t>
            </w:r>
            <w:r>
              <w:rPr>
                <w:rFonts w:hint="eastAsia"/>
                <w:bCs/>
                <w:u w:val="none"/>
                <w:lang w:eastAsia="zh-CN"/>
              </w:rPr>
              <w:t>，</w:t>
            </w:r>
            <w:r>
              <w:rPr>
                <w:rFonts w:hint="eastAsia"/>
                <w:bCs/>
                <w:u w:val="none"/>
              </w:rPr>
              <w:t>3-cd]芘</w:t>
            </w:r>
            <w:r>
              <w:rPr>
                <w:rFonts w:hint="eastAsia"/>
                <w:bCs/>
                <w:u w:val="none"/>
                <w:lang w:eastAsia="zh-CN"/>
              </w:rPr>
              <w:t>、</w:t>
            </w:r>
            <w:r>
              <w:rPr>
                <w:rFonts w:hint="eastAsia"/>
                <w:bCs/>
                <w:u w:val="none"/>
              </w:rPr>
              <w:t>萘</w:t>
            </w:r>
            <w:r>
              <w:rPr>
                <w:rFonts w:hint="eastAsia"/>
                <w:bCs/>
                <w:u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bCs/>
                <w:u w:val="none"/>
              </w:rPr>
            </w:pPr>
            <w:r>
              <w:rPr>
                <w:rFonts w:hint="default"/>
                <w:bCs/>
                <w:u w:val="none"/>
              </w:rPr>
              <w:t>（2）监测频次：监测1天。</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（3）监测点位置：</w:t>
            </w:r>
            <w:r>
              <w:rPr>
                <w:rFonts w:hint="default"/>
                <w:u w:val="none"/>
              </w:rPr>
              <w:t>在项目所在地0.05km范围内未受人为污染或相对未受污染的区域进行采样，采样点位为</w:t>
            </w:r>
            <w:r>
              <w:rPr>
                <w:rFonts w:hint="eastAsia"/>
                <w:u w:val="none"/>
                <w:lang w:val="en-US" w:eastAsia="zh-CN"/>
              </w:rPr>
              <w:t>1</w:t>
            </w:r>
            <w:r>
              <w:rPr>
                <w:rFonts w:hint="default"/>
                <w:u w:val="none"/>
              </w:rPr>
              <w:t>个。</w:t>
            </w:r>
          </w:p>
          <w:p>
            <w:pPr>
              <w:keepNext w:val="0"/>
              <w:keepLines w:val="0"/>
              <w:suppressLineNumbers w:val="0"/>
              <w:spacing w:before="0" w:beforeAutospacing="0" w:after="0" w:afterAutospacing="0"/>
              <w:ind w:left="0" w:right="0" w:firstLine="480"/>
              <w:rPr>
                <w:rFonts w:hint="default"/>
                <w:u w:val="none"/>
              </w:rPr>
            </w:pPr>
            <w:r>
              <w:rPr>
                <w:rFonts w:hint="default"/>
                <w:u w:val="none"/>
              </w:rPr>
              <w:t>（4）执行标准：《土壤环境质量 建设用地土壤污染风险管控标准》（GB36600-2018）表1中的筛选值中的第二类用地中的标准限值要求</w:t>
            </w:r>
          </w:p>
          <w:p>
            <w:pPr>
              <w:keepNext w:val="0"/>
              <w:keepLines w:val="0"/>
              <w:suppressLineNumbers w:val="0"/>
              <w:spacing w:before="0" w:beforeAutospacing="0" w:after="0" w:afterAutospacing="0"/>
              <w:ind w:left="0" w:right="0" w:firstLine="480"/>
              <w:rPr>
                <w:rFonts w:hint="default"/>
                <w:u w:val="none"/>
              </w:rPr>
            </w:pPr>
            <w:r>
              <w:rPr>
                <w:rFonts w:hint="default"/>
                <w:u w:val="none"/>
              </w:rPr>
              <w:t>（5）监测统计结果见下表。</w:t>
            </w:r>
          </w:p>
          <w:p>
            <w:pPr>
              <w:pStyle w:val="50"/>
              <w:keepNext w:val="0"/>
              <w:keepLines w:val="0"/>
              <w:suppressLineNumbers w:val="0"/>
              <w:bidi w:val="0"/>
              <w:spacing w:beforeAutospacing="0" w:after="0" w:afterAutospacing="0"/>
              <w:ind w:left="0" w:right="0"/>
              <w:rPr>
                <w:rFonts w:hint="default"/>
                <w:u w:val="none"/>
              </w:rPr>
            </w:pPr>
          </w:p>
          <w:p>
            <w:pPr>
              <w:pStyle w:val="50"/>
              <w:keepNext w:val="0"/>
              <w:keepLines w:val="0"/>
              <w:suppressLineNumbers w:val="0"/>
              <w:bidi w:val="0"/>
              <w:spacing w:beforeAutospacing="0" w:after="0" w:afterAutospacing="0"/>
              <w:ind w:left="0" w:right="0"/>
              <w:rPr>
                <w:rFonts w:hint="default"/>
                <w:u w:val="none"/>
              </w:rPr>
            </w:pPr>
            <w:r>
              <w:rPr>
                <w:rFonts w:hint="default"/>
                <w:u w:val="none"/>
              </w:rPr>
              <w:t>表</w:t>
            </w:r>
            <w:r>
              <w:rPr>
                <w:rFonts w:hint="eastAsia"/>
                <w:u w:val="none"/>
                <w:lang w:val="en-US" w:eastAsia="zh-CN"/>
              </w:rPr>
              <w:t>3-11</w:t>
            </w:r>
            <w:r>
              <w:rPr>
                <w:rFonts w:hint="eastAsia"/>
                <w:b/>
                <w:u w:val="none"/>
              </w:rPr>
              <w:t xml:space="preserve">  土壤监测结果一览表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712"/>
              <w:gridCol w:w="1395"/>
              <w:gridCol w:w="1395"/>
              <w:gridCol w:w="1395"/>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检测项目</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单位</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检测结果</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标准值</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四氯化碳</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2.8</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氯仿</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0.9</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氯甲烷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0.023</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37</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1，1-二氯乙烷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9</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1，2-二氯乙烷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1，1-二氯乙烯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66</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顺-1，2-二氯乙烯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596</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反-1，2-二氯乙烯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54</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二氯甲烷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616</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1，2-二氯丙烷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1，1，1，2-四氯乙烷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1，1，2，2-四氯乙烷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6.8</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四氯乙烯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53</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1，1，1-三氯乙烷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840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1，1，2-三氯乙烷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2.8</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三氯乙烯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2.8</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1，2，3-三氯丙烷</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0.5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0.43</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4</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氯苯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270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1，2-二氯苯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560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1，4-二氯苯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乙苯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28</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苯乙烯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1290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甲苯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1200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间二甲苯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vMerge w:val="restar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570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对二甲苯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vMerge w:val="continue"/>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邻二甲苯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640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硝基苯</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76</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苯胺</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260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2-氯酚</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2256</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苯并[a]蒽</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苯并[a]芘</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苯并[b]荧蒽</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苯并[k]荧蒽</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151</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䓛</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1293</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二苯并[a，h]蒽</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茚并[1，2，3-cd]芘</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15</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35" w:type="pct"/>
                  <w:shd w:val="clear" w:color="auto" w:fill="auto"/>
                  <w:noWrap/>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萘</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mg/kg</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ND</w:t>
                  </w:r>
                </w:p>
              </w:tc>
              <w:tc>
                <w:tcPr>
                  <w:tcW w:w="841" w:type="pct"/>
                  <w:shd w:val="clear" w:color="auto" w:fill="auto"/>
                  <w:tcMar>
                    <w:top w:w="15" w:type="dxa"/>
                    <w:left w:w="15" w:type="dxa"/>
                    <w:right w:w="15" w:type="dxa"/>
                  </w:tcMar>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70</w:t>
                  </w:r>
                </w:p>
              </w:tc>
              <w:tc>
                <w:tcPr>
                  <w:tcW w:w="84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达标</w:t>
                  </w:r>
                </w:p>
              </w:tc>
            </w:tr>
          </w:tbl>
          <w:p>
            <w:pPr>
              <w:pStyle w:val="6"/>
              <w:suppressLineNumbers w:val="0"/>
              <w:spacing w:before="0" w:beforeAutospacing="0" w:after="0" w:afterAutospacing="0"/>
              <w:ind w:left="0" w:right="0"/>
              <w:rPr>
                <w:rFonts w:hint="default"/>
                <w:u w:val="none"/>
              </w:rPr>
            </w:pPr>
          </w:p>
          <w:p>
            <w:pPr>
              <w:keepNext w:val="0"/>
              <w:keepLines w:val="0"/>
              <w:suppressLineNumbers w:val="0"/>
              <w:spacing w:before="0" w:beforeAutospacing="0" w:after="0" w:afterAutospacing="0" w:line="276" w:lineRule="auto"/>
              <w:ind w:left="0" w:right="0" w:firstLine="482"/>
              <w:jc w:val="left"/>
              <w:rPr>
                <w:rFonts w:hint="default"/>
                <w:u w:val="none"/>
              </w:rPr>
            </w:pPr>
            <w:r>
              <w:rPr>
                <w:rFonts w:hint="eastAsia"/>
                <w:b/>
                <w:bCs/>
                <w:u w:val="none"/>
                <w:lang w:val="en-US" w:eastAsia="zh-CN"/>
              </w:rPr>
              <w:t>3.6</w:t>
            </w:r>
            <w:r>
              <w:rPr>
                <w:rFonts w:hint="default"/>
                <w:b/>
                <w:bCs/>
                <w:u w:val="none"/>
              </w:rPr>
              <w:t xml:space="preserve">主要环境保护目标（列出名单及保护级别）： </w:t>
            </w:r>
          </w:p>
          <w:p>
            <w:pPr>
              <w:keepNext w:val="0"/>
              <w:keepLines w:val="0"/>
              <w:suppressLineNumbers w:val="0"/>
              <w:spacing w:before="0" w:beforeAutospacing="0" w:after="0" w:afterAutospacing="0" w:line="276" w:lineRule="auto"/>
              <w:ind w:left="0" w:right="0" w:firstLine="480"/>
              <w:rPr>
                <w:rFonts w:hint="default"/>
                <w:u w:val="none"/>
              </w:rPr>
            </w:pPr>
            <w:r>
              <w:rPr>
                <w:rFonts w:hint="default"/>
                <w:u w:val="none"/>
              </w:rPr>
              <w:t>根据现场踏勘可知，本项目环境保护目标详见</w:t>
            </w:r>
            <w:r>
              <w:rPr>
                <w:rFonts w:hint="eastAsia"/>
                <w:u w:val="none"/>
              </w:rPr>
              <w:t>下</w:t>
            </w:r>
            <w:r>
              <w:rPr>
                <w:rFonts w:hint="default"/>
                <w:u w:val="none"/>
              </w:rPr>
              <w:t>表，项目环境保护目标图详见附图。</w:t>
            </w:r>
          </w:p>
          <w:p>
            <w:pPr>
              <w:pStyle w:val="50"/>
              <w:keepNext w:val="0"/>
              <w:keepLines w:val="0"/>
              <w:suppressLineNumbers w:val="0"/>
              <w:bidi w:val="0"/>
              <w:spacing w:beforeAutospacing="0" w:after="0" w:afterAutospacing="0"/>
              <w:ind w:left="0" w:right="0"/>
              <w:rPr>
                <w:rFonts w:hint="default"/>
                <w:b/>
                <w:sz w:val="24"/>
                <w:u w:val="single"/>
              </w:rPr>
            </w:pPr>
            <w:r>
              <w:rPr>
                <w:rFonts w:hint="default"/>
                <w:u w:val="single"/>
              </w:rPr>
              <w:t>表</w:t>
            </w:r>
            <w:r>
              <w:rPr>
                <w:rFonts w:hint="eastAsia"/>
                <w:u w:val="single"/>
                <w:lang w:val="en-US" w:eastAsia="zh-CN"/>
              </w:rPr>
              <w:t xml:space="preserve">3-12 </w:t>
            </w:r>
            <w:r>
              <w:rPr>
                <w:rFonts w:hint="default"/>
                <w:b/>
                <w:sz w:val="24"/>
                <w:u w:val="single"/>
              </w:rPr>
              <w:t xml:space="preserve"> </w:t>
            </w:r>
            <w:r>
              <w:rPr>
                <w:rFonts w:hint="eastAsia"/>
                <w:b/>
                <w:sz w:val="24"/>
                <w:u w:val="single"/>
                <w:lang w:eastAsia="zh-CN"/>
              </w:rPr>
              <w:t>大气</w:t>
            </w:r>
            <w:r>
              <w:rPr>
                <w:rFonts w:hint="eastAsia"/>
                <w:b/>
                <w:sz w:val="24"/>
                <w:u w:val="single"/>
              </w:rPr>
              <w:t>保护目标</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30"/>
              <w:gridCol w:w="960"/>
              <w:gridCol w:w="951"/>
              <w:gridCol w:w="734"/>
              <w:gridCol w:w="883"/>
              <w:gridCol w:w="645"/>
              <w:gridCol w:w="767"/>
              <w:gridCol w:w="68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序号</w:t>
                  </w:r>
                </w:p>
              </w:tc>
              <w:tc>
                <w:tcPr>
                  <w:tcW w:w="1330"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名称</w:t>
                  </w:r>
                </w:p>
              </w:tc>
              <w:tc>
                <w:tcPr>
                  <w:tcW w:w="1911"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坐标/m</w:t>
                  </w:r>
                </w:p>
              </w:tc>
              <w:tc>
                <w:tcPr>
                  <w:tcW w:w="734"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保护对象</w:t>
                  </w:r>
                </w:p>
              </w:tc>
              <w:tc>
                <w:tcPr>
                  <w:tcW w:w="883" w:type="dxa"/>
                  <w:vMerge w:val="restart"/>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户数</w:t>
                  </w:r>
                </w:p>
              </w:tc>
              <w:tc>
                <w:tcPr>
                  <w:tcW w:w="645"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保护内容</w:t>
                  </w:r>
                </w:p>
              </w:tc>
              <w:tc>
                <w:tcPr>
                  <w:tcW w:w="767"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环境功能区</w:t>
                  </w:r>
                </w:p>
              </w:tc>
              <w:tc>
                <w:tcPr>
                  <w:tcW w:w="689"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相对厂址方位</w:t>
                  </w:r>
                </w:p>
              </w:tc>
              <w:tc>
                <w:tcPr>
                  <w:tcW w:w="911"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相对厂界</w:t>
                  </w:r>
                  <w:r>
                    <w:rPr>
                      <w:rFonts w:hint="eastAsia"/>
                      <w:u w:val="single"/>
                      <w:lang w:eastAsia="zh-CN"/>
                    </w:rPr>
                    <w:t>最近</w:t>
                  </w:r>
                  <w:r>
                    <w:rPr>
                      <w:rFonts w:hint="default"/>
                      <w:u w:val="single"/>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33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UTM-</w:t>
                  </w:r>
                  <w:r>
                    <w:rPr>
                      <w:rFonts w:hint="default"/>
                      <w:u w:val="single"/>
                    </w:rPr>
                    <w:t>X</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UTM-</w:t>
                  </w:r>
                  <w:r>
                    <w:rPr>
                      <w:rFonts w:hint="default"/>
                      <w:u w:val="single"/>
                    </w:rPr>
                    <w:t>Y</w:t>
                  </w:r>
                </w:p>
              </w:tc>
              <w:tc>
                <w:tcPr>
                  <w:tcW w:w="73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883"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6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767"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689"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911"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c>
                <w:tcPr>
                  <w:tcW w:w="133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板桥村居民点1</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688699</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3175429</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约21户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30.5</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c>
                <w:tcPr>
                  <w:tcW w:w="133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板桥村居民点2</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688095</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3175255</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eastAsia="zh-CN"/>
                    </w:rPr>
                    <w:t>约</w:t>
                  </w:r>
                  <w:r>
                    <w:rPr>
                      <w:rFonts w:hint="eastAsia"/>
                      <w:u w:val="single"/>
                      <w:lang w:val="en-US" w:eastAsia="zh-CN"/>
                    </w:rPr>
                    <w:t>250户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西</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366</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w:t>
                  </w:r>
                </w:p>
              </w:tc>
              <w:tc>
                <w:tcPr>
                  <w:tcW w:w="133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板桥村居民点3</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687933</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3175659</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eastAsia="zh-CN"/>
                    </w:rPr>
                    <w:t>约</w:t>
                  </w:r>
                  <w:r>
                    <w:rPr>
                      <w:rFonts w:hint="eastAsia"/>
                      <w:u w:val="single"/>
                      <w:lang w:val="en-US" w:eastAsia="zh-CN"/>
                    </w:rPr>
                    <w:t>31户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eastAsia="zh-CN"/>
                    </w:rPr>
                    <w:t>西</w:t>
                  </w:r>
                  <w:r>
                    <w:rPr>
                      <w:rFonts w:hint="default"/>
                      <w:u w:val="single"/>
                    </w:rPr>
                    <w:t>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660</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default"/>
                      <w:u w:val="single"/>
                    </w:rPr>
                    <w:t>板桥村居民点</w:t>
                  </w:r>
                  <w:r>
                    <w:rPr>
                      <w:rFonts w:hint="eastAsia"/>
                      <w:u w:val="single"/>
                      <w:lang w:val="en-US" w:eastAsia="zh-CN"/>
                    </w:rPr>
                    <w:t>4</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688594</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3174774</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eastAsia="zh-CN"/>
                    </w:rPr>
                    <w:t>约</w:t>
                  </w:r>
                  <w:r>
                    <w:rPr>
                      <w:rFonts w:hint="eastAsia"/>
                      <w:u w:val="single"/>
                      <w:lang w:val="en-US" w:eastAsia="zh-CN"/>
                    </w:rPr>
                    <w:t>80户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243</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汪家冲居民</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689082</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3175183</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约</w:t>
                  </w:r>
                  <w:r>
                    <w:rPr>
                      <w:rFonts w:hint="eastAsia"/>
                      <w:u w:val="single"/>
                      <w:lang w:val="en-US" w:eastAsia="zh-CN"/>
                    </w:rPr>
                    <w:t>75户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东</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280</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6</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河塘村居民</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689032</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3175818</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约</w:t>
                  </w:r>
                  <w:r>
                    <w:rPr>
                      <w:rFonts w:hint="eastAsia"/>
                      <w:u w:val="single"/>
                      <w:lang w:val="en-US" w:eastAsia="zh-CN"/>
                    </w:rPr>
                    <w:t>30户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东北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460</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7</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湘阴县机关幼儿园</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688347</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3175782</w:t>
                  </w:r>
                </w:p>
              </w:tc>
              <w:tc>
                <w:tcPr>
                  <w:tcW w:w="734"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教育</w:t>
                  </w:r>
                </w:p>
              </w:tc>
              <w:tc>
                <w:tcPr>
                  <w:tcW w:w="883"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473</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8</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文和花苑小区</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688216</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3175703</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约</w:t>
                  </w:r>
                  <w:r>
                    <w:rPr>
                      <w:rFonts w:hint="eastAsia"/>
                      <w:u w:val="single"/>
                      <w:lang w:val="en-US" w:eastAsia="zh-CN"/>
                    </w:rPr>
                    <w:t>100户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西北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448</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9</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刘家湾居民</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687827</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3176143</w:t>
                  </w:r>
                </w:p>
              </w:tc>
              <w:tc>
                <w:tcPr>
                  <w:tcW w:w="73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约</w:t>
                  </w:r>
                  <w:r>
                    <w:rPr>
                      <w:rFonts w:hint="eastAsia"/>
                      <w:u w:val="single"/>
                      <w:lang w:val="en-US" w:eastAsia="zh-CN"/>
                    </w:rPr>
                    <w:t>17户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西北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897</w:t>
                  </w:r>
                  <w:r>
                    <w:rPr>
                      <w:rFonts w:hint="default"/>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10</w:t>
                  </w:r>
                </w:p>
              </w:tc>
              <w:tc>
                <w:tcPr>
                  <w:tcW w:w="1330"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湘阴县交通事故快处快赔中心及周边居民</w:t>
                  </w:r>
                </w:p>
              </w:tc>
              <w:tc>
                <w:tcPr>
                  <w:tcW w:w="960"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687665</w:t>
                  </w:r>
                </w:p>
              </w:tc>
              <w:tc>
                <w:tcPr>
                  <w:tcW w:w="95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3174981</w:t>
                  </w:r>
                </w:p>
              </w:tc>
              <w:tc>
                <w:tcPr>
                  <w:tcW w:w="734"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其他</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居民</w:t>
                  </w:r>
                </w:p>
              </w:tc>
              <w:tc>
                <w:tcPr>
                  <w:tcW w:w="883"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约</w:t>
                  </w:r>
                  <w:r>
                    <w:rPr>
                      <w:rFonts w:hint="eastAsia"/>
                      <w:u w:val="single"/>
                      <w:lang w:val="en-US" w:eastAsia="zh-CN"/>
                    </w:rPr>
                    <w:t>500户</w:t>
                  </w:r>
                </w:p>
              </w:tc>
              <w:tc>
                <w:tcPr>
                  <w:tcW w:w="645"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人群</w:t>
                  </w:r>
                </w:p>
              </w:tc>
              <w:tc>
                <w:tcPr>
                  <w:tcW w:w="767"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rPr>
                    <w:t>2类</w:t>
                  </w:r>
                </w:p>
              </w:tc>
              <w:tc>
                <w:tcPr>
                  <w:tcW w:w="689"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西南</w:t>
                  </w:r>
                </w:p>
              </w:tc>
              <w:tc>
                <w:tcPr>
                  <w:tcW w:w="911" w:type="dxa"/>
                  <w:vAlign w:val="center"/>
                </w:tcPr>
                <w:p>
                  <w:pPr>
                    <w:pStyle w:val="49"/>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721</w:t>
                  </w:r>
                  <w:r>
                    <w:rPr>
                      <w:rFonts w:hint="default"/>
                      <w:u w:val="single"/>
                    </w:rPr>
                    <w:t>m</w:t>
                  </w:r>
                </w:p>
              </w:tc>
            </w:tr>
          </w:tbl>
          <w:p>
            <w:pPr>
              <w:keepNext w:val="0"/>
              <w:keepLines w:val="0"/>
              <w:suppressLineNumbers w:val="0"/>
              <w:spacing w:before="120" w:beforeLines="50" w:beforeAutospacing="0" w:after="0" w:afterAutospacing="0"/>
              <w:ind w:left="0" w:right="0" w:firstLine="0" w:firstLineChars="0"/>
              <w:jc w:val="left"/>
              <w:rPr>
                <w:rFonts w:hint="default"/>
                <w:b w:val="0"/>
                <w:bCs/>
                <w:sz w:val="24"/>
                <w:u w:val="none"/>
                <w:lang w:val="en-US" w:eastAsia="zh-CN"/>
              </w:rPr>
            </w:pPr>
            <w:r>
              <w:rPr>
                <w:rFonts w:hint="eastAsia"/>
                <w:b w:val="0"/>
                <w:bCs/>
                <w:sz w:val="24"/>
                <w:u w:val="none"/>
                <w:lang w:eastAsia="zh-CN"/>
              </w:rPr>
              <w:t>注：表</w:t>
            </w:r>
            <w:r>
              <w:rPr>
                <w:rFonts w:hint="eastAsia"/>
                <w:b w:val="0"/>
                <w:bCs/>
                <w:sz w:val="24"/>
                <w:u w:val="none"/>
                <w:lang w:val="en-US" w:eastAsia="zh-CN"/>
              </w:rPr>
              <w:t>3-12</w:t>
            </w:r>
            <w:r>
              <w:rPr>
                <w:rFonts w:hint="eastAsia"/>
                <w:b w:val="0"/>
                <w:bCs/>
                <w:sz w:val="24"/>
                <w:u w:val="none"/>
                <w:lang w:eastAsia="zh-CN"/>
              </w:rPr>
              <w:t>中所用坐标为</w:t>
            </w:r>
            <w:r>
              <w:rPr>
                <w:rFonts w:hint="eastAsia"/>
                <w:b w:val="0"/>
                <w:bCs/>
                <w:sz w:val="24"/>
                <w:u w:val="none"/>
                <w:lang w:val="en-US" w:eastAsia="zh-CN"/>
              </w:rPr>
              <w:t>UTM坐标系。环境空气保护目标见附图12。</w:t>
            </w:r>
          </w:p>
          <w:p>
            <w:pPr>
              <w:pStyle w:val="50"/>
              <w:keepNext w:val="0"/>
              <w:keepLines w:val="0"/>
              <w:suppressLineNumbers w:val="0"/>
              <w:bidi w:val="0"/>
              <w:spacing w:beforeAutospacing="0" w:after="0" w:afterAutospacing="0"/>
              <w:ind w:left="0" w:right="0"/>
              <w:rPr>
                <w:rFonts w:hint="default"/>
                <w:b/>
                <w:sz w:val="24"/>
                <w:u w:val="none"/>
              </w:rPr>
            </w:pPr>
            <w:r>
              <w:rPr>
                <w:rFonts w:hint="default"/>
                <w:u w:val="none"/>
              </w:rPr>
              <w:t>表</w:t>
            </w:r>
            <w:r>
              <w:rPr>
                <w:rFonts w:hint="eastAsia"/>
                <w:u w:val="none"/>
                <w:lang w:val="en-US" w:eastAsia="zh-CN"/>
              </w:rPr>
              <w:t xml:space="preserve">3-13 </w:t>
            </w:r>
            <w:r>
              <w:rPr>
                <w:rFonts w:hint="default"/>
                <w:b/>
                <w:sz w:val="24"/>
                <w:u w:val="none"/>
              </w:rPr>
              <w:t xml:space="preserve"> 其他环境保护目标</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1"/>
              <w:gridCol w:w="1695"/>
              <w:gridCol w:w="704"/>
              <w:gridCol w:w="850"/>
              <w:gridCol w:w="775"/>
              <w:gridCol w:w="3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环境要素</w:t>
                  </w:r>
                </w:p>
              </w:tc>
              <w:tc>
                <w:tcPr>
                  <w:tcW w:w="1021"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敏感点</w:t>
                  </w:r>
                </w:p>
              </w:tc>
              <w:tc>
                <w:tcPr>
                  <w:tcW w:w="424"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方位</w:t>
                  </w:r>
                </w:p>
              </w:tc>
              <w:tc>
                <w:tcPr>
                  <w:tcW w:w="512"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规模</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距离</w:t>
                  </w:r>
                </w:p>
              </w:tc>
              <w:tc>
                <w:tcPr>
                  <w:tcW w:w="1976"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保护目标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地表水</w:t>
                  </w:r>
                </w:p>
              </w:tc>
              <w:tc>
                <w:tcPr>
                  <w:tcW w:w="1021"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湘江（湘阴段）</w:t>
                  </w:r>
                </w:p>
              </w:tc>
              <w:tc>
                <w:tcPr>
                  <w:tcW w:w="424"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西</w:t>
                  </w:r>
                </w:p>
              </w:tc>
              <w:tc>
                <w:tcPr>
                  <w:tcW w:w="512"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大河</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5.5km</w:t>
                  </w:r>
                </w:p>
              </w:tc>
              <w:tc>
                <w:tcPr>
                  <w:tcW w:w="1976"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GB3838-2002</w:t>
                  </w:r>
                  <w:r>
                    <w:rPr>
                      <w:rFonts w:hint="eastAsia"/>
                      <w:u w:val="single"/>
                    </w:rPr>
                    <w:t>Ⅲ</w:t>
                  </w:r>
                  <w:r>
                    <w:rPr>
                      <w:rFonts w:hint="default"/>
                      <w:u w:val="single"/>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7" w:type="pct"/>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声环境</w:t>
                  </w:r>
                </w:p>
              </w:tc>
              <w:tc>
                <w:tcPr>
                  <w:tcW w:w="1021"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板桥村居民点1</w:t>
                  </w:r>
                </w:p>
              </w:tc>
              <w:tc>
                <w:tcPr>
                  <w:tcW w:w="424"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东</w:t>
                  </w:r>
                </w:p>
              </w:tc>
              <w:tc>
                <w:tcPr>
                  <w:tcW w:w="512"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约2户</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51m</w:t>
                  </w:r>
                </w:p>
              </w:tc>
              <w:tc>
                <w:tcPr>
                  <w:tcW w:w="1976" w:type="pct"/>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《声环境质量标准》GB3096-2008中的2类区标准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7" w:type="pct"/>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21"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板桥村居民点2</w:t>
                  </w:r>
                </w:p>
              </w:tc>
              <w:tc>
                <w:tcPr>
                  <w:tcW w:w="424"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西北</w:t>
                  </w:r>
                </w:p>
              </w:tc>
              <w:tc>
                <w:tcPr>
                  <w:tcW w:w="512"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约4户</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33.8m</w:t>
                  </w:r>
                </w:p>
              </w:tc>
              <w:tc>
                <w:tcPr>
                  <w:tcW w:w="1976" w:type="pct"/>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7" w:type="pct"/>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21"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板桥村居民点3</w:t>
                  </w:r>
                </w:p>
              </w:tc>
              <w:tc>
                <w:tcPr>
                  <w:tcW w:w="424"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东北</w:t>
                  </w:r>
                </w:p>
              </w:tc>
              <w:tc>
                <w:tcPr>
                  <w:tcW w:w="512"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约15户</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30.5m</w:t>
                  </w:r>
                </w:p>
              </w:tc>
              <w:tc>
                <w:tcPr>
                  <w:tcW w:w="1976" w:type="pct"/>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bl>
          <w:p>
            <w:pPr>
              <w:keepNext w:val="0"/>
              <w:keepLines w:val="0"/>
              <w:suppressLineNumbers w:val="0"/>
              <w:spacing w:before="120" w:beforeLines="50" w:beforeAutospacing="0" w:after="0" w:afterAutospacing="0"/>
              <w:ind w:left="0" w:right="0" w:firstLine="0" w:firstLineChars="0"/>
              <w:jc w:val="left"/>
              <w:rPr>
                <w:rFonts w:hint="default"/>
                <w:b/>
                <w:sz w:val="24"/>
                <w:u w:val="none"/>
              </w:rPr>
            </w:pPr>
            <w:r>
              <w:rPr>
                <w:rFonts w:hint="eastAsia"/>
                <w:b w:val="0"/>
                <w:bCs/>
                <w:sz w:val="24"/>
                <w:u w:val="none"/>
                <w:lang w:eastAsia="zh-CN"/>
              </w:rPr>
              <w:t>注：声</w:t>
            </w:r>
            <w:r>
              <w:rPr>
                <w:rFonts w:hint="eastAsia"/>
                <w:b w:val="0"/>
                <w:bCs/>
                <w:sz w:val="24"/>
                <w:u w:val="none"/>
                <w:lang w:val="en-US" w:eastAsia="zh-CN"/>
              </w:rPr>
              <w:t>环境保护目标见附图2。</w:t>
            </w:r>
          </w:p>
          <w:p>
            <w:pPr>
              <w:keepNext w:val="0"/>
              <w:keepLines w:val="0"/>
              <w:widowControl/>
              <w:suppressLineNumbers w:val="0"/>
              <w:spacing w:before="0" w:beforeAutospacing="0" w:after="0" w:afterAutospacing="0"/>
              <w:ind w:left="0" w:right="0" w:firstLine="480"/>
              <w:jc w:val="left"/>
              <w:rPr>
                <w:rFonts w:hint="default"/>
                <w:u w:val="none"/>
              </w:rPr>
            </w:pPr>
          </w:p>
        </w:tc>
      </w:tr>
    </w:tbl>
    <w:p>
      <w:pPr>
        <w:widowControl/>
        <w:ind w:firstLine="480"/>
        <w:jc w:val="left"/>
        <w:rPr>
          <w:b/>
          <w:bCs/>
          <w:kern w:val="44"/>
          <w:szCs w:val="44"/>
          <w:u w:val="none"/>
        </w:rPr>
      </w:pPr>
      <w:r>
        <w:rPr>
          <w:u w:val="none"/>
        </w:rPr>
        <w:br w:type="page"/>
      </w:r>
    </w:p>
    <w:p>
      <w:pPr>
        <w:pStyle w:val="3"/>
        <w:spacing w:before="0" w:after="0" w:line="360" w:lineRule="auto"/>
        <w:ind w:firstLine="643"/>
        <w:jc w:val="left"/>
        <w:rPr>
          <w:sz w:val="32"/>
          <w:u w:val="none"/>
        </w:rPr>
      </w:pPr>
      <w:bookmarkStart w:id="21" w:name="_Toc23674"/>
      <w:r>
        <w:rPr>
          <w:rFonts w:hint="eastAsia"/>
          <w:sz w:val="32"/>
          <w:u w:val="none"/>
        </w:rPr>
        <w:t>四、评价适用标准</w:t>
      </w:r>
      <w:bookmarkEnd w:id="21"/>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准</w:t>
            </w:r>
          </w:p>
        </w:tc>
        <w:tc>
          <w:tcPr>
            <w:tcW w:w="7988" w:type="dxa"/>
          </w:tcPr>
          <w:p>
            <w:pPr>
              <w:keepNext w:val="0"/>
              <w:keepLines w:val="0"/>
              <w:suppressLineNumbers w:val="0"/>
              <w:spacing w:before="0" w:beforeAutospacing="0" w:after="0" w:afterAutospacing="0" w:line="276" w:lineRule="auto"/>
              <w:ind w:left="0" w:right="0" w:firstLine="482"/>
              <w:jc w:val="left"/>
              <w:rPr>
                <w:rFonts w:hint="default"/>
                <w:u w:val="none"/>
              </w:rPr>
            </w:pPr>
            <w:r>
              <w:rPr>
                <w:rFonts w:hint="eastAsia"/>
                <w:b/>
                <w:u w:val="none"/>
              </w:rPr>
              <w:t>1、</w:t>
            </w:r>
            <w:r>
              <w:rPr>
                <w:rFonts w:hint="default"/>
                <w:b/>
                <w:bCs/>
                <w:u w:val="none"/>
              </w:rPr>
              <w:t>环境空气</w:t>
            </w:r>
            <w:r>
              <w:rPr>
                <w:rFonts w:hint="eastAsia"/>
                <w:b/>
                <w:bCs/>
                <w:u w:val="none"/>
              </w:rPr>
              <w:t>质量标准</w:t>
            </w:r>
          </w:p>
          <w:p>
            <w:pPr>
              <w:keepNext w:val="0"/>
              <w:keepLines w:val="0"/>
              <w:suppressLineNumbers w:val="0"/>
              <w:spacing w:before="0" w:beforeAutospacing="0" w:after="0" w:afterAutospacing="0" w:line="276" w:lineRule="auto"/>
              <w:ind w:left="0" w:right="0" w:firstLine="480"/>
              <w:jc w:val="left"/>
              <w:rPr>
                <w:rFonts w:hint="default"/>
                <w:u w:val="none"/>
              </w:rPr>
            </w:pPr>
            <w:r>
              <w:rPr>
                <w:rFonts w:hint="eastAsia"/>
                <w:u w:val="none"/>
              </w:rPr>
              <w:t>项目所在区域常规大气因子</w:t>
            </w:r>
            <w:r>
              <w:rPr>
                <w:rFonts w:hint="default"/>
                <w:u w:val="none"/>
              </w:rPr>
              <w:t>SO</w:t>
            </w:r>
            <w:r>
              <w:rPr>
                <w:rFonts w:hint="default"/>
                <w:u w:val="none"/>
                <w:vertAlign w:val="subscript"/>
              </w:rPr>
              <w:t>2</w:t>
            </w:r>
            <w:r>
              <w:rPr>
                <w:rFonts w:hint="default"/>
                <w:u w:val="none"/>
              </w:rPr>
              <w:t>、NO</w:t>
            </w:r>
            <w:r>
              <w:rPr>
                <w:rFonts w:hint="default"/>
                <w:u w:val="none"/>
                <w:vertAlign w:val="subscript"/>
              </w:rPr>
              <w:t>2</w:t>
            </w:r>
            <w:r>
              <w:rPr>
                <w:rFonts w:hint="default"/>
                <w:u w:val="none"/>
              </w:rPr>
              <w:t>、PM</w:t>
            </w:r>
            <w:r>
              <w:rPr>
                <w:rFonts w:hint="default"/>
                <w:u w:val="none"/>
                <w:vertAlign w:val="subscript"/>
              </w:rPr>
              <w:t>10</w:t>
            </w:r>
            <w:r>
              <w:rPr>
                <w:rFonts w:hint="eastAsia"/>
                <w:u w:val="none"/>
              </w:rPr>
              <w:t>、PM</w:t>
            </w:r>
            <w:r>
              <w:rPr>
                <w:rFonts w:hint="eastAsia"/>
                <w:u w:val="none"/>
                <w:vertAlign w:val="subscript"/>
              </w:rPr>
              <w:t>2.5</w:t>
            </w:r>
            <w:r>
              <w:rPr>
                <w:rFonts w:hint="eastAsia"/>
                <w:u w:val="none"/>
              </w:rPr>
              <w:t>、O</w:t>
            </w:r>
            <w:r>
              <w:rPr>
                <w:rFonts w:hint="eastAsia"/>
                <w:u w:val="none"/>
                <w:vertAlign w:val="subscript"/>
              </w:rPr>
              <w:t>3</w:t>
            </w:r>
            <w:r>
              <w:rPr>
                <w:rFonts w:hint="eastAsia"/>
                <w:u w:val="none"/>
              </w:rPr>
              <w:t>、CO</w:t>
            </w:r>
            <w:r>
              <w:rPr>
                <w:rFonts w:hint="default"/>
                <w:u w:val="none"/>
              </w:rPr>
              <w:t>执行《环境空气质量标准》（GB3095-2012）中的二级标准</w:t>
            </w:r>
            <w:r>
              <w:rPr>
                <w:rFonts w:hint="eastAsia"/>
                <w:u w:val="none"/>
              </w:rPr>
              <w:t>，详细标准见表4-1。</w:t>
            </w:r>
          </w:p>
          <w:p>
            <w:pPr>
              <w:pStyle w:val="50"/>
              <w:keepNext w:val="0"/>
              <w:keepLines w:val="0"/>
              <w:suppressLineNumbers w:val="0"/>
              <w:bidi w:val="0"/>
              <w:spacing w:beforeAutospacing="0" w:after="0" w:afterAutospacing="0"/>
              <w:ind w:left="0" w:right="0"/>
              <w:rPr>
                <w:rFonts w:hint="default"/>
                <w:u w:val="none"/>
              </w:rPr>
            </w:pPr>
            <w:r>
              <w:rPr>
                <w:rFonts w:hint="default"/>
                <w:u w:val="none"/>
              </w:rPr>
              <w:t>表4-1</w:t>
            </w:r>
            <w:r>
              <w:rPr>
                <w:rFonts w:hint="eastAsia"/>
                <w:u w:val="none"/>
              </w:rPr>
              <w:t xml:space="preserve">  </w:t>
            </w:r>
            <w:r>
              <w:rPr>
                <w:rFonts w:hint="default"/>
                <w:u w:val="none"/>
              </w:rPr>
              <w:t>环境空气质量标准  单位：</w:t>
            </w:r>
            <w:r>
              <w:rPr>
                <w:rFonts w:hint="eastAsia"/>
                <w:u w:val="none"/>
              </w:rPr>
              <w:t>m</w:t>
            </w:r>
            <w:r>
              <w:rPr>
                <w:rFonts w:hint="default"/>
                <w:u w:val="none"/>
              </w:rPr>
              <w:t>g/</w:t>
            </w:r>
            <w:r>
              <w:rPr>
                <w:rFonts w:hint="eastAsia"/>
                <w:u w:val="none"/>
              </w:rPr>
              <w:t>m³</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2887"/>
              <w:gridCol w:w="293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17" w:hRule="atLeast"/>
                <w:jc w:val="center"/>
              </w:trPr>
              <w:tc>
                <w:tcPr>
                  <w:tcW w:w="177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污染物</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取值时间</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浓度限值μg/N</w:t>
                  </w:r>
                  <w:r>
                    <w:rPr>
                      <w:rFonts w:hint="eastAsia"/>
                      <w:sz w:val="21"/>
                      <w:szCs w:val="21"/>
                      <w:u w:val="none"/>
                    </w:rPr>
                    <w:t>m³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SO</w:t>
                  </w:r>
                  <w:r>
                    <w:rPr>
                      <w:rFonts w:hint="default"/>
                      <w:sz w:val="21"/>
                      <w:szCs w:val="21"/>
                      <w:u w:val="none"/>
                      <w:vertAlign w:val="subscript"/>
                    </w:rPr>
                    <w:t>2</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年平均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6</w:t>
                  </w:r>
                  <w:r>
                    <w:rPr>
                      <w:rFonts w:hint="eastAsia"/>
                      <w:sz w:val="21"/>
                      <w:szCs w:val="21"/>
                      <w:u w:val="none"/>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24小时平均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NO</w:t>
                  </w:r>
                  <w:r>
                    <w:rPr>
                      <w:rFonts w:hint="default"/>
                      <w:sz w:val="21"/>
                      <w:szCs w:val="21"/>
                      <w:u w:val="none"/>
                      <w:vertAlign w:val="subscript"/>
                    </w:rPr>
                    <w:t>2</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年平均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40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24小时平均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PM</w:t>
                  </w:r>
                  <w:r>
                    <w:rPr>
                      <w:rFonts w:hint="default"/>
                      <w:sz w:val="21"/>
                      <w:szCs w:val="21"/>
                      <w:u w:val="none"/>
                      <w:vertAlign w:val="subscript"/>
                    </w:rPr>
                    <w:t>10</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年平均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70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24小时平均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PM</w:t>
                  </w:r>
                  <w:r>
                    <w:rPr>
                      <w:rFonts w:hint="default"/>
                      <w:sz w:val="21"/>
                      <w:szCs w:val="21"/>
                      <w:u w:val="none"/>
                      <w:vertAlign w:val="subscript"/>
                    </w:rPr>
                    <w:t>2.5</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年平均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35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24小时平均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CO</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24小时平均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10000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4000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O</w:t>
                  </w:r>
                  <w:r>
                    <w:rPr>
                      <w:rFonts w:hint="default"/>
                      <w:sz w:val="21"/>
                      <w:szCs w:val="21"/>
                      <w:u w:val="none"/>
                      <w:vertAlign w:val="subscript"/>
                    </w:rPr>
                    <w:t>3</w:t>
                  </w: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日最大8小时平均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77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p>
              </w:tc>
              <w:tc>
                <w:tcPr>
                  <w:tcW w:w="288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1小时平均</w:t>
                  </w:r>
                </w:p>
              </w:tc>
              <w:tc>
                <w:tcPr>
                  <w:tcW w:w="29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200</w:t>
                  </w:r>
                </w:p>
              </w:tc>
            </w:tr>
          </w:tbl>
          <w:p>
            <w:pPr>
              <w:keepNext w:val="0"/>
              <w:keepLines w:val="0"/>
              <w:suppressLineNumbers w:val="0"/>
              <w:spacing w:before="0" w:beforeAutospacing="0" w:after="0" w:afterAutospacing="0" w:line="276" w:lineRule="auto"/>
              <w:ind w:left="0" w:right="0" w:firstLine="482"/>
              <w:jc w:val="left"/>
              <w:rPr>
                <w:rFonts w:hint="default"/>
                <w:b/>
                <w:u w:val="none"/>
              </w:rPr>
            </w:pPr>
            <w:r>
              <w:rPr>
                <w:rFonts w:hint="eastAsia"/>
                <w:b/>
                <w:u w:val="none"/>
              </w:rPr>
              <w:t>2、地表水质量标准</w:t>
            </w:r>
          </w:p>
          <w:p>
            <w:pPr>
              <w:keepNext w:val="0"/>
              <w:keepLines w:val="0"/>
              <w:suppressLineNumbers w:val="0"/>
              <w:spacing w:before="0" w:beforeAutospacing="0" w:after="0" w:afterAutospacing="0" w:line="276" w:lineRule="auto"/>
              <w:ind w:left="0" w:right="0" w:firstLine="480"/>
              <w:jc w:val="left"/>
              <w:rPr>
                <w:rFonts w:hint="eastAsia"/>
                <w:u w:val="none"/>
              </w:rPr>
            </w:pPr>
            <w:r>
              <w:rPr>
                <w:rFonts w:hint="default"/>
                <w:u w:val="none"/>
              </w:rPr>
              <w:t>项目所处地表水环境为湘江，主要功能为渔业用水区，执行《地表水环境质量标准》（GB3838-2002）中的</w:t>
            </w:r>
            <w:r>
              <w:rPr>
                <w:rFonts w:hint="eastAsia" w:ascii="宋体" w:hAnsi="宋体" w:cs="宋体"/>
                <w:u w:val="none"/>
              </w:rPr>
              <w:t>Ⅲ</w:t>
            </w:r>
            <w:r>
              <w:rPr>
                <w:rFonts w:hint="default"/>
                <w:u w:val="none"/>
              </w:rPr>
              <w:t>类标准</w:t>
            </w:r>
            <w:r>
              <w:rPr>
                <w:rFonts w:hint="eastAsia"/>
                <w:u w:val="none"/>
              </w:rPr>
              <w:t>。</w:t>
            </w:r>
          </w:p>
          <w:p>
            <w:pPr>
              <w:pStyle w:val="50"/>
              <w:keepNext w:val="0"/>
              <w:keepLines w:val="0"/>
              <w:suppressLineNumbers w:val="0"/>
              <w:bidi w:val="0"/>
              <w:spacing w:beforeAutospacing="0" w:after="0" w:afterAutospacing="0"/>
              <w:ind w:left="0" w:right="0"/>
              <w:rPr>
                <w:rFonts w:hint="default"/>
                <w:u w:val="none"/>
                <w:lang w:val="en-US" w:eastAsia="zh-CN"/>
              </w:rPr>
            </w:pPr>
            <w:r>
              <w:rPr>
                <w:rFonts w:hint="default"/>
                <w:b/>
                <w:sz w:val="21"/>
                <w:u w:val="none"/>
              </w:rPr>
              <w:t>表4-</w:t>
            </w:r>
            <w:r>
              <w:rPr>
                <w:rFonts w:hint="eastAsia"/>
                <w:b/>
                <w:sz w:val="21"/>
                <w:u w:val="none"/>
                <w:lang w:val="en-US" w:eastAsia="zh-CN"/>
              </w:rPr>
              <w:t xml:space="preserve">2  </w:t>
            </w:r>
            <w:r>
              <w:rPr>
                <w:rFonts w:hint="eastAsia"/>
                <w:u w:val="none"/>
                <w:lang w:val="en-US" w:eastAsia="zh-CN"/>
              </w:rPr>
              <w:t>地表水质量标准  单位：mg/L</w:t>
            </w:r>
          </w:p>
          <w:tbl>
            <w:tblPr>
              <w:tblStyle w:val="23"/>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2682"/>
              <w:gridCol w:w="4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标准值（GB3838-2002）</w:t>
                  </w:r>
                  <w:r>
                    <w:rPr>
                      <w:rFonts w:hint="eastAsia"/>
                      <w:u w:val="none"/>
                    </w:rPr>
                    <w:t>Ⅲ</w:t>
                  </w:r>
                  <w:r>
                    <w:rPr>
                      <w:rFonts w:hint="default"/>
                      <w:u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pH</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溶解氧</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高锰酸盐指数</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化学需氧量</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五日生化需氧量</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氨氮</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总磷</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铜</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锌</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氟化物</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硒</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砷</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汞</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镉</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六价铬</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铅</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17</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氰化物</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18</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挥发酚</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19</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石油类</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阴离子表面活性剂</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w:t>
                  </w:r>
                </w:p>
              </w:tc>
              <w:tc>
                <w:tcPr>
                  <w:tcW w:w="176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硫化物</w:t>
                  </w:r>
                </w:p>
              </w:tc>
              <w:tc>
                <w:tcPr>
                  <w:tcW w:w="2645"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w:t>
                  </w:r>
                </w:p>
              </w:tc>
            </w:tr>
          </w:tbl>
          <w:p>
            <w:pPr>
              <w:pStyle w:val="6"/>
              <w:suppressLineNumbers w:val="0"/>
              <w:spacing w:before="0" w:beforeAutospacing="0" w:after="0" w:afterAutospacing="0"/>
              <w:ind w:left="0" w:right="0"/>
              <w:rPr>
                <w:rFonts w:hint="default"/>
                <w:u w:val="none"/>
              </w:rPr>
            </w:pPr>
          </w:p>
          <w:p>
            <w:pPr>
              <w:keepNext w:val="0"/>
              <w:keepLines w:val="0"/>
              <w:suppressLineNumbers w:val="0"/>
              <w:spacing w:before="0" w:beforeAutospacing="0" w:after="0" w:afterAutospacing="0" w:line="276" w:lineRule="auto"/>
              <w:ind w:left="0" w:right="0" w:firstLine="482"/>
              <w:jc w:val="left"/>
              <w:rPr>
                <w:rFonts w:hint="default"/>
                <w:b/>
                <w:u w:val="none"/>
              </w:rPr>
            </w:pPr>
            <w:r>
              <w:rPr>
                <w:rFonts w:hint="eastAsia"/>
                <w:b/>
                <w:u w:val="none"/>
              </w:rPr>
              <w:t>3、声环境质量标准</w:t>
            </w:r>
          </w:p>
          <w:p>
            <w:pPr>
              <w:keepNext w:val="0"/>
              <w:keepLines w:val="0"/>
              <w:suppressLineNumbers w:val="0"/>
              <w:spacing w:before="0" w:beforeAutospacing="0" w:after="0" w:afterAutospacing="0" w:line="276" w:lineRule="auto"/>
              <w:ind w:left="0" w:right="0" w:firstLine="480"/>
              <w:jc w:val="left"/>
              <w:rPr>
                <w:rFonts w:hint="default"/>
                <w:u w:val="none"/>
              </w:rPr>
            </w:pPr>
            <w:r>
              <w:rPr>
                <w:rFonts w:hint="eastAsia"/>
                <w:u w:val="none"/>
              </w:rPr>
              <w:t>项目声环境</w:t>
            </w:r>
            <w:r>
              <w:rPr>
                <w:rFonts w:hint="default"/>
                <w:u w:val="none"/>
              </w:rPr>
              <w:t>执行《声环境质量标准》（GB3096-2008）中的2类</w:t>
            </w:r>
            <w:r>
              <w:rPr>
                <w:rFonts w:hint="eastAsia"/>
                <w:u w:val="none"/>
              </w:rPr>
              <w:t>、4a类</w:t>
            </w:r>
            <w:r>
              <w:rPr>
                <w:rFonts w:hint="default"/>
                <w:u w:val="none"/>
              </w:rPr>
              <w:t>标准</w:t>
            </w:r>
            <w:r>
              <w:rPr>
                <w:rFonts w:hint="eastAsia"/>
                <w:u w:val="none"/>
              </w:rPr>
              <w:t>，详细标准见表4-3。</w:t>
            </w:r>
          </w:p>
          <w:p>
            <w:pPr>
              <w:pStyle w:val="50"/>
              <w:keepNext w:val="0"/>
              <w:keepLines w:val="0"/>
              <w:suppressLineNumbers w:val="0"/>
              <w:bidi w:val="0"/>
              <w:spacing w:beforeAutospacing="0" w:after="0" w:afterAutospacing="0"/>
              <w:ind w:left="0" w:right="0"/>
              <w:rPr>
                <w:rFonts w:hint="eastAsia"/>
                <w:u w:val="none"/>
              </w:rPr>
            </w:pPr>
            <w:r>
              <w:rPr>
                <w:rFonts w:hint="default"/>
                <w:u w:val="none"/>
              </w:rPr>
              <w:t>表</w:t>
            </w:r>
            <w:r>
              <w:rPr>
                <w:rFonts w:hint="eastAsia"/>
                <w:u w:val="none"/>
              </w:rPr>
              <w:t xml:space="preserve">4-3  </w:t>
            </w:r>
            <w:r>
              <w:rPr>
                <w:rFonts w:hint="default"/>
                <w:u w:val="none"/>
              </w:rPr>
              <w:t>声环境质量标准</w:t>
            </w:r>
            <w:r>
              <w:rPr>
                <w:rFonts w:hint="eastAsia"/>
                <w:u w:val="none"/>
              </w:rPr>
              <w:t xml:space="preserve">  （</w:t>
            </w:r>
            <w:r>
              <w:rPr>
                <w:rFonts w:hint="default"/>
                <w:u w:val="none"/>
              </w:rPr>
              <w:t>等效声级Leq：dB(A)</w:t>
            </w:r>
            <w:r>
              <w:rPr>
                <w:rFonts w:hint="eastAsia"/>
                <w:u w:val="none"/>
              </w:rPr>
              <w:t>）</w:t>
            </w:r>
          </w:p>
          <w:tbl>
            <w:tblPr>
              <w:tblStyle w:val="23"/>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795"/>
              <w:gridCol w:w="170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类别</w:t>
                  </w:r>
                </w:p>
              </w:tc>
              <w:tc>
                <w:tcPr>
                  <w:tcW w:w="1145"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执行范围</w:t>
                  </w:r>
                </w:p>
              </w:tc>
              <w:tc>
                <w:tcPr>
                  <w:tcW w:w="2044"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4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9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昼间dB(A)</w:t>
                  </w:r>
                </w:p>
              </w:tc>
              <w:tc>
                <w:tcPr>
                  <w:tcW w:w="9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（GB3096-2008）中2类标准</w:t>
                  </w:r>
                </w:p>
              </w:tc>
              <w:tc>
                <w:tcPr>
                  <w:tcW w:w="114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项目所在区域</w:t>
                  </w:r>
                </w:p>
              </w:tc>
              <w:tc>
                <w:tcPr>
                  <w:tcW w:w="109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9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r>
          </w:tbl>
          <w:p>
            <w:pPr>
              <w:pStyle w:val="6"/>
              <w:suppressLineNumbers w:val="0"/>
              <w:spacing w:before="0" w:beforeAutospacing="0" w:after="0" w:afterAutospacing="0"/>
              <w:ind w:left="0" w:right="0"/>
              <w:rPr>
                <w:rFonts w:hint="eastAsia"/>
                <w:b/>
                <w:sz w:val="21"/>
                <w:szCs w:val="21"/>
                <w:u w:val="none"/>
              </w:rPr>
            </w:pPr>
          </w:p>
          <w:p>
            <w:pPr>
              <w:keepNext w:val="0"/>
              <w:keepLines w:val="0"/>
              <w:suppressLineNumbers w:val="0"/>
              <w:spacing w:before="0" w:beforeAutospacing="0" w:after="0" w:afterAutospacing="0"/>
              <w:ind w:left="0" w:right="0" w:firstLine="480"/>
              <w:rPr>
                <w:rFonts w:hint="default"/>
                <w:b/>
                <w:bCs/>
                <w:u w:val="none"/>
              </w:rPr>
            </w:pPr>
            <w:r>
              <w:rPr>
                <w:rFonts w:hint="default"/>
                <w:b/>
                <w:bCs/>
                <w:u w:val="none"/>
              </w:rPr>
              <w:t>4、地下水质量标准</w:t>
            </w:r>
          </w:p>
          <w:p>
            <w:pPr>
              <w:keepNext w:val="0"/>
              <w:keepLines w:val="0"/>
              <w:suppressLineNumbers w:val="0"/>
              <w:spacing w:before="0" w:beforeAutospacing="0" w:after="0" w:afterAutospacing="0"/>
              <w:ind w:left="0" w:right="0" w:firstLine="480"/>
              <w:rPr>
                <w:rFonts w:hint="default"/>
                <w:u w:val="none"/>
              </w:rPr>
            </w:pPr>
            <w:r>
              <w:rPr>
                <w:rFonts w:hint="default"/>
                <w:u w:val="none"/>
              </w:rPr>
              <w:t>地下水环境执行《地下水质量标准》（GB/T14848-2017）中</w:t>
            </w:r>
            <w:r>
              <w:rPr>
                <w:rFonts w:hint="eastAsia" w:ascii="宋体" w:hAnsi="宋体" w:cs="宋体"/>
                <w:u w:val="none"/>
              </w:rPr>
              <w:t>Ⅲ</w:t>
            </w:r>
            <w:r>
              <w:rPr>
                <w:rFonts w:hint="default"/>
                <w:u w:val="none"/>
              </w:rPr>
              <w:t>类标准，主要指标见下表。</w:t>
            </w:r>
          </w:p>
          <w:p>
            <w:pPr>
              <w:pStyle w:val="50"/>
              <w:keepNext w:val="0"/>
              <w:keepLines w:val="0"/>
              <w:suppressLineNumbers w:val="0"/>
              <w:bidi w:val="0"/>
              <w:spacing w:beforeAutospacing="0" w:after="0" w:afterAutospacing="0"/>
              <w:ind w:left="0" w:right="0"/>
              <w:rPr>
                <w:rFonts w:hint="default"/>
                <w:u w:val="none"/>
              </w:rPr>
            </w:pPr>
            <w:r>
              <w:rPr>
                <w:rFonts w:hint="default"/>
                <w:u w:val="none"/>
              </w:rPr>
              <w:t>表</w:t>
            </w:r>
            <w:r>
              <w:rPr>
                <w:rFonts w:hint="eastAsia"/>
                <w:u w:val="none"/>
                <w:lang w:val="en-US" w:eastAsia="zh-CN"/>
              </w:rPr>
              <w:t>4</w:t>
            </w:r>
            <w:r>
              <w:rPr>
                <w:rFonts w:hint="default"/>
                <w:u w:val="none"/>
              </w:rPr>
              <w:t>-4  地下水执行标准（单位mg/L，pH无量纲）</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4462"/>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b/>
                      <w:color w:val="000000"/>
                      <w:kern w:val="0"/>
                      <w:sz w:val="21"/>
                      <w:szCs w:val="21"/>
                      <w:u w:val="none"/>
                    </w:rPr>
                  </w:pPr>
                  <w:r>
                    <w:rPr>
                      <w:rFonts w:hint="default"/>
                      <w:b/>
                      <w:color w:val="000000"/>
                      <w:kern w:val="0"/>
                      <w:sz w:val="21"/>
                      <w:szCs w:val="21"/>
                      <w:u w:val="none"/>
                    </w:rPr>
                    <w:t>序号</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b/>
                      <w:color w:val="000000"/>
                      <w:kern w:val="0"/>
                      <w:sz w:val="21"/>
                      <w:szCs w:val="21"/>
                      <w:u w:val="none"/>
                    </w:rPr>
                  </w:pPr>
                  <w:r>
                    <w:rPr>
                      <w:rFonts w:hint="default"/>
                      <w:b/>
                      <w:color w:val="000000"/>
                      <w:kern w:val="0"/>
                      <w:sz w:val="21"/>
                      <w:szCs w:val="21"/>
                      <w:u w:val="none"/>
                    </w:rPr>
                    <w:t>指标</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b/>
                      <w:color w:val="000000"/>
                      <w:kern w:val="0"/>
                      <w:sz w:val="21"/>
                      <w:szCs w:val="21"/>
                      <w:u w:val="none"/>
                    </w:rPr>
                  </w:pPr>
                  <w:r>
                    <w:rPr>
                      <w:rFonts w:hint="eastAsia" w:ascii="宋体" w:hAnsi="宋体" w:cs="宋体"/>
                      <w:b/>
                      <w:color w:val="000000"/>
                      <w:kern w:val="0"/>
                      <w:sz w:val="21"/>
                      <w:szCs w:val="21"/>
                      <w:u w:val="none"/>
                    </w:rPr>
                    <w:t>Ⅲ</w:t>
                  </w:r>
                  <w:r>
                    <w:rPr>
                      <w:rFonts w:hint="default"/>
                      <w:b/>
                      <w:color w:val="000000"/>
                      <w:kern w:val="0"/>
                      <w:sz w:val="21"/>
                      <w:szCs w:val="21"/>
                      <w:u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色度(度)</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嗅和味</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浑浊度(NTU)</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4</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肉眼可见物</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5</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pH(无量纲)</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6</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总硬度（以CaCO</w:t>
                  </w:r>
                  <w:r>
                    <w:rPr>
                      <w:rFonts w:hint="default"/>
                      <w:color w:val="000000"/>
                      <w:kern w:val="0"/>
                      <w:sz w:val="21"/>
                      <w:szCs w:val="21"/>
                      <w:u w:val="none"/>
                      <w:vertAlign w:val="subscript"/>
                    </w:rPr>
                    <w:t>3</w:t>
                  </w:r>
                  <w:r>
                    <w:rPr>
                      <w:rFonts w:hint="default"/>
                      <w:color w:val="000000"/>
                      <w:kern w:val="0"/>
                      <w:sz w:val="21"/>
                      <w:szCs w:val="21"/>
                      <w:u w:val="none"/>
                    </w:rPr>
                    <w:t>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7</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溶解性总固体(mg/L)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8</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硫酸盐(mg/L)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9</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氯化物(mg/L)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铁(mg/L)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11</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锰(mg/L)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12</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铜(mg/L)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13</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锌(mg/L)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14</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铝(mg/L)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15</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挥发性酚类（以苯酚计）(mg/L)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16</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阴离子表面活性剂(mg/L)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17</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耗氧量（COD</w:t>
                  </w:r>
                  <w:r>
                    <w:rPr>
                      <w:rFonts w:hint="default"/>
                      <w:color w:val="000000"/>
                      <w:kern w:val="0"/>
                      <w:sz w:val="21"/>
                      <w:szCs w:val="21"/>
                      <w:u w:val="none"/>
                      <w:vertAlign w:val="subscript"/>
                    </w:rPr>
                    <w:t>Mn</w:t>
                  </w:r>
                  <w:r>
                    <w:rPr>
                      <w:rFonts w:hint="default"/>
                      <w:color w:val="000000"/>
                      <w:kern w:val="0"/>
                      <w:sz w:val="21"/>
                      <w:szCs w:val="21"/>
                      <w:u w:val="none"/>
                    </w:rPr>
                    <w:t>法，以O</w:t>
                  </w:r>
                  <w:r>
                    <w:rPr>
                      <w:rFonts w:hint="default"/>
                      <w:color w:val="000000"/>
                      <w:kern w:val="0"/>
                      <w:sz w:val="21"/>
                      <w:szCs w:val="21"/>
                      <w:u w:val="none"/>
                      <w:vertAlign w:val="subscript"/>
                    </w:rPr>
                    <w:t>2</w:t>
                  </w:r>
                  <w:r>
                    <w:rPr>
                      <w:rFonts w:hint="default"/>
                      <w:color w:val="000000"/>
                      <w:kern w:val="0"/>
                      <w:sz w:val="21"/>
                      <w:szCs w:val="21"/>
                      <w:u w:val="none"/>
                    </w:rPr>
                    <w:t>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18</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氨氮（以N计）(mg/L)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19</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硫化物(mg/L)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20</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钠(mg/L)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21</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总大肠菌群（MPN/100mL）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22</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菌落总数(CFU/mL)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23</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亚硝酸盐（以N计）(mg/L)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24</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硝酸盐（以N计）(mg/L)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25</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氰化物(mg/L)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26</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氟化物(mg/L)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27</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碘化物(mg/L)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28</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汞(mg/L)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29</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砷(mg/L)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30</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硒(mg/L)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31</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镉(mg/L)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32</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铬（六价）(mg/L)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33</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铅(mg/L)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34</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三氯甲烷(ug/L)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35</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四氯化碳(ug/L)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36</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苯(ug/L)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37</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甲苯(ug/L)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38</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总α放射性（Bq/L）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39</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总β放射性（Bq/L）</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000000"/>
                      <w:kern w:val="0"/>
                      <w:sz w:val="21"/>
                      <w:szCs w:val="21"/>
                      <w:u w:val="none"/>
                    </w:rPr>
                  </w:pPr>
                  <w:r>
                    <w:rPr>
                      <w:rFonts w:hint="default"/>
                      <w:color w:val="000000"/>
                      <w:kern w:val="0"/>
                      <w:sz w:val="21"/>
                      <w:szCs w:val="21"/>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eastAsia="宋体"/>
                      <w:color w:val="000000"/>
                      <w:kern w:val="0"/>
                      <w:sz w:val="21"/>
                      <w:szCs w:val="21"/>
                      <w:u w:val="none"/>
                      <w:lang w:val="en-US" w:eastAsia="zh-CN"/>
                    </w:rPr>
                  </w:pPr>
                  <w:r>
                    <w:rPr>
                      <w:rFonts w:hint="eastAsia"/>
                      <w:color w:val="000000"/>
                      <w:kern w:val="0"/>
                      <w:sz w:val="21"/>
                      <w:szCs w:val="21"/>
                      <w:u w:val="none"/>
                      <w:lang w:val="en-US" w:eastAsia="zh-CN"/>
                    </w:rPr>
                    <w:t>40</w:t>
                  </w:r>
                </w:p>
              </w:tc>
              <w:tc>
                <w:tcPr>
                  <w:tcW w:w="28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eastAsia="宋体"/>
                      <w:color w:val="000000"/>
                      <w:kern w:val="0"/>
                      <w:sz w:val="21"/>
                      <w:szCs w:val="21"/>
                      <w:u w:val="none"/>
                      <w:lang w:eastAsia="zh-CN"/>
                    </w:rPr>
                  </w:pPr>
                  <w:r>
                    <w:rPr>
                      <w:rFonts w:hint="eastAsia"/>
                      <w:color w:val="000000"/>
                      <w:kern w:val="0"/>
                      <w:sz w:val="21"/>
                      <w:szCs w:val="21"/>
                      <w:u w:val="none"/>
                      <w:lang w:eastAsia="zh-CN"/>
                    </w:rPr>
                    <w:t>石油类</w:t>
                  </w:r>
                </w:p>
              </w:tc>
              <w:tc>
                <w:tcPr>
                  <w:tcW w:w="14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eastAsia="宋体"/>
                      <w:color w:val="000000"/>
                      <w:kern w:val="0"/>
                      <w:sz w:val="21"/>
                      <w:szCs w:val="21"/>
                      <w:u w:val="none"/>
                      <w:lang w:val="en-US" w:eastAsia="zh-CN"/>
                    </w:rPr>
                  </w:pPr>
                  <w:r>
                    <w:rPr>
                      <w:rFonts w:hint="eastAsia"/>
                      <w:color w:val="000000"/>
                      <w:kern w:val="0"/>
                      <w:sz w:val="21"/>
                      <w:szCs w:val="21"/>
                      <w:u w:val="none"/>
                      <w:lang w:val="en-US" w:eastAsia="zh-CN"/>
                    </w:rPr>
                    <w:t>/</w:t>
                  </w:r>
                </w:p>
              </w:tc>
            </w:tr>
          </w:tbl>
          <w:p>
            <w:pPr>
              <w:keepNext w:val="0"/>
              <w:keepLines w:val="0"/>
              <w:suppressLineNumbers w:val="0"/>
              <w:spacing w:before="0" w:beforeAutospacing="0" w:after="0" w:afterAutospacing="0"/>
              <w:ind w:left="0" w:right="0" w:firstLine="480"/>
              <w:rPr>
                <w:rFonts w:hint="eastAsia" w:eastAsia="宋体"/>
                <w:u w:val="none"/>
                <w:lang w:eastAsia="zh-CN"/>
              </w:rPr>
            </w:pPr>
          </w:p>
          <w:p>
            <w:pPr>
              <w:keepNext w:val="0"/>
              <w:keepLines w:val="0"/>
              <w:suppressLineNumbers w:val="0"/>
              <w:spacing w:before="0" w:beforeAutospacing="0" w:after="0" w:afterAutospacing="0"/>
              <w:ind w:left="0" w:right="0" w:firstLine="480"/>
              <w:rPr>
                <w:rFonts w:hint="default"/>
                <w:b/>
                <w:bCs/>
                <w:u w:val="none"/>
              </w:rPr>
            </w:pPr>
            <w:r>
              <w:rPr>
                <w:rFonts w:hint="default"/>
                <w:b/>
                <w:bCs/>
                <w:u w:val="none"/>
              </w:rPr>
              <w:t>5、土壤环境质量标准</w:t>
            </w:r>
          </w:p>
          <w:p>
            <w:pPr>
              <w:keepNext w:val="0"/>
              <w:keepLines w:val="0"/>
              <w:suppressLineNumbers w:val="0"/>
              <w:spacing w:before="0" w:beforeAutospacing="0" w:after="0" w:afterAutospacing="0"/>
              <w:ind w:left="0" w:right="0" w:firstLine="480"/>
              <w:rPr>
                <w:rFonts w:hint="default"/>
                <w:bCs/>
                <w:u w:val="none"/>
              </w:rPr>
            </w:pPr>
            <w:r>
              <w:rPr>
                <w:rFonts w:hint="default"/>
                <w:bCs/>
                <w:u w:val="none"/>
              </w:rPr>
              <w:t>土壤环境质量标准执行《土壤环境质量 建设用地土壤污染风险管控标准（试行）》（GB36600-2018）表1中第二类用地中的筛选值。</w:t>
            </w:r>
          </w:p>
          <w:p>
            <w:pPr>
              <w:pStyle w:val="50"/>
              <w:keepNext w:val="0"/>
              <w:keepLines w:val="0"/>
              <w:suppressLineNumbers w:val="0"/>
              <w:bidi w:val="0"/>
              <w:spacing w:beforeAutospacing="0" w:after="0" w:afterAutospacing="0"/>
              <w:ind w:left="0" w:right="0"/>
              <w:rPr>
                <w:rFonts w:hint="default"/>
                <w:u w:val="none"/>
              </w:rPr>
            </w:pPr>
            <w:r>
              <w:rPr>
                <w:rFonts w:hint="eastAsia"/>
                <w:u w:val="none"/>
              </w:rPr>
              <w:t>表</w:t>
            </w:r>
            <w:r>
              <w:rPr>
                <w:rFonts w:hint="eastAsia"/>
                <w:u w:val="none"/>
                <w:lang w:val="en-US" w:eastAsia="zh-CN"/>
              </w:rPr>
              <w:t>4</w:t>
            </w:r>
            <w:r>
              <w:rPr>
                <w:rFonts w:hint="eastAsia"/>
                <w:u w:val="none"/>
              </w:rPr>
              <w:t xml:space="preserve">-5  </w:t>
            </w:r>
            <w:r>
              <w:rPr>
                <w:rFonts w:hint="default"/>
                <w:u w:val="none"/>
              </w:rPr>
              <w:t>土壤环境质量标准</w:t>
            </w:r>
          </w:p>
          <w:tbl>
            <w:tblPr>
              <w:tblStyle w:val="23"/>
              <w:tblW w:w="5000" w:type="pct"/>
              <w:tblInd w:w="0" w:type="dxa"/>
              <w:tblLayout w:type="autofit"/>
              <w:tblCellMar>
                <w:top w:w="0" w:type="dxa"/>
                <w:left w:w="108" w:type="dxa"/>
                <w:bottom w:w="0" w:type="dxa"/>
                <w:right w:w="108" w:type="dxa"/>
              </w:tblCellMar>
            </w:tblPr>
            <w:tblGrid>
              <w:gridCol w:w="1179"/>
              <w:gridCol w:w="4466"/>
              <w:gridCol w:w="2204"/>
            </w:tblGrid>
            <w:tr>
              <w:tblPrEx>
                <w:tblCellMar>
                  <w:top w:w="0" w:type="dxa"/>
                  <w:left w:w="108" w:type="dxa"/>
                  <w:bottom w:w="0" w:type="dxa"/>
                  <w:right w:w="108" w:type="dxa"/>
                </w:tblCellMar>
              </w:tblPrEx>
              <w:trPr>
                <w:trHeight w:val="285" w:hRule="atLeast"/>
                <w:tblHeader/>
              </w:trPr>
              <w:tc>
                <w:tcPr>
                  <w:tcW w:w="751"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序号</w:t>
                  </w:r>
                </w:p>
              </w:tc>
              <w:tc>
                <w:tcPr>
                  <w:tcW w:w="2845" w:type="pct"/>
                  <w:tcBorders>
                    <w:top w:val="single" w:color="auto" w:sz="8" w:space="0"/>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检测项目</w:t>
                  </w:r>
                </w:p>
              </w:tc>
              <w:tc>
                <w:tcPr>
                  <w:tcW w:w="1404" w:type="pct"/>
                  <w:tcBorders>
                    <w:top w:val="single" w:color="auto" w:sz="8" w:space="0"/>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标准值（单位：mg/kg）</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镉</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65</w:t>
                  </w:r>
                </w:p>
              </w:tc>
            </w:tr>
            <w:tr>
              <w:trPr>
                <w:trHeight w:val="330"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铬（六价）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5.7</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铜</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18000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铅</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800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汞</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38</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7</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镍</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900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8</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四氯化碳</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2.8</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9</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氯仿</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0.9</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10</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氯甲烷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37</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11</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1-二氯乙烷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9</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12</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2-二氯乙烷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13</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1-二氯乙烯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66</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14</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顺-1</w:t>
                  </w:r>
                  <w:r>
                    <w:rPr>
                      <w:rFonts w:hint="eastAsia"/>
                      <w:u w:val="none"/>
                      <w:lang w:eastAsia="zh-CN"/>
                    </w:rPr>
                    <w:t>，</w:t>
                  </w:r>
                  <w:r>
                    <w:rPr>
                      <w:rFonts w:hint="default"/>
                      <w:u w:val="none"/>
                    </w:rPr>
                    <w:t>2-二氯乙烯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596</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反-1</w:t>
                  </w:r>
                  <w:r>
                    <w:rPr>
                      <w:rFonts w:hint="eastAsia"/>
                      <w:u w:val="none"/>
                      <w:lang w:eastAsia="zh-CN"/>
                    </w:rPr>
                    <w:t>，</w:t>
                  </w:r>
                  <w:r>
                    <w:rPr>
                      <w:rFonts w:hint="default"/>
                      <w:u w:val="none"/>
                    </w:rPr>
                    <w:t>2-二氯乙烯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54</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16</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二氯甲烷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616</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17</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2-二氯丙烷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18</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w:t>
                  </w:r>
                  <w:r>
                    <w:rPr>
                      <w:rFonts w:hint="eastAsia"/>
                      <w:u w:val="none"/>
                      <w:lang w:eastAsia="zh-CN"/>
                    </w:rPr>
                    <w:t>，</w:t>
                  </w:r>
                  <w:r>
                    <w:rPr>
                      <w:rFonts w:hint="default"/>
                      <w:u w:val="none"/>
                    </w:rPr>
                    <w:t>1</w:t>
                  </w:r>
                  <w:r>
                    <w:rPr>
                      <w:rFonts w:hint="eastAsia"/>
                      <w:u w:val="none"/>
                      <w:lang w:eastAsia="zh-CN"/>
                    </w:rPr>
                    <w:t>，</w:t>
                  </w:r>
                  <w:r>
                    <w:rPr>
                      <w:rFonts w:hint="default"/>
                      <w:u w:val="none"/>
                    </w:rPr>
                    <w:t>2-四氯乙烷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19</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w:t>
                  </w:r>
                  <w:r>
                    <w:rPr>
                      <w:rFonts w:hint="eastAsia"/>
                      <w:u w:val="none"/>
                      <w:lang w:eastAsia="zh-CN"/>
                    </w:rPr>
                    <w:t>，</w:t>
                  </w:r>
                  <w:r>
                    <w:rPr>
                      <w:rFonts w:hint="default"/>
                      <w:u w:val="none"/>
                    </w:rPr>
                    <w:t>2</w:t>
                  </w:r>
                  <w:r>
                    <w:rPr>
                      <w:rFonts w:hint="eastAsia"/>
                      <w:u w:val="none"/>
                      <w:lang w:eastAsia="zh-CN"/>
                    </w:rPr>
                    <w:t>，</w:t>
                  </w:r>
                  <w:r>
                    <w:rPr>
                      <w:rFonts w:hint="default"/>
                      <w:u w:val="none"/>
                    </w:rPr>
                    <w:t>2-四氯乙烷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6.8</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20</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四氯乙烯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53</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21</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w:t>
                  </w:r>
                  <w:r>
                    <w:rPr>
                      <w:rFonts w:hint="eastAsia"/>
                      <w:u w:val="none"/>
                      <w:lang w:eastAsia="zh-CN"/>
                    </w:rPr>
                    <w:t>，</w:t>
                  </w:r>
                  <w:r>
                    <w:rPr>
                      <w:rFonts w:hint="default"/>
                      <w:u w:val="none"/>
                    </w:rPr>
                    <w:t>1-三氯乙烷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840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22</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1</w:t>
                  </w:r>
                  <w:r>
                    <w:rPr>
                      <w:rFonts w:hint="eastAsia"/>
                      <w:u w:val="none"/>
                      <w:lang w:eastAsia="zh-CN"/>
                    </w:rPr>
                    <w:t>，</w:t>
                  </w:r>
                  <w:r>
                    <w:rPr>
                      <w:rFonts w:hint="default"/>
                      <w:u w:val="none"/>
                    </w:rPr>
                    <w:t>2-三氯乙烷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2.8</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23</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三氯乙烯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2.8</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24</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2</w:t>
                  </w:r>
                  <w:r>
                    <w:rPr>
                      <w:rFonts w:hint="eastAsia"/>
                      <w:u w:val="none"/>
                      <w:lang w:eastAsia="zh-CN"/>
                    </w:rPr>
                    <w:t>，</w:t>
                  </w:r>
                  <w:r>
                    <w:rPr>
                      <w:rFonts w:hint="default"/>
                      <w:u w:val="none"/>
                    </w:rPr>
                    <w:t>3-三氯丙烷</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0.5</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25</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0.43</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26</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27</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氯苯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270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28</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2-二氯苯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560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29</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w:t>
                  </w:r>
                  <w:r>
                    <w:rPr>
                      <w:rFonts w:hint="eastAsia"/>
                      <w:u w:val="none"/>
                      <w:lang w:eastAsia="zh-CN"/>
                    </w:rPr>
                    <w:t>，</w:t>
                  </w:r>
                  <w:r>
                    <w:rPr>
                      <w:rFonts w:hint="default"/>
                      <w:u w:val="none"/>
                    </w:rPr>
                    <w:t>4-二氯苯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30</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乙苯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28</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31</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苯乙烯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1290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32</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甲苯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1200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33</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间二甲苯+对二甲苯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570</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34</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邻二甲苯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640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35</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硝基苯</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76</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36</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苯胺</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260</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37</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2-氯酚</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2256</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38</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苯并[a]蒽</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39</w:t>
                  </w:r>
                </w:p>
              </w:tc>
              <w:tc>
                <w:tcPr>
                  <w:tcW w:w="2845" w:type="pct"/>
                  <w:tcBorders>
                    <w:top w:val="nil"/>
                    <w:left w:val="nil"/>
                    <w:bottom w:val="single" w:color="auto" w:sz="8" w:space="0"/>
                    <w:right w:val="single" w:color="auto" w:sz="8" w:space="0"/>
                  </w:tcBorders>
                  <w:shd w:val="clear" w:color="auto" w:fill="auto"/>
                  <w:noWrap/>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苯并[a]芘</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40</w:t>
                  </w:r>
                </w:p>
              </w:tc>
              <w:tc>
                <w:tcPr>
                  <w:tcW w:w="2845" w:type="pct"/>
                  <w:tcBorders>
                    <w:top w:val="nil"/>
                    <w:left w:val="nil"/>
                    <w:bottom w:val="single" w:color="auto" w:sz="8" w:space="0"/>
                    <w:right w:val="single" w:color="auto" w:sz="8" w:space="0"/>
                  </w:tcBorders>
                  <w:shd w:val="clear" w:color="auto" w:fill="auto"/>
                  <w:noWrap/>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苯并[b]荧蒽</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41</w:t>
                  </w:r>
                </w:p>
              </w:tc>
              <w:tc>
                <w:tcPr>
                  <w:tcW w:w="2845" w:type="pct"/>
                  <w:tcBorders>
                    <w:top w:val="nil"/>
                    <w:left w:val="nil"/>
                    <w:bottom w:val="single" w:color="auto" w:sz="8" w:space="0"/>
                    <w:right w:val="single" w:color="auto" w:sz="8" w:space="0"/>
                  </w:tcBorders>
                  <w:shd w:val="clear" w:color="auto" w:fill="auto"/>
                  <w:noWrap/>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苯并[k]荧蒽</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151</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42</w:t>
                  </w:r>
                </w:p>
              </w:tc>
              <w:tc>
                <w:tcPr>
                  <w:tcW w:w="2845" w:type="pct"/>
                  <w:tcBorders>
                    <w:top w:val="nil"/>
                    <w:left w:val="nil"/>
                    <w:bottom w:val="single" w:color="auto" w:sz="8" w:space="0"/>
                    <w:right w:val="single" w:color="auto" w:sz="8" w:space="0"/>
                  </w:tcBorders>
                  <w:shd w:val="clear" w:color="auto" w:fill="auto"/>
                  <w:noWrap/>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䓛</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1293</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43</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二苯并[a，h]蒽</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r>
            <w:tr>
              <w:tblPrEx>
                <w:tblCellMar>
                  <w:top w:w="0" w:type="dxa"/>
                  <w:left w:w="108" w:type="dxa"/>
                  <w:bottom w:w="0" w:type="dxa"/>
                  <w:right w:w="108" w:type="dxa"/>
                </w:tblCellMar>
              </w:tblPrEx>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44</w:t>
                  </w:r>
                </w:p>
              </w:tc>
              <w:tc>
                <w:tcPr>
                  <w:tcW w:w="2845"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茚并[1</w:t>
                  </w:r>
                  <w:r>
                    <w:rPr>
                      <w:rFonts w:hint="eastAsia"/>
                      <w:u w:val="none"/>
                      <w:lang w:eastAsia="zh-CN"/>
                    </w:rPr>
                    <w:t>，</w:t>
                  </w:r>
                  <w:r>
                    <w:rPr>
                      <w:rFonts w:hint="default"/>
                      <w:u w:val="none"/>
                    </w:rPr>
                    <w:t>2</w:t>
                  </w:r>
                  <w:r>
                    <w:rPr>
                      <w:rFonts w:hint="eastAsia"/>
                      <w:u w:val="none"/>
                      <w:lang w:eastAsia="zh-CN"/>
                    </w:rPr>
                    <w:t>，</w:t>
                  </w:r>
                  <w:r>
                    <w:rPr>
                      <w:rFonts w:hint="default"/>
                      <w:u w:val="none"/>
                    </w:rPr>
                    <w:t>3-cd]芘</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15</w:t>
                  </w:r>
                </w:p>
              </w:tc>
            </w:tr>
            <w:tr>
              <w:trPr>
                <w:trHeight w:val="285" w:hRule="atLeast"/>
              </w:trPr>
              <w:tc>
                <w:tcPr>
                  <w:tcW w:w="751" w:type="pct"/>
                  <w:tcBorders>
                    <w:top w:val="nil"/>
                    <w:left w:val="single" w:color="auto" w:sz="8" w:space="0"/>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45</w:t>
                  </w:r>
                </w:p>
              </w:tc>
              <w:tc>
                <w:tcPr>
                  <w:tcW w:w="2845" w:type="pct"/>
                  <w:tcBorders>
                    <w:top w:val="nil"/>
                    <w:left w:val="nil"/>
                    <w:bottom w:val="single" w:color="auto" w:sz="8" w:space="0"/>
                    <w:right w:val="single" w:color="auto" w:sz="8" w:space="0"/>
                  </w:tcBorders>
                  <w:shd w:val="clear" w:color="auto" w:fill="auto"/>
                  <w:noWrap/>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萘</w:t>
                  </w:r>
                </w:p>
              </w:tc>
              <w:tc>
                <w:tcPr>
                  <w:tcW w:w="1404" w:type="pct"/>
                  <w:tcBorders>
                    <w:top w:val="nil"/>
                    <w:left w:val="nil"/>
                    <w:bottom w:val="single" w:color="auto" w:sz="8" w:space="0"/>
                    <w:right w:val="single" w:color="auto" w:sz="8" w:space="0"/>
                  </w:tcBorders>
                  <w:shd w:val="clear" w:color="auto" w:fill="auto"/>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u w:val="none"/>
                    </w:rPr>
                  </w:pPr>
                  <w:r>
                    <w:rPr>
                      <w:rFonts w:hint="default"/>
                      <w:u w:val="none"/>
                    </w:rPr>
                    <w:t>70</w:t>
                  </w:r>
                </w:p>
              </w:tc>
            </w:tr>
          </w:tbl>
          <w:p>
            <w:pPr>
              <w:keepNext w:val="0"/>
              <w:keepLines w:val="0"/>
              <w:suppressLineNumbers w:val="0"/>
              <w:spacing w:before="0" w:beforeAutospacing="0" w:after="0" w:afterAutospacing="0" w:line="360" w:lineRule="auto"/>
              <w:ind w:left="0" w:right="0" w:firstLine="480"/>
              <w:jc w:val="left"/>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u w:val="none"/>
              </w:rPr>
            </w:pPr>
            <w:r>
              <w:rPr>
                <w:rFonts w:hint="eastAsia"/>
                <w:b/>
                <w:u w:val="none"/>
              </w:rPr>
              <w:t>污染物排放标准</w:t>
            </w:r>
          </w:p>
        </w:tc>
        <w:tc>
          <w:tcPr>
            <w:tcW w:w="7988" w:type="dxa"/>
          </w:tcPr>
          <w:p>
            <w:pPr>
              <w:keepNext w:val="0"/>
              <w:keepLines w:val="0"/>
              <w:suppressLineNumbers w:val="0"/>
              <w:spacing w:before="0" w:beforeAutospacing="0" w:after="0" w:afterAutospacing="0"/>
              <w:ind w:left="0" w:right="0" w:firstLine="480"/>
              <w:rPr>
                <w:rFonts w:hint="default"/>
                <w:b/>
                <w:bCs/>
                <w:u w:val="none"/>
              </w:rPr>
            </w:pPr>
            <w:r>
              <w:rPr>
                <w:rFonts w:hint="default"/>
                <w:b/>
                <w:bCs/>
                <w:u w:val="none"/>
              </w:rPr>
              <w:t>1、大气污染物排放标准</w:t>
            </w:r>
          </w:p>
          <w:p>
            <w:pPr>
              <w:keepNext w:val="0"/>
              <w:keepLines w:val="0"/>
              <w:suppressLineNumbers w:val="0"/>
              <w:spacing w:before="0" w:beforeAutospacing="0" w:after="0" w:afterAutospacing="0"/>
              <w:ind w:left="0" w:right="0" w:firstLine="480"/>
              <w:rPr>
                <w:rFonts w:hint="eastAsia"/>
                <w:u w:val="none"/>
                <w:lang w:val="en-US" w:eastAsia="zh-CN"/>
              </w:rPr>
            </w:pPr>
            <w:r>
              <w:rPr>
                <w:rFonts w:hint="default"/>
                <w:u w:val="none"/>
              </w:rPr>
              <w:t>本项目运营期汽车拆解过程中</w:t>
            </w:r>
            <w:r>
              <w:rPr>
                <w:rFonts w:hint="eastAsia"/>
                <w:u w:val="none"/>
                <w:lang w:val="en-US" w:eastAsia="zh-CN"/>
              </w:rPr>
              <w:t>，</w:t>
            </w:r>
            <w:r>
              <w:rPr>
                <w:rFonts w:hint="default"/>
                <w:u w:val="none"/>
              </w:rPr>
              <w:t>无组织排放的非甲烷总烃执行</w:t>
            </w:r>
            <w:r>
              <w:rPr>
                <w:rFonts w:hint="eastAsia"/>
                <w:u w:val="none"/>
              </w:rPr>
              <w:t>《</w:t>
            </w:r>
            <w:r>
              <w:rPr>
                <w:rFonts w:hint="eastAsia"/>
                <w:u w:val="none"/>
                <w:lang w:eastAsia="zh-CN"/>
              </w:rPr>
              <w:t>挥发性有机物无组织排放控制标准》（</w:t>
            </w:r>
            <w:r>
              <w:rPr>
                <w:rFonts w:hint="eastAsia"/>
                <w:u w:val="none"/>
                <w:lang w:val="en-US" w:eastAsia="zh-CN"/>
              </w:rPr>
              <w:t>GB37822-2019</w:t>
            </w:r>
            <w:r>
              <w:rPr>
                <w:rFonts w:hint="eastAsia"/>
                <w:u w:val="none"/>
                <w:lang w:eastAsia="zh-CN"/>
              </w:rPr>
              <w:t>）附录</w:t>
            </w:r>
            <w:r>
              <w:rPr>
                <w:rFonts w:hint="eastAsia"/>
                <w:u w:val="none"/>
                <w:lang w:val="en-US" w:eastAsia="zh-CN"/>
              </w:rPr>
              <w:t>A中的标准。</w:t>
            </w:r>
          </w:p>
          <w:p>
            <w:pPr>
              <w:pStyle w:val="12"/>
              <w:keepNext w:val="0"/>
              <w:keepLines w:val="0"/>
              <w:suppressLineNumbers w:val="0"/>
              <w:bidi w:val="0"/>
              <w:spacing w:before="0" w:beforeAutospacing="0" w:after="0" w:afterAutospacing="0"/>
              <w:ind w:right="0"/>
              <w:rPr>
                <w:rFonts w:hint="default"/>
                <w:u w:val="none"/>
                <w:lang w:val="en-US" w:eastAsia="zh-CN"/>
              </w:rPr>
            </w:pPr>
            <w:r>
              <w:rPr>
                <w:rFonts w:hint="default"/>
                <w:u w:val="none"/>
              </w:rPr>
              <w:drawing>
                <wp:inline distT="0" distB="0" distL="114300" distR="114300">
                  <wp:extent cx="4987290" cy="876300"/>
                  <wp:effectExtent l="0" t="0" r="381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4987290" cy="87630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eastAsia"/>
                <w:u w:val="none"/>
                <w:lang w:eastAsia="zh-CN"/>
              </w:rPr>
              <w:t>厂界颗粒物执行</w:t>
            </w:r>
            <w:r>
              <w:rPr>
                <w:rFonts w:hint="default"/>
                <w:u w:val="none"/>
              </w:rPr>
              <w:t>《大气污染物综合排放标准》（GB16297-1996）表2中的标准限值要求，</w:t>
            </w:r>
            <w:r>
              <w:rPr>
                <w:rFonts w:hint="eastAsia"/>
                <w:u w:val="none"/>
                <w:lang w:val="en-US" w:eastAsia="zh-CN"/>
              </w:rPr>
              <w:t>1</w:t>
            </w:r>
            <w:r>
              <w:rPr>
                <w:rFonts w:hint="default"/>
                <w:u w:val="none"/>
              </w:rPr>
              <w:t>mg/m³。</w:t>
            </w:r>
          </w:p>
          <w:p>
            <w:pPr>
              <w:keepNext w:val="0"/>
              <w:keepLines w:val="0"/>
              <w:suppressLineNumbers w:val="0"/>
              <w:spacing w:before="0" w:beforeAutospacing="0" w:after="0" w:afterAutospacing="0"/>
              <w:ind w:left="0" w:right="0" w:firstLine="480"/>
              <w:rPr>
                <w:rFonts w:hint="default"/>
                <w:b/>
                <w:bCs/>
                <w:u w:val="none"/>
              </w:rPr>
            </w:pPr>
            <w:r>
              <w:rPr>
                <w:rFonts w:hint="default"/>
                <w:b/>
                <w:bCs/>
                <w:u w:val="none"/>
              </w:rPr>
              <w:t>2、水污染物排放标准</w:t>
            </w:r>
          </w:p>
          <w:p>
            <w:pPr>
              <w:keepNext w:val="0"/>
              <w:keepLines w:val="0"/>
              <w:suppressLineNumbers w:val="0"/>
              <w:spacing w:before="0" w:beforeAutospacing="0" w:after="0" w:afterAutospacing="0"/>
              <w:ind w:left="0" w:right="0" w:firstLine="480"/>
              <w:rPr>
                <w:rFonts w:hint="eastAsia" w:eastAsia="宋体"/>
                <w:u w:val="none"/>
                <w:lang w:eastAsia="zh-CN"/>
              </w:rPr>
            </w:pPr>
            <w:r>
              <w:rPr>
                <w:rFonts w:hint="default"/>
                <w:u w:val="none"/>
              </w:rPr>
              <w:t>生活废水经化粪池处理后做农肥，不排放。</w:t>
            </w:r>
            <w:r>
              <w:rPr>
                <w:rFonts w:hint="eastAsia"/>
                <w:u w:val="none"/>
                <w:lang w:eastAsia="zh-CN"/>
              </w:rPr>
              <w:t>生产废水由湘阴县顽石再生科技有限公司处理后制砖用，不排放。</w:t>
            </w:r>
          </w:p>
          <w:p>
            <w:pPr>
              <w:keepNext w:val="0"/>
              <w:keepLines w:val="0"/>
              <w:suppressLineNumbers w:val="0"/>
              <w:spacing w:before="0" w:beforeAutospacing="0" w:after="0" w:afterAutospacing="0"/>
              <w:ind w:left="0" w:right="0" w:firstLine="480"/>
              <w:rPr>
                <w:rFonts w:hint="default"/>
                <w:b/>
                <w:bCs/>
                <w:kern w:val="0"/>
                <w:sz w:val="21"/>
                <w:szCs w:val="21"/>
                <w:u w:val="none"/>
              </w:rPr>
            </w:pPr>
            <w:r>
              <w:rPr>
                <w:rFonts w:hint="default"/>
                <w:b/>
                <w:bCs/>
                <w:u w:val="none"/>
              </w:rPr>
              <w:t>3、噪声排放标准</w:t>
            </w:r>
          </w:p>
          <w:p>
            <w:pPr>
              <w:keepNext w:val="0"/>
              <w:keepLines w:val="0"/>
              <w:suppressLineNumbers w:val="0"/>
              <w:spacing w:before="0" w:beforeAutospacing="0" w:after="0" w:afterAutospacing="0"/>
              <w:ind w:left="0" w:right="0" w:firstLine="480"/>
              <w:rPr>
                <w:rFonts w:hint="default"/>
                <w:u w:val="none"/>
              </w:rPr>
            </w:pPr>
            <w:r>
              <w:rPr>
                <w:rFonts w:hint="default"/>
                <w:u w:val="none"/>
              </w:rPr>
              <w:t>项目四周厂界噪声执行《工业企业厂界环境噪声排放标准》（GB12348-2008）中的2类标准，具体见下表。</w:t>
            </w:r>
          </w:p>
          <w:p>
            <w:pPr>
              <w:keepNext w:val="0"/>
              <w:keepLines w:val="0"/>
              <w:suppressLineNumbers w:val="0"/>
              <w:spacing w:before="120" w:beforeLines="50" w:beforeAutospacing="0" w:after="0" w:afterAutospacing="0"/>
              <w:ind w:left="0" w:right="0" w:firstLine="0" w:firstLineChars="0"/>
              <w:jc w:val="center"/>
              <w:rPr>
                <w:rFonts w:hint="default"/>
                <w:b/>
                <w:sz w:val="24"/>
                <w:u w:val="none"/>
              </w:rPr>
            </w:pPr>
            <w:r>
              <w:rPr>
                <w:rFonts w:hint="default"/>
                <w:b/>
                <w:sz w:val="24"/>
                <w:u w:val="none"/>
              </w:rPr>
              <w:t>表</w:t>
            </w:r>
            <w:r>
              <w:rPr>
                <w:rFonts w:hint="eastAsia"/>
                <w:b/>
                <w:sz w:val="24"/>
                <w:u w:val="none"/>
                <w:lang w:val="en-US" w:eastAsia="zh-CN"/>
              </w:rPr>
              <w:t>4</w:t>
            </w:r>
            <w:r>
              <w:rPr>
                <w:rFonts w:hint="default"/>
                <w:b/>
                <w:sz w:val="24"/>
                <w:u w:val="none"/>
              </w:rPr>
              <w:t>-</w:t>
            </w:r>
            <w:r>
              <w:rPr>
                <w:rFonts w:hint="eastAsia"/>
                <w:b/>
                <w:sz w:val="24"/>
                <w:u w:val="none"/>
              </w:rPr>
              <w:t>6</w:t>
            </w:r>
            <w:r>
              <w:rPr>
                <w:rFonts w:hint="default"/>
                <w:b/>
                <w:sz w:val="24"/>
                <w:u w:val="none"/>
              </w:rPr>
              <w:t xml:space="preserve">  工业企业厂界环境噪声排放标准   单位：dB（A）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449"/>
              <w:gridCol w:w="1455"/>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92"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类别</w:t>
                  </w:r>
                </w:p>
              </w:tc>
              <w:tc>
                <w:tcPr>
                  <w:tcW w:w="1852"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标准值</w:t>
                  </w:r>
                </w:p>
              </w:tc>
              <w:tc>
                <w:tcPr>
                  <w:tcW w:w="1855"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9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昼间</w:t>
                  </w:r>
                </w:p>
              </w:tc>
              <w:tc>
                <w:tcPr>
                  <w:tcW w:w="92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w:t>
                  </w:r>
                </w:p>
              </w:tc>
              <w:tc>
                <w:tcPr>
                  <w:tcW w:w="1855"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项目厂界外1m</w:t>
                  </w:r>
                </w:p>
              </w:tc>
              <w:tc>
                <w:tcPr>
                  <w:tcW w:w="9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92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c>
                <w:tcPr>
                  <w:tcW w:w="18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(GB12348-2008 )2类</w:t>
                  </w:r>
                </w:p>
              </w:tc>
            </w:tr>
          </w:tbl>
          <w:p>
            <w:pPr>
              <w:keepNext w:val="0"/>
              <w:keepLines w:val="0"/>
              <w:suppressLineNumbers w:val="0"/>
              <w:spacing w:before="0" w:beforeAutospacing="0" w:after="0" w:afterAutospacing="0"/>
              <w:ind w:left="0" w:right="0" w:firstLine="480"/>
              <w:rPr>
                <w:rFonts w:hint="default"/>
                <w:b/>
                <w:bCs/>
                <w:u w:val="none"/>
              </w:rPr>
            </w:pPr>
          </w:p>
          <w:p>
            <w:pPr>
              <w:keepNext w:val="0"/>
              <w:keepLines w:val="0"/>
              <w:suppressLineNumbers w:val="0"/>
              <w:spacing w:before="0" w:beforeAutospacing="0" w:after="0" w:afterAutospacing="0"/>
              <w:ind w:left="0" w:right="0" w:firstLine="480"/>
              <w:rPr>
                <w:rFonts w:hint="default"/>
                <w:b/>
                <w:bCs/>
                <w:u w:val="none"/>
              </w:rPr>
            </w:pPr>
            <w:r>
              <w:rPr>
                <w:rFonts w:hint="default"/>
                <w:b/>
                <w:bCs/>
                <w:u w:val="none"/>
              </w:rPr>
              <w:t>4、固体废物</w:t>
            </w:r>
          </w:p>
          <w:p>
            <w:pPr>
              <w:keepNext w:val="0"/>
              <w:keepLines w:val="0"/>
              <w:suppressLineNumbers w:val="0"/>
              <w:spacing w:before="0" w:beforeAutospacing="0" w:after="0" w:afterAutospacing="0"/>
              <w:ind w:left="0" w:right="0" w:firstLine="480"/>
              <w:rPr>
                <w:rFonts w:hint="default"/>
                <w:u w:val="none"/>
              </w:rPr>
            </w:pPr>
            <w:bookmarkStart w:id="22" w:name="_Toc461441864"/>
            <w:r>
              <w:rPr>
                <w:rFonts w:hint="default"/>
                <w:u w:val="none"/>
              </w:rPr>
              <w:t>一般固废执行《</w:t>
            </w:r>
            <w:r>
              <w:rPr>
                <w:rFonts w:hint="eastAsia"/>
                <w:u w:val="none"/>
              </w:rPr>
              <w:t>一般工业固体废物贮存和填埋污染控制标准</w:t>
            </w:r>
            <w:r>
              <w:rPr>
                <w:rFonts w:hint="default"/>
                <w:u w:val="none"/>
              </w:rPr>
              <w:t>》（GB18599-20</w:t>
            </w:r>
            <w:r>
              <w:rPr>
                <w:rFonts w:hint="eastAsia"/>
                <w:u w:val="none"/>
                <w:lang w:val="en-US" w:eastAsia="zh-CN"/>
              </w:rPr>
              <w:t>20</w:t>
            </w:r>
            <w:r>
              <w:rPr>
                <w:rFonts w:hint="default"/>
                <w:u w:val="none"/>
              </w:rPr>
              <w:t>）。危险固废执行《危险废物贮存污染控制标准》（GB18597-2001）及2013年修改单和《危险废物收集贮存运输技术规范》（HJ2025-2012）相关标准。</w:t>
            </w:r>
          </w:p>
          <w:bookmarkEnd w:id="22"/>
          <w:p>
            <w:pPr>
              <w:keepNext w:val="0"/>
              <w:keepLines w:val="0"/>
              <w:suppressLineNumbers w:val="0"/>
              <w:spacing w:before="0" w:beforeAutospacing="0" w:after="0" w:afterAutospacing="0" w:line="276" w:lineRule="auto"/>
              <w:ind w:left="0" w:right="0" w:firstLine="480"/>
              <w:jc w:val="left"/>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u w:val="none"/>
              </w:rPr>
            </w:pPr>
            <w:r>
              <w:rPr>
                <w:rFonts w:hint="eastAsia"/>
                <w:b/>
                <w:u w:val="none"/>
              </w:rPr>
              <w:t>总量控制指标</w:t>
            </w:r>
          </w:p>
        </w:tc>
        <w:tc>
          <w:tcPr>
            <w:tcW w:w="7988" w:type="dxa"/>
            <w:vAlign w:val="center"/>
          </w:tcPr>
          <w:p>
            <w:pPr>
              <w:keepNext w:val="0"/>
              <w:keepLines w:val="0"/>
              <w:suppressLineNumbers w:val="0"/>
              <w:spacing w:before="0" w:beforeAutospacing="0" w:after="0" w:afterAutospacing="0"/>
              <w:ind w:left="0" w:right="0" w:firstLine="480"/>
              <w:rPr>
                <w:rFonts w:hint="default"/>
                <w:u w:val="none"/>
              </w:rPr>
            </w:pPr>
            <w:r>
              <w:rPr>
                <w:rFonts w:hint="default"/>
                <w:szCs w:val="20"/>
                <w:u w:val="none"/>
              </w:rPr>
              <w:t>“十三五”期间国家对COD、NH</w:t>
            </w:r>
            <w:r>
              <w:rPr>
                <w:rFonts w:hint="default"/>
                <w:szCs w:val="20"/>
                <w:u w:val="none"/>
                <w:vertAlign w:val="subscript"/>
              </w:rPr>
              <w:t>3</w:t>
            </w:r>
            <w:r>
              <w:rPr>
                <w:rFonts w:hint="default"/>
                <w:szCs w:val="20"/>
                <w:u w:val="none"/>
              </w:rPr>
              <w:t>-N、SO</w:t>
            </w:r>
            <w:r>
              <w:rPr>
                <w:rFonts w:hint="default"/>
                <w:szCs w:val="20"/>
                <w:u w:val="none"/>
                <w:vertAlign w:val="subscript"/>
              </w:rPr>
              <w:t>2</w:t>
            </w:r>
            <w:r>
              <w:rPr>
                <w:rFonts w:hint="default"/>
                <w:szCs w:val="20"/>
                <w:u w:val="none"/>
              </w:rPr>
              <w:t>、NO</w:t>
            </w:r>
            <w:r>
              <w:rPr>
                <w:rFonts w:hint="default"/>
                <w:szCs w:val="20"/>
                <w:u w:val="none"/>
                <w:vertAlign w:val="subscript"/>
              </w:rPr>
              <w:t>x</w:t>
            </w:r>
            <w:r>
              <w:rPr>
                <w:rFonts w:hint="default"/>
                <w:szCs w:val="20"/>
                <w:u w:val="none"/>
              </w:rPr>
              <w:t>四项主要污染物实行排放总量控制计划管理。本项目</w:t>
            </w:r>
            <w:r>
              <w:rPr>
                <w:rFonts w:hint="eastAsia"/>
                <w:szCs w:val="20"/>
                <w:u w:val="none"/>
                <w:lang w:eastAsia="zh-CN"/>
              </w:rPr>
              <w:t>无废水排放</w:t>
            </w:r>
            <w:r>
              <w:rPr>
                <w:rFonts w:hint="default"/>
                <w:szCs w:val="20"/>
                <w:u w:val="none"/>
              </w:rPr>
              <w:t>。不产生SO</w:t>
            </w:r>
            <w:r>
              <w:rPr>
                <w:rFonts w:hint="default"/>
                <w:szCs w:val="20"/>
                <w:u w:val="none"/>
                <w:vertAlign w:val="subscript"/>
              </w:rPr>
              <w:t>2</w:t>
            </w:r>
            <w:r>
              <w:rPr>
                <w:rFonts w:hint="default"/>
                <w:szCs w:val="20"/>
                <w:u w:val="none"/>
              </w:rPr>
              <w:t>、NO</w:t>
            </w:r>
            <w:r>
              <w:rPr>
                <w:rFonts w:hint="default"/>
                <w:szCs w:val="20"/>
                <w:u w:val="none"/>
                <w:vertAlign w:val="subscript"/>
              </w:rPr>
              <w:t>x</w:t>
            </w:r>
            <w:r>
              <w:rPr>
                <w:rFonts w:hint="default"/>
                <w:szCs w:val="20"/>
                <w:u w:val="none"/>
              </w:rPr>
              <w:t>。</w:t>
            </w:r>
          </w:p>
        </w:tc>
      </w:tr>
    </w:tbl>
    <w:p>
      <w:pPr>
        <w:pStyle w:val="3"/>
        <w:spacing w:before="0" w:after="0" w:line="240" w:lineRule="auto"/>
        <w:ind w:firstLine="883"/>
        <w:rPr>
          <w:sz w:val="32"/>
          <w:szCs w:val="32"/>
          <w:u w:val="none"/>
        </w:rPr>
      </w:pPr>
      <w:r>
        <w:rPr>
          <w:u w:val="none"/>
        </w:rPr>
        <w:br w:type="page"/>
      </w:r>
      <w:bookmarkStart w:id="23" w:name="_Toc12981"/>
      <w:r>
        <w:rPr>
          <w:rFonts w:hint="eastAsia"/>
          <w:sz w:val="32"/>
          <w:szCs w:val="32"/>
          <w:u w:val="none"/>
        </w:rPr>
        <w:t>五、建设项目工程分析</w:t>
      </w:r>
      <w:bookmarkEnd w:id="23"/>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4"/>
              <w:suppressLineNumbers w:val="0"/>
              <w:bidi w:val="0"/>
              <w:spacing w:before="0" w:beforeAutospacing="0" w:after="0" w:afterAutospacing="0"/>
              <w:ind w:left="0" w:right="0"/>
              <w:rPr>
                <w:rFonts w:hint="eastAsia"/>
                <w:u w:val="none"/>
                <w:lang w:val="en-US" w:eastAsia="zh-CN"/>
              </w:rPr>
            </w:pPr>
            <w:bookmarkStart w:id="24" w:name="_Toc13885"/>
            <w:bookmarkStart w:id="25" w:name="_Hlk521859030"/>
            <w:r>
              <w:rPr>
                <w:rFonts w:hint="eastAsia"/>
                <w:u w:val="none"/>
                <w:lang w:val="en-US" w:eastAsia="zh-CN"/>
              </w:rPr>
              <w:t>5.1施工期工程分析</w:t>
            </w:r>
            <w:bookmarkEnd w:id="24"/>
          </w:p>
          <w:p>
            <w:pPr>
              <w:keepNext w:val="0"/>
              <w:keepLines w:val="0"/>
              <w:suppressLineNumbers w:val="0"/>
              <w:spacing w:before="0" w:beforeAutospacing="0" w:after="0" w:afterAutospacing="0"/>
              <w:ind w:left="0" w:right="0" w:firstLine="480"/>
              <w:rPr>
                <w:rFonts w:hint="eastAsia" w:ascii="Times New Roman" w:hAnsi="Times New Roman" w:cs="Times New Roman"/>
                <w:b/>
                <w:bCs/>
                <w:color w:val="auto"/>
                <w:sz w:val="24"/>
                <w:szCs w:val="24"/>
                <w:u w:val="none"/>
                <w:lang w:eastAsia="zh-CN"/>
              </w:rPr>
            </w:pPr>
            <w:r>
              <w:rPr>
                <w:rFonts w:hint="default"/>
                <w:u w:val="none"/>
              </w:rPr>
              <w:t>本项目</w:t>
            </w:r>
            <w:r>
              <w:rPr>
                <w:rFonts w:hint="eastAsia"/>
                <w:u w:val="none"/>
                <w:lang w:eastAsia="zh-CN"/>
              </w:rPr>
              <w:t>位于</w:t>
            </w:r>
            <w:r>
              <w:rPr>
                <w:rFonts w:hint="default"/>
                <w:u w:val="none"/>
              </w:rPr>
              <w:t>湖南省岳阳市湘阴县文星镇板桥村</w:t>
            </w:r>
            <w:r>
              <w:rPr>
                <w:rFonts w:hint="eastAsia"/>
                <w:u w:val="none"/>
                <w:lang w:eastAsia="zh-CN"/>
              </w:rPr>
              <w:t>（租赁湘阴县顽石再生科技有限公司现有厂房进行建设本项目），</w:t>
            </w:r>
            <w:r>
              <w:rPr>
                <w:rFonts w:hint="eastAsia" w:ascii="Times New Roman" w:hAnsi="Times New Roman" w:cs="Times New Roman"/>
                <w:color w:val="auto"/>
                <w:sz w:val="24"/>
                <w:szCs w:val="24"/>
                <w:u w:val="none"/>
                <w:lang w:eastAsia="zh-CN"/>
              </w:rPr>
              <w:t>建设内容主要为设备安装及其他辅助设施建设。</w:t>
            </w:r>
            <w:r>
              <w:rPr>
                <w:rFonts w:hint="eastAsia"/>
                <w:sz w:val="24"/>
                <w:szCs w:val="24"/>
                <w:u w:val="none"/>
                <w:lang w:eastAsia="zh-CN"/>
              </w:rPr>
              <w:t>车间内分区为拆解作业区、办公生活区（管理区）、未拆解的报废机动车贮存区、产品（半成品）贮存区、危废暂存间、一般固废暂存间及其他配套附属设施。</w:t>
            </w:r>
          </w:p>
          <w:p>
            <w:pPr>
              <w:keepNext w:val="0"/>
              <w:keepLines w:val="0"/>
              <w:suppressLineNumbers w:val="0"/>
              <w:spacing w:before="0" w:beforeAutospacing="0" w:after="0" w:afterAutospacing="0"/>
              <w:ind w:left="0" w:right="0" w:firstLine="480"/>
              <w:rPr>
                <w:rFonts w:hint="default"/>
                <w:u w:val="none"/>
              </w:rPr>
            </w:pPr>
            <w:r>
              <w:rPr>
                <w:rFonts w:hint="default"/>
                <w:u w:val="none"/>
              </w:rPr>
              <w:t>施工期的主要环境问题是施工噪声、扬尘、施工车辆尾气、施工废水以及施工人员产生的生活污水、生活垃圾等。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u w:val="none"/>
              </w:rPr>
            </w:pPr>
            <w:r>
              <w:rPr>
                <w:rFonts w:hint="default" w:ascii="Times New Roman" w:hAnsi="Times New Roman" w:eastAsia="宋体"/>
                <w:u w:val="none"/>
              </w:rPr>
              <w:object>
                <v:shape id="_x0000_i1025" o:spt="75" type="#_x0000_t75" style="height:189pt;width:302.2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keepNext w:val="0"/>
              <w:keepLines w:val="0"/>
              <w:suppressLineNumbers w:val="0"/>
              <w:spacing w:before="0" w:beforeAutospacing="0" w:after="0" w:afterAutospacing="0"/>
              <w:ind w:left="0" w:right="0" w:firstLine="480"/>
              <w:jc w:val="center"/>
              <w:rPr>
                <w:rFonts w:hint="eastAsia"/>
                <w:b/>
                <w:bCs/>
                <w:u w:val="none"/>
                <w:lang w:val="en-US" w:eastAsia="zh-CN"/>
              </w:rPr>
            </w:pPr>
            <w:r>
              <w:rPr>
                <w:rFonts w:hint="eastAsia"/>
                <w:b/>
                <w:bCs/>
                <w:u w:val="none"/>
                <w:lang w:eastAsia="zh-CN"/>
              </w:rPr>
              <w:t>图</w:t>
            </w:r>
            <w:r>
              <w:rPr>
                <w:rFonts w:hint="eastAsia"/>
                <w:b/>
                <w:bCs/>
                <w:u w:val="none"/>
                <w:lang w:val="en-US" w:eastAsia="zh-CN"/>
              </w:rPr>
              <w:t>5.1-1  施工期工艺流程图</w:t>
            </w:r>
          </w:p>
          <w:p>
            <w:pPr>
              <w:pStyle w:val="5"/>
              <w:suppressLineNumbers w:val="0"/>
              <w:bidi w:val="0"/>
              <w:spacing w:before="0" w:beforeAutospacing="0" w:after="0" w:afterAutospacing="0"/>
              <w:ind w:left="0" w:right="0"/>
              <w:rPr>
                <w:rFonts w:hint="default" w:ascii="Times New Roman" w:hAnsi="Times New Roman" w:cs="Times New Roman"/>
                <w:u w:val="none"/>
              </w:rPr>
            </w:pPr>
            <w:bookmarkStart w:id="26" w:name="_Toc23411113"/>
            <w:bookmarkStart w:id="27" w:name="_Toc15398"/>
            <w:bookmarkStart w:id="28" w:name="_Toc25644"/>
            <w:r>
              <w:rPr>
                <w:rFonts w:hint="eastAsia" w:cs="Times New Roman"/>
                <w:color w:val="auto"/>
                <w:u w:val="none"/>
                <w:lang w:val="en-US" w:eastAsia="zh-CN"/>
              </w:rPr>
              <w:t>5.1.1</w:t>
            </w:r>
            <w:bookmarkEnd w:id="26"/>
            <w:bookmarkEnd w:id="27"/>
            <w:r>
              <w:rPr>
                <w:rFonts w:hint="default" w:ascii="Times New Roman" w:hAnsi="Times New Roman" w:cs="Times New Roman"/>
                <w:u w:val="none"/>
              </w:rPr>
              <w:t>施工扬尘</w:t>
            </w:r>
            <w:bookmarkEnd w:id="28"/>
          </w:p>
          <w:p>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cs="Times New Roman"/>
                <w:sz w:val="24"/>
                <w:u w:val="none"/>
              </w:rPr>
            </w:pPr>
            <w:r>
              <w:rPr>
                <w:rFonts w:hint="default" w:cs="Times New Roman"/>
                <w:sz w:val="24"/>
                <w:u w:val="none"/>
              </w:rPr>
              <w:t>主要为施工扬尘和施工机械运行时产生的尾气。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a）施工扬尘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施工期对环境空气的影响主要是施工扬尘。施工期扬尘主要产生于管线铺设、建材装卸、车辆行驶等作业。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据有关资料显示，施工扬尘的主要来源是运输车辆行驶而形成，约占扬尘总量的60%，扬尘量的大小与天气干燥程度、道路路况、车辆行驶速度、风速大小有关；类比同类土建施工场地，施工车辆运输行驶于泥土路面而扬起的灰土，其灰尘的浓度可达到1～3g/</w:t>
            </w:r>
            <w:r>
              <w:rPr>
                <w:rFonts w:hint="eastAsia"/>
                <w:u w:val="none"/>
                <w:lang w:eastAsia="zh-CN"/>
              </w:rPr>
              <w:t>m³</w:t>
            </w:r>
            <w:r>
              <w:rPr>
                <w:rFonts w:hint="default"/>
                <w:u w:val="none"/>
              </w:rPr>
              <w:t>。一般情况下，在自然风作用下，扬尘受重力、浮力和气流运动的作用，可以发生沉降、上升和扩散，扬尘影响范围在80m以内。在大风天气，扬尘量及影响范围将有所扩大。</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b）施工机械、车辆尾气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一般来说，施工车辆因其使用较频繁，车况较差，汽车尾气排放超标比较严重。排放的尾气污染物主要有一氧化碳、碳氢化合物、氮氧化合物等。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工程土建施工用车以5辆计，以每车1天耗油50L计算，则施工车辆每天排放的尾气中含一氧化碳23.5kg，碳氢化合物23.5kg，氮氧化合物8kg。</w:t>
            </w:r>
          </w:p>
          <w:p>
            <w:pPr>
              <w:pStyle w:val="5"/>
              <w:suppressLineNumbers w:val="0"/>
              <w:bidi w:val="0"/>
              <w:spacing w:before="0" w:beforeAutospacing="0" w:after="0" w:afterAutospacing="0"/>
              <w:ind w:left="0" w:right="0"/>
              <w:rPr>
                <w:rFonts w:hint="default" w:ascii="Times New Roman" w:hAnsi="Times New Roman" w:cs="Times New Roman"/>
                <w:u w:val="none"/>
              </w:rPr>
            </w:pPr>
            <w:bookmarkStart w:id="29" w:name="_Toc3904"/>
            <w:r>
              <w:rPr>
                <w:rFonts w:hint="eastAsia" w:cs="Times New Roman"/>
                <w:color w:val="auto"/>
                <w:u w:val="none"/>
                <w:lang w:val="en-US" w:eastAsia="zh-CN"/>
              </w:rPr>
              <w:t>5.1.</w:t>
            </w:r>
            <w:r>
              <w:rPr>
                <w:rFonts w:hint="eastAsia" w:ascii="Times New Roman" w:hAnsi="Times New Roman" w:cs="Times New Roman"/>
                <w:u w:val="none"/>
                <w:lang w:val="en-US" w:eastAsia="zh-CN"/>
              </w:rPr>
              <w:t>2</w:t>
            </w:r>
            <w:r>
              <w:rPr>
                <w:rFonts w:hint="eastAsia" w:ascii="Times New Roman" w:hAnsi="Times New Roman" w:cs="Times New Roman"/>
                <w:u w:val="none"/>
                <w:lang w:eastAsia="zh-CN"/>
              </w:rPr>
              <w:t>施工</w:t>
            </w:r>
            <w:r>
              <w:rPr>
                <w:rFonts w:hint="default" w:ascii="Times New Roman" w:hAnsi="Times New Roman" w:cs="Times New Roman"/>
                <w:u w:val="none"/>
              </w:rPr>
              <w:t>废水</w:t>
            </w:r>
            <w:bookmarkEnd w:id="29"/>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工程施工将产生一定量的施工车辆降尘冲洗废水以及生活污水，并随着项目建设期间不同时段其废水产生量有较大的变化。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a）施工车辆降尘冲洗废水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工程施工车辆降尘冲洗废水主要产生于施工车辆出施工区降尘冲洗过程中，污染因子主要为SS，浓度为500~800mg/L，清洗废水经沉淀池澄清后</w:t>
            </w:r>
            <w:r>
              <w:rPr>
                <w:rFonts w:hint="eastAsia"/>
                <w:u w:val="none"/>
                <w:lang w:eastAsia="zh-CN"/>
              </w:rPr>
              <w:t>循环使用</w:t>
            </w:r>
            <w:r>
              <w:rPr>
                <w:rFonts w:hint="default"/>
                <w:u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b）生活污水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u w:val="none"/>
              </w:rPr>
            </w:pPr>
            <w:r>
              <w:rPr>
                <w:rFonts w:hint="default"/>
                <w:u w:val="none"/>
              </w:rPr>
              <w:t>施工期的生活污水主要产生于施工人员临时生活区。本项目施工高峰期施工人员约</w:t>
            </w:r>
            <w:r>
              <w:rPr>
                <w:rFonts w:hint="eastAsia"/>
                <w:u w:val="none"/>
                <w:lang w:val="en-US" w:eastAsia="zh-CN"/>
              </w:rPr>
              <w:t>10</w:t>
            </w:r>
            <w:r>
              <w:rPr>
                <w:rFonts w:hint="default"/>
                <w:u w:val="none"/>
              </w:rPr>
              <w:t>人，施工生活污水约为</w:t>
            </w:r>
            <w:r>
              <w:rPr>
                <w:rFonts w:hint="eastAsia"/>
                <w:u w:val="none"/>
                <w:lang w:val="en-US" w:eastAsia="zh-CN"/>
              </w:rPr>
              <w:t>0.5</w:t>
            </w:r>
            <w:r>
              <w:rPr>
                <w:rFonts w:hint="eastAsia"/>
                <w:u w:val="none"/>
                <w:lang w:eastAsia="zh-CN"/>
              </w:rPr>
              <w:t>m³</w:t>
            </w:r>
            <w:r>
              <w:rPr>
                <w:rFonts w:hint="default"/>
                <w:u w:val="none"/>
              </w:rPr>
              <w:t>/d。施工生活污水主要污染物为SS、COD及粪大肠菌群等。经化粪池处理后</w:t>
            </w:r>
            <w:r>
              <w:rPr>
                <w:rFonts w:hint="eastAsia"/>
                <w:u w:val="none"/>
                <w:lang w:eastAsia="zh-CN"/>
              </w:rPr>
              <w:t>做农肥</w:t>
            </w:r>
            <w:r>
              <w:rPr>
                <w:rFonts w:hint="default"/>
                <w:u w:val="none"/>
              </w:rPr>
              <w:t>。</w:t>
            </w:r>
          </w:p>
          <w:p>
            <w:pPr>
              <w:pStyle w:val="5"/>
              <w:suppressLineNumbers w:val="0"/>
              <w:bidi w:val="0"/>
              <w:spacing w:before="0" w:beforeAutospacing="0" w:after="0" w:afterAutospacing="0"/>
              <w:ind w:left="0" w:right="0"/>
              <w:rPr>
                <w:rFonts w:hint="default" w:ascii="Times New Roman" w:hAnsi="Times New Roman" w:cs="Times New Roman"/>
                <w:u w:val="none"/>
              </w:rPr>
            </w:pPr>
            <w:bookmarkStart w:id="30" w:name="_Toc5135"/>
            <w:r>
              <w:rPr>
                <w:rFonts w:hint="eastAsia" w:cs="Times New Roman"/>
                <w:color w:val="auto"/>
                <w:u w:val="none"/>
                <w:lang w:val="en-US" w:eastAsia="zh-CN"/>
              </w:rPr>
              <w:t>5.1.</w:t>
            </w:r>
            <w:r>
              <w:rPr>
                <w:rFonts w:hint="eastAsia" w:ascii="Times New Roman" w:hAnsi="Times New Roman" w:cs="Times New Roman"/>
                <w:u w:val="none"/>
                <w:lang w:val="en-US" w:eastAsia="zh-CN"/>
              </w:rPr>
              <w:t>3</w:t>
            </w:r>
            <w:r>
              <w:rPr>
                <w:rFonts w:hint="default" w:ascii="Times New Roman" w:hAnsi="Times New Roman" w:cs="Times New Roman"/>
                <w:u w:val="none"/>
              </w:rPr>
              <w:t>施工噪声</w:t>
            </w:r>
            <w:bookmarkEnd w:id="30"/>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eastAsia="宋体"/>
                <w:sz w:val="24"/>
                <w:u w:val="none"/>
              </w:rPr>
            </w:pPr>
            <w:r>
              <w:rPr>
                <w:rFonts w:hint="default" w:ascii="Times New Roman" w:hAnsi="Times New Roman" w:eastAsia="宋体"/>
                <w:sz w:val="24"/>
                <w:u w:val="none"/>
              </w:rPr>
              <w:t>项目施工过程产生的噪声主要来自施工机械和运输车辆，施工机械和运输车辆的单体声级一般均在80dB(A)以上，施工机械和运输车辆的噪声将影响施工场地周围区域声环境质量。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eastAsia="宋体"/>
                <w:sz w:val="24"/>
                <w:u w:val="none"/>
              </w:rPr>
            </w:pPr>
            <w:r>
              <w:rPr>
                <w:rFonts w:hint="default" w:ascii="Times New Roman" w:hAnsi="Times New Roman" w:eastAsia="宋体"/>
                <w:sz w:val="24"/>
                <w:u w:val="none"/>
              </w:rPr>
              <w:t>（1）施工机械噪声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eastAsia" w:eastAsia="宋体"/>
                <w:u w:val="none"/>
                <w:lang w:eastAsia="zh-CN"/>
              </w:rPr>
            </w:pPr>
            <w:r>
              <w:rPr>
                <w:rFonts w:hint="eastAsia"/>
                <w:u w:val="none"/>
                <w:lang w:eastAsia="zh-CN"/>
              </w:rPr>
              <w:t>主要为设备安装时产生的安装噪声，配套工程施工过程产生的噪声，及调试过程产生的噪声。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eastAsia="宋体"/>
                <w:sz w:val="24"/>
                <w:u w:val="none"/>
              </w:rPr>
            </w:pPr>
            <w:r>
              <w:rPr>
                <w:rFonts w:hint="default" w:ascii="Times New Roman" w:hAnsi="Times New Roman" w:eastAsia="宋体"/>
                <w:sz w:val="24"/>
                <w:u w:val="none"/>
              </w:rPr>
              <w:t>（2）运输车辆噪声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eastAsia="宋体"/>
                <w:sz w:val="24"/>
                <w:u w:val="none"/>
              </w:rPr>
            </w:pPr>
            <w:r>
              <w:rPr>
                <w:rFonts w:hint="default" w:ascii="Times New Roman" w:hAnsi="Times New Roman" w:eastAsia="宋体"/>
                <w:sz w:val="24"/>
                <w:u w:val="none"/>
              </w:rPr>
              <w:t>施工过程需要运输原材料，物料运输车流量增加，施工过程中使用的大型货运卡车，其噪声级高达95dB(A)，施工过程交通运输车辆噪声源强见</w:t>
            </w:r>
            <w:r>
              <w:rPr>
                <w:rFonts w:hint="eastAsia"/>
                <w:sz w:val="24"/>
                <w:u w:val="none"/>
                <w:lang w:eastAsia="zh-CN"/>
              </w:rPr>
              <w:t>下表</w:t>
            </w:r>
            <w:r>
              <w:rPr>
                <w:rFonts w:hint="default" w:ascii="Times New Roman" w:hAnsi="Times New Roman" w:eastAsia="宋体"/>
                <w:sz w:val="24"/>
                <w:u w:val="none"/>
              </w:rPr>
              <w:t>。</w:t>
            </w:r>
          </w:p>
          <w:p>
            <w:pPr>
              <w:keepNext w:val="0"/>
              <w:keepLines w:val="0"/>
              <w:suppressLineNumbers w:val="0"/>
              <w:spacing w:before="0" w:beforeAutospacing="0" w:after="0" w:afterAutospacing="0"/>
              <w:ind w:left="0" w:right="0" w:firstLine="482"/>
              <w:jc w:val="center"/>
              <w:rPr>
                <w:rFonts w:hint="default" w:ascii="Times New Roman" w:hAnsi="Times New Roman" w:eastAsia="宋体"/>
                <w:b/>
                <w:sz w:val="24"/>
                <w:u w:val="none"/>
              </w:rPr>
            </w:pPr>
            <w:r>
              <w:rPr>
                <w:rFonts w:hint="default" w:ascii="Times New Roman" w:hAnsi="Times New Roman" w:eastAsia="宋体"/>
                <w:b/>
                <w:sz w:val="24"/>
                <w:u w:val="none"/>
              </w:rPr>
              <w:t>表</w:t>
            </w:r>
            <w:r>
              <w:rPr>
                <w:rFonts w:hint="eastAsia"/>
                <w:b/>
                <w:sz w:val="24"/>
                <w:u w:val="none"/>
                <w:lang w:val="en-US" w:eastAsia="zh-CN"/>
              </w:rPr>
              <w:t>5.1-1</w:t>
            </w:r>
            <w:r>
              <w:rPr>
                <w:rFonts w:hint="default" w:ascii="Times New Roman" w:hAnsi="Times New Roman" w:eastAsia="宋体"/>
                <w:b/>
                <w:sz w:val="24"/>
                <w:u w:val="none"/>
              </w:rPr>
              <w:t xml:space="preserve">  施工期运输车辆噪声级单位：dB(A)</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drawing>
                <wp:inline distT="0" distB="0" distL="114300" distR="114300">
                  <wp:extent cx="5320665" cy="426720"/>
                  <wp:effectExtent l="0" t="0" r="13335" b="1143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15"/>
                          <a:stretch>
                            <a:fillRect/>
                          </a:stretch>
                        </pic:blipFill>
                        <pic:spPr>
                          <a:xfrm>
                            <a:off x="0" y="0"/>
                            <a:ext cx="5320665" cy="426720"/>
                          </a:xfrm>
                          <a:prstGeom prst="rect">
                            <a:avLst/>
                          </a:prstGeom>
                          <a:noFill/>
                          <a:ln>
                            <a:noFill/>
                          </a:ln>
                        </pic:spPr>
                      </pic:pic>
                    </a:graphicData>
                  </a:graphic>
                </wp:inline>
              </w:drawing>
            </w:r>
          </w:p>
          <w:p>
            <w:pPr>
              <w:pStyle w:val="5"/>
              <w:suppressLineNumbers w:val="0"/>
              <w:bidi w:val="0"/>
              <w:spacing w:before="0" w:beforeAutospacing="0" w:after="0" w:afterAutospacing="0"/>
              <w:ind w:left="0" w:right="0"/>
              <w:rPr>
                <w:rFonts w:hint="default" w:ascii="Times New Roman" w:hAnsi="Times New Roman" w:cs="Times New Roman"/>
                <w:u w:val="none"/>
              </w:rPr>
            </w:pPr>
            <w:bookmarkStart w:id="31" w:name="_Toc17775"/>
            <w:r>
              <w:rPr>
                <w:rFonts w:hint="eastAsia" w:cs="Times New Roman"/>
                <w:color w:val="auto"/>
                <w:u w:val="none"/>
                <w:lang w:val="en-US" w:eastAsia="zh-CN"/>
              </w:rPr>
              <w:t>5.1.</w:t>
            </w:r>
            <w:r>
              <w:rPr>
                <w:rFonts w:hint="default" w:ascii="Times New Roman" w:hAnsi="Times New Roman" w:cs="Times New Roman"/>
                <w:u w:val="none"/>
              </w:rPr>
              <w:t>4</w:t>
            </w:r>
            <w:r>
              <w:rPr>
                <w:rFonts w:hint="eastAsia" w:ascii="Times New Roman" w:hAnsi="Times New Roman" w:cs="Times New Roman"/>
                <w:u w:val="none"/>
                <w:lang w:eastAsia="zh-CN"/>
              </w:rPr>
              <w:t>施工期</w:t>
            </w:r>
            <w:r>
              <w:rPr>
                <w:rFonts w:hint="default" w:ascii="Times New Roman" w:hAnsi="Times New Roman" w:cs="Times New Roman"/>
                <w:u w:val="none"/>
              </w:rPr>
              <w:t>固体废弃物</w:t>
            </w:r>
            <w:bookmarkEnd w:id="31"/>
          </w:p>
          <w:p>
            <w:pPr>
              <w:keepNext w:val="0"/>
              <w:keepLines w:val="0"/>
              <w:suppressLineNumbers w:val="0"/>
              <w:spacing w:before="0" w:beforeAutospacing="0" w:after="0" w:afterAutospacing="0"/>
              <w:ind w:left="0" w:right="0" w:firstLine="480"/>
              <w:rPr>
                <w:rFonts w:hint="default"/>
                <w:u w:val="none"/>
              </w:rPr>
            </w:pPr>
            <w:r>
              <w:rPr>
                <w:rFonts w:hint="default" w:ascii="Times New Roman" w:hAnsi="Times New Roman" w:eastAsia="宋体"/>
                <w:sz w:val="24"/>
                <w:u w:val="none"/>
              </w:rPr>
              <w:t>施工期间固体废物主要来自施工人员的生活垃圾。施工人员在施工现场施工会产生生活垃圾，在施工现场不设施工营地和食堂，可大大减少生活垃圾的排放。施工使用的厕所和垃圾收集箱等卫生设施全部依托</w:t>
            </w:r>
            <w:r>
              <w:rPr>
                <w:rFonts w:hint="eastAsia"/>
                <w:u w:val="none"/>
                <w:lang w:eastAsia="zh-CN"/>
              </w:rPr>
              <w:t>湘阴县顽石再生科技有限公司</w:t>
            </w:r>
            <w:r>
              <w:rPr>
                <w:rFonts w:hint="default" w:ascii="Times New Roman" w:hAnsi="Times New Roman" w:eastAsia="宋体"/>
                <w:sz w:val="24"/>
                <w:u w:val="none"/>
              </w:rPr>
              <w:t>现有，纳入</w:t>
            </w:r>
            <w:r>
              <w:rPr>
                <w:rFonts w:hint="eastAsia"/>
                <w:u w:val="none"/>
                <w:lang w:eastAsia="zh-CN"/>
              </w:rPr>
              <w:t>湘阴县顽石再生科技有限公司</w:t>
            </w:r>
            <w:r>
              <w:rPr>
                <w:rFonts w:hint="default" w:ascii="Times New Roman" w:hAnsi="Times New Roman" w:eastAsia="宋体"/>
                <w:sz w:val="24"/>
                <w:u w:val="none"/>
              </w:rPr>
              <w:t>环卫收运系统，进行集中收集处理。</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auto"/>
                <w:u w:val="none"/>
                <w:lang w:val="en-US" w:eastAsia="zh-CN"/>
              </w:rPr>
            </w:pPr>
            <w:bookmarkStart w:id="32" w:name="_Toc19073"/>
          </w:p>
          <w:p>
            <w:pPr>
              <w:pStyle w:val="4"/>
              <w:suppressLineNumbers w:val="0"/>
              <w:bidi w:val="0"/>
              <w:spacing w:before="0" w:beforeAutospacing="0" w:after="0" w:afterAutospacing="0"/>
              <w:ind w:left="0" w:right="0"/>
              <w:rPr>
                <w:rFonts w:hint="default"/>
                <w:u w:val="none"/>
              </w:rPr>
            </w:pPr>
            <w:bookmarkStart w:id="33" w:name="_Toc15385"/>
            <w:r>
              <w:rPr>
                <w:rFonts w:hint="eastAsia"/>
                <w:u w:val="none"/>
                <w:lang w:val="en-US" w:eastAsia="zh-CN"/>
              </w:rPr>
              <w:t>5</w:t>
            </w:r>
            <w:r>
              <w:rPr>
                <w:rFonts w:hint="default"/>
                <w:u w:val="none"/>
              </w:rPr>
              <w:t>.2 运营期工程分析</w:t>
            </w:r>
            <w:bookmarkEnd w:id="32"/>
            <w:bookmarkEnd w:id="33"/>
          </w:p>
          <w:p>
            <w:pPr>
              <w:pStyle w:val="5"/>
              <w:suppressLineNumbers w:val="0"/>
              <w:bidi w:val="0"/>
              <w:spacing w:before="0" w:beforeAutospacing="0" w:after="0" w:afterAutospacing="0"/>
              <w:ind w:left="0" w:right="0"/>
              <w:rPr>
                <w:rFonts w:hint="default"/>
                <w:u w:val="none"/>
              </w:rPr>
            </w:pPr>
            <w:bookmarkStart w:id="34" w:name="_Toc13073933"/>
            <w:bookmarkStart w:id="35" w:name="_Toc7079956"/>
            <w:bookmarkStart w:id="36" w:name="_Toc23411115"/>
            <w:bookmarkStart w:id="37" w:name="_Toc26716"/>
            <w:bookmarkStart w:id="38" w:name="_Toc6444"/>
            <w:r>
              <w:rPr>
                <w:rFonts w:hint="eastAsia"/>
                <w:u w:val="none"/>
                <w:lang w:val="en-US" w:eastAsia="zh-CN"/>
              </w:rPr>
              <w:t>5</w:t>
            </w:r>
            <w:r>
              <w:rPr>
                <w:rFonts w:hint="default"/>
                <w:u w:val="none"/>
              </w:rPr>
              <w:t>.2.1运营期生产工艺流程及产污环节</w:t>
            </w:r>
            <w:bookmarkEnd w:id="34"/>
            <w:bookmarkEnd w:id="35"/>
            <w:bookmarkEnd w:id="36"/>
            <w:bookmarkEnd w:id="37"/>
            <w:bookmarkEnd w:id="38"/>
          </w:p>
          <w:p>
            <w:pPr>
              <w:keepNext w:val="0"/>
              <w:keepLines w:val="0"/>
              <w:suppressLineNumbers w:val="0"/>
              <w:bidi w:val="0"/>
              <w:spacing w:before="0" w:beforeAutospacing="0" w:after="0" w:afterAutospacing="0"/>
              <w:ind w:left="0" w:right="0"/>
              <w:rPr>
                <w:rFonts w:hint="eastAsia" w:ascii="Times New Roman" w:hAnsi="Times New Roman" w:eastAsia="宋体" w:cs="Times New Roman"/>
                <w:bCs/>
                <w:sz w:val="24"/>
                <w:szCs w:val="24"/>
                <w:u w:val="none"/>
              </w:rPr>
            </w:pPr>
            <w:r>
              <w:rPr>
                <w:rFonts w:hint="eastAsia" w:ascii="Times New Roman" w:hAnsi="Times New Roman" w:eastAsia="宋体" w:cs="Times New Roman"/>
                <w:bCs/>
                <w:sz w:val="24"/>
                <w:szCs w:val="24"/>
                <w:u w:val="none"/>
              </w:rPr>
              <w:t>本项目以下生产工艺流程以典型回收处理的普通乘用车车型进行阐述。</w:t>
            </w:r>
          </w:p>
          <w:p>
            <w:pPr>
              <w:keepNext w:val="0"/>
              <w:keepLines w:val="0"/>
              <w:suppressLineNumbers w:val="0"/>
              <w:spacing w:before="0" w:beforeAutospacing="0" w:after="0" w:afterAutospacing="0"/>
              <w:ind w:left="0" w:right="0"/>
              <w:rPr>
                <w:rFonts w:hint="default"/>
                <w:u w:val="none"/>
              </w:rPr>
            </w:pPr>
            <w:r>
              <w:rPr>
                <w:rFonts w:hint="eastAsia"/>
                <w:u w:val="none"/>
                <w:lang w:eastAsia="zh-CN"/>
              </w:rPr>
              <w:t>根据《报废机动车回收管理办法》（国务院令第</w:t>
            </w:r>
            <w:r>
              <w:rPr>
                <w:rFonts w:hint="eastAsia"/>
                <w:u w:val="none"/>
                <w:lang w:val="en-US" w:eastAsia="zh-CN"/>
              </w:rPr>
              <w:t>715号</w:t>
            </w:r>
            <w:r>
              <w:rPr>
                <w:rFonts w:hint="eastAsia"/>
                <w:u w:val="none"/>
                <w:lang w:eastAsia="zh-CN"/>
              </w:rPr>
              <w:t>）、</w:t>
            </w:r>
            <w:r>
              <w:rPr>
                <w:rFonts w:hint="eastAsia" w:ascii="Times New Roman" w:hAnsi="Times New Roman" w:eastAsia="宋体" w:cs="Times New Roman"/>
                <w:bCs/>
                <w:sz w:val="24"/>
                <w:szCs w:val="24"/>
                <w:u w:val="none"/>
              </w:rPr>
              <w:t>《报废汽车回收拆解企业技术规范》（GB22128-</w:t>
            </w:r>
            <w:r>
              <w:rPr>
                <w:rFonts w:hint="eastAsia" w:cs="Times New Roman"/>
                <w:bCs/>
                <w:sz w:val="24"/>
                <w:szCs w:val="24"/>
                <w:u w:val="none"/>
                <w:lang w:val="en-US" w:eastAsia="zh-CN"/>
              </w:rPr>
              <w:t>2019</w:t>
            </w:r>
            <w:r>
              <w:rPr>
                <w:rFonts w:hint="eastAsia" w:ascii="Times New Roman" w:hAnsi="Times New Roman" w:eastAsia="宋体" w:cs="Times New Roman"/>
                <w:bCs/>
                <w:sz w:val="24"/>
                <w:szCs w:val="24"/>
                <w:u w:val="none"/>
              </w:rPr>
              <w:t>）、《报废机动车拆解环境保护技术规范》（HJ348-2007）中相关规定，严格遵循报废汽车回收拆解企业的工作程序，</w:t>
            </w:r>
            <w:r>
              <w:rPr>
                <w:rFonts w:hint="default"/>
                <w:u w:val="none"/>
              </w:rPr>
              <w:t>拆解工艺主要包括报废汽车预处理、报废汽车拆解，不涉及深度处理和危险废物处理</w:t>
            </w:r>
            <w:r>
              <w:rPr>
                <w:rFonts w:hint="eastAsia"/>
                <w:u w:val="none"/>
                <w:lang w:eastAsia="zh-CN"/>
              </w:rPr>
              <w:t>，</w:t>
            </w:r>
            <w:r>
              <w:rPr>
                <w:rFonts w:hint="default"/>
                <w:u w:val="none"/>
              </w:rPr>
              <w:t>不设置破碎过程，也无零件清洗及含危险废物的线路板等部件精细拆解、翻新等步骤</w:t>
            </w:r>
            <w:r>
              <w:rPr>
                <w:rFonts w:hint="eastAsia"/>
                <w:u w:val="none"/>
                <w:lang w:eastAsia="zh-CN"/>
              </w:rPr>
              <w:t>，</w:t>
            </w:r>
            <w:r>
              <w:rPr>
                <w:rFonts w:hint="eastAsia" w:ascii="Times New Roman" w:hAnsi="Times New Roman" w:eastAsia="宋体" w:cs="Times New Roman"/>
                <w:bCs/>
                <w:sz w:val="24"/>
                <w:szCs w:val="24"/>
                <w:u w:val="none"/>
              </w:rPr>
              <w:t>拆解工艺流程如下。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object>
                <v:shape id="_x0000_i1026" o:spt="75" type="#_x0000_t75" style="height:218.3pt;width:89.2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pPr>
              <w:pStyle w:val="2"/>
              <w:keepNext w:val="0"/>
              <w:keepLines w:val="0"/>
              <w:suppressLineNumbers w:val="0"/>
              <w:spacing w:before="0" w:beforeAutospacing="0" w:afterAutospacing="0"/>
              <w:ind w:left="0" w:right="0"/>
              <w:jc w:val="center"/>
              <w:rPr>
                <w:rFonts w:hint="default" w:eastAsia="宋体"/>
                <w:b/>
                <w:bCs/>
                <w:u w:val="none"/>
                <w:lang w:val="en-US" w:eastAsia="zh-CN"/>
              </w:rPr>
            </w:pPr>
            <w:r>
              <w:rPr>
                <w:rFonts w:hint="eastAsia" w:cs="Times New Roman"/>
                <w:b/>
                <w:bCs/>
                <w:color w:val="auto"/>
                <w:u w:val="none"/>
                <w:lang w:eastAsia="zh-CN"/>
              </w:rPr>
              <w:t>图</w:t>
            </w:r>
            <w:r>
              <w:rPr>
                <w:rFonts w:hint="eastAsia" w:cs="Times New Roman"/>
                <w:b/>
                <w:bCs/>
                <w:color w:val="auto"/>
                <w:u w:val="none"/>
                <w:lang w:val="en-US" w:eastAsia="zh-CN"/>
              </w:rPr>
              <w:t>5.2-1  拆解工艺流程</w:t>
            </w:r>
          </w:p>
          <w:p>
            <w:pPr>
              <w:pStyle w:val="2"/>
              <w:keepNext w:val="0"/>
              <w:keepLines w:val="0"/>
              <w:suppressLineNumbers w:val="0"/>
              <w:spacing w:before="0" w:beforeAutospacing="0" w:afterAutospacing="0"/>
              <w:ind w:left="0" w:right="0"/>
              <w:rPr>
                <w:rFonts w:hint="default"/>
                <w:u w:val="none"/>
              </w:rPr>
            </w:pPr>
            <w:r>
              <w:rPr>
                <w:rFonts w:hint="eastAsia"/>
                <w:u w:val="none"/>
                <w:lang w:eastAsia="zh-CN"/>
              </w:rPr>
              <w:t>根据《报废机动车回收管理办法》（国务院令第</w:t>
            </w:r>
            <w:r>
              <w:rPr>
                <w:rFonts w:hint="eastAsia"/>
                <w:u w:val="none"/>
                <w:lang w:val="en-US" w:eastAsia="zh-CN"/>
              </w:rPr>
              <w:t>715号</w:t>
            </w:r>
            <w:r>
              <w:rPr>
                <w:rFonts w:hint="eastAsia"/>
                <w:u w:val="none"/>
                <w:lang w:eastAsia="zh-CN"/>
              </w:rPr>
              <w:t>），拆解的报废机动车“五大总成”具备再制造条件</w:t>
            </w:r>
            <w:r>
              <w:rPr>
                <w:rFonts w:hint="eastAsia"/>
                <w:u w:val="none"/>
                <w:lang w:val="en-US" w:eastAsia="zh-CN"/>
              </w:rPr>
              <w:t>的，可以按照国家有关规定出售给具有再制造能力的企业经过再制造予以循环利用；不具备制造条件的，应当作为废金属，交售给钢铁企业作为冶炼原料。拆解的报废机动车“五大总成”以外的零部件符合包装人身和财产安全等强制性国家标准，能够继续使用的，可以出售，但应当标明“报废机动车回用件”。根据建设单位的经验，约30%的“五大总成”和其他零部件符合回收条件。</w:t>
            </w:r>
          </w:p>
          <w:p>
            <w:pPr>
              <w:pStyle w:val="12"/>
              <w:keepNext w:val="0"/>
              <w:keepLines w:val="0"/>
              <w:suppressLineNumbers w:val="0"/>
              <w:bidi w:val="0"/>
              <w:spacing w:before="0" w:beforeAutospacing="0" w:after="0" w:afterAutospacing="0"/>
              <w:ind w:right="0"/>
              <w:rPr>
                <w:rFonts w:hint="eastAsia" w:eastAsia="宋体"/>
                <w:b/>
                <w:u w:val="none"/>
                <w:lang w:eastAsia="zh-CN"/>
              </w:rPr>
            </w:pPr>
            <w:r>
              <w:rPr>
                <w:rFonts w:hint="eastAsia" w:eastAsia="宋体"/>
                <w:b/>
                <w:u w:val="none"/>
                <w:lang w:eastAsia="zh-CN"/>
              </w:rPr>
              <w:object>
                <v:shape id="_x0000_i1027" o:spt="75" type="#_x0000_t75" style="height:606.05pt;width:421.5pt;" o:ole="t" filled="f" o:preferrelative="t" stroked="f" coordsize="21600,21600">
                  <v:path/>
                  <v:fill on="f" focussize="0,0"/>
                  <v:stroke on="f"/>
                  <v:imagedata r:id="rId19" o:title=""/>
                  <o:lock v:ext="edit" aspectratio="t"/>
                  <w10:wrap type="none"/>
                  <w10:anchorlock/>
                </v:shape>
                <o:OLEObject Type="Embed" ProgID="Visio.Drawing.11" ShapeID="_x0000_i1027" DrawAspect="Content" ObjectID="_1468075727" r:id="rId18">
                  <o:LockedField>false</o:LockedField>
                </o:OLEObject>
              </w:object>
            </w:r>
          </w:p>
          <w:p>
            <w:pPr>
              <w:keepNext w:val="0"/>
              <w:keepLines w:val="0"/>
              <w:suppressLineNumbers w:val="0"/>
              <w:spacing w:before="0" w:beforeAutospacing="0" w:after="0" w:afterAutospacing="0"/>
              <w:ind w:left="0" w:right="0" w:firstLine="480"/>
              <w:jc w:val="center"/>
              <w:rPr>
                <w:rFonts w:hint="default"/>
                <w:b/>
                <w:u w:val="none"/>
              </w:rPr>
            </w:pPr>
            <w:r>
              <w:rPr>
                <w:rFonts w:hint="default"/>
                <w:b/>
                <w:u w:val="none"/>
              </w:rPr>
              <w:t>图</w:t>
            </w:r>
            <w:r>
              <w:rPr>
                <w:rFonts w:hint="eastAsia"/>
                <w:b/>
                <w:u w:val="none"/>
                <w:lang w:val="en-US" w:eastAsia="zh-CN"/>
              </w:rPr>
              <w:t>5</w:t>
            </w:r>
            <w:r>
              <w:rPr>
                <w:rFonts w:hint="default"/>
                <w:b/>
                <w:u w:val="none"/>
              </w:rPr>
              <w:t>.2-</w:t>
            </w:r>
            <w:r>
              <w:rPr>
                <w:rFonts w:hint="eastAsia"/>
                <w:b/>
                <w:u w:val="none"/>
                <w:lang w:val="en-US" w:eastAsia="zh-CN"/>
              </w:rPr>
              <w:t>2</w:t>
            </w:r>
            <w:r>
              <w:rPr>
                <w:rFonts w:hint="default"/>
                <w:b/>
                <w:u w:val="none"/>
              </w:rPr>
              <w:t xml:space="preserve">  工艺流程及产污环节图</w:t>
            </w:r>
          </w:p>
          <w:p>
            <w:pPr>
              <w:keepNext w:val="0"/>
              <w:keepLines w:val="0"/>
              <w:suppressLineNumbers w:val="0"/>
              <w:spacing w:before="0" w:beforeAutospacing="0" w:after="0" w:afterAutospacing="0"/>
              <w:ind w:left="0" w:right="0" w:firstLine="482"/>
              <w:rPr>
                <w:rFonts w:hint="default"/>
                <w:b/>
                <w:u w:val="none"/>
              </w:rPr>
            </w:pPr>
            <w:r>
              <w:rPr>
                <w:rFonts w:hint="default"/>
                <w:b/>
                <w:u w:val="none"/>
              </w:rPr>
              <w:t>工艺流程简述：</w:t>
            </w:r>
          </w:p>
          <w:p>
            <w:pPr>
              <w:pStyle w:val="6"/>
              <w:numPr>
                <w:ilvl w:val="0"/>
                <w:numId w:val="1"/>
              </w:numPr>
              <w:suppressLineNumbers w:val="0"/>
              <w:spacing w:before="0" w:beforeAutospacing="0" w:after="0" w:afterAutospacing="0"/>
              <w:ind w:left="0" w:leftChars="0" w:right="0" w:firstLine="425" w:firstLineChars="0"/>
              <w:rPr>
                <w:rFonts w:hint="default" w:ascii="Times New Roman" w:hAnsi="Times New Roman" w:cs="Times New Roman"/>
                <w:u w:val="none"/>
              </w:rPr>
            </w:pPr>
            <w:r>
              <w:rPr>
                <w:rFonts w:hint="default" w:ascii="Times New Roman" w:hAnsi="Times New Roman" w:cs="Times New Roman"/>
                <w:u w:val="none"/>
              </w:rPr>
              <w:t>检查和登记</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 (1)检查报废汽车发动机、散热器、变速器、差速器、油箱等总成部件的密封、破损情况。对于出现泄漏的总成部件，应采用适当的方式收集泄漏的液体或封住泄漏处，防止废液渗入地下。</w:t>
            </w:r>
          </w:p>
          <w:p>
            <w:pPr>
              <w:keepNext w:val="0"/>
              <w:keepLines w:val="0"/>
              <w:suppressLineNumbers w:val="0"/>
              <w:spacing w:before="0" w:beforeAutospacing="0" w:after="0" w:afterAutospacing="0"/>
              <w:ind w:left="0" w:right="0" w:firstLine="480"/>
              <w:rPr>
                <w:rFonts w:hint="default"/>
                <w:u w:val="none"/>
              </w:rPr>
            </w:pPr>
            <w:r>
              <w:rPr>
                <w:rFonts w:hint="default"/>
                <w:u w:val="none"/>
              </w:rPr>
              <w:t>(2)对报废汽车进行登记注册并拍照，将其主要信息录入电脑数据库并在车身醒目位置贴上显示信息的标签。主要信息包括:报废汽车车主(单位或个人)名称、证件号码、牌照号码、车型、品牌型号、车身颜色、重量、发动机号、车辆识别代号(或车架号)、出厂年份、接收或收购日期。</w:t>
            </w:r>
          </w:p>
          <w:p>
            <w:pPr>
              <w:keepNext w:val="0"/>
              <w:keepLines w:val="0"/>
              <w:suppressLineNumbers w:val="0"/>
              <w:spacing w:before="0" w:beforeAutospacing="0" w:after="0" w:afterAutospacing="0"/>
              <w:ind w:left="0" w:right="0" w:firstLine="480"/>
              <w:rPr>
                <w:rFonts w:hint="default"/>
                <w:u w:val="none"/>
              </w:rPr>
            </w:pPr>
            <w:r>
              <w:rPr>
                <w:rFonts w:hint="default"/>
                <w:u w:val="none"/>
              </w:rPr>
              <w:t>(3)将报废汽车的机动车登记证书、号牌、行驶证交公安机关交通管理部门办理注销登记。</w:t>
            </w:r>
          </w:p>
          <w:p>
            <w:pPr>
              <w:keepNext w:val="0"/>
              <w:keepLines w:val="0"/>
              <w:suppressLineNumbers w:val="0"/>
              <w:spacing w:before="0" w:beforeAutospacing="0" w:after="0" w:afterAutospacing="0"/>
              <w:ind w:left="0" w:right="0" w:firstLine="480"/>
              <w:rPr>
                <w:rFonts w:hint="default"/>
                <w:u w:val="none"/>
              </w:rPr>
            </w:pPr>
            <w:r>
              <w:rPr>
                <w:rFonts w:hint="default"/>
                <w:u w:val="none"/>
              </w:rPr>
              <w:t>(4)向报废汽车车主发放《报废汽车回收证明》及有关注销书面材料。</w:t>
            </w:r>
          </w:p>
          <w:p>
            <w:pPr>
              <w:pStyle w:val="6"/>
              <w:numPr>
                <w:ilvl w:val="0"/>
                <w:numId w:val="1"/>
              </w:numPr>
              <w:suppressLineNumbers w:val="0"/>
              <w:spacing w:before="0" w:beforeAutospacing="0" w:after="0" w:afterAutospacing="0"/>
              <w:ind w:left="0" w:leftChars="0" w:right="0" w:firstLine="420" w:firstLineChars="0"/>
              <w:rPr>
                <w:rFonts w:hint="default" w:ascii="Times New Roman" w:hAnsi="Times New Roman" w:cs="Times New Roman"/>
                <w:u w:val="none"/>
              </w:rPr>
            </w:pPr>
            <w:r>
              <w:rPr>
                <w:rFonts w:hint="default" w:ascii="Times New Roman" w:hAnsi="Times New Roman" w:cs="Times New Roman"/>
                <w:u w:val="none"/>
              </w:rPr>
              <w:t>拆解预处理</w:t>
            </w:r>
          </w:p>
          <w:p>
            <w:pPr>
              <w:keepNext w:val="0"/>
              <w:keepLines w:val="0"/>
              <w:suppressLineNumbers w:val="0"/>
              <w:spacing w:before="0" w:beforeAutospacing="0" w:after="0" w:afterAutospacing="0"/>
              <w:ind w:left="0" w:right="0" w:firstLine="480"/>
              <w:rPr>
                <w:rFonts w:hint="default"/>
                <w:b/>
                <w:bCs/>
                <w:i/>
                <w:iCs/>
                <w:u w:val="none"/>
              </w:rPr>
            </w:pPr>
            <w:r>
              <w:rPr>
                <w:rFonts w:hint="eastAsia"/>
                <w:b/>
                <w:bCs/>
                <w:i/>
                <w:iCs/>
                <w:u w:val="none"/>
                <w:lang w:eastAsia="zh-CN"/>
              </w:rPr>
              <w:t>机动</w:t>
            </w:r>
            <w:r>
              <w:rPr>
                <w:rFonts w:hint="default"/>
                <w:b/>
                <w:bCs/>
                <w:i/>
                <w:iCs/>
                <w:u w:val="none"/>
              </w:rPr>
              <w:t>车预处理主要内容如下：</w:t>
            </w:r>
          </w:p>
          <w:p>
            <w:pPr>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w:t>
            </w:r>
            <w:r>
              <w:rPr>
                <w:rFonts w:hint="default"/>
                <w:u w:val="none"/>
              </w:rPr>
              <w:t>拆除蓄电池</w:t>
            </w:r>
          </w:p>
          <w:p>
            <w:pPr>
              <w:keepNext w:val="0"/>
              <w:keepLines w:val="0"/>
              <w:suppressLineNumbers w:val="0"/>
              <w:bidi w:val="0"/>
              <w:spacing w:before="0" w:beforeAutospacing="0" w:after="0" w:afterAutospacing="0"/>
              <w:ind w:left="0" w:right="0"/>
              <w:rPr>
                <w:rFonts w:hint="default"/>
                <w:u w:val="none"/>
              </w:rPr>
            </w:pPr>
            <w:r>
              <w:rPr>
                <w:rFonts w:hint="eastAsia"/>
                <w:u w:val="none"/>
              </w:rPr>
              <w:t>①</w:t>
            </w:r>
            <w:r>
              <w:rPr>
                <w:rFonts w:hint="default"/>
                <w:u w:val="none"/>
              </w:rPr>
              <w:t xml:space="preserve">断掉汽车总电源开关。 </w:t>
            </w:r>
          </w:p>
          <w:p>
            <w:pPr>
              <w:keepNext w:val="0"/>
              <w:keepLines w:val="0"/>
              <w:suppressLineNumbers w:val="0"/>
              <w:bidi w:val="0"/>
              <w:spacing w:before="0" w:beforeAutospacing="0" w:after="0" w:afterAutospacing="0"/>
              <w:ind w:left="0" w:right="0"/>
              <w:rPr>
                <w:rFonts w:hint="default"/>
                <w:u w:val="none"/>
              </w:rPr>
            </w:pPr>
            <w:r>
              <w:rPr>
                <w:rFonts w:hint="eastAsia"/>
                <w:u w:val="none"/>
              </w:rPr>
              <w:t>②</w:t>
            </w:r>
            <w:r>
              <w:rPr>
                <w:rFonts w:hint="default"/>
                <w:u w:val="none"/>
              </w:rPr>
              <w:t xml:space="preserve">用扳手拆除蓄电池负极的接线端子，并将负极端子用绝缘材料包扎，扣好负极柱帽。 </w:t>
            </w:r>
          </w:p>
          <w:p>
            <w:pPr>
              <w:keepNext w:val="0"/>
              <w:keepLines w:val="0"/>
              <w:suppressLineNumbers w:val="0"/>
              <w:bidi w:val="0"/>
              <w:spacing w:before="0" w:beforeAutospacing="0" w:after="0" w:afterAutospacing="0"/>
              <w:ind w:left="0" w:right="0"/>
              <w:rPr>
                <w:rFonts w:hint="default"/>
                <w:u w:val="none"/>
              </w:rPr>
            </w:pPr>
            <w:r>
              <w:rPr>
                <w:rFonts w:hint="eastAsia"/>
                <w:u w:val="none"/>
              </w:rPr>
              <w:t>③</w:t>
            </w:r>
            <w:r>
              <w:rPr>
                <w:rFonts w:hint="default"/>
                <w:u w:val="none"/>
              </w:rPr>
              <w:t xml:space="preserve">用扳手拆除蓄电池正极接线端子，扣好正极柱帽。 </w:t>
            </w:r>
          </w:p>
          <w:p>
            <w:pPr>
              <w:keepNext w:val="0"/>
              <w:keepLines w:val="0"/>
              <w:suppressLineNumbers w:val="0"/>
              <w:bidi w:val="0"/>
              <w:spacing w:before="0" w:beforeAutospacing="0" w:after="0" w:afterAutospacing="0"/>
              <w:ind w:left="0" w:right="0"/>
              <w:rPr>
                <w:rFonts w:hint="default"/>
                <w:u w:val="none"/>
              </w:rPr>
            </w:pPr>
            <w:r>
              <w:rPr>
                <w:rFonts w:hint="eastAsia"/>
                <w:u w:val="none"/>
              </w:rPr>
              <w:t>④</w:t>
            </w:r>
            <w:r>
              <w:rPr>
                <w:rFonts w:hint="default"/>
                <w:u w:val="none"/>
              </w:rPr>
              <w:t xml:space="preserve">用扳手拆除蓄电池固定支架。 </w:t>
            </w:r>
          </w:p>
          <w:p>
            <w:pPr>
              <w:keepNext w:val="0"/>
              <w:keepLines w:val="0"/>
              <w:suppressLineNumbers w:val="0"/>
              <w:bidi w:val="0"/>
              <w:spacing w:before="0" w:beforeAutospacing="0" w:after="0" w:afterAutospacing="0"/>
              <w:ind w:left="0" w:right="0"/>
              <w:rPr>
                <w:rFonts w:hint="default"/>
                <w:u w:val="none"/>
              </w:rPr>
            </w:pPr>
            <w:r>
              <w:rPr>
                <w:rFonts w:hint="eastAsia"/>
                <w:u w:val="none"/>
              </w:rPr>
              <w:t>⑤</w:t>
            </w:r>
            <w:r>
              <w:rPr>
                <w:rFonts w:hint="default"/>
                <w:u w:val="none"/>
              </w:rPr>
              <w:t>人工取出蓄电池装入专用耐酸容器中，蓄电池从汽车拆除后不会再进一步拆解，直接送至危废暂存间暂存。</w:t>
            </w:r>
          </w:p>
          <w:p>
            <w:pPr>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2、</w:t>
            </w:r>
            <w:r>
              <w:rPr>
                <w:rFonts w:hint="default"/>
                <w:u w:val="none"/>
              </w:rPr>
              <w:t>拆除液化气罐</w:t>
            </w:r>
          </w:p>
          <w:p>
            <w:pPr>
              <w:keepNext w:val="0"/>
              <w:keepLines w:val="0"/>
              <w:suppressLineNumbers w:val="0"/>
              <w:bidi w:val="0"/>
              <w:spacing w:before="0" w:beforeAutospacing="0" w:after="0" w:afterAutospacing="0"/>
              <w:ind w:left="0" w:right="0"/>
              <w:rPr>
                <w:rFonts w:hint="default"/>
                <w:u w:val="none"/>
              </w:rPr>
            </w:pPr>
            <w:r>
              <w:rPr>
                <w:rFonts w:hint="default"/>
                <w:u w:val="none"/>
              </w:rPr>
              <w:t>人工对有液化气罐的报废汽车进行拆除，拆除后不进一步处理，运至危废暂存间暂存。</w:t>
            </w:r>
          </w:p>
          <w:p>
            <w:pPr>
              <w:keepNext w:val="0"/>
              <w:keepLines w:val="0"/>
              <w:numPr>
                <w:ilvl w:val="0"/>
                <w:numId w:val="2"/>
              </w:numPr>
              <w:suppressLineNumbers w:val="0"/>
              <w:bidi w:val="0"/>
              <w:spacing w:before="0" w:beforeAutospacing="0" w:after="0" w:afterAutospacing="0"/>
              <w:ind w:left="0" w:right="0"/>
              <w:rPr>
                <w:rFonts w:hint="default"/>
                <w:u w:val="none"/>
              </w:rPr>
            </w:pPr>
            <w:r>
              <w:rPr>
                <w:rFonts w:hint="default"/>
                <w:u w:val="none"/>
              </w:rPr>
              <w:t>拆除安全气囊</w:t>
            </w:r>
            <w:r>
              <w:rPr>
                <w:rFonts w:hint="eastAsia"/>
                <w:u w:val="none"/>
                <w:lang w:eastAsia="zh-CN"/>
              </w:rPr>
              <w:t>组件后引爆</w:t>
            </w:r>
          </w:p>
          <w:p>
            <w:pPr>
              <w:keepNext w:val="0"/>
              <w:keepLines w:val="0"/>
              <w:suppressLineNumbers w:val="0"/>
              <w:bidi w:val="0"/>
              <w:spacing w:before="0" w:beforeAutospacing="0" w:after="0" w:afterAutospacing="0"/>
              <w:ind w:left="0" w:right="0"/>
              <w:rPr>
                <w:rFonts w:hint="default"/>
                <w:u w:val="none"/>
              </w:rPr>
            </w:pPr>
            <w:r>
              <w:rPr>
                <w:rFonts w:hint="default"/>
                <w:u w:val="none"/>
              </w:rPr>
              <w:t>人工对有安全气囊系统的报废汽车先拆除安全气囊系统，拆除后运至安全气囊引爆区单独的房间内，再采用安全气囊引爆装置，在单独的操作间内引爆。安全气囊主要化学成分包括：叠氮化钠、硝酸钾和二氧化硅。引爆时，首先叠氮化钠分解为钠和氮气的混合成分。然后，金属钠和硝酸钾反应释放更多的氮气并形成氧化钾和氧化钠，这些氧化物会立即与二氧化硅结合，形成无害的硅酸钠玻璃，氮气则充进气囊。</w:t>
            </w:r>
          </w:p>
          <w:p>
            <w:pPr>
              <w:keepNext w:val="0"/>
              <w:keepLines w:val="0"/>
              <w:suppressLineNumbers w:val="0"/>
              <w:spacing w:before="0" w:beforeAutospacing="0" w:after="0" w:afterAutospacing="0"/>
              <w:ind w:left="0" w:right="0" w:firstLine="480"/>
              <w:rPr>
                <w:rFonts w:hint="default"/>
                <w:u w:val="none"/>
              </w:rPr>
            </w:pPr>
            <w:r>
              <w:rPr>
                <w:rFonts w:hint="default"/>
                <w:u w:val="none"/>
              </w:rPr>
              <w:t>反应如下：</w:t>
            </w:r>
          </w:p>
          <w:p>
            <w:pPr>
              <w:keepNext w:val="0"/>
              <w:keepLines w:val="0"/>
              <w:suppressLineNumbers w:val="0"/>
              <w:spacing w:before="0" w:beforeAutospacing="0" w:after="0" w:afterAutospacing="0"/>
              <w:ind w:left="0" w:right="0" w:firstLine="480"/>
              <w:rPr>
                <w:rFonts w:hint="default"/>
                <w:u w:val="none"/>
              </w:rPr>
            </w:pPr>
            <w:r>
              <w:rPr>
                <w:rFonts w:hint="default"/>
                <w:u w:val="none"/>
              </w:rPr>
              <w:t>2NaN</w:t>
            </w:r>
            <w:r>
              <w:rPr>
                <w:rFonts w:hint="default"/>
                <w:u w:val="none"/>
                <w:vertAlign w:val="subscript"/>
              </w:rPr>
              <w:t>3</w:t>
            </w:r>
            <w:r>
              <w:rPr>
                <w:rFonts w:hint="default"/>
                <w:u w:val="none"/>
              </w:rPr>
              <w:t>= (撞击) =2Na+3N</w:t>
            </w:r>
            <w:r>
              <w:rPr>
                <w:rFonts w:hint="default"/>
                <w:u w:val="none"/>
                <w:vertAlign w:val="subscript"/>
              </w:rPr>
              <w:t>2</w:t>
            </w:r>
            <w:r>
              <w:rPr>
                <w:rFonts w:hint="default"/>
                <w:u w:val="none"/>
              </w:rPr>
              <w:t xml:space="preserve"> (气体) </w:t>
            </w:r>
          </w:p>
          <w:p>
            <w:pPr>
              <w:keepNext w:val="0"/>
              <w:keepLines w:val="0"/>
              <w:suppressLineNumbers w:val="0"/>
              <w:spacing w:before="0" w:beforeAutospacing="0" w:after="0" w:afterAutospacing="0"/>
              <w:ind w:left="0" w:right="0" w:firstLine="480"/>
              <w:rPr>
                <w:rFonts w:hint="default"/>
                <w:u w:val="none"/>
              </w:rPr>
            </w:pPr>
            <w:r>
              <w:rPr>
                <w:rFonts w:hint="default"/>
                <w:u w:val="none"/>
              </w:rPr>
              <w:t>5Na+ 2 KNO</w:t>
            </w:r>
            <w:r>
              <w:rPr>
                <w:rFonts w:hint="default"/>
                <w:u w:val="none"/>
                <w:vertAlign w:val="subscript"/>
              </w:rPr>
              <w:t>3</w:t>
            </w:r>
            <w:r>
              <w:rPr>
                <w:rFonts w:hint="default"/>
                <w:u w:val="none"/>
              </w:rPr>
              <w:t>+6SiO</w:t>
            </w:r>
            <w:r>
              <w:rPr>
                <w:rFonts w:hint="default"/>
                <w:u w:val="none"/>
                <w:vertAlign w:val="subscript"/>
              </w:rPr>
              <w:t>2</w:t>
            </w:r>
            <w:r>
              <w:rPr>
                <w:rFonts w:hint="default"/>
                <w:u w:val="none"/>
              </w:rPr>
              <w:t>=5NaSiO</w:t>
            </w:r>
            <w:r>
              <w:rPr>
                <w:rFonts w:hint="default"/>
                <w:u w:val="none"/>
                <w:vertAlign w:val="subscript"/>
              </w:rPr>
              <w:t>3</w:t>
            </w:r>
            <w:r>
              <w:rPr>
                <w:rFonts w:hint="default"/>
                <w:u w:val="none"/>
              </w:rPr>
              <w:t>+K</w:t>
            </w:r>
            <w:r>
              <w:rPr>
                <w:rFonts w:hint="default"/>
                <w:u w:val="none"/>
                <w:vertAlign w:val="subscript"/>
              </w:rPr>
              <w:t>2</w:t>
            </w:r>
            <w:r>
              <w:rPr>
                <w:rFonts w:hint="default"/>
                <w:u w:val="none"/>
              </w:rPr>
              <w:t>SiO</w:t>
            </w:r>
            <w:r>
              <w:rPr>
                <w:rFonts w:hint="default"/>
                <w:u w:val="none"/>
                <w:vertAlign w:val="subscript"/>
              </w:rPr>
              <w:t>3</w:t>
            </w:r>
            <w:r>
              <w:rPr>
                <w:rFonts w:hint="default"/>
                <w:u w:val="none"/>
              </w:rPr>
              <w:t>+N</w:t>
            </w:r>
            <w:r>
              <w:rPr>
                <w:rFonts w:hint="default"/>
                <w:u w:val="none"/>
                <w:vertAlign w:val="subscript"/>
              </w:rPr>
              <w:t>2</w:t>
            </w:r>
            <w:r>
              <w:rPr>
                <w:rFonts w:hint="default"/>
                <w:u w:val="none"/>
              </w:rPr>
              <w:t xml:space="preserve"> (气体) </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本项目采用专用设备进行气囊的引爆，从报废汽车拆下的气囊置于引爆容器内， 使用电子引爆器进行引爆，引爆容器为封闭箱式装置，可起到阻隔噪声作用，且可有效保证车间内操作人员安全。充气剂为叠氮化钠（NaN</w:t>
            </w:r>
            <w:r>
              <w:rPr>
                <w:rFonts w:hint="default"/>
                <w:u w:val="none"/>
                <w:vertAlign w:val="subscript"/>
              </w:rPr>
              <w:t>3</w:t>
            </w:r>
            <w:r>
              <w:rPr>
                <w:rFonts w:hint="default"/>
                <w:u w:val="none"/>
              </w:rPr>
              <w:t>），在近乎爆炸的化学反应快速发生的同时，会产生大量无害的以氮气为主的气体，将气囊充气至饱满的状态。同时在充气剂点燃的过程之中，电子引爆器总成中的金属网罩可冷却快速膨胀的气体，随即气囊可由设计好的小排气口排气，排出的气体主要成分为氮气，对空气环境影响较小。引爆后的安全气囊不再具有环境风险，可作为一般的尼龙材料外售。</w:t>
            </w:r>
          </w:p>
          <w:p>
            <w:pPr>
              <w:keepNext w:val="0"/>
              <w:keepLines w:val="0"/>
              <w:suppressLineNumbers w:val="0"/>
              <w:spacing w:before="0" w:beforeAutospacing="0" w:after="0" w:afterAutospacing="0"/>
              <w:ind w:left="0" w:right="0" w:firstLine="480"/>
              <w:rPr>
                <w:rFonts w:hint="default"/>
                <w:u w:val="none"/>
              </w:rPr>
            </w:pPr>
            <w:r>
              <w:rPr>
                <w:rFonts w:hint="default"/>
                <w:u w:val="none"/>
              </w:rPr>
              <w:t>安全气囊的引爆过程见图</w:t>
            </w:r>
            <w:r>
              <w:rPr>
                <w:rFonts w:hint="eastAsia"/>
                <w:u w:val="none"/>
                <w:lang w:val="en-US" w:eastAsia="zh-CN"/>
              </w:rPr>
              <w:t>5</w:t>
            </w:r>
            <w:r>
              <w:rPr>
                <w:rFonts w:hint="default"/>
                <w:u w:val="none"/>
              </w:rPr>
              <w:t>.2-</w:t>
            </w:r>
            <w:r>
              <w:rPr>
                <w:rFonts w:hint="eastAsia"/>
                <w:u w:val="none"/>
                <w:lang w:val="en-US" w:eastAsia="zh-CN"/>
              </w:rPr>
              <w:t>3</w:t>
            </w:r>
            <w:r>
              <w:rPr>
                <w:rFonts w:hint="default"/>
                <w:u w:val="none"/>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u w:val="none"/>
              </w:rPr>
            </w:pPr>
            <w:r>
              <w:rPr>
                <w:rFonts w:hint="default"/>
                <w:sz w:val="24"/>
                <w:u w:val="none"/>
              </w:rPr>
              <w:drawing>
                <wp:inline distT="0" distB="0" distL="114300" distR="114300">
                  <wp:extent cx="4307840" cy="2705735"/>
                  <wp:effectExtent l="9525" t="9525" r="26035" b="279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rcRect l="401" t="642" r="803"/>
                          <a:stretch>
                            <a:fillRect/>
                          </a:stretch>
                        </pic:blipFill>
                        <pic:spPr>
                          <a:xfrm>
                            <a:off x="0" y="0"/>
                            <a:ext cx="4307840" cy="27057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suppressLineNumbers w:val="0"/>
              <w:spacing w:before="0" w:beforeAutospacing="0" w:after="0" w:afterAutospacing="0"/>
              <w:ind w:left="0" w:right="0" w:firstLine="482"/>
              <w:jc w:val="center"/>
              <w:rPr>
                <w:rFonts w:hint="default"/>
                <w:b/>
                <w:u w:val="none"/>
              </w:rPr>
            </w:pPr>
            <w:r>
              <w:rPr>
                <w:rFonts w:hint="default"/>
                <w:b/>
                <w:u w:val="none"/>
              </w:rPr>
              <w:t>图</w:t>
            </w:r>
            <w:r>
              <w:rPr>
                <w:rFonts w:hint="eastAsia"/>
                <w:b/>
                <w:u w:val="none"/>
                <w:lang w:val="en-US" w:eastAsia="zh-CN"/>
              </w:rPr>
              <w:t>5</w:t>
            </w:r>
            <w:r>
              <w:rPr>
                <w:rFonts w:hint="default"/>
                <w:b/>
                <w:u w:val="none"/>
              </w:rPr>
              <w:t>.2-</w:t>
            </w:r>
            <w:r>
              <w:rPr>
                <w:rFonts w:hint="eastAsia"/>
                <w:b/>
                <w:u w:val="none"/>
                <w:lang w:val="en-US" w:eastAsia="zh-CN"/>
              </w:rPr>
              <w:t>3</w:t>
            </w:r>
            <w:r>
              <w:rPr>
                <w:rFonts w:hint="default"/>
                <w:b/>
                <w:u w:val="none"/>
              </w:rPr>
              <w:t xml:space="preserve"> 安全气囊引爆过程图</w:t>
            </w:r>
          </w:p>
          <w:p>
            <w:pPr>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4</w:t>
            </w:r>
            <w:r>
              <w:rPr>
                <w:rFonts w:hint="default"/>
                <w:u w:val="none"/>
              </w:rPr>
              <w:t>、</w:t>
            </w:r>
            <w:r>
              <w:rPr>
                <w:rFonts w:hint="eastAsia"/>
                <w:u w:val="none"/>
              </w:rPr>
              <w:t>排空和收集车内废油液（汽油、机油、制动液、防冻液等）</w:t>
            </w:r>
          </w:p>
          <w:p>
            <w:pPr>
              <w:keepNext w:val="0"/>
              <w:keepLines w:val="0"/>
              <w:suppressLineNumbers w:val="0"/>
              <w:bidi w:val="0"/>
              <w:spacing w:before="0" w:beforeAutospacing="0" w:after="0" w:afterAutospacing="0"/>
              <w:ind w:left="0" w:right="0"/>
              <w:rPr>
                <w:rFonts w:hint="default"/>
                <w:u w:val="none"/>
              </w:rPr>
            </w:pPr>
            <w:r>
              <w:rPr>
                <w:rFonts w:hint="default"/>
                <w:u w:val="none"/>
              </w:rPr>
              <w:t>大车采用大车油液抽排设备对燃油、汽油和柴油进行抽排，小车及摩托车采用油液排放系统分别对报废车辆内的燃油、汽油和柴油、机油、制动液、变速箱油、液压油、防冻液等废液进行抽排。 摩托车及小车，小车经翻转平台翻转后拆掉前部底盘护板，采用燃油排放凿孔设备对油箱进行钻孔，油液经过抽排进入存储装置内，工具会自动固定在油箱上，可随时查看是否还有油液未吸收干净，油料排放完毕后，凿孔器反转退出，配有专用的胶塞堵塞孔河以阻碍残油流出，凿孔器放回设备时，泵会自动停止工作，油液存放在设备自带的密闭桶内。摩托车直接打开油箱盖将吸油装置伸入油液中进行抽取，抽取完毕后盖上油箱盖。大车废油液收集流程：大车采用大车油液抽排设备将车内残余的燃油、汽油或者柴油、进行抽排，存放在设备自带的密闭的储存装置内，在大车抽排工序下方设置凹槽，其余油液机油、制动液、变速箱油、液压油、防冻液，在打开阀门或钻孔后，经自流进入凹槽放置的收集装置内进行收集。</w:t>
            </w:r>
          </w:p>
          <w:p>
            <w:pPr>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5</w:t>
            </w:r>
            <w:r>
              <w:rPr>
                <w:rFonts w:hint="default"/>
                <w:u w:val="none"/>
              </w:rPr>
              <w:t>、</w:t>
            </w:r>
            <w:r>
              <w:rPr>
                <w:rFonts w:hint="eastAsia"/>
                <w:u w:val="none"/>
              </w:rPr>
              <w:t>收集汽车空调制冷剂</w:t>
            </w:r>
          </w:p>
          <w:p>
            <w:pPr>
              <w:keepNext w:val="0"/>
              <w:keepLines w:val="0"/>
              <w:suppressLineNumbers w:val="0"/>
              <w:bidi w:val="0"/>
              <w:spacing w:before="0" w:beforeAutospacing="0" w:after="0" w:afterAutospacing="0"/>
              <w:ind w:left="0" w:right="0"/>
              <w:rPr>
                <w:rFonts w:hint="default"/>
                <w:u w:val="none"/>
              </w:rPr>
            </w:pPr>
            <w:r>
              <w:rPr>
                <w:rFonts w:hint="default"/>
                <w:u w:val="none"/>
              </w:rPr>
              <w:t>用氟利昂回收装置收集汽车空调制冷剂，设备通过专用连接管路与报废车辆空调系统的表管进行连接，设备另一连接管与氟利昂储存钢瓶连接，分别打开两个连接管阀门，抽完后断开与表管和回收罐的连接，完成制冷剂的抽取工作。从汽车上抽取的制冷剂不进一步处理，用专用容器收集。</w:t>
            </w:r>
          </w:p>
          <w:p>
            <w:pPr>
              <w:keepNext w:val="0"/>
              <w:keepLines w:val="0"/>
              <w:suppressLineNumbers w:val="0"/>
              <w:spacing w:before="0" w:beforeAutospacing="0" w:after="0" w:afterAutospacing="0"/>
              <w:ind w:left="0" w:right="0"/>
              <w:rPr>
                <w:rFonts w:hint="default"/>
                <w:u w:val="none"/>
              </w:rPr>
            </w:pPr>
            <w:r>
              <w:rPr>
                <w:rFonts w:hint="eastAsia"/>
                <w:u w:val="none"/>
                <w:lang w:val="en-US" w:eastAsia="zh-CN"/>
              </w:rPr>
              <w:t>6</w:t>
            </w:r>
            <w:r>
              <w:rPr>
                <w:rFonts w:hint="default"/>
                <w:u w:val="none"/>
              </w:rPr>
              <w:t>、人工拆除尾气净化装置，拆除后不会再进一步拆解，并送至危废暂存间暂存。</w:t>
            </w:r>
          </w:p>
          <w:p>
            <w:pPr>
              <w:keepNext w:val="0"/>
              <w:keepLines w:val="0"/>
              <w:suppressLineNumbers w:val="0"/>
              <w:spacing w:before="0" w:beforeAutospacing="0" w:after="0" w:afterAutospacing="0"/>
              <w:ind w:left="0" w:right="0" w:firstLine="480"/>
              <w:rPr>
                <w:rFonts w:hint="default"/>
                <w:b/>
                <w:bCs/>
                <w:i/>
                <w:iCs/>
                <w:u w:val="none"/>
              </w:rPr>
            </w:pPr>
            <w:r>
              <w:rPr>
                <w:rFonts w:hint="default"/>
                <w:b/>
                <w:bCs/>
                <w:i/>
                <w:iCs/>
                <w:u w:val="none"/>
              </w:rPr>
              <w:t>摩托车预处理主要内容如下：</w:t>
            </w:r>
          </w:p>
          <w:p>
            <w:pPr>
              <w:keepNext w:val="0"/>
              <w:keepLines w:val="0"/>
              <w:suppressLineNumbers w:val="0"/>
              <w:spacing w:before="0" w:beforeAutospacing="0" w:after="0" w:afterAutospacing="0"/>
              <w:ind w:left="0" w:right="0" w:firstLine="199" w:firstLineChars="83"/>
              <w:rPr>
                <w:rFonts w:hint="default"/>
                <w:u w:val="none"/>
              </w:rPr>
            </w:pPr>
            <w:r>
              <w:rPr>
                <w:rFonts w:hint="default"/>
                <w:u w:val="none"/>
              </w:rPr>
              <w:t xml:space="preserve">1、人工先拆除蓄电池接线和蓄电池，拆除后不会再进一步拆解，将蓄电池送至蓄电池储存区。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2、采用油液排放系统抽空摩托车中的各种废液与小车抽排工艺一致，排空率不低于 90%，再分类运至危废暂存间。 </w:t>
            </w:r>
          </w:p>
          <w:p>
            <w:pPr>
              <w:keepNext w:val="0"/>
              <w:keepLines w:val="0"/>
              <w:suppressLineNumbers w:val="0"/>
              <w:bidi w:val="0"/>
              <w:spacing w:before="0" w:beforeAutospacing="0" w:after="0" w:afterAutospacing="0"/>
              <w:ind w:left="0" w:right="0"/>
              <w:rPr>
                <w:rFonts w:hint="default"/>
                <w:u w:val="none"/>
              </w:rPr>
            </w:pPr>
            <w:r>
              <w:rPr>
                <w:rFonts w:hint="default"/>
                <w:u w:val="none"/>
              </w:rPr>
              <w:t>3、人工拆除尾气净化装置，拆除后不会再进一步拆解，并送至危废暂存间暂存。</w:t>
            </w:r>
          </w:p>
          <w:p>
            <w:pPr>
              <w:pStyle w:val="6"/>
              <w:numPr>
                <w:ilvl w:val="0"/>
                <w:numId w:val="1"/>
              </w:numPr>
              <w:suppressLineNumbers w:val="0"/>
              <w:spacing w:before="0" w:beforeAutospacing="0" w:after="0" w:afterAutospacing="0"/>
              <w:ind w:left="0" w:leftChars="0" w:right="0" w:firstLine="420" w:firstLineChars="0"/>
              <w:rPr>
                <w:rFonts w:hint="default" w:ascii="Times New Roman" w:hAnsi="Times New Roman" w:cs="Times New Roman"/>
                <w:u w:val="none"/>
              </w:rPr>
            </w:pPr>
            <w:r>
              <w:rPr>
                <w:rFonts w:hint="default" w:ascii="Times New Roman" w:hAnsi="Times New Roman" w:cs="Times New Roman"/>
                <w:u w:val="none"/>
              </w:rPr>
              <w:t xml:space="preserve">报废汽车存储 </w:t>
            </w:r>
          </w:p>
          <w:p>
            <w:pPr>
              <w:keepNext w:val="0"/>
              <w:keepLines w:val="0"/>
              <w:suppressLineNumbers w:val="0"/>
              <w:spacing w:before="0" w:beforeAutospacing="0" w:after="0" w:afterAutospacing="0"/>
              <w:ind w:left="0" w:right="0" w:firstLine="480"/>
              <w:rPr>
                <w:rFonts w:hint="default"/>
                <w:u w:val="none"/>
              </w:rPr>
            </w:pPr>
            <w:r>
              <w:rPr>
                <w:rFonts w:hint="default"/>
                <w:u w:val="none"/>
              </w:rPr>
              <w:t>(1)</w:t>
            </w:r>
            <w:r>
              <w:rPr>
                <w:rFonts w:hint="eastAsia"/>
                <w:u w:val="none"/>
                <w:lang w:eastAsia="zh-CN"/>
              </w:rPr>
              <w:t>禁止</w:t>
            </w:r>
            <w:r>
              <w:rPr>
                <w:rFonts w:hint="default"/>
                <w:u w:val="none"/>
              </w:rPr>
              <w:t xml:space="preserve">侧放、倒放。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如需要叠放，应使上下车辆的重心尽量重合，以防掉落，且叠放时外侧高度不超过3m，内侧高度不超过4.5m。对大型车辆应单层平置。如果为框架结构，要考虑其承重安全性，做到结构合理，可靠性好，并且能够合理装卸，而对存储高度没有限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(3)应与其他废弃物分开存储。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(4)接收或收购报废汽车后，应在3个月之内将其拆解完毕。 </w:t>
            </w:r>
          </w:p>
          <w:p>
            <w:pPr>
              <w:pStyle w:val="6"/>
              <w:numPr>
                <w:ilvl w:val="0"/>
                <w:numId w:val="1"/>
              </w:numPr>
              <w:suppressLineNumbers w:val="0"/>
              <w:spacing w:before="0" w:beforeAutospacing="0" w:after="0" w:afterAutospacing="0"/>
              <w:ind w:left="0" w:leftChars="0" w:right="0" w:firstLine="420" w:firstLineChars="0"/>
              <w:rPr>
                <w:rFonts w:hint="default" w:ascii="Times New Roman" w:hAnsi="Times New Roman" w:cs="Times New Roman"/>
                <w:u w:val="none"/>
              </w:rPr>
            </w:pPr>
            <w:r>
              <w:rPr>
                <w:rFonts w:hint="default" w:ascii="Times New Roman" w:hAnsi="Times New Roman" w:cs="Times New Roman"/>
                <w:u w:val="none"/>
              </w:rPr>
              <w:t>拆解</w:t>
            </w:r>
          </w:p>
          <w:p>
            <w:pPr>
              <w:keepNext w:val="0"/>
              <w:keepLines w:val="0"/>
              <w:suppressLineNumbers w:val="0"/>
              <w:spacing w:before="0" w:beforeAutospacing="0" w:after="0" w:afterAutospacing="0"/>
              <w:ind w:left="0" w:right="0" w:firstLine="480"/>
              <w:rPr>
                <w:rFonts w:hint="default"/>
                <w:u w:val="none"/>
              </w:rPr>
            </w:pPr>
            <w:r>
              <w:rPr>
                <w:rFonts w:hint="default"/>
                <w:u w:val="none"/>
              </w:rPr>
              <w:t>经过预处理、存储后的报废汽车，再进入到后续的拆解流程中。大车及小车拆解工序如下：</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1、人工拆除油箱。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2、采用拆除工具拆除机油滤清器，用专用容器盛装后运往危废暂存间暂存。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3、拆除玻璃。 </w:t>
            </w:r>
          </w:p>
          <w:p>
            <w:pPr>
              <w:keepNext w:val="0"/>
              <w:keepLines w:val="0"/>
              <w:suppressLineNumbers w:val="0"/>
              <w:spacing w:before="0" w:beforeAutospacing="0" w:after="0" w:afterAutospacing="0"/>
              <w:ind w:left="0" w:right="0" w:firstLine="480"/>
              <w:rPr>
                <w:rFonts w:hint="default"/>
                <w:u w:val="none"/>
              </w:rPr>
            </w:pPr>
            <w:r>
              <w:rPr>
                <w:rFonts w:hint="default"/>
                <w:u w:val="none"/>
              </w:rPr>
              <w:t>4、</w:t>
            </w:r>
            <w:r>
              <w:rPr>
                <w:rFonts w:hint="default"/>
                <w:sz w:val="24"/>
                <w:u w:val="none"/>
              </w:rPr>
              <w:t>拆除包含有毒物质的部件（含有铅、汞、镉及六价铬的部件）</w:t>
            </w:r>
            <w:r>
              <w:rPr>
                <w:rFonts w:hint="eastAsia"/>
                <w:sz w:val="24"/>
                <w:u w:val="none"/>
                <w:lang w:eastAsia="zh-CN"/>
              </w:rPr>
              <w:t>，</w:t>
            </w:r>
            <w:r>
              <w:rPr>
                <w:rFonts w:hint="default"/>
                <w:u w:val="none"/>
              </w:rPr>
              <w:t>废电容器、含汞开关和电路板等。</w:t>
            </w:r>
          </w:p>
          <w:p>
            <w:pPr>
              <w:keepNext w:val="0"/>
              <w:keepLines w:val="0"/>
              <w:suppressLineNumbers w:val="0"/>
              <w:spacing w:before="0" w:beforeAutospacing="0" w:after="0" w:afterAutospacing="0"/>
              <w:ind w:left="0" w:right="0" w:firstLine="480"/>
              <w:rPr>
                <w:rFonts w:hint="default"/>
                <w:u w:val="none"/>
              </w:rPr>
            </w:pPr>
            <w:r>
              <w:rPr>
                <w:rFonts w:hint="eastAsia"/>
                <w:u w:val="none"/>
                <w:lang w:val="en-US" w:eastAsia="zh-CN"/>
              </w:rPr>
              <w:t>5、</w:t>
            </w:r>
            <w:r>
              <w:rPr>
                <w:rFonts w:hint="default"/>
                <w:u w:val="none"/>
              </w:rPr>
              <w:t xml:space="preserve">拆除催化转化器及消声器、转向锁总成、停车装置、倒车雷达及电子控制模块。 </w:t>
            </w:r>
          </w:p>
          <w:p>
            <w:pPr>
              <w:keepNext w:val="0"/>
              <w:keepLines w:val="0"/>
              <w:suppressLineNumbers w:val="0"/>
              <w:spacing w:before="0" w:beforeAutospacing="0" w:after="0" w:afterAutospacing="0"/>
              <w:ind w:left="0" w:right="0" w:firstLine="480"/>
              <w:rPr>
                <w:rFonts w:hint="default"/>
                <w:u w:val="none"/>
              </w:rPr>
            </w:pPr>
            <w:r>
              <w:rPr>
                <w:rFonts w:hint="eastAsia"/>
                <w:u w:val="none"/>
                <w:lang w:val="en-US" w:eastAsia="zh-CN"/>
              </w:rPr>
              <w:t>6</w:t>
            </w:r>
            <w:r>
              <w:rPr>
                <w:rFonts w:hint="default"/>
                <w:u w:val="none"/>
              </w:rPr>
              <w:t xml:space="preserve">、利用汽车扒胎机或人工拆下轮胎并拆除车轮。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u w:val="none"/>
              </w:rPr>
            </w:pPr>
            <w:r>
              <w:rPr>
                <w:rFonts w:hint="eastAsia"/>
                <w:u w:val="none"/>
                <w:lang w:val="en-US" w:eastAsia="zh-CN"/>
              </w:rPr>
              <w:t>7</w:t>
            </w:r>
            <w:r>
              <w:rPr>
                <w:rFonts w:hint="default"/>
                <w:u w:val="none"/>
              </w:rPr>
              <w:t>、</w:t>
            </w:r>
            <w:r>
              <w:rPr>
                <w:rFonts w:hint="default"/>
                <w:sz w:val="24"/>
                <w:u w:val="none"/>
              </w:rPr>
              <w:t>拆除能有效回收的含金属铜、铝、镁的部件；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u w:val="none"/>
              </w:rPr>
            </w:pPr>
            <w:r>
              <w:rPr>
                <w:rFonts w:hint="eastAsia"/>
                <w:sz w:val="24"/>
                <w:u w:val="none"/>
                <w:lang w:val="en-US" w:eastAsia="zh-CN"/>
              </w:rPr>
              <w:t>8、</w:t>
            </w:r>
            <w:r>
              <w:rPr>
                <w:rFonts w:hint="default"/>
                <w:sz w:val="24"/>
                <w:u w:val="none"/>
              </w:rPr>
              <w:t>拆除能有效回收的大型塑料件（保险杠、仪表板、液体容器等）；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u w:val="none"/>
              </w:rPr>
            </w:pPr>
            <w:r>
              <w:rPr>
                <w:rFonts w:hint="default"/>
                <w:u w:val="none"/>
              </w:rPr>
              <w:t>9、</w:t>
            </w:r>
            <w:r>
              <w:rPr>
                <w:rFonts w:hint="default"/>
                <w:sz w:val="24"/>
                <w:u w:val="none"/>
              </w:rPr>
              <w:t>拆除橡胶制品部件；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u w:val="none"/>
              </w:rPr>
            </w:pPr>
            <w:r>
              <w:rPr>
                <w:rFonts w:hint="eastAsia"/>
                <w:sz w:val="24"/>
                <w:u w:val="none"/>
                <w:lang w:val="en-US" w:eastAsia="zh-CN"/>
              </w:rPr>
              <w:t>10、</w:t>
            </w:r>
            <w:r>
              <w:rPr>
                <w:rFonts w:hint="default"/>
                <w:sz w:val="24"/>
                <w:u w:val="none"/>
              </w:rPr>
              <w:t>拆解有关总成和其他零部件，</w:t>
            </w:r>
            <w:r>
              <w:rPr>
                <w:rFonts w:hint="eastAsia"/>
                <w:sz w:val="24"/>
                <w:u w:val="none"/>
                <w:lang w:eastAsia="zh-CN"/>
              </w:rPr>
              <w:t>并按《报废机动车回收管理办法》（国务院令第</w:t>
            </w:r>
            <w:r>
              <w:rPr>
                <w:rFonts w:hint="eastAsia"/>
                <w:sz w:val="24"/>
                <w:u w:val="none"/>
                <w:lang w:val="en-US" w:eastAsia="zh-CN"/>
              </w:rPr>
              <w:t>715号</w:t>
            </w:r>
            <w:r>
              <w:rPr>
                <w:rFonts w:hint="eastAsia"/>
                <w:sz w:val="24"/>
                <w:u w:val="none"/>
                <w:lang w:eastAsia="zh-CN"/>
              </w:rPr>
              <w:t>）回收五大总成和报废机动车回用件，</w:t>
            </w:r>
            <w:r>
              <w:rPr>
                <w:rFonts w:hint="default"/>
                <w:sz w:val="24"/>
                <w:u w:val="none"/>
              </w:rPr>
              <w:t>符合相关法规要求。</w:t>
            </w:r>
          </w:p>
          <w:p>
            <w:pPr>
              <w:keepNext w:val="0"/>
              <w:keepLines w:val="0"/>
              <w:suppressLineNumbers w:val="0"/>
              <w:spacing w:before="0" w:beforeAutospacing="0" w:after="0" w:afterAutospacing="0"/>
              <w:ind w:left="0" w:right="0" w:firstLine="480"/>
              <w:rPr>
                <w:rFonts w:hint="default"/>
                <w:u w:val="none"/>
              </w:rPr>
            </w:pPr>
            <w:r>
              <w:rPr>
                <w:rFonts w:hint="default"/>
                <w:u w:val="none"/>
              </w:rPr>
              <w:t>摩托车拆解工序如下：</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1、人工拆除油箱。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2、采用拆除工具拆除机油滤清器，用专用容器盛装后运往危废暂存间暂存。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3、拆除玻璃。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4、拆除连接车身的全部电线连接，拆除仪表、照明系统、信号系统等电器设备，拆除废电容器等，拆开传动装置及连接件。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5、利用人工拆下轮胎并拆除车轮。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6、拆除能有效回收的有色金属部件。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7、拆除能有效回收的塑料件。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8、拆除橡胶制品部件。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9、拆开变速操作杆件、离合器操作件等及其各种连接，拆除前后叉、车轮、链条、油箱以及余下的零部件和车架总体，并符合相关法规要求。 </w:t>
            </w:r>
          </w:p>
          <w:p>
            <w:pPr>
              <w:pStyle w:val="6"/>
              <w:numPr>
                <w:ilvl w:val="0"/>
                <w:numId w:val="1"/>
              </w:numPr>
              <w:suppressLineNumbers w:val="0"/>
              <w:spacing w:before="0" w:beforeAutospacing="0" w:after="0" w:afterAutospacing="0"/>
              <w:ind w:left="0" w:leftChars="0" w:right="0" w:firstLine="420" w:firstLineChars="0"/>
              <w:rPr>
                <w:rFonts w:hint="default" w:ascii="Times New Roman" w:hAnsi="Times New Roman" w:cs="Times New Roman"/>
                <w:u w:val="none"/>
              </w:rPr>
            </w:pPr>
            <w:r>
              <w:rPr>
                <w:rFonts w:hint="default" w:ascii="Times New Roman" w:hAnsi="Times New Roman" w:cs="Times New Roman"/>
                <w:u w:val="none"/>
              </w:rPr>
              <w:t>报废车辆拆解深度</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本项目仅涉及到车辆的拆解，各类部件基本上不进行进一步的拆分和处置，具体如下：</w:t>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w:t>
            </w:r>
            <w:r>
              <w:rPr>
                <w:rFonts w:hint="eastAsia"/>
                <w:u w:val="none"/>
                <w:lang w:val="en-US" w:eastAsia="zh-CN"/>
              </w:rPr>
              <w:t>1</w:t>
            </w:r>
            <w:r>
              <w:rPr>
                <w:rFonts w:hint="eastAsia"/>
                <w:u w:val="none"/>
                <w:lang w:eastAsia="zh-CN"/>
              </w:rPr>
              <w:t>）根据《报废机动车回收管理办法》（国务院令第</w:t>
            </w:r>
            <w:r>
              <w:rPr>
                <w:rFonts w:hint="eastAsia"/>
                <w:u w:val="none"/>
                <w:lang w:val="en-US" w:eastAsia="zh-CN"/>
              </w:rPr>
              <w:t>715号</w:t>
            </w:r>
            <w:r>
              <w:rPr>
                <w:rFonts w:hint="eastAsia"/>
                <w:u w:val="none"/>
                <w:lang w:eastAsia="zh-CN"/>
              </w:rPr>
              <w:t>），具备再制造条件的“五大总成”，包括发动机、方向机、变速器、前后桥、车架等拆除下来后分类储存，出售给具有再制造能力的企业经过再制造予以循环利用。</w:t>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w:t>
            </w:r>
            <w:r>
              <w:rPr>
                <w:rFonts w:hint="eastAsia"/>
                <w:u w:val="none"/>
                <w:lang w:val="en-US" w:eastAsia="zh-CN"/>
              </w:rPr>
              <w:t>2</w:t>
            </w:r>
            <w:r>
              <w:rPr>
                <w:rFonts w:hint="eastAsia"/>
                <w:u w:val="none"/>
                <w:lang w:eastAsia="zh-CN"/>
              </w:rPr>
              <w:t>）“五大总成”以外的零部件符合保障人身和财产安全等强制性国家标准的，能够继续使用的，作为“报废机动车回用件”出售。</w:t>
            </w:r>
          </w:p>
          <w:p>
            <w:pPr>
              <w:keepNext w:val="0"/>
              <w:keepLines w:val="0"/>
              <w:suppressLineNumbers w:val="0"/>
              <w:spacing w:before="0" w:beforeAutospacing="0" w:after="0" w:afterAutospacing="0"/>
              <w:ind w:left="0" w:right="0" w:firstLine="480"/>
              <w:rPr>
                <w:rFonts w:hint="default"/>
                <w:u w:val="none"/>
              </w:rPr>
            </w:pPr>
            <w:r>
              <w:rPr>
                <w:rFonts w:hint="default"/>
                <w:u w:val="none"/>
              </w:rPr>
              <w:t>1、发动机根据行业相关规定，从汽车上拆除下来后，首先在发动机机体上开一个至少 10c</w:t>
            </w:r>
            <w:r>
              <w:rPr>
                <w:rFonts w:hint="eastAsia"/>
                <w:u w:val="none"/>
                <w:lang w:eastAsia="zh-CN"/>
              </w:rPr>
              <w:t>㎡</w:t>
            </w:r>
            <w:r>
              <w:rPr>
                <w:rFonts w:hint="default"/>
                <w:u w:val="none"/>
              </w:rPr>
              <w:t xml:space="preserve"> 的孔，保证其不能被再回收利用，然后先进行油液抽排处理，废油液全部进入专用收集容器内，</w:t>
            </w:r>
            <w:r>
              <w:rPr>
                <w:rFonts w:hint="eastAsia"/>
                <w:u w:val="none"/>
                <w:lang w:val="en-US" w:eastAsia="zh-CN"/>
              </w:rPr>
              <w:t>最后进行剪切、打包、压扁</w:t>
            </w:r>
            <w:r>
              <w:rPr>
                <w:rFonts w:hint="default"/>
                <w:u w:val="none"/>
              </w:rPr>
              <w:t xml:space="preserve">。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2、变速器、离合器、传动轴和汽车悬架等拆除后，用剪切的方式将其破坏为废钢。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3、蓄电池、尾气净化装置和各种电器从汽车上拆除后，不进一步拆解，将尽快交予有资质的单位进行处理。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4、拆解下的油箱、淋水箱、油管等零部件不进一步清洗。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5、车架剪断、车身剪断，本项目不涉及切割和破碎。 </w:t>
            </w:r>
          </w:p>
          <w:p>
            <w:pPr>
              <w:pStyle w:val="6"/>
              <w:numPr>
                <w:ilvl w:val="0"/>
                <w:numId w:val="1"/>
              </w:numPr>
              <w:suppressLineNumbers w:val="0"/>
              <w:spacing w:before="0" w:beforeAutospacing="0" w:after="0" w:afterAutospacing="0"/>
              <w:ind w:left="0" w:leftChars="0" w:right="0" w:firstLine="420" w:firstLineChars="0"/>
              <w:rPr>
                <w:rFonts w:hint="default"/>
                <w:u w:val="none"/>
              </w:rPr>
            </w:pPr>
            <w:r>
              <w:rPr>
                <w:rFonts w:hint="default" w:ascii="Times New Roman" w:hAnsi="Times New Roman" w:cs="Times New Roman"/>
                <w:u w:val="none"/>
              </w:rPr>
              <w:t>拆解</w:t>
            </w:r>
            <w:r>
              <w:rPr>
                <w:rFonts w:hint="default"/>
                <w:u w:val="none"/>
              </w:rPr>
              <w:t>的一般技术要求</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(1)拆解报废汽车零部件时，应当使用合适的专用工具，尽可能保证零部件可再利用性以及材料可回收利用性。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(2)应按照汽车生产企业所提供的拆解信息或拆解手册进行合理拆解，没有拆解手册的，参照同类其他车辆的规定拆解。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(3)存留在报废汽车中的各种废液应抽空并分类回收，各种废液的排空率应不低于90%。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(4)不同类型的制冷剂应分别回收。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(5)各种等部件和材料都应以恰当的方式拆除和隔离。拆解时应避免损伤或污染再利用零件和可回收材料。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(6)按国家法律、法规规定应解体销毁的总成，拆解后应作为废金属材料利用。 </w:t>
            </w:r>
          </w:p>
          <w:p>
            <w:pPr>
              <w:keepNext w:val="0"/>
              <w:keepLines w:val="0"/>
              <w:suppressLineNumbers w:val="0"/>
              <w:spacing w:before="0" w:beforeAutospacing="0" w:after="0" w:afterAutospacing="0"/>
              <w:ind w:left="0" w:right="0" w:firstLine="480"/>
              <w:rPr>
                <w:rFonts w:hint="default"/>
                <w:u w:val="none"/>
              </w:rPr>
            </w:pPr>
            <w:r>
              <w:rPr>
                <w:rFonts w:hint="default"/>
                <w:u w:val="none"/>
              </w:rPr>
              <w:t>(7)可再利用的零部件存入仓车前应做清洗和防锈处理。</w:t>
            </w:r>
          </w:p>
          <w:p>
            <w:pPr>
              <w:pStyle w:val="6"/>
              <w:numPr>
                <w:ilvl w:val="0"/>
                <w:numId w:val="1"/>
              </w:numPr>
              <w:suppressLineNumbers w:val="0"/>
              <w:spacing w:before="0" w:beforeAutospacing="0" w:after="0" w:afterAutospacing="0"/>
              <w:ind w:left="0" w:leftChars="0" w:right="0" w:firstLine="420" w:firstLineChars="0"/>
              <w:rPr>
                <w:rFonts w:hint="default"/>
                <w:u w:val="none"/>
              </w:rPr>
            </w:pPr>
            <w:r>
              <w:rPr>
                <w:rFonts w:hint="default"/>
                <w:u w:val="none"/>
              </w:rPr>
              <w:t>存储和管理</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(1) 应使用各种专用密闭容器存储废液，防止废液挥发，并交给合法的废液回收处理企业。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(2)拆下的可再利用零部件应在室内存储。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(3)对存储的各种零部件、材料、废弃物的容器进行标识，避免混合、混放。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(4)对拆解后的所有的零部件、材料、废弃物进行分类存储和标识，含有害物质的部件应标明有害物质的种类。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(5)容器和装置要防漏和防止洒溅，未引爆安全气囊的存储装置应防爆，并对其进行日常性检查。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(6)拆解后废弃物的存储应严格按照GB 18599和GB 18597要求执行。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(7)各种废弃物的存储时间一般不超过一年。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(8)固体废弃物应交给符合国家相关标准的废物处理单位处理，不得焚烧、丢弃。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(9)危险废物应交由具有相应资质的单位进行处理处置。  </w:t>
            </w:r>
          </w:p>
          <w:p>
            <w:pPr>
              <w:keepNext w:val="0"/>
              <w:keepLines w:val="0"/>
              <w:suppressLineNumbers w:val="0"/>
              <w:spacing w:before="0" w:beforeAutospacing="0" w:after="0" w:afterAutospacing="0"/>
              <w:ind w:left="0" w:right="0" w:firstLine="482"/>
              <w:jc w:val="center"/>
              <w:rPr>
                <w:rFonts w:hint="default"/>
                <w:b/>
                <w:bCs/>
                <w:u w:val="none"/>
              </w:rPr>
            </w:pPr>
            <w:r>
              <w:rPr>
                <w:rFonts w:hint="default"/>
                <w:b/>
                <w:bCs/>
                <w:u w:val="none"/>
              </w:rPr>
              <w:t>表</w:t>
            </w:r>
            <w:r>
              <w:rPr>
                <w:rFonts w:hint="eastAsia"/>
                <w:b/>
                <w:bCs/>
                <w:u w:val="none"/>
                <w:lang w:val="en-US" w:eastAsia="zh-CN"/>
              </w:rPr>
              <w:t>5</w:t>
            </w:r>
            <w:r>
              <w:rPr>
                <w:rFonts w:hint="default"/>
                <w:b/>
                <w:bCs/>
                <w:u w:val="none"/>
              </w:rPr>
              <w:t>.2-1  污染物产生一览表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26"/>
              <w:gridCol w:w="543"/>
              <w:gridCol w:w="2502"/>
              <w:gridCol w:w="4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类别</w:t>
                  </w:r>
                </w:p>
              </w:tc>
              <w:tc>
                <w:tcPr>
                  <w:tcW w:w="327"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1507"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废气</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废油液抽取过程中挥发的油气</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G2</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制冷剂回收时挥发的废气</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G3</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剪切机</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生活废水</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pH</w:t>
                  </w:r>
                  <w:r>
                    <w:rPr>
                      <w:rFonts w:hint="default"/>
                      <w:u w:val="none"/>
                    </w:rPr>
                    <w:t>、COD、氨氮、SS</w:t>
                  </w:r>
                  <w:r>
                    <w:rPr>
                      <w:rFonts w:hint="eastAsia"/>
                      <w:u w:val="none"/>
                      <w:lang w:eastAsia="zh-CN"/>
                    </w:rPr>
                    <w:t>、</w:t>
                  </w:r>
                  <w:r>
                    <w:rPr>
                      <w:rFonts w:hint="eastAsia"/>
                      <w:u w:val="none"/>
                      <w:lang w:val="en-US" w:eastAsia="zh-CN"/>
                    </w:rPr>
                    <w:t>BOD</w:t>
                  </w:r>
                  <w:r>
                    <w:rPr>
                      <w:rFonts w:hint="eastAsia"/>
                      <w:u w:val="none"/>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W2</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清洗废水</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pH</w:t>
                  </w:r>
                  <w:r>
                    <w:rPr>
                      <w:rFonts w:hint="default"/>
                      <w:u w:val="none"/>
                    </w:rPr>
                    <w:t>、COD、氨氮、SS</w:t>
                  </w:r>
                  <w:r>
                    <w:rPr>
                      <w:rFonts w:hint="eastAsia"/>
                      <w:u w:val="no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W3</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初期雨水</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pH</w:t>
                  </w:r>
                  <w:r>
                    <w:rPr>
                      <w:rFonts w:hint="default"/>
                      <w:u w:val="none"/>
                    </w:rPr>
                    <w:t>、COD、氨氮、SS</w:t>
                  </w:r>
                  <w:r>
                    <w:rPr>
                      <w:rFonts w:hint="eastAsia"/>
                      <w:u w:val="no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5" w:type="pct"/>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固废</w:t>
                  </w:r>
                </w:p>
              </w:tc>
              <w:tc>
                <w:tcPr>
                  <w:tcW w:w="256" w:type="pct"/>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内含硫酸，仅拆除，不进一步拆解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含少量液化气，仅拆除，不进一步拆解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S3</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主要产生于汽车排气管，含尾气净化剂，仅拆除，不进一步拆解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S4</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废油液</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汽油、柴油、机油、变速箱油、制动液、废液压油等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S5</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产生于汽车空调，含 R12、R134a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S6</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金属、石油类，仅拆除，不进一步清洗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S7</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金属、含油颗粒等，仅拆除，不进一步拆解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S8</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S9</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多氯联苯的废电容器，仅拆除，不进一步拆解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S10</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废润滑油</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润滑设备，定时更换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润滑液压剪，定时更换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S12</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废油桶</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废液压油桶、废润滑油桶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可回收利用物质</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S13</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废安全气囊</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（已引爆）</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尼龙织布，产生于引爆装置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S14</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可用零部件</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S15</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玻璃</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玻璃主要产生于车灯、后视镜及车窗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S16</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钢材</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主要产生于发电机、发动机罩、横梁、车轮、刹车盘等处的属高度钢排气系统、防撞弓形梁、保险杠、后挡板、发动机支架等不锈钢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S17</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橡胶</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主要产生于轮胎、管道、胶带、油封绝缘片和密封条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S18</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有色金属</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铝主要是产生于保险杠、发电机罩、车门、行李箱、车身面板、车轮轮辐、轮外饰罩、制动器总成的保护罩、消音罩、制动系统、热交换器、车身构架、座位、车厢地板、仪表板等变形铝合金。</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铜主要产生于散热器、分水管、滤清器芯、管接头和化油器等普通黄铜。</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镁主要产生于座椅骨架、轮圈、仪表盘骨架、转向盘、变速器壳、离合器壳、缸盖、进气歧管、车门框架等，产生量较小。 钛主要产生于发动机连杆、发动机气门、气门座圈、排气系统零部件、悬架弹簧、扭力簧、气门弹簧、车轮、车身外板等，产生量小。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S19</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塑料</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主要产生于水箱面罩栅板、百叶窗、后视镜外壳、尾灯罩、仪表板、保险杠、内外小饰件、挡板、气管格栅、车门、车灯、轮罩、行李箱盖、顶盖等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S20</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纤维、皮革</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主要生产于车内座椅罩等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restart"/>
                  <w:tcBorders>
                    <w:top w:val="nil"/>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一般固废</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S21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破损陶瓷和汽车内含有的泥沙等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S22</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含油手套及抹布</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拆解过程使用的手套、抹布等劳保用品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 w:type="pct"/>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256" w:type="pct"/>
                  <w:vMerge w:val="continue"/>
                  <w:tcBorders>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S23</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员工生活</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gridSpan w:val="2"/>
                  <w:tcBorders>
                    <w:top w:val="nil"/>
                    <w:left w:val="single" w:color="auto" w:sz="4" w:space="0"/>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32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N1</w:t>
                  </w:r>
                </w:p>
              </w:tc>
              <w:tc>
                <w:tcPr>
                  <w:tcW w:w="1507" w:type="pct"/>
                  <w:tcBorders>
                    <w:top w:val="single" w:color="auto" w:sz="4" w:space="0"/>
                    <w:left w:val="nil"/>
                    <w:bottom w:val="single" w:color="auto" w:sz="4" w:space="0"/>
                    <w:right w:val="single" w:color="auto" w:sz="4" w:space="0"/>
                  </w:tcBorders>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机械设备运行产生</w:t>
                  </w:r>
                </w:p>
              </w:tc>
              <w:tc>
                <w:tcPr>
                  <w:tcW w:w="2652" w:type="pct"/>
                  <w:tcBorders>
                    <w:top w:val="single" w:color="auto" w:sz="4" w:space="0"/>
                    <w:left w:val="nil"/>
                    <w:bottom w:val="single" w:color="auto" w:sz="4" w:space="0"/>
                    <w:right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汽车拆解过程产生的噪声以及各类设备运行噪声</w:t>
                  </w:r>
                </w:p>
              </w:tc>
            </w:tr>
          </w:tbl>
          <w:p>
            <w:pPr>
              <w:keepNext w:val="0"/>
              <w:keepLines w:val="0"/>
              <w:suppressLineNumbers w:val="0"/>
              <w:spacing w:before="0" w:beforeAutospacing="0" w:after="0" w:afterAutospacing="0"/>
              <w:ind w:left="0" w:right="0" w:firstLine="480"/>
              <w:rPr>
                <w:rFonts w:hint="default"/>
                <w:u w:val="none"/>
              </w:rPr>
            </w:pPr>
          </w:p>
          <w:p>
            <w:pPr>
              <w:pStyle w:val="5"/>
              <w:suppressLineNumbers w:val="0"/>
              <w:spacing w:before="0" w:beforeAutospacing="0" w:after="0" w:afterAutospacing="0"/>
              <w:ind w:left="0" w:right="0" w:firstLine="482"/>
              <w:rPr>
                <w:rFonts w:hint="default" w:ascii="Times New Roman" w:hAnsi="Times New Roman" w:cs="Times New Roman"/>
                <w:u w:val="none"/>
              </w:rPr>
            </w:pPr>
            <w:bookmarkStart w:id="39" w:name="_Toc18290"/>
            <w:bookmarkStart w:id="40" w:name="_Toc13073935"/>
            <w:bookmarkStart w:id="41" w:name="_Toc23411116"/>
            <w:bookmarkStart w:id="42" w:name="_Toc7079958"/>
            <w:bookmarkStart w:id="43" w:name="_Toc23147"/>
            <w:r>
              <w:rPr>
                <w:rFonts w:hint="eastAsia" w:cs="Times New Roman"/>
                <w:u w:val="none"/>
                <w:lang w:val="en-US" w:eastAsia="zh-CN"/>
              </w:rPr>
              <w:t>5</w:t>
            </w:r>
            <w:r>
              <w:rPr>
                <w:rFonts w:hint="default" w:ascii="Times New Roman" w:hAnsi="Times New Roman" w:cs="Times New Roman"/>
                <w:u w:val="none"/>
              </w:rPr>
              <w:t>.2.2水平衡</w:t>
            </w:r>
            <w:bookmarkEnd w:id="39"/>
            <w:bookmarkEnd w:id="40"/>
            <w:bookmarkEnd w:id="41"/>
            <w:bookmarkEnd w:id="42"/>
            <w:bookmarkEnd w:id="43"/>
          </w:p>
          <w:p>
            <w:pPr>
              <w:pStyle w:val="49"/>
              <w:keepNext w:val="0"/>
              <w:keepLines w:val="0"/>
              <w:suppressLineNumbers w:val="0"/>
              <w:bidi w:val="0"/>
              <w:spacing w:before="0" w:beforeAutospacing="0" w:after="0" w:afterAutospacing="0"/>
              <w:ind w:left="0" w:right="0"/>
              <w:rPr>
                <w:rFonts w:hint="eastAsia" w:eastAsia="宋体"/>
                <w:u w:val="none"/>
                <w:lang w:eastAsia="zh-CN"/>
              </w:rPr>
            </w:pPr>
            <w:r>
              <w:rPr>
                <w:rFonts w:hint="eastAsia" w:eastAsia="宋体"/>
                <w:u w:val="none"/>
                <w:lang w:eastAsia="zh-CN"/>
              </w:rPr>
              <w:object>
                <v:shape id="_x0000_i1028" o:spt="75" type="#_x0000_t75" style="height:205.25pt;width:406.65pt;" o:ole="t" filled="f" o:preferrelative="t" stroked="f" coordsize="21600,21600">
                  <v:path/>
                  <v:fill on="f" focussize="0,0"/>
                  <v:stroke on="f"/>
                  <v:imagedata r:id="rId22" o:title=""/>
                  <o:lock v:ext="edit" aspectratio="t"/>
                  <w10:wrap type="none"/>
                  <w10:anchorlock/>
                </v:shape>
                <o:OLEObject Type="Embed" ProgID="Visio.Drawing.11" ShapeID="_x0000_i1028" DrawAspect="Content" ObjectID="_1468075728" r:id="rId21">
                  <o:LockedField>false</o:LockedField>
                </o:OLEObject>
              </w:object>
            </w:r>
          </w:p>
          <w:p>
            <w:pPr>
              <w:pStyle w:val="50"/>
              <w:keepNext w:val="0"/>
              <w:keepLines w:val="0"/>
              <w:suppressLineNumbers w:val="0"/>
              <w:bidi w:val="0"/>
              <w:spacing w:beforeAutospacing="0" w:after="0" w:afterAutospacing="0"/>
              <w:ind w:left="0" w:right="0"/>
              <w:rPr>
                <w:rFonts w:hint="default"/>
                <w:u w:val="none"/>
              </w:rPr>
            </w:pPr>
            <w:r>
              <w:rPr>
                <w:rFonts w:hint="default"/>
                <w:u w:val="none"/>
              </w:rPr>
              <w:t>图</w:t>
            </w:r>
            <w:r>
              <w:rPr>
                <w:rFonts w:hint="eastAsia"/>
                <w:u w:val="none"/>
                <w:lang w:val="en-US" w:eastAsia="zh-CN"/>
              </w:rPr>
              <w:t>5</w:t>
            </w:r>
            <w:r>
              <w:rPr>
                <w:rFonts w:hint="default"/>
                <w:u w:val="none"/>
              </w:rPr>
              <w:t>.2-</w:t>
            </w:r>
            <w:r>
              <w:rPr>
                <w:rFonts w:hint="eastAsia"/>
                <w:u w:val="none"/>
                <w:lang w:val="en-US" w:eastAsia="zh-CN"/>
              </w:rPr>
              <w:t>4</w:t>
            </w:r>
            <w:r>
              <w:rPr>
                <w:rFonts w:hint="default"/>
                <w:u w:val="none"/>
              </w:rPr>
              <w:t xml:space="preserve">  项目水平衡图</w:t>
            </w:r>
          </w:p>
          <w:p>
            <w:pPr>
              <w:pStyle w:val="5"/>
              <w:suppressLineNumbers w:val="0"/>
              <w:bidi w:val="0"/>
              <w:spacing w:before="0" w:beforeAutospacing="0" w:after="0" w:afterAutospacing="0"/>
              <w:ind w:left="0" w:right="0"/>
              <w:rPr>
                <w:rFonts w:hint="default"/>
                <w:u w:val="none"/>
              </w:rPr>
            </w:pPr>
            <w:bookmarkStart w:id="44" w:name="_Toc535229781"/>
            <w:bookmarkStart w:id="45" w:name="_Toc1520"/>
            <w:bookmarkStart w:id="46" w:name="_Toc31289"/>
            <w:r>
              <w:rPr>
                <w:rFonts w:hint="eastAsia"/>
                <w:u w:val="none"/>
                <w:lang w:val="en-US" w:eastAsia="zh-CN"/>
              </w:rPr>
              <w:t>5</w:t>
            </w:r>
            <w:r>
              <w:rPr>
                <w:rFonts w:hint="default"/>
                <w:u w:val="none"/>
              </w:rPr>
              <w:t>.</w:t>
            </w:r>
            <w:r>
              <w:rPr>
                <w:rFonts w:hint="eastAsia"/>
                <w:u w:val="none"/>
                <w:lang w:val="en-US" w:eastAsia="zh-CN"/>
              </w:rPr>
              <w:t>2.</w:t>
            </w:r>
            <w:r>
              <w:rPr>
                <w:rFonts w:hint="default"/>
                <w:u w:val="none"/>
              </w:rPr>
              <w:t>3 项目污染源强核算</w:t>
            </w:r>
            <w:bookmarkEnd w:id="44"/>
            <w:bookmarkEnd w:id="45"/>
            <w:bookmarkEnd w:id="46"/>
          </w:p>
          <w:p>
            <w:pPr>
              <w:pStyle w:val="6"/>
              <w:suppressLineNumbers w:val="0"/>
              <w:bidi w:val="0"/>
              <w:spacing w:before="0" w:beforeAutospacing="0" w:after="0" w:afterAutospacing="0"/>
              <w:ind w:left="0" w:right="0"/>
              <w:rPr>
                <w:rFonts w:hint="default"/>
                <w:u w:val="none"/>
              </w:rPr>
            </w:pPr>
            <w:bookmarkStart w:id="47" w:name="_Toc26152"/>
            <w:bookmarkStart w:id="48" w:name="_Toc13073938"/>
            <w:bookmarkStart w:id="49" w:name="_Toc7079961"/>
            <w:bookmarkStart w:id="50" w:name="_Toc23411118"/>
            <w:bookmarkStart w:id="51" w:name="_Toc13073937"/>
            <w:bookmarkStart w:id="52" w:name="_Toc7079960"/>
            <w:r>
              <w:rPr>
                <w:rFonts w:hint="eastAsia"/>
                <w:u w:val="none"/>
                <w:lang w:val="en-US" w:eastAsia="zh-CN"/>
              </w:rPr>
              <w:t>5</w:t>
            </w:r>
            <w:r>
              <w:rPr>
                <w:rFonts w:hint="default"/>
                <w:u w:val="none"/>
              </w:rPr>
              <w:t>.</w:t>
            </w:r>
            <w:r>
              <w:rPr>
                <w:rFonts w:hint="eastAsia"/>
                <w:u w:val="none"/>
                <w:lang w:val="en-US" w:eastAsia="zh-CN"/>
              </w:rPr>
              <w:t>2.</w:t>
            </w:r>
            <w:r>
              <w:rPr>
                <w:rFonts w:hint="default"/>
                <w:u w:val="none"/>
              </w:rPr>
              <w:t>3.1废水污染源强核算</w:t>
            </w:r>
            <w:bookmarkEnd w:id="47"/>
            <w:bookmarkEnd w:id="48"/>
            <w:bookmarkEnd w:id="49"/>
            <w:bookmarkEnd w:id="50"/>
          </w:p>
          <w:p>
            <w:pPr>
              <w:pStyle w:val="7"/>
              <w:suppressLineNumbers w:val="0"/>
              <w:bidi w:val="0"/>
              <w:spacing w:before="0" w:after="0"/>
              <w:ind w:left="0" w:right="0"/>
              <w:rPr>
                <w:rFonts w:hint="default"/>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3.1</w:t>
            </w:r>
            <w:r>
              <w:rPr>
                <w:rFonts w:hint="eastAsia"/>
                <w:u w:val="none"/>
                <w:lang w:val="en-US" w:eastAsia="zh-CN"/>
              </w:rPr>
              <w:t>.1</w:t>
            </w:r>
            <w:r>
              <w:rPr>
                <w:rFonts w:hint="default"/>
                <w:u w:val="none"/>
              </w:rPr>
              <w:t>生活废水</w:t>
            </w:r>
          </w:p>
          <w:p>
            <w:pPr>
              <w:keepNext w:val="0"/>
              <w:keepLines w:val="0"/>
              <w:suppressLineNumbers w:val="0"/>
              <w:spacing w:before="0" w:beforeAutospacing="0" w:after="0" w:afterAutospacing="0"/>
              <w:ind w:left="0" w:right="0" w:firstLine="480"/>
              <w:rPr>
                <w:rFonts w:hint="default"/>
                <w:u w:val="none"/>
              </w:rPr>
            </w:pPr>
            <w:r>
              <w:rPr>
                <w:rFonts w:hint="default"/>
                <w:u w:val="none"/>
              </w:rPr>
              <w:t>项目劳动定员14人，无食宿，按照《湖南省用水定额》(DB43/T388-2014)中的指标计算，住宿职工生活用水量按100L/d•人计，不住宿职工生活用水量按50L/d•人计。本项目作业天数约300天。则本项目生活用水量为0.7</w:t>
            </w:r>
            <w:r>
              <w:rPr>
                <w:rFonts w:hint="eastAsia"/>
                <w:u w:val="none"/>
                <w:lang w:eastAsia="zh-CN"/>
              </w:rPr>
              <w:t>m³</w:t>
            </w:r>
            <w:r>
              <w:rPr>
                <w:rFonts w:hint="default"/>
                <w:u w:val="none"/>
              </w:rPr>
              <w:t>/d（210</w:t>
            </w:r>
            <w:r>
              <w:rPr>
                <w:rFonts w:hint="eastAsia"/>
                <w:u w:val="none"/>
                <w:lang w:eastAsia="zh-CN"/>
              </w:rPr>
              <w:t>m³</w:t>
            </w:r>
            <w:r>
              <w:rPr>
                <w:rFonts w:hint="default"/>
                <w:u w:val="none"/>
              </w:rPr>
              <w:t>/a），经化粪池处理做农肥。损失系数取0.8，则生活废水排放量约为0.56</w:t>
            </w:r>
            <w:r>
              <w:rPr>
                <w:rFonts w:hint="eastAsia"/>
                <w:u w:val="none"/>
                <w:lang w:eastAsia="zh-CN"/>
              </w:rPr>
              <w:t>m³</w:t>
            </w:r>
            <w:r>
              <w:rPr>
                <w:rFonts w:hint="default"/>
                <w:u w:val="none"/>
              </w:rPr>
              <w:t>/d（168</w:t>
            </w:r>
            <w:r>
              <w:rPr>
                <w:rFonts w:hint="eastAsia"/>
                <w:u w:val="none"/>
                <w:lang w:eastAsia="zh-CN"/>
              </w:rPr>
              <w:t>m³</w:t>
            </w:r>
            <w:r>
              <w:rPr>
                <w:rFonts w:hint="default"/>
                <w:u w:val="none"/>
              </w:rPr>
              <w:t>/a）。主要污染物为COD、BOD</w:t>
            </w:r>
            <w:r>
              <w:rPr>
                <w:rFonts w:hint="default"/>
                <w:u w:val="none"/>
                <w:vertAlign w:val="subscript"/>
              </w:rPr>
              <w:t>5</w:t>
            </w:r>
            <w:r>
              <w:rPr>
                <w:rFonts w:hint="default"/>
                <w:u w:val="none"/>
              </w:rPr>
              <w:t>、NH</w:t>
            </w:r>
            <w:r>
              <w:rPr>
                <w:rFonts w:hint="default"/>
                <w:u w:val="none"/>
                <w:vertAlign w:val="subscript"/>
              </w:rPr>
              <w:t>3</w:t>
            </w:r>
            <w:r>
              <w:rPr>
                <w:rFonts w:hint="default"/>
                <w:u w:val="none"/>
              </w:rPr>
              <w:t>-N、悬浮物等。</w:t>
            </w:r>
          </w:p>
          <w:p>
            <w:pPr>
              <w:keepNext w:val="0"/>
              <w:keepLines w:val="0"/>
              <w:suppressLineNumbers w:val="0"/>
              <w:spacing w:before="0" w:beforeAutospacing="0" w:after="0" w:afterAutospacing="0"/>
              <w:ind w:left="0" w:right="0" w:firstLine="482"/>
              <w:jc w:val="center"/>
              <w:rPr>
                <w:rFonts w:hint="default"/>
                <w:b/>
                <w:u w:val="none"/>
              </w:rPr>
            </w:pPr>
            <w:r>
              <w:rPr>
                <w:rFonts w:hint="eastAsia"/>
                <w:b/>
                <w:u w:val="none"/>
              </w:rPr>
              <w:t>表</w:t>
            </w:r>
            <w:r>
              <w:rPr>
                <w:rFonts w:hint="eastAsia"/>
                <w:b/>
                <w:u w:val="none"/>
                <w:lang w:val="en-US" w:eastAsia="zh-CN"/>
              </w:rPr>
              <w:t>5.2-2</w:t>
            </w:r>
            <w:r>
              <w:rPr>
                <w:rFonts w:hint="eastAsia"/>
                <w:b/>
                <w:u w:val="none"/>
              </w:rPr>
              <w:t xml:space="preserve">  生活废水污染物情况一览表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06"/>
              <w:gridCol w:w="1341"/>
              <w:gridCol w:w="1310"/>
              <w:gridCol w:w="1081"/>
              <w:gridCol w:w="131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61"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w:t>
                  </w:r>
                </w:p>
              </w:tc>
              <w:tc>
                <w:tcPr>
                  <w:tcW w:w="847"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w:t>
                  </w:r>
                  <w:r>
                    <w:rPr>
                      <w:rFonts w:hint="eastAsia"/>
                      <w:u w:val="none"/>
                      <w:lang w:eastAsia="zh-CN"/>
                    </w:rPr>
                    <w:t>m³</w:t>
                  </w:r>
                  <w:r>
                    <w:rPr>
                      <w:rFonts w:hint="default"/>
                      <w:u w:val="none"/>
                    </w:rPr>
                    <w:t>/a）</w:t>
                  </w:r>
                </w:p>
              </w:tc>
              <w:tc>
                <w:tcPr>
                  <w:tcW w:w="808"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c>
                <w:tcPr>
                  <w:tcW w:w="1440" w:type="pct"/>
                  <w:gridSpan w:val="2"/>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化粪池处理前</w:t>
                  </w:r>
                </w:p>
              </w:tc>
              <w:tc>
                <w:tcPr>
                  <w:tcW w:w="1442" w:type="pct"/>
                  <w:gridSpan w:val="2"/>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化粪池处理后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6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浓度</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浓度</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6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（mg/L）</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（t/a）</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（mg/L）</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61"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污水</w:t>
                  </w:r>
                </w:p>
              </w:tc>
              <w:tc>
                <w:tcPr>
                  <w:tcW w:w="847" w:type="pct"/>
                  <w:vMerge w:val="restar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168</w:t>
                  </w: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CODcr</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400</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0.0672</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350</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61"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BOD5</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200</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0.0336</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61"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SS</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200</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0.0336</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61"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NH3-N</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0.00588</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30</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61"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TN</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85</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0.01428</w:t>
                  </w:r>
                </w:p>
              </w:tc>
              <w:tc>
                <w:tcPr>
                  <w:tcW w:w="78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61"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847" w:type="pct"/>
                  <w:vMerge w:val="continue"/>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8"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TP</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w:t>
                  </w:r>
                </w:p>
              </w:tc>
              <w:tc>
                <w:tcPr>
                  <w:tcW w:w="65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0.00252</w:t>
                  </w:r>
                </w:p>
              </w:tc>
              <w:tc>
                <w:tcPr>
                  <w:tcW w:w="78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65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0.001344</w:t>
                  </w:r>
                </w:p>
              </w:tc>
            </w:tr>
          </w:tbl>
          <w:p>
            <w:pPr>
              <w:pStyle w:val="7"/>
              <w:suppressLineNumbers w:val="0"/>
              <w:bidi w:val="0"/>
              <w:spacing w:before="0" w:after="0"/>
              <w:ind w:left="0" w:right="0"/>
              <w:rPr>
                <w:rFonts w:hint="eastAsia"/>
                <w:u w:val="none"/>
                <w:lang w:val="en-US" w:eastAsia="zh-CN"/>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3.1</w:t>
            </w:r>
            <w:r>
              <w:rPr>
                <w:rFonts w:hint="eastAsia"/>
                <w:u w:val="none"/>
                <w:lang w:val="en-US" w:eastAsia="zh-CN"/>
              </w:rPr>
              <w:t>.2报废车辆清洗废水、车间地面清洗废水</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szCs w:val="24"/>
                <w:u w:val="none"/>
              </w:rPr>
            </w:pPr>
            <w:r>
              <w:rPr>
                <w:rFonts w:hint="default"/>
                <w:u w:val="none"/>
              </w:rPr>
              <w:t>为保证车间地面清洁</w:t>
            </w:r>
            <w:r>
              <w:rPr>
                <w:rFonts w:hint="eastAsia"/>
                <w:u w:val="none"/>
              </w:rPr>
              <w:t>，</w:t>
            </w:r>
            <w:r>
              <w:rPr>
                <w:rFonts w:hint="default"/>
                <w:u w:val="none"/>
              </w:rPr>
              <w:t>定期对拆解车间地面进行清洗，清洗周期约为每</w:t>
            </w:r>
            <w:r>
              <w:rPr>
                <w:rFonts w:hint="eastAsia"/>
                <w:u w:val="none"/>
              </w:rPr>
              <w:t>两周一</w:t>
            </w:r>
            <w:r>
              <w:rPr>
                <w:rFonts w:hint="default"/>
                <w:u w:val="none"/>
              </w:rPr>
              <w:t>次（全年共</w:t>
            </w:r>
            <w:r>
              <w:rPr>
                <w:rFonts w:hint="eastAsia"/>
                <w:u w:val="none"/>
              </w:rPr>
              <w:t>2</w:t>
            </w:r>
            <w:r>
              <w:rPr>
                <w:rFonts w:hint="eastAsia"/>
                <w:u w:val="none"/>
                <w:lang w:val="en-US" w:eastAsia="zh-CN"/>
              </w:rPr>
              <w:t>5</w:t>
            </w:r>
            <w:r>
              <w:rPr>
                <w:rFonts w:hint="default"/>
                <w:u w:val="none"/>
              </w:rPr>
              <w:t>次）</w:t>
            </w:r>
            <w:r>
              <w:rPr>
                <w:rFonts w:hint="eastAsia"/>
                <w:u w:val="none"/>
              </w:rPr>
              <w:t>，</w:t>
            </w:r>
            <w:r>
              <w:rPr>
                <w:rFonts w:hint="default"/>
                <w:u w:val="none"/>
              </w:rPr>
              <w:t>车间地面在清洗时会产生废水，评价要求在进行地面冲洗之前，应先对地面进行清扫并用抹布擦去地面有明显油渍的地方，以达到有效清洁地面积降低后续废水处理工艺的负荷的目的。</w:t>
            </w:r>
            <w:r>
              <w:rPr>
                <w:rFonts w:hint="eastAsia"/>
                <w:u w:val="none"/>
              </w:rPr>
              <w:t>冲洗过程仅用人工清洗，不使用清洁剂，</w:t>
            </w:r>
            <w:r>
              <w:rPr>
                <w:rFonts w:hint="default"/>
                <w:u w:val="none"/>
              </w:rPr>
              <w:t>参考《建筑给排水设计规范》（GB50015-2009）中停车场地面冲洗</w:t>
            </w:r>
            <w:r>
              <w:rPr>
                <w:rFonts w:hint="default" w:ascii="Times New Roman" w:hAnsi="Times New Roman" w:eastAsia="宋体" w:cs="Times New Roman"/>
                <w:szCs w:val="24"/>
                <w:u w:val="none"/>
              </w:rPr>
              <w:t>水用量2~3L/</w:t>
            </w:r>
            <w:r>
              <w:rPr>
                <w:rFonts w:hint="eastAsia" w:cs="Times New Roman"/>
                <w:szCs w:val="24"/>
                <w:u w:val="none"/>
                <w:lang w:eastAsia="zh-CN"/>
              </w:rPr>
              <w:t>㎡</w:t>
            </w:r>
            <w:r>
              <w:rPr>
                <w:rFonts w:hint="default" w:ascii="Times New Roman" w:hAnsi="Times New Roman" w:eastAsia="宋体" w:cs="Times New Roman"/>
                <w:szCs w:val="24"/>
                <w:u w:val="none"/>
              </w:rPr>
              <w:t>·</w:t>
            </w:r>
            <w:r>
              <w:rPr>
                <w:rFonts w:hint="eastAsia" w:ascii="Times New Roman" w:hAnsi="Times New Roman" w:eastAsia="宋体" w:cs="Times New Roman"/>
                <w:szCs w:val="24"/>
                <w:u w:val="none"/>
              </w:rPr>
              <w:t>次，</w:t>
            </w:r>
            <w:r>
              <w:rPr>
                <w:rFonts w:hint="default" w:ascii="Times New Roman" w:hAnsi="Times New Roman" w:eastAsia="宋体" w:cs="Times New Roman"/>
                <w:szCs w:val="24"/>
                <w:u w:val="none"/>
              </w:rPr>
              <w:t>项目车间地面冲洗废水用水量取</w:t>
            </w:r>
            <w:r>
              <w:rPr>
                <w:rFonts w:hint="eastAsia" w:ascii="Times New Roman" w:hAnsi="Times New Roman" w:eastAsia="宋体" w:cs="Times New Roman"/>
                <w:szCs w:val="24"/>
                <w:u w:val="none"/>
                <w:lang w:val="en-US" w:eastAsia="zh-CN"/>
              </w:rPr>
              <w:t>2</w:t>
            </w:r>
            <w:r>
              <w:rPr>
                <w:rFonts w:hint="default" w:ascii="Times New Roman" w:hAnsi="Times New Roman" w:eastAsia="宋体" w:cs="Times New Roman"/>
                <w:szCs w:val="24"/>
                <w:u w:val="none"/>
              </w:rPr>
              <w:t>L/</w:t>
            </w:r>
            <w:r>
              <w:rPr>
                <w:rFonts w:hint="eastAsia" w:cs="Times New Roman"/>
                <w:szCs w:val="24"/>
                <w:u w:val="none"/>
                <w:lang w:eastAsia="zh-CN"/>
              </w:rPr>
              <w:t>㎡</w:t>
            </w:r>
            <w:r>
              <w:rPr>
                <w:rFonts w:hint="default" w:ascii="Times New Roman" w:hAnsi="Times New Roman" w:eastAsia="宋体" w:cs="Times New Roman"/>
                <w:szCs w:val="24"/>
                <w:u w:val="none"/>
              </w:rPr>
              <w:t>·次，项目拆解车间面积</w:t>
            </w:r>
            <w:r>
              <w:rPr>
                <w:rFonts w:hint="eastAsia" w:cs="Times New Roman"/>
                <w:szCs w:val="24"/>
                <w:u w:val="none"/>
                <w:lang w:val="en-US" w:eastAsia="zh-CN"/>
              </w:rPr>
              <w:t>5</w:t>
            </w:r>
            <w:r>
              <w:rPr>
                <w:rFonts w:hint="eastAsia" w:ascii="Times New Roman" w:hAnsi="Times New Roman" w:eastAsia="宋体" w:cs="Times New Roman"/>
                <w:szCs w:val="24"/>
                <w:u w:val="none"/>
              </w:rPr>
              <w:t>00</w:t>
            </w:r>
            <w:r>
              <w:rPr>
                <w:rFonts w:hint="eastAsia" w:cs="Times New Roman"/>
                <w:szCs w:val="24"/>
                <w:u w:val="none"/>
                <w:lang w:eastAsia="zh-CN"/>
              </w:rPr>
              <w:t>㎡</w:t>
            </w:r>
            <w:r>
              <w:rPr>
                <w:rFonts w:hint="default" w:ascii="Times New Roman" w:hAnsi="Times New Roman" w:eastAsia="宋体" w:cs="Times New Roman"/>
                <w:szCs w:val="24"/>
                <w:u w:val="none"/>
              </w:rPr>
              <w:t>，则项目车间冲洗年用水量为</w:t>
            </w:r>
            <w:r>
              <w:rPr>
                <w:rFonts w:hint="eastAsia" w:cs="Times New Roman"/>
                <w:szCs w:val="24"/>
                <w:u w:val="none"/>
                <w:lang w:val="en-US" w:eastAsia="zh-CN"/>
              </w:rPr>
              <w:t>1</w:t>
            </w:r>
            <w:r>
              <w:rPr>
                <w:rFonts w:hint="eastAsia" w:cs="Times New Roman"/>
                <w:szCs w:val="24"/>
                <w:u w:val="none"/>
                <w:lang w:eastAsia="zh-CN"/>
              </w:rPr>
              <w:t>m³</w:t>
            </w:r>
            <w:r>
              <w:rPr>
                <w:rFonts w:hint="default" w:ascii="Times New Roman" w:hAnsi="Times New Roman" w:eastAsia="宋体" w:cs="Times New Roman"/>
                <w:szCs w:val="24"/>
                <w:u w:val="none"/>
              </w:rPr>
              <w:t>/次</w:t>
            </w:r>
            <w:r>
              <w:rPr>
                <w:rFonts w:hint="eastAsia" w:ascii="Times New Roman" w:hAnsi="Times New Roman" w:eastAsia="宋体" w:cs="Times New Roman"/>
                <w:szCs w:val="24"/>
                <w:u w:val="none"/>
              </w:rPr>
              <w:t>，</w:t>
            </w:r>
            <w:r>
              <w:rPr>
                <w:rFonts w:hint="eastAsia" w:cs="Times New Roman"/>
                <w:szCs w:val="24"/>
                <w:u w:val="none"/>
                <w:lang w:val="en-US" w:eastAsia="zh-CN"/>
              </w:rPr>
              <w:t>25</w:t>
            </w:r>
            <w:r>
              <w:rPr>
                <w:rFonts w:hint="eastAsia" w:cs="Times New Roman"/>
                <w:szCs w:val="24"/>
                <w:u w:val="none"/>
                <w:lang w:eastAsia="zh-CN"/>
              </w:rPr>
              <w:t>m³</w:t>
            </w:r>
            <w:r>
              <w:rPr>
                <w:rFonts w:hint="default" w:ascii="Times New Roman" w:hAnsi="Times New Roman" w:eastAsia="宋体" w:cs="Times New Roman"/>
                <w:szCs w:val="24"/>
                <w:u w:val="none"/>
              </w:rPr>
              <w:t>/a</w:t>
            </w:r>
            <w:r>
              <w:rPr>
                <w:rFonts w:hint="eastAsia" w:ascii="Times New Roman" w:hAnsi="Times New Roman" w:eastAsia="宋体" w:cs="Times New Roman"/>
                <w:szCs w:val="24"/>
                <w:u w:val="none"/>
              </w:rPr>
              <w:t>。</w:t>
            </w:r>
            <w:r>
              <w:rPr>
                <w:rFonts w:hint="default" w:ascii="Times New Roman" w:hAnsi="Times New Roman" w:eastAsia="宋体" w:cs="Times New Roman"/>
                <w:szCs w:val="24"/>
                <w:u w:val="none"/>
              </w:rPr>
              <w:t>车间地面冲洗按照20%蒸发耗散计，项目车间地面冲洗废水产生量为</w:t>
            </w:r>
            <w:r>
              <w:rPr>
                <w:rFonts w:hint="eastAsia" w:cs="Times New Roman"/>
                <w:szCs w:val="24"/>
                <w:u w:val="none"/>
                <w:lang w:val="en-US" w:eastAsia="zh-CN"/>
              </w:rPr>
              <w:t>0.8</w:t>
            </w:r>
            <w:r>
              <w:rPr>
                <w:rFonts w:hint="eastAsia" w:cs="Times New Roman"/>
                <w:szCs w:val="24"/>
                <w:u w:val="none"/>
                <w:lang w:eastAsia="zh-CN"/>
              </w:rPr>
              <w:t>m³</w:t>
            </w:r>
            <w:r>
              <w:rPr>
                <w:rFonts w:hint="default" w:ascii="Times New Roman" w:hAnsi="Times New Roman" w:eastAsia="宋体" w:cs="Times New Roman"/>
                <w:szCs w:val="24"/>
                <w:u w:val="none"/>
              </w:rPr>
              <w:t>/次</w:t>
            </w:r>
            <w:r>
              <w:rPr>
                <w:rFonts w:hint="eastAsia" w:ascii="Times New Roman" w:hAnsi="Times New Roman" w:eastAsia="宋体" w:cs="Times New Roman"/>
                <w:szCs w:val="24"/>
                <w:u w:val="none"/>
              </w:rPr>
              <w:t>（</w:t>
            </w:r>
            <w:r>
              <w:rPr>
                <w:rFonts w:hint="eastAsia" w:cs="Times New Roman"/>
                <w:szCs w:val="24"/>
                <w:u w:val="none"/>
                <w:lang w:val="en-US" w:eastAsia="zh-CN"/>
              </w:rPr>
              <w:t>20</w:t>
            </w:r>
            <w:r>
              <w:rPr>
                <w:rFonts w:hint="eastAsia" w:cs="Times New Roman"/>
                <w:szCs w:val="24"/>
                <w:u w:val="none"/>
                <w:lang w:eastAsia="zh-CN"/>
              </w:rPr>
              <w:t>m³</w:t>
            </w:r>
            <w:r>
              <w:rPr>
                <w:rFonts w:hint="default" w:ascii="Times New Roman" w:hAnsi="Times New Roman" w:eastAsia="宋体" w:cs="Times New Roman"/>
                <w:szCs w:val="24"/>
                <w:u w:val="none"/>
              </w:rPr>
              <w:t>/a</w:t>
            </w:r>
            <w:r>
              <w:rPr>
                <w:rFonts w:hint="eastAsia" w:ascii="Times New Roman" w:hAnsi="Times New Roman" w:eastAsia="宋体" w:cs="Times New Roman"/>
                <w:szCs w:val="24"/>
                <w:u w:val="none"/>
              </w:rPr>
              <w:t>）</w:t>
            </w:r>
            <w:r>
              <w:rPr>
                <w:rFonts w:hint="default" w:ascii="Times New Roman" w:hAnsi="Times New Roman" w:eastAsia="宋体" w:cs="Times New Roman"/>
                <w:szCs w:val="24"/>
                <w:u w:val="none"/>
              </w:rPr>
              <w:t>。</w:t>
            </w:r>
          </w:p>
          <w:p>
            <w:pPr>
              <w:keepNext w:val="0"/>
              <w:keepLines w:val="0"/>
              <w:suppressLineNumbers w:val="0"/>
              <w:bidi w:val="0"/>
              <w:spacing w:before="0" w:beforeAutospacing="0" w:after="0" w:afterAutospacing="0"/>
              <w:ind w:left="0" w:right="0"/>
              <w:rPr>
                <w:rFonts w:hint="eastAsia"/>
                <w:u w:val="none"/>
              </w:rPr>
            </w:pPr>
            <w:r>
              <w:rPr>
                <w:rFonts w:hint="eastAsia"/>
                <w:u w:val="none"/>
              </w:rPr>
              <w:t>报废</w:t>
            </w:r>
            <w:r>
              <w:rPr>
                <w:rFonts w:hint="eastAsia"/>
                <w:u w:val="none"/>
                <w:lang w:eastAsia="zh-CN"/>
              </w:rPr>
              <w:t>车辆</w:t>
            </w:r>
            <w:r>
              <w:rPr>
                <w:rFonts w:hint="eastAsia"/>
                <w:u w:val="none"/>
              </w:rPr>
              <w:t>入厂后须经汽车清洗装置</w:t>
            </w:r>
            <w:r>
              <w:rPr>
                <w:rFonts w:hint="eastAsia"/>
                <w:u w:val="none"/>
                <w:lang w:eastAsia="zh-CN"/>
              </w:rPr>
              <w:t>清洗</w:t>
            </w:r>
            <w:r>
              <w:rPr>
                <w:rFonts w:hint="eastAsia"/>
                <w:u w:val="none"/>
              </w:rPr>
              <w:t>去除车身上的泥垢后，再进入预拆解车间，以减少拆解杂质。拆解后的部件不再进行清洗，可利用的回用件人工擦拭，不清洗，避免锈坏。本项目</w:t>
            </w:r>
            <w:r>
              <w:rPr>
                <w:rFonts w:hint="eastAsia"/>
                <w:u w:val="none"/>
                <w:lang w:eastAsia="zh-CN"/>
              </w:rPr>
              <w:t>报废</w:t>
            </w:r>
            <w:r>
              <w:rPr>
                <w:rFonts w:hint="eastAsia"/>
                <w:u w:val="none"/>
              </w:rPr>
              <w:t>汽车清洗用水量情况见下表。</w:t>
            </w:r>
          </w:p>
          <w:p>
            <w:pPr>
              <w:keepNext w:val="0"/>
              <w:keepLines w:val="0"/>
              <w:suppressLineNumbers w:val="0"/>
              <w:spacing w:before="0" w:beforeAutospacing="0" w:after="0" w:afterAutospacing="0"/>
              <w:ind w:left="0" w:right="0" w:firstLine="482"/>
              <w:jc w:val="center"/>
              <w:rPr>
                <w:rFonts w:hint="eastAsia" w:ascii="Times New Roman" w:hAnsi="Times New Roman" w:eastAsia="宋体" w:cs="Times New Roman"/>
                <w:b/>
                <w:u w:val="none"/>
              </w:rPr>
            </w:pPr>
            <w:r>
              <w:rPr>
                <w:rFonts w:hint="eastAsia"/>
                <w:b/>
                <w:u w:val="none"/>
              </w:rPr>
              <w:t>表</w:t>
            </w:r>
            <w:r>
              <w:rPr>
                <w:rFonts w:hint="eastAsia"/>
                <w:b/>
                <w:u w:val="none"/>
                <w:lang w:val="en-US" w:eastAsia="zh-CN"/>
              </w:rPr>
              <w:t xml:space="preserve">5.2-3 </w:t>
            </w:r>
            <w:r>
              <w:rPr>
                <w:rFonts w:hint="eastAsia" w:ascii="Times New Roman" w:hAnsi="Times New Roman" w:eastAsia="宋体" w:cs="Times New Roman"/>
                <w:b/>
                <w:u w:val="none"/>
              </w:rPr>
              <w:t xml:space="preserve"> 本项目</w:t>
            </w:r>
            <w:r>
              <w:rPr>
                <w:rFonts w:hint="eastAsia" w:ascii="Times New Roman" w:hAnsi="Times New Roman" w:eastAsia="宋体" w:cs="Times New Roman"/>
                <w:b/>
                <w:u w:val="none"/>
                <w:lang w:eastAsia="zh-CN"/>
              </w:rPr>
              <w:t>报废</w:t>
            </w:r>
            <w:r>
              <w:rPr>
                <w:rFonts w:hint="eastAsia" w:ascii="Times New Roman" w:hAnsi="Times New Roman" w:eastAsia="宋体" w:cs="Times New Roman"/>
                <w:b/>
                <w:u w:val="none"/>
              </w:rPr>
              <w:t>汽车清洗用水量</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863"/>
              <w:gridCol w:w="1863"/>
              <w:gridCol w:w="1863"/>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7"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汽车类型</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用水量（升/（辆·次））</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报废</w:t>
                  </w:r>
                  <w:r>
                    <w:rPr>
                      <w:rFonts w:hint="default"/>
                      <w:u w:val="none"/>
                    </w:rPr>
                    <w:t>汽车数量（辆/a）</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用水量（</w:t>
                  </w:r>
                  <w:r>
                    <w:rPr>
                      <w:rFonts w:hint="eastAsia"/>
                      <w:u w:val="none"/>
                      <w:lang w:val="en-US" w:eastAsia="zh-CN"/>
                    </w:rPr>
                    <w:t>m³</w:t>
                  </w:r>
                  <w:r>
                    <w:rPr>
                      <w:rFonts w:hint="default"/>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7"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摩托车</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50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500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07"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小型</w:t>
                  </w:r>
                  <w:r>
                    <w:rPr>
                      <w:rFonts w:hint="eastAsia"/>
                      <w:u w:val="none"/>
                      <w:lang w:eastAsia="zh-CN"/>
                    </w:rPr>
                    <w:t>汽</w:t>
                  </w:r>
                  <w:r>
                    <w:rPr>
                      <w:rFonts w:hint="default"/>
                      <w:u w:val="none"/>
                    </w:rPr>
                    <w:t>车</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100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6000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07" w:type="pct"/>
                  <w:noWrap w:val="0"/>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3</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大</w:t>
                  </w:r>
                  <w:r>
                    <w:rPr>
                      <w:rFonts w:hint="eastAsia"/>
                      <w:u w:val="none"/>
                      <w:lang w:eastAsia="zh-CN"/>
                    </w:rPr>
                    <w:t>中</w:t>
                  </w:r>
                  <w:r>
                    <w:rPr>
                      <w:rFonts w:hint="default"/>
                      <w:u w:val="none"/>
                    </w:rPr>
                    <w:t>型</w:t>
                  </w:r>
                  <w:r>
                    <w:rPr>
                      <w:rFonts w:hint="eastAsia"/>
                      <w:u w:val="none"/>
                      <w:lang w:eastAsia="zh-CN"/>
                    </w:rPr>
                    <w:t>汽</w:t>
                  </w:r>
                  <w:r>
                    <w:rPr>
                      <w:rFonts w:hint="default"/>
                      <w:u w:val="none"/>
                    </w:rPr>
                    <w:t>车</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300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3500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3" w:type="pct"/>
                  <w:gridSpan w:val="3"/>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合计</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10000</w:t>
                  </w:r>
                </w:p>
              </w:tc>
              <w:tc>
                <w:tcPr>
                  <w:tcW w:w="1123"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1675</w:t>
                  </w:r>
                </w:p>
              </w:tc>
            </w:tr>
          </w:tbl>
          <w:p>
            <w:pPr>
              <w:keepNext w:val="0"/>
              <w:keepLines w:val="0"/>
              <w:suppressLineNumbers w:val="0"/>
              <w:bidi w:val="0"/>
              <w:spacing w:before="0" w:beforeAutospacing="0" w:after="0" w:afterAutospacing="0"/>
              <w:ind w:left="0" w:right="0"/>
              <w:rPr>
                <w:rFonts w:hint="eastAsia"/>
                <w:sz w:val="24"/>
                <w:szCs w:val="24"/>
                <w:u w:val="none"/>
              </w:rPr>
            </w:pPr>
            <w:r>
              <w:rPr>
                <w:rFonts w:hint="eastAsia"/>
                <w:sz w:val="24"/>
                <w:szCs w:val="24"/>
                <w:u w:val="none"/>
                <w:lang w:eastAsia="zh-CN"/>
              </w:rPr>
              <w:t>项目报废</w:t>
            </w:r>
            <w:r>
              <w:rPr>
                <w:rFonts w:hint="eastAsia"/>
                <w:sz w:val="24"/>
                <w:szCs w:val="24"/>
                <w:u w:val="none"/>
              </w:rPr>
              <w:t>汽车清洗用水</w:t>
            </w:r>
            <w:r>
              <w:rPr>
                <w:rFonts w:hint="eastAsia"/>
                <w:sz w:val="24"/>
                <w:szCs w:val="24"/>
                <w:u w:val="none"/>
                <w:lang w:eastAsia="zh-CN"/>
              </w:rPr>
              <w:t>量为</w:t>
            </w:r>
            <w:r>
              <w:rPr>
                <w:rFonts w:hint="eastAsia"/>
                <w:sz w:val="24"/>
                <w:szCs w:val="24"/>
                <w:u w:val="none"/>
                <w:lang w:val="en-US" w:eastAsia="zh-CN"/>
              </w:rPr>
              <w:t>1675m³</w:t>
            </w:r>
            <w:r>
              <w:rPr>
                <w:rFonts w:hint="default"/>
                <w:sz w:val="24"/>
                <w:szCs w:val="24"/>
                <w:u w:val="none"/>
              </w:rPr>
              <w:t>/a</w:t>
            </w:r>
            <w:r>
              <w:rPr>
                <w:rFonts w:hint="eastAsia"/>
                <w:sz w:val="24"/>
                <w:szCs w:val="24"/>
                <w:u w:val="none"/>
              </w:rPr>
              <w:t>，废水产生系数按</w:t>
            </w:r>
            <w:r>
              <w:rPr>
                <w:rFonts w:hint="default"/>
                <w:sz w:val="24"/>
                <w:szCs w:val="24"/>
                <w:u w:val="none"/>
              </w:rPr>
              <w:t>0.</w:t>
            </w:r>
            <w:r>
              <w:rPr>
                <w:rFonts w:hint="eastAsia"/>
                <w:sz w:val="24"/>
                <w:szCs w:val="24"/>
                <w:u w:val="none"/>
                <w:lang w:val="en-US" w:eastAsia="zh-CN"/>
              </w:rPr>
              <w:t>8</w:t>
            </w:r>
            <w:r>
              <w:rPr>
                <w:rFonts w:hint="eastAsia"/>
                <w:sz w:val="24"/>
                <w:szCs w:val="24"/>
                <w:u w:val="none"/>
              </w:rPr>
              <w:t>计，则汽车清洗废水量为</w:t>
            </w:r>
            <w:r>
              <w:rPr>
                <w:rFonts w:hint="eastAsia"/>
                <w:sz w:val="24"/>
                <w:szCs w:val="24"/>
                <w:u w:val="none"/>
                <w:lang w:val="en-US" w:eastAsia="zh-CN"/>
              </w:rPr>
              <w:t>1340m³</w:t>
            </w:r>
            <w:r>
              <w:rPr>
                <w:rFonts w:hint="default"/>
                <w:sz w:val="24"/>
                <w:szCs w:val="24"/>
                <w:u w:val="none"/>
              </w:rPr>
              <w:t>/a</w:t>
            </w:r>
            <w:r>
              <w:rPr>
                <w:rFonts w:hint="eastAsia"/>
                <w:sz w:val="24"/>
                <w:szCs w:val="24"/>
                <w:u w:val="none"/>
              </w:rPr>
              <w:t>。</w:t>
            </w:r>
          </w:p>
          <w:p>
            <w:pPr>
              <w:keepNext w:val="0"/>
              <w:keepLines w:val="0"/>
              <w:suppressLineNumbers w:val="0"/>
              <w:bidi w:val="0"/>
              <w:spacing w:before="0" w:beforeAutospacing="0" w:after="0" w:afterAutospacing="0"/>
              <w:ind w:left="0" w:right="0"/>
              <w:rPr>
                <w:rFonts w:hint="eastAsia"/>
                <w:u w:val="none"/>
              </w:rPr>
            </w:pPr>
            <w:r>
              <w:rPr>
                <w:rFonts w:hint="eastAsia" w:ascii="宋体" w:hAnsi="Times New Roman" w:cs="宋体"/>
                <w:kern w:val="0"/>
                <w:sz w:val="24"/>
                <w:szCs w:val="24"/>
                <w:u w:val="none"/>
              </w:rPr>
              <w:t>类比《厦门绿洲报废汽车拆解加工利用项目环境影响报告书》（中环国评（北京）科技有限公司，</w:t>
            </w:r>
            <w:r>
              <w:rPr>
                <w:rFonts w:hint="default" w:ascii="Times New Roman" w:hAnsi="Times New Roman"/>
                <w:kern w:val="0"/>
                <w:sz w:val="24"/>
                <w:szCs w:val="24"/>
                <w:u w:val="none"/>
              </w:rPr>
              <w:t>2015.5</w:t>
            </w:r>
            <w:r>
              <w:rPr>
                <w:rFonts w:hint="eastAsia" w:ascii="宋体" w:hAnsi="Times New Roman" w:cs="宋体"/>
                <w:kern w:val="0"/>
                <w:sz w:val="24"/>
                <w:szCs w:val="24"/>
                <w:u w:val="none"/>
              </w:rPr>
              <w:t>）、《临沂奥凯再生资源利用有限公司</w:t>
            </w:r>
            <w:r>
              <w:rPr>
                <w:rFonts w:hint="default" w:ascii="Times New Roman" w:hAnsi="Times New Roman"/>
                <w:kern w:val="0"/>
                <w:sz w:val="24"/>
                <w:szCs w:val="24"/>
                <w:u w:val="none"/>
              </w:rPr>
              <w:t>2</w:t>
            </w:r>
            <w:r>
              <w:rPr>
                <w:rFonts w:hint="eastAsia" w:ascii="宋体" w:hAnsi="Times New Roman" w:cs="宋体"/>
                <w:kern w:val="0"/>
                <w:sz w:val="24"/>
                <w:szCs w:val="24"/>
                <w:u w:val="none"/>
              </w:rPr>
              <w:t>万辆</w:t>
            </w:r>
            <w:r>
              <w:rPr>
                <w:rFonts w:hint="default" w:ascii="Times New Roman" w:hAnsi="Times New Roman"/>
                <w:kern w:val="0"/>
                <w:sz w:val="24"/>
                <w:szCs w:val="24"/>
                <w:u w:val="none"/>
              </w:rPr>
              <w:t>/</w:t>
            </w:r>
            <w:r>
              <w:rPr>
                <w:rFonts w:hint="eastAsia" w:ascii="宋体" w:hAnsi="Times New Roman" w:cs="宋体"/>
                <w:kern w:val="0"/>
                <w:sz w:val="24"/>
                <w:szCs w:val="24"/>
                <w:u w:val="none"/>
              </w:rPr>
              <w:t>年报废机动车回收拆解项目》（山东省环境保护科学研究设计院，</w:t>
            </w:r>
            <w:r>
              <w:rPr>
                <w:rFonts w:hint="default" w:ascii="Times New Roman" w:hAnsi="Times New Roman"/>
                <w:kern w:val="0"/>
                <w:sz w:val="24"/>
                <w:szCs w:val="24"/>
                <w:u w:val="none"/>
              </w:rPr>
              <w:t>2015.4</w:t>
            </w:r>
            <w:r>
              <w:rPr>
                <w:rFonts w:hint="eastAsia" w:ascii="宋体" w:hAnsi="Times New Roman" w:cs="宋体"/>
                <w:kern w:val="0"/>
                <w:sz w:val="24"/>
                <w:szCs w:val="24"/>
                <w:u w:val="none"/>
              </w:rPr>
              <w:t>），并结合本项目废水特点，地面清洗废水的水质与报废车的清洗废水水质接近，主要污染物均为石油类、</w:t>
            </w:r>
            <w:r>
              <w:rPr>
                <w:rFonts w:hint="default" w:ascii="Times New Roman" w:hAnsi="Times New Roman"/>
                <w:kern w:val="0"/>
                <w:sz w:val="24"/>
                <w:szCs w:val="24"/>
                <w:u w:val="none"/>
              </w:rPr>
              <w:t>LAS</w:t>
            </w:r>
            <w:r>
              <w:rPr>
                <w:rFonts w:hint="eastAsia" w:ascii="宋体" w:hAnsi="Times New Roman" w:cs="宋体"/>
                <w:kern w:val="0"/>
                <w:sz w:val="24"/>
                <w:szCs w:val="24"/>
                <w:u w:val="none"/>
              </w:rPr>
              <w:t>和</w:t>
            </w:r>
            <w:r>
              <w:rPr>
                <w:rFonts w:hint="default" w:ascii="Times New Roman" w:hAnsi="Times New Roman"/>
                <w:kern w:val="0"/>
                <w:sz w:val="24"/>
                <w:szCs w:val="24"/>
                <w:u w:val="none"/>
              </w:rPr>
              <w:t>SS</w:t>
            </w:r>
            <w:r>
              <w:rPr>
                <w:rFonts w:hint="eastAsia" w:ascii="宋体" w:hAnsi="Times New Roman" w:cs="宋体"/>
                <w:kern w:val="0"/>
                <w:sz w:val="24"/>
                <w:szCs w:val="24"/>
                <w:u w:val="none"/>
              </w:rPr>
              <w:t>，具体浓度</w:t>
            </w:r>
            <w:r>
              <w:rPr>
                <w:rFonts w:hint="eastAsia" w:ascii="宋体" w:cs="宋体"/>
                <w:kern w:val="0"/>
                <w:sz w:val="24"/>
                <w:szCs w:val="24"/>
                <w:u w:val="none"/>
                <w:lang w:eastAsia="zh-CN"/>
              </w:rPr>
              <w:t>为</w:t>
            </w:r>
            <w:r>
              <w:rPr>
                <w:rFonts w:hint="default" w:ascii="Times New Roman" w:hAnsi="Times New Roman" w:cs="Times New Roman"/>
                <w:sz w:val="24"/>
                <w:szCs w:val="24"/>
                <w:u w:val="none"/>
                <w:lang w:eastAsia="zh-CN"/>
              </w:rPr>
              <w:t>CODcr≤</w:t>
            </w:r>
            <w:r>
              <w:rPr>
                <w:rFonts w:hint="eastAsia" w:ascii="Times New Roman" w:hAnsi="Times New Roman" w:cs="Times New Roman"/>
                <w:sz w:val="24"/>
                <w:szCs w:val="24"/>
                <w:u w:val="none"/>
                <w:lang w:val="en-US" w:eastAsia="zh-CN"/>
              </w:rPr>
              <w:t>400</w:t>
            </w:r>
            <w:r>
              <w:rPr>
                <w:rFonts w:hint="default" w:ascii="Times New Roman" w:hAnsi="Times New Roman" w:cs="Times New Roman"/>
                <w:sz w:val="24"/>
                <w:szCs w:val="24"/>
                <w:u w:val="none"/>
                <w:lang w:eastAsia="zh-CN"/>
              </w:rPr>
              <w:t>mg/L，NH</w:t>
            </w:r>
            <w:r>
              <w:rPr>
                <w:rFonts w:hint="default" w:ascii="Times New Roman" w:hAnsi="Times New Roman" w:cs="Times New Roman"/>
                <w:sz w:val="24"/>
                <w:szCs w:val="24"/>
                <w:u w:val="none"/>
                <w:vertAlign w:val="subscript"/>
                <w:lang w:eastAsia="zh-CN"/>
              </w:rPr>
              <w:t>3</w:t>
            </w:r>
            <w:r>
              <w:rPr>
                <w:rFonts w:hint="default" w:ascii="Times New Roman" w:hAnsi="Times New Roman" w:cs="Times New Roman"/>
                <w:sz w:val="24"/>
                <w:szCs w:val="24"/>
                <w:u w:val="none"/>
                <w:lang w:eastAsia="zh-CN"/>
              </w:rPr>
              <w:t>-N≤35mg/L，SS≤300mg/L，石油类≤</w:t>
            </w:r>
            <w:r>
              <w:rPr>
                <w:rFonts w:hint="eastAsia" w:ascii="Times New Roman" w:hAnsi="Times New Roman" w:cs="Times New Roman"/>
                <w:sz w:val="24"/>
                <w:szCs w:val="24"/>
                <w:u w:val="none"/>
                <w:lang w:val="en-US" w:eastAsia="zh-CN"/>
              </w:rPr>
              <w:t>100</w:t>
            </w:r>
            <w:r>
              <w:rPr>
                <w:rFonts w:hint="default" w:ascii="Times New Roman" w:hAnsi="Times New Roman" w:cs="Times New Roman"/>
                <w:sz w:val="24"/>
                <w:szCs w:val="24"/>
                <w:u w:val="none"/>
                <w:lang w:eastAsia="zh-CN"/>
              </w:rPr>
              <w:t>mg/L。</w:t>
            </w:r>
            <w:r>
              <w:rPr>
                <w:rFonts w:hint="eastAsia"/>
                <w:u w:val="none"/>
                <w:lang w:eastAsia="zh-CN"/>
              </w:rPr>
              <w:t>本项目租赁湘阴县顽石再生科技有限公司厂房，车间地面冲洗废水和报废车辆清洗废水经依托湘阴县顽石再生科技有限公司隔油池</w:t>
            </w:r>
            <w:r>
              <w:rPr>
                <w:rFonts w:hint="eastAsia"/>
                <w:u w:val="none"/>
                <w:lang w:val="en-US" w:eastAsia="zh-CN"/>
              </w:rPr>
              <w:t>+</w:t>
            </w:r>
            <w:r>
              <w:rPr>
                <w:rFonts w:hint="eastAsia"/>
                <w:u w:val="none"/>
                <w:lang w:eastAsia="zh-CN"/>
              </w:rPr>
              <w:t>三级沉淀池处理后由</w:t>
            </w:r>
            <w:r>
              <w:rPr>
                <w:rStyle w:val="29"/>
                <w:rFonts w:hint="eastAsia"/>
                <w:bCs w:val="0"/>
                <w:iCs w:val="0"/>
                <w:snapToGrid/>
                <w:color w:val="auto"/>
                <w:u w:val="none"/>
                <w:lang w:eastAsia="zh-CN"/>
              </w:rPr>
              <w:t>《</w:t>
            </w:r>
            <w:r>
              <w:rPr>
                <w:rFonts w:hint="eastAsia"/>
                <w:u w:val="none"/>
                <w:lang w:eastAsia="zh-CN"/>
              </w:rPr>
              <w:t>湘阴县顽石再生科技有限公司利用建筑垃圾等废弃资源年产</w:t>
            </w:r>
            <w:r>
              <w:rPr>
                <w:rFonts w:hint="eastAsia"/>
                <w:u w:val="none"/>
                <w:lang w:val="en-US" w:eastAsia="zh-CN"/>
              </w:rPr>
              <w:t>30万吨预拌砂浆项目</w:t>
            </w:r>
            <w:r>
              <w:rPr>
                <w:rStyle w:val="29"/>
                <w:rFonts w:hint="eastAsia"/>
                <w:bCs w:val="0"/>
                <w:iCs w:val="0"/>
                <w:snapToGrid/>
                <w:color w:val="auto"/>
                <w:u w:val="none"/>
                <w:lang w:eastAsia="zh-CN"/>
              </w:rPr>
              <w:t>》</w:t>
            </w:r>
            <w:r>
              <w:rPr>
                <w:rFonts w:hint="eastAsia"/>
                <w:u w:val="none"/>
              </w:rPr>
              <w:t>进行制砖用，不排放</w:t>
            </w:r>
            <w:r>
              <w:rPr>
                <w:rFonts w:hint="eastAsia"/>
                <w:u w:val="none"/>
                <w:lang w:eastAsia="zh-CN"/>
              </w:rPr>
              <w:t>。</w:t>
            </w:r>
          </w:p>
          <w:p>
            <w:pPr>
              <w:pStyle w:val="7"/>
              <w:suppressLineNumbers w:val="0"/>
              <w:bidi w:val="0"/>
              <w:spacing w:before="0" w:after="0"/>
              <w:ind w:left="0" w:right="0"/>
              <w:rPr>
                <w:rFonts w:hint="default"/>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3.1</w:t>
            </w:r>
            <w:r>
              <w:rPr>
                <w:rFonts w:hint="eastAsia"/>
                <w:u w:val="none"/>
                <w:lang w:val="en-US" w:eastAsia="zh-CN"/>
              </w:rPr>
              <w:t>.3</w:t>
            </w:r>
            <w:r>
              <w:rPr>
                <w:rFonts w:hint="eastAsia"/>
                <w:u w:val="none"/>
              </w:rPr>
              <w:t>初期雨水</w:t>
            </w:r>
          </w:p>
          <w:p>
            <w:pPr>
              <w:keepNext w:val="0"/>
              <w:keepLines w:val="0"/>
              <w:suppressLineNumbers w:val="0"/>
              <w:spacing w:before="0" w:beforeAutospacing="0" w:after="0" w:afterAutospacing="0"/>
              <w:ind w:left="0" w:right="0" w:firstLine="480"/>
              <w:rPr>
                <w:rFonts w:hint="default"/>
                <w:u w:val="none"/>
              </w:rPr>
            </w:pPr>
            <w:r>
              <w:rPr>
                <w:rFonts w:hint="eastAsia"/>
                <w:u w:val="none"/>
                <w:lang w:eastAsia="zh-CN"/>
              </w:rPr>
              <w:t>本项目租赁湘阴县顽石再生科技有限公司厂房，</w:t>
            </w:r>
            <w:r>
              <w:rPr>
                <w:rFonts w:hint="eastAsia"/>
                <w:u w:val="none"/>
              </w:rPr>
              <w:t>厂区进行</w:t>
            </w:r>
            <w:r>
              <w:rPr>
                <w:rFonts w:hint="default"/>
                <w:u w:val="none"/>
              </w:rPr>
              <w:t>雨污分流，厂区雨水由雨水沟系统收集，</w:t>
            </w:r>
            <w:r>
              <w:rPr>
                <w:rFonts w:hint="eastAsia"/>
                <w:u w:val="none"/>
              </w:rPr>
              <w:t>设计初期雨水收集池</w:t>
            </w:r>
            <w:r>
              <w:rPr>
                <w:rFonts w:hint="default"/>
                <w:u w:val="none"/>
              </w:rPr>
              <w:t>。</w:t>
            </w:r>
            <w:r>
              <w:rPr>
                <w:rFonts w:hint="eastAsia"/>
                <w:u w:val="none"/>
              </w:rPr>
              <w:t>雨水收集后用于项目所在地</w:t>
            </w:r>
            <w:r>
              <w:rPr>
                <w:rStyle w:val="29"/>
                <w:rFonts w:hint="eastAsia"/>
                <w:bCs w:val="0"/>
                <w:iCs w:val="0"/>
                <w:snapToGrid/>
                <w:color w:val="auto"/>
                <w:u w:val="none"/>
                <w:lang w:eastAsia="zh-CN"/>
              </w:rPr>
              <w:t>《</w:t>
            </w:r>
            <w:r>
              <w:rPr>
                <w:rFonts w:hint="eastAsia"/>
                <w:u w:val="none"/>
                <w:lang w:eastAsia="zh-CN"/>
              </w:rPr>
              <w:t>湘阴县顽石再生科技有限公司利用建筑垃圾等废弃资源年产</w:t>
            </w:r>
            <w:r>
              <w:rPr>
                <w:rFonts w:hint="eastAsia"/>
                <w:u w:val="none"/>
                <w:lang w:val="en-US" w:eastAsia="zh-CN"/>
              </w:rPr>
              <w:t>30万吨预拌砂浆项目</w:t>
            </w:r>
            <w:r>
              <w:rPr>
                <w:rStyle w:val="29"/>
                <w:rFonts w:hint="eastAsia"/>
                <w:bCs w:val="0"/>
                <w:iCs w:val="0"/>
                <w:snapToGrid/>
                <w:color w:val="auto"/>
                <w:u w:val="none"/>
                <w:lang w:eastAsia="zh-CN"/>
              </w:rPr>
              <w:t>》</w:t>
            </w:r>
            <w:r>
              <w:rPr>
                <w:rFonts w:hint="eastAsia"/>
                <w:u w:val="none"/>
              </w:rPr>
              <w:t>进行制砖用，不排放</w:t>
            </w:r>
            <w:r>
              <w:rPr>
                <w:rFonts w:hint="default"/>
                <w:u w:val="none"/>
              </w:rPr>
              <w:t>。</w:t>
            </w:r>
          </w:p>
          <w:p>
            <w:pPr>
              <w:keepNext w:val="0"/>
              <w:keepLines w:val="0"/>
              <w:suppressLineNumbers w:val="0"/>
              <w:spacing w:before="0" w:beforeAutospacing="0" w:after="0" w:afterAutospacing="0"/>
              <w:ind w:left="0" w:right="0" w:firstLine="480"/>
              <w:rPr>
                <w:rFonts w:hint="default"/>
                <w:u w:val="none"/>
              </w:rPr>
            </w:pPr>
            <w:r>
              <w:rPr>
                <w:rFonts w:hint="default" w:ascii="宋体" w:hAnsi="宋体"/>
                <w:u w:val="none"/>
              </w:rPr>
              <w:t>项目实行雨污分流，初期雨水量以多年平均小时最大降雨量的前</w:t>
            </w:r>
            <w:r>
              <w:rPr>
                <w:rFonts w:hint="default"/>
                <w:u w:val="none"/>
              </w:rPr>
              <w:t>15</w:t>
            </w:r>
            <w:r>
              <w:rPr>
                <w:rFonts w:hint="default" w:ascii="宋体" w:hAnsi="宋体"/>
                <w:u w:val="none"/>
              </w:rPr>
              <w:t>分钟降水作为初期雨水，具体如下：</w:t>
            </w:r>
          </w:p>
          <w:p>
            <w:pPr>
              <w:keepNext w:val="0"/>
              <w:keepLines w:val="0"/>
              <w:suppressLineNumbers w:val="0"/>
              <w:spacing w:before="0" w:beforeAutospacing="0" w:after="0" w:afterAutospacing="0"/>
              <w:ind w:left="0" w:right="0" w:firstLine="480"/>
              <w:rPr>
                <w:rFonts w:hint="default"/>
                <w:u w:val="none"/>
              </w:rPr>
            </w:pPr>
            <w:r>
              <w:rPr>
                <w:rFonts w:hint="default"/>
                <w:u w:val="none"/>
              </w:rPr>
              <w:t>q</w:t>
            </w:r>
            <w:r>
              <w:rPr>
                <w:rFonts w:hint="default" w:ascii="宋体" w:hAnsi="宋体"/>
                <w:u w:val="none"/>
              </w:rPr>
              <w:t>＝</w:t>
            </w:r>
            <w:r>
              <w:rPr>
                <w:rFonts w:hint="default"/>
                <w:u w:val="none"/>
              </w:rPr>
              <w:t>3920</w:t>
            </w:r>
            <w:r>
              <w:rPr>
                <w:rFonts w:hint="default" w:ascii="宋体" w:hAnsi="宋体"/>
                <w:u w:val="none"/>
              </w:rPr>
              <w:t>（</w:t>
            </w:r>
            <w:r>
              <w:rPr>
                <w:rFonts w:hint="default"/>
                <w:u w:val="none"/>
              </w:rPr>
              <w:t>1</w:t>
            </w:r>
            <w:r>
              <w:rPr>
                <w:rFonts w:hint="default" w:ascii="宋体" w:hAnsi="宋体"/>
                <w:u w:val="none"/>
              </w:rPr>
              <w:t>＋</w:t>
            </w:r>
            <w:r>
              <w:rPr>
                <w:rFonts w:hint="default"/>
                <w:u w:val="none"/>
              </w:rPr>
              <w:t>0.681lgP</w:t>
            </w:r>
            <w:r>
              <w:rPr>
                <w:rFonts w:hint="default" w:ascii="宋体" w:hAnsi="宋体"/>
                <w:u w:val="none"/>
              </w:rPr>
              <w:t>）</w:t>
            </w:r>
            <w:r>
              <w:rPr>
                <w:rFonts w:hint="default"/>
                <w:u w:val="none"/>
              </w:rPr>
              <w:t>/</w:t>
            </w:r>
            <w:r>
              <w:rPr>
                <w:rFonts w:hint="default" w:ascii="宋体" w:hAnsi="宋体"/>
                <w:u w:val="none"/>
              </w:rPr>
              <w:t>（</w:t>
            </w:r>
            <w:r>
              <w:rPr>
                <w:rFonts w:hint="default"/>
                <w:u w:val="none"/>
              </w:rPr>
              <w:t>t</w:t>
            </w:r>
            <w:r>
              <w:rPr>
                <w:rFonts w:hint="default" w:ascii="宋体" w:hAnsi="宋体"/>
                <w:u w:val="none"/>
              </w:rPr>
              <w:t>＋</w:t>
            </w:r>
            <w:r>
              <w:rPr>
                <w:rFonts w:hint="default"/>
                <w:u w:val="none"/>
              </w:rPr>
              <w:t>17</w:t>
            </w:r>
            <w:r>
              <w:rPr>
                <w:rFonts w:hint="default" w:ascii="宋体" w:hAnsi="宋体"/>
                <w:u w:val="none"/>
              </w:rPr>
              <w:t>）</w:t>
            </w:r>
            <w:r>
              <w:rPr>
                <w:rFonts w:hint="default"/>
                <w:u w:val="none"/>
              </w:rPr>
              <w:t>^0.86</w:t>
            </w:r>
          </w:p>
          <w:p>
            <w:pPr>
              <w:keepNext w:val="0"/>
              <w:keepLines w:val="0"/>
              <w:suppressLineNumbers w:val="0"/>
              <w:spacing w:before="0" w:beforeAutospacing="0" w:after="0" w:afterAutospacing="0"/>
              <w:ind w:left="0" w:right="0" w:firstLine="480"/>
              <w:rPr>
                <w:rFonts w:hint="default"/>
                <w:u w:val="none"/>
              </w:rPr>
            </w:pPr>
            <w:r>
              <w:rPr>
                <w:rFonts w:hint="default"/>
                <w:u w:val="none"/>
              </w:rPr>
              <w:t>q——</w:t>
            </w:r>
            <w:r>
              <w:rPr>
                <w:rFonts w:hint="default" w:ascii="宋体" w:hAnsi="宋体"/>
                <w:u w:val="none"/>
              </w:rPr>
              <w:t>暴雨强度</w:t>
            </w:r>
            <w:r>
              <w:rPr>
                <w:rFonts w:hint="default"/>
                <w:u w:val="none"/>
              </w:rPr>
              <w:t>(L/S•h</w:t>
            </w:r>
            <w:r>
              <w:rPr>
                <w:rFonts w:hint="eastAsia"/>
                <w:u w:val="none"/>
                <w:lang w:eastAsia="zh-CN"/>
              </w:rPr>
              <w:t>㎡</w:t>
            </w:r>
            <w:r>
              <w:rPr>
                <w:rFonts w:hint="default"/>
                <w:u w:val="none"/>
              </w:rPr>
              <w:t>)</w:t>
            </w:r>
            <w:r>
              <w:rPr>
                <w:rFonts w:hint="default" w:ascii="宋体" w:hAnsi="宋体"/>
                <w:u w:val="none"/>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P——</w:t>
            </w:r>
            <w:r>
              <w:rPr>
                <w:rFonts w:hint="default" w:ascii="宋体" w:hAnsi="宋体"/>
                <w:u w:val="none"/>
              </w:rPr>
              <w:t>重现期，取一年；</w:t>
            </w:r>
          </w:p>
          <w:p>
            <w:pPr>
              <w:keepNext w:val="0"/>
              <w:keepLines w:val="0"/>
              <w:suppressLineNumbers w:val="0"/>
              <w:spacing w:before="0" w:beforeAutospacing="0" w:after="0" w:afterAutospacing="0"/>
              <w:ind w:left="0" w:right="0" w:firstLine="480"/>
              <w:rPr>
                <w:rFonts w:hint="default"/>
                <w:u w:val="none"/>
              </w:rPr>
            </w:pPr>
            <w:r>
              <w:rPr>
                <w:rFonts w:hint="default"/>
                <w:u w:val="none"/>
              </w:rPr>
              <w:t>t——</w:t>
            </w:r>
            <w:r>
              <w:rPr>
                <w:rFonts w:hint="default" w:ascii="宋体" w:hAnsi="宋体"/>
                <w:u w:val="none"/>
              </w:rPr>
              <w:t>降雨历时；</w:t>
            </w:r>
          </w:p>
          <w:p>
            <w:pPr>
              <w:keepNext w:val="0"/>
              <w:keepLines w:val="0"/>
              <w:suppressLineNumbers w:val="0"/>
              <w:spacing w:before="0" w:beforeAutospacing="0" w:after="0" w:afterAutospacing="0"/>
              <w:ind w:left="0" w:right="0" w:firstLine="480"/>
              <w:rPr>
                <w:rFonts w:hint="eastAsia" w:eastAsia="宋体"/>
                <w:u w:val="none"/>
                <w:lang w:eastAsia="zh-CN"/>
              </w:rPr>
            </w:pPr>
            <w:r>
              <w:rPr>
                <w:rFonts w:hint="default" w:ascii="宋体" w:hAnsi="宋体"/>
                <w:u w:val="none"/>
              </w:rPr>
              <w:t>计算结果</w:t>
            </w:r>
            <w:r>
              <w:rPr>
                <w:rFonts w:hint="default"/>
                <w:u w:val="none"/>
              </w:rPr>
              <w:t>q=199L/S•h</w:t>
            </w:r>
            <w:r>
              <w:rPr>
                <w:rFonts w:hint="eastAsia"/>
                <w:u w:val="none"/>
                <w:lang w:eastAsia="zh-CN"/>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Q = qFψT</w:t>
            </w:r>
          </w:p>
          <w:p>
            <w:pPr>
              <w:keepNext w:val="0"/>
              <w:keepLines w:val="0"/>
              <w:suppressLineNumbers w:val="0"/>
              <w:spacing w:before="0" w:beforeAutospacing="0" w:after="0" w:afterAutospacing="0"/>
              <w:ind w:left="0" w:right="0" w:firstLine="480"/>
              <w:rPr>
                <w:rFonts w:hint="default"/>
                <w:u w:val="none"/>
              </w:rPr>
            </w:pPr>
            <w:r>
              <w:rPr>
                <w:rFonts w:hint="default"/>
                <w:u w:val="none"/>
              </w:rPr>
              <w:t>Q——</w:t>
            </w:r>
            <w:r>
              <w:rPr>
                <w:rFonts w:hint="default" w:ascii="宋体" w:hAnsi="宋体"/>
                <w:u w:val="none"/>
              </w:rPr>
              <w:t>初期雨水排放量；</w:t>
            </w:r>
          </w:p>
          <w:p>
            <w:pPr>
              <w:keepNext w:val="0"/>
              <w:keepLines w:val="0"/>
              <w:suppressLineNumbers w:val="0"/>
              <w:spacing w:before="0" w:beforeAutospacing="0" w:after="0" w:afterAutospacing="0"/>
              <w:ind w:left="0" w:right="0" w:firstLine="480"/>
              <w:rPr>
                <w:rFonts w:hint="default"/>
                <w:u w:val="none"/>
              </w:rPr>
            </w:pPr>
            <w:r>
              <w:rPr>
                <w:rFonts w:hint="default"/>
                <w:u w:val="none"/>
              </w:rPr>
              <w:t>F——</w:t>
            </w:r>
            <w:r>
              <w:rPr>
                <w:rFonts w:hint="default" w:ascii="宋体" w:hAnsi="宋体"/>
                <w:u w:val="none"/>
              </w:rPr>
              <w:t>汇水面积</w:t>
            </w:r>
            <w:r>
              <w:rPr>
                <w:rFonts w:hint="default"/>
                <w:u w:val="none"/>
              </w:rPr>
              <w:t>(</w:t>
            </w:r>
            <w:r>
              <w:rPr>
                <w:rFonts w:hint="default" w:ascii="宋体" w:hAnsi="宋体"/>
                <w:u w:val="none"/>
              </w:rPr>
              <w:t>公顷</w:t>
            </w:r>
            <w:r>
              <w:rPr>
                <w:rFonts w:hint="default"/>
                <w:u w:val="none"/>
              </w:rPr>
              <w:t>)</w:t>
            </w:r>
            <w:r>
              <w:rPr>
                <w:rFonts w:hint="default" w:ascii="宋体" w:hAnsi="宋体"/>
                <w:u w:val="none"/>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Ψ——</w:t>
            </w:r>
            <w:r>
              <w:rPr>
                <w:rFonts w:hint="default" w:ascii="宋体" w:hAnsi="宋体"/>
                <w:u w:val="none"/>
              </w:rPr>
              <w:t>为径流系数（</w:t>
            </w:r>
            <w:r>
              <w:rPr>
                <w:rFonts w:hint="default"/>
                <w:u w:val="none"/>
              </w:rPr>
              <w:t>0.4</w:t>
            </w:r>
            <w:r>
              <w:rPr>
                <w:rFonts w:hint="default" w:ascii="宋体" w:hAnsi="宋体"/>
                <w:u w:val="none"/>
              </w:rPr>
              <w:t>～</w:t>
            </w:r>
            <w:r>
              <w:rPr>
                <w:rFonts w:hint="default"/>
                <w:u w:val="none"/>
              </w:rPr>
              <w:t>0.9</w:t>
            </w:r>
            <w:r>
              <w:rPr>
                <w:rFonts w:hint="default" w:ascii="宋体" w:hAnsi="宋体"/>
                <w:u w:val="none"/>
              </w:rPr>
              <w:t>，取</w:t>
            </w:r>
            <w:r>
              <w:rPr>
                <w:rFonts w:hint="default"/>
                <w:u w:val="none"/>
              </w:rPr>
              <w:t>0.6</w:t>
            </w:r>
            <w:r>
              <w:rPr>
                <w:rFonts w:hint="default" w:ascii="宋体" w:hAnsi="宋体"/>
                <w:u w:val="none"/>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T——</w:t>
            </w:r>
            <w:r>
              <w:rPr>
                <w:rFonts w:hint="default" w:ascii="宋体" w:hAnsi="宋体"/>
                <w:u w:val="none"/>
              </w:rPr>
              <w:t>为收水时间，一般取</w:t>
            </w:r>
            <w:r>
              <w:rPr>
                <w:rFonts w:hint="default"/>
                <w:u w:val="none"/>
              </w:rPr>
              <w:t>15</w:t>
            </w:r>
            <w:r>
              <w:rPr>
                <w:rFonts w:hint="default" w:ascii="宋体" w:hAnsi="宋体"/>
                <w:u w:val="none"/>
              </w:rPr>
              <w:t>分钟</w:t>
            </w:r>
            <w:r>
              <w:rPr>
                <w:rFonts w:hint="eastAsia" w:ascii="宋体" w:hAnsi="宋体"/>
                <w:u w:val="none"/>
              </w:rPr>
              <w:t>（900秒）</w:t>
            </w:r>
            <w:r>
              <w:rPr>
                <w:rFonts w:hint="default" w:ascii="宋体" w:hAnsi="宋体"/>
                <w:u w:val="none"/>
              </w:rPr>
              <w:t>。</w:t>
            </w:r>
          </w:p>
          <w:p>
            <w:pPr>
              <w:keepNext w:val="0"/>
              <w:keepLines w:val="0"/>
              <w:suppressLineNumbers w:val="0"/>
              <w:spacing w:before="0" w:beforeAutospacing="0" w:after="0" w:afterAutospacing="0"/>
              <w:ind w:left="0" w:right="0" w:firstLine="480"/>
              <w:rPr>
                <w:rFonts w:hint="default" w:ascii="Calibri" w:hAnsi="Calibri"/>
                <w:sz w:val="22"/>
                <w:szCs w:val="22"/>
                <w:u w:val="none"/>
              </w:rPr>
            </w:pPr>
            <w:r>
              <w:rPr>
                <w:rFonts w:hint="default" w:ascii="宋体" w:hAnsi="宋体"/>
                <w:u w:val="none"/>
              </w:rPr>
              <w:t>项目总占地面积为</w:t>
            </w:r>
            <w:r>
              <w:rPr>
                <w:rFonts w:hint="eastAsia"/>
                <w:u w:val="none"/>
              </w:rPr>
              <w:t>3325</w:t>
            </w:r>
            <w:r>
              <w:rPr>
                <w:rFonts w:hint="default" w:ascii="宋体" w:hAnsi="宋体"/>
                <w:u w:val="none"/>
              </w:rPr>
              <w:t>㎡，则项目总汇水面积取</w:t>
            </w:r>
            <w:r>
              <w:rPr>
                <w:rFonts w:hint="default"/>
                <w:u w:val="none"/>
              </w:rPr>
              <w:t>0.</w:t>
            </w:r>
            <w:r>
              <w:rPr>
                <w:rFonts w:hint="eastAsia"/>
                <w:u w:val="none"/>
              </w:rPr>
              <w:t>3325</w:t>
            </w:r>
            <w:r>
              <w:rPr>
                <w:rFonts w:hint="default"/>
                <w:u w:val="none"/>
              </w:rPr>
              <w:t>h</w:t>
            </w:r>
            <w:r>
              <w:rPr>
                <w:rFonts w:hint="eastAsia"/>
                <w:u w:val="none"/>
                <w:lang w:eastAsia="zh-CN"/>
              </w:rPr>
              <w:t>㎡</w:t>
            </w:r>
            <w:r>
              <w:rPr>
                <w:rFonts w:hint="default" w:ascii="宋体" w:hAnsi="宋体"/>
                <w:u w:val="none"/>
              </w:rPr>
              <w:t>，前</w:t>
            </w:r>
            <w:r>
              <w:rPr>
                <w:rFonts w:hint="default"/>
                <w:u w:val="none"/>
              </w:rPr>
              <w:t>15</w:t>
            </w:r>
            <w:r>
              <w:rPr>
                <w:rFonts w:hint="default" w:ascii="宋体" w:hAnsi="宋体"/>
                <w:u w:val="none"/>
              </w:rPr>
              <w:t>分钟初期雨水量约</w:t>
            </w:r>
            <w:r>
              <w:rPr>
                <w:rFonts w:hint="eastAsia"/>
                <w:u w:val="none"/>
              </w:rPr>
              <w:t>35.73</w:t>
            </w:r>
            <w:r>
              <w:rPr>
                <w:rFonts w:hint="eastAsia"/>
                <w:u w:val="none"/>
                <w:lang w:eastAsia="zh-CN"/>
              </w:rPr>
              <w:t>m³</w:t>
            </w:r>
            <w:r>
              <w:rPr>
                <w:rFonts w:hint="default" w:ascii="宋体" w:hAnsi="宋体"/>
                <w:u w:val="none"/>
              </w:rPr>
              <w:t>。项目收集的初期雨水进入污水处理系统处理后进行利用。暴雨次数按</w:t>
            </w:r>
            <w:r>
              <w:rPr>
                <w:rFonts w:hint="default"/>
                <w:u w:val="none"/>
              </w:rPr>
              <w:t>18</w:t>
            </w:r>
            <w:r>
              <w:rPr>
                <w:rFonts w:hint="default" w:ascii="宋体" w:hAnsi="宋体"/>
                <w:u w:val="none"/>
              </w:rPr>
              <w:t>次</w:t>
            </w:r>
            <w:r>
              <w:rPr>
                <w:rFonts w:hint="default"/>
                <w:u w:val="none"/>
              </w:rPr>
              <w:t>/a</w:t>
            </w:r>
            <w:r>
              <w:rPr>
                <w:rFonts w:hint="default" w:ascii="宋体" w:hAnsi="宋体"/>
                <w:u w:val="none"/>
              </w:rPr>
              <w:t>计，则初期雨水的量为</w:t>
            </w:r>
            <w:r>
              <w:rPr>
                <w:rFonts w:hint="eastAsia"/>
                <w:u w:val="none"/>
              </w:rPr>
              <w:t>643</w:t>
            </w:r>
            <w:r>
              <w:rPr>
                <w:rFonts w:hint="default"/>
                <w:u w:val="none"/>
              </w:rPr>
              <w:t>m³/a</w:t>
            </w:r>
            <w:r>
              <w:rPr>
                <w:rFonts w:hint="default" w:ascii="宋体" w:hAnsi="宋体"/>
                <w:u w:val="none"/>
              </w:rPr>
              <w:t>，</w:t>
            </w:r>
            <w:r>
              <w:rPr>
                <w:rFonts w:hint="eastAsia" w:ascii="宋体" w:hAnsi="宋体"/>
                <w:u w:val="none"/>
              </w:rPr>
              <w:t>收集沉淀后给</w:t>
            </w:r>
            <w:r>
              <w:rPr>
                <w:rFonts w:hint="eastAsia"/>
                <w:u w:val="none"/>
                <w:lang w:eastAsia="zh-CN"/>
              </w:rPr>
              <w:t>湘阴县顽石再生科技有限公司</w:t>
            </w:r>
            <w:r>
              <w:rPr>
                <w:rFonts w:hint="eastAsia" w:ascii="宋体" w:hAnsi="宋体"/>
                <w:u w:val="none"/>
              </w:rPr>
              <w:t>制砖，不排放</w:t>
            </w:r>
            <w:r>
              <w:rPr>
                <w:rFonts w:hint="default" w:ascii="宋体" w:hAnsi="宋体"/>
                <w:u w:val="none"/>
              </w:rPr>
              <w:t>。</w:t>
            </w:r>
          </w:p>
          <w:p>
            <w:pPr>
              <w:keepNext w:val="0"/>
              <w:keepLines w:val="0"/>
              <w:suppressLineNumbers w:val="0"/>
              <w:spacing w:before="0" w:beforeAutospacing="0" w:after="0" w:afterAutospacing="0"/>
              <w:ind w:left="0" w:right="0" w:firstLine="480"/>
              <w:rPr>
                <w:rFonts w:hint="default"/>
                <w:u w:val="none"/>
              </w:rPr>
            </w:pPr>
          </w:p>
          <w:p>
            <w:pPr>
              <w:pStyle w:val="6"/>
              <w:suppressLineNumbers w:val="0"/>
              <w:bidi w:val="0"/>
              <w:spacing w:before="0" w:beforeAutospacing="0" w:after="0" w:afterAutospacing="0"/>
              <w:ind w:left="0" w:right="0"/>
              <w:rPr>
                <w:rFonts w:hint="default"/>
                <w:u w:val="none"/>
              </w:rPr>
            </w:pPr>
            <w:bookmarkStart w:id="53" w:name="_Toc23411119"/>
            <w:bookmarkStart w:id="54" w:name="_Toc9623"/>
            <w:r>
              <w:rPr>
                <w:rFonts w:hint="eastAsia"/>
                <w:u w:val="none"/>
                <w:lang w:val="en-US" w:eastAsia="zh-CN"/>
              </w:rPr>
              <w:t>5</w:t>
            </w:r>
            <w:r>
              <w:rPr>
                <w:rFonts w:hint="default"/>
                <w:u w:val="none"/>
              </w:rPr>
              <w:t>.</w:t>
            </w:r>
            <w:r>
              <w:rPr>
                <w:rFonts w:hint="eastAsia"/>
                <w:u w:val="none"/>
                <w:lang w:val="en-US" w:eastAsia="zh-CN"/>
              </w:rPr>
              <w:t>2.</w:t>
            </w:r>
            <w:r>
              <w:rPr>
                <w:rFonts w:hint="default"/>
                <w:u w:val="none"/>
              </w:rPr>
              <w:t>3.2废气污染源强核算</w:t>
            </w:r>
            <w:bookmarkEnd w:id="51"/>
            <w:bookmarkEnd w:id="52"/>
            <w:bookmarkEnd w:id="53"/>
            <w:bookmarkEnd w:id="54"/>
          </w:p>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3.2</w:t>
            </w:r>
            <w:r>
              <w:rPr>
                <w:rFonts w:hint="default" w:ascii="Times New Roman" w:hAnsi="Times New Roman" w:cs="Times New Roman"/>
                <w:u w:val="none"/>
              </w:rPr>
              <w:t xml:space="preserve">.1废油液抽取废气 G1 </w:t>
            </w:r>
          </w:p>
          <w:p>
            <w:pPr>
              <w:keepNext w:val="0"/>
              <w:keepLines w:val="0"/>
              <w:suppressLineNumbers w:val="0"/>
              <w:spacing w:before="0" w:beforeAutospacing="0" w:after="0" w:afterAutospacing="0"/>
              <w:ind w:left="0" w:right="0" w:firstLine="480"/>
              <w:rPr>
                <w:rFonts w:hint="default"/>
                <w:u w:val="none"/>
              </w:rPr>
            </w:pPr>
            <w:r>
              <w:rPr>
                <w:rFonts w:hint="default"/>
                <w:u w:val="single"/>
              </w:rPr>
              <w:t>由于报废汽车和摩托车内油量含量较少，卸油、收集过程中时间较短，且本项目小车及摩托车采用油液排放系统和燃油排放凿孔设备对报废车辆进行封闭式抽取，货车及客车采用大车油液抽排设备对报废车辆进行封闭式抽取，</w:t>
            </w:r>
            <w:r>
              <w:rPr>
                <w:rFonts w:hint="default"/>
                <w:u w:val="none"/>
              </w:rPr>
              <w:t>因此在报废车辆卸油、收集过程中 VOCS，以非甲烷总烃计、挥发量少。</w:t>
            </w:r>
            <w:r>
              <w:rPr>
                <w:rFonts w:hint="default"/>
                <w:u w:val="single"/>
              </w:rPr>
              <w:t>根据《抑制汽油挥发技术的进展》</w:t>
            </w:r>
            <w:r>
              <w:rPr>
                <w:rFonts w:hint="eastAsia"/>
                <w:u w:val="single"/>
                <w:lang w:eastAsia="zh-CN"/>
              </w:rPr>
              <w:t>（</w:t>
            </w:r>
            <w:r>
              <w:rPr>
                <w:rFonts w:hint="default"/>
                <w:u w:val="single"/>
              </w:rPr>
              <w:t>2002年油气储运，作者浮东宝</w:t>
            </w:r>
            <w:r>
              <w:rPr>
                <w:rFonts w:hint="eastAsia"/>
                <w:u w:val="single"/>
                <w:lang w:eastAsia="zh-CN"/>
              </w:rPr>
              <w:t>）</w:t>
            </w:r>
            <w:r>
              <w:rPr>
                <w:rFonts w:hint="default"/>
                <w:u w:val="single"/>
              </w:rPr>
              <w:t>石油及其产品在储运过程中的蒸发损耗率高达 0.4‰~0.8‰</w:t>
            </w:r>
            <w:r>
              <w:rPr>
                <w:rFonts w:hint="eastAsia"/>
                <w:u w:val="single"/>
                <w:lang w:eastAsia="zh-CN"/>
              </w:rPr>
              <w:t>及根据</w:t>
            </w:r>
            <w:r>
              <w:rPr>
                <w:rFonts w:hint="eastAsia" w:ascii="Times New Roman" w:hAnsi="Times New Roman" w:eastAsia="宋体" w:cs="Times New Roman"/>
                <w:sz w:val="24"/>
                <w:szCs w:val="24"/>
                <w:u w:val="single"/>
              </w:rPr>
              <w:t>《散装液态石油产品损耗》（GB11085-89）中</w:t>
            </w:r>
            <w:r>
              <w:rPr>
                <w:rFonts w:hint="eastAsia" w:eastAsia="宋体" w:cs="Times New Roman"/>
                <w:sz w:val="24"/>
                <w:szCs w:val="24"/>
                <w:u w:val="single"/>
                <w:lang w:eastAsia="zh-CN"/>
              </w:rPr>
              <w:t>输转损耗率</w:t>
            </w:r>
            <w:r>
              <w:rPr>
                <w:rFonts w:hint="eastAsia" w:eastAsia="宋体" w:cs="Times New Roman"/>
                <w:sz w:val="24"/>
                <w:szCs w:val="24"/>
                <w:u w:val="single"/>
                <w:lang w:val="en-US" w:eastAsia="zh-CN"/>
              </w:rPr>
              <w:t>0.01%、贮存损耗率0.01%</w:t>
            </w:r>
            <w:r>
              <w:rPr>
                <w:rFonts w:hint="default"/>
                <w:u w:val="single"/>
              </w:rPr>
              <w:t xml:space="preserve">。本评价拆解过程中蒸发损耗率取 </w:t>
            </w:r>
            <w:r>
              <w:rPr>
                <w:rFonts w:hint="eastAsia"/>
                <w:u w:val="single"/>
                <w:lang w:val="en-US" w:eastAsia="zh-CN"/>
              </w:rPr>
              <w:t>0.1%</w:t>
            </w:r>
            <w:r>
              <w:rPr>
                <w:rFonts w:hint="default"/>
                <w:u w:val="single"/>
              </w:rPr>
              <w:t>，</w:t>
            </w:r>
            <w:r>
              <w:rPr>
                <w:rFonts w:hint="default"/>
                <w:u w:val="none"/>
              </w:rPr>
              <w:t xml:space="preserve">项目拆解废旧汽车产生的机油、变速箱油、制动液、废液压油基本不挥发，主要挥发废油为汽油、柴油，其产生量约为26.575t。产生量已按排空率 90%所得，其余 10%附着在油箱内，则非甲烷总烃产生量约为 </w:t>
            </w:r>
            <w:r>
              <w:rPr>
                <w:rFonts w:hint="eastAsia"/>
                <w:u w:val="none"/>
                <w:lang w:val="en-US" w:eastAsia="zh-CN"/>
              </w:rPr>
              <w:t>0.1%</w:t>
            </w:r>
            <w:r>
              <w:rPr>
                <w:rFonts w:hint="default"/>
                <w:u w:val="none"/>
              </w:rPr>
              <w:t>×10%×26.575t/a =0.002</w:t>
            </w:r>
            <w:r>
              <w:rPr>
                <w:rFonts w:hint="eastAsia"/>
                <w:u w:val="none"/>
                <w:lang w:val="en-US" w:eastAsia="zh-CN"/>
              </w:rPr>
              <w:t>658</w:t>
            </w:r>
            <w:r>
              <w:rPr>
                <w:rFonts w:hint="default"/>
                <w:u w:val="none"/>
              </w:rPr>
              <w:t xml:space="preserve">t/a。 </w:t>
            </w:r>
          </w:p>
          <w:p>
            <w:pPr>
              <w:pStyle w:val="2"/>
              <w:keepNext w:val="0"/>
              <w:keepLines w:val="0"/>
              <w:suppressLineNumbers w:val="0"/>
              <w:spacing w:before="0" w:beforeAutospacing="0" w:afterAutospacing="0"/>
              <w:ind w:left="0" w:right="0"/>
              <w:rPr>
                <w:rFonts w:hint="eastAsia" w:eastAsia="宋体"/>
                <w:u w:val="single"/>
                <w:lang w:eastAsia="zh-CN"/>
              </w:rPr>
            </w:pPr>
            <w:r>
              <w:rPr>
                <w:rFonts w:hint="eastAsia"/>
                <w:u w:val="single"/>
                <w:lang w:eastAsia="zh-CN"/>
              </w:rPr>
              <w:t>《</w:t>
            </w:r>
            <w:r>
              <w:rPr>
                <w:rFonts w:hint="eastAsia"/>
                <w:u w:val="single"/>
              </w:rPr>
              <w:t>临湘市金宏报废汽车回收有限公司年回收拆解5000辆报废机动车项目环境影响报告书（报批稿）</w:t>
            </w:r>
            <w:r>
              <w:rPr>
                <w:rFonts w:hint="eastAsia"/>
                <w:u w:val="single"/>
                <w:lang w:eastAsia="zh-CN"/>
              </w:rPr>
              <w:t>》中采用的是</w:t>
            </w:r>
            <w:r>
              <w:rPr>
                <w:rFonts w:hint="eastAsia" w:ascii="Times New Roman" w:hAnsi="Times New Roman" w:eastAsia="宋体" w:cs="Times New Roman"/>
                <w:sz w:val="24"/>
                <w:szCs w:val="24"/>
                <w:u w:val="single"/>
              </w:rPr>
              <w:t>《散装液态石油产品损耗》（GB11085-89）中</w:t>
            </w:r>
            <w:r>
              <w:rPr>
                <w:rFonts w:hint="eastAsia" w:ascii="Times New Roman" w:hAnsi="Times New Roman" w:cs="Times New Roman"/>
                <w:sz w:val="24"/>
                <w:szCs w:val="24"/>
                <w:u w:val="single"/>
                <w:lang w:eastAsia="zh-CN"/>
              </w:rPr>
              <w:t>的</w:t>
            </w:r>
            <w:r>
              <w:rPr>
                <w:rFonts w:hint="eastAsia"/>
                <w:u w:val="single"/>
                <w:lang w:eastAsia="zh-CN"/>
              </w:rPr>
              <w:t>参数，因此，采用此参数可行。</w:t>
            </w:r>
          </w:p>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3.2</w:t>
            </w:r>
            <w:r>
              <w:rPr>
                <w:rFonts w:hint="eastAsia"/>
                <w:u w:val="none"/>
                <w:lang w:val="en-US" w:eastAsia="zh-CN"/>
              </w:rPr>
              <w:t>.</w:t>
            </w:r>
            <w:r>
              <w:rPr>
                <w:rFonts w:hint="default" w:ascii="Times New Roman" w:hAnsi="Times New Roman" w:cs="Times New Roman"/>
                <w:u w:val="none"/>
              </w:rPr>
              <w:t xml:space="preserve">2制冷剂抽取废气 G2 </w:t>
            </w:r>
          </w:p>
          <w:p>
            <w:pPr>
              <w:keepNext w:val="0"/>
              <w:keepLines w:val="0"/>
              <w:suppressLineNumbers w:val="0"/>
              <w:spacing w:before="0" w:beforeAutospacing="0" w:after="0" w:afterAutospacing="0"/>
              <w:ind w:left="0" w:right="0" w:firstLine="480"/>
              <w:rPr>
                <w:rFonts w:hint="default"/>
                <w:u w:val="none"/>
              </w:rPr>
            </w:pPr>
            <w:r>
              <w:rPr>
                <w:rFonts w:hint="default"/>
                <w:u w:val="none"/>
              </w:rPr>
              <w:t>在拆解预处理阶段需要对制冷剂进行回收，本项目使用氟利昂回收装置回收，在回收过程中制冷剂先由液态转化为气态抽出，再压缩为液态储存于回收罐中，交给有相关资质的企业或危险废物处理厂进行处理或处置。各类废旧汽车中含有制冷剂。根据《蒙特利尔议定书》规定，我国于2010年1月1日起全面禁用氟利昂物质，因此报废汽车的制冷剂主要有R12、R134a 等，制冷剂废气VOC</w:t>
            </w:r>
            <w:r>
              <w:rPr>
                <w:rFonts w:hint="eastAsia"/>
                <w:u w:val="none"/>
                <w:lang w:val="en-US" w:eastAsia="zh-CN"/>
              </w:rPr>
              <w:t>s</w:t>
            </w:r>
            <w:r>
              <w:rPr>
                <w:rFonts w:hint="default"/>
                <w:u w:val="none"/>
              </w:rPr>
              <w:t>，以非甲烷总烃计的无组织挥发量按每年回收的 0.5%计，制冷剂产生量约为1.5t，则无组织排放的制冷剂产生量为 0.0075t/a。</w:t>
            </w:r>
          </w:p>
          <w:p>
            <w:pPr>
              <w:keepNext w:val="0"/>
              <w:keepLines w:val="0"/>
              <w:suppressLineNumbers w:val="0"/>
              <w:spacing w:before="0" w:beforeAutospacing="0" w:after="0" w:afterAutospacing="0"/>
              <w:ind w:left="0" w:right="0" w:firstLine="482"/>
              <w:jc w:val="center"/>
              <w:rPr>
                <w:rFonts w:hint="default"/>
                <w:b/>
                <w:u w:val="none"/>
              </w:rPr>
            </w:pPr>
            <w:r>
              <w:rPr>
                <w:rFonts w:hint="eastAsia"/>
                <w:b/>
                <w:u w:val="none"/>
              </w:rPr>
              <w:t>表</w:t>
            </w:r>
            <w:r>
              <w:rPr>
                <w:rFonts w:hint="eastAsia"/>
                <w:b/>
                <w:u w:val="none"/>
                <w:lang w:val="en-US" w:eastAsia="zh-CN"/>
              </w:rPr>
              <w:t>5.2-4</w:t>
            </w:r>
            <w:r>
              <w:rPr>
                <w:rFonts w:hint="eastAsia"/>
                <w:b/>
                <w:u w:val="none"/>
              </w:rPr>
              <w:t xml:space="preserve">  废气产排情况一览表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587"/>
              <w:gridCol w:w="1933"/>
              <w:gridCol w:w="1848"/>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155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产污环节</w:t>
                  </w:r>
                </w:p>
              </w:tc>
              <w:tc>
                <w:tcPr>
                  <w:tcW w:w="11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主要污染物</w:t>
                  </w:r>
                </w:p>
              </w:tc>
              <w:tc>
                <w:tcPr>
                  <w:tcW w:w="111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排放量t/a</w:t>
                  </w:r>
                </w:p>
              </w:tc>
              <w:tc>
                <w:tcPr>
                  <w:tcW w:w="64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G1</w:t>
                  </w:r>
                </w:p>
              </w:tc>
              <w:tc>
                <w:tcPr>
                  <w:tcW w:w="155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废油液抽取废气</w:t>
                  </w:r>
                </w:p>
              </w:tc>
              <w:tc>
                <w:tcPr>
                  <w:tcW w:w="11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111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0.002658t/a</w:t>
                  </w:r>
                </w:p>
              </w:tc>
              <w:tc>
                <w:tcPr>
                  <w:tcW w:w="64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G2</w:t>
                  </w:r>
                </w:p>
              </w:tc>
              <w:tc>
                <w:tcPr>
                  <w:tcW w:w="155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制冷剂抽取废气</w:t>
                  </w:r>
                </w:p>
              </w:tc>
              <w:tc>
                <w:tcPr>
                  <w:tcW w:w="11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111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0.0075t/a</w:t>
                  </w:r>
                </w:p>
              </w:tc>
              <w:tc>
                <w:tcPr>
                  <w:tcW w:w="64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6" w:type="pct"/>
                  <w:gridSpan w:val="3"/>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合计</w:t>
                  </w:r>
                </w:p>
              </w:tc>
              <w:tc>
                <w:tcPr>
                  <w:tcW w:w="111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0.010</w:t>
                  </w:r>
                  <w:r>
                    <w:rPr>
                      <w:rFonts w:hint="default"/>
                      <w:u w:val="none"/>
                    </w:rPr>
                    <w:t>t/a</w:t>
                  </w:r>
                </w:p>
              </w:tc>
              <w:tc>
                <w:tcPr>
                  <w:tcW w:w="640" w:type="pct"/>
                  <w:vAlign w:val="center"/>
                </w:tcPr>
                <w:p>
                  <w:pPr>
                    <w:pStyle w:val="49"/>
                    <w:keepNext w:val="0"/>
                    <w:keepLines w:val="0"/>
                    <w:suppressLineNumbers w:val="0"/>
                    <w:bidi w:val="0"/>
                    <w:spacing w:before="0" w:beforeAutospacing="0" w:after="0" w:afterAutospacing="0"/>
                    <w:ind w:left="0" w:right="0"/>
                    <w:rPr>
                      <w:rFonts w:hint="default"/>
                      <w:u w:val="none"/>
                    </w:rPr>
                  </w:pPr>
                </w:p>
              </w:tc>
            </w:tr>
          </w:tbl>
          <w:p>
            <w:pPr>
              <w:keepNext w:val="0"/>
              <w:keepLines w:val="0"/>
              <w:suppressLineNumbers w:val="0"/>
              <w:spacing w:before="0" w:beforeAutospacing="0" w:after="0" w:afterAutospacing="0"/>
              <w:ind w:left="0" w:right="0" w:firstLine="480"/>
              <w:rPr>
                <w:rFonts w:hint="default"/>
                <w:u w:val="none"/>
              </w:rPr>
            </w:pPr>
            <w:r>
              <w:rPr>
                <w:rFonts w:hint="eastAsia"/>
                <w:u w:val="none"/>
              </w:rPr>
              <w:t>根据《茶陵县金鑫报废汽车回收拆解有限公司报废汽车回收拆解项目竣工环境保护验收监测报告》中对项目建成后的无组织废气进行监测，检测数据如下所示。</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drawing>
                <wp:inline distT="0" distB="0" distL="0" distR="0">
                  <wp:extent cx="5314950" cy="41249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314950" cy="4124960"/>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single"/>
              </w:rPr>
            </w:pPr>
            <w:r>
              <w:rPr>
                <w:rFonts w:hint="eastAsia"/>
                <w:u w:val="single"/>
              </w:rPr>
              <w:t>由上表可知，《茶陵县金鑫报废汽车回收拆解有限公司报废汽车回收拆解项目竣工环境保护验收监测报告》中对废气无组织排放监测均达标排放。该项目工艺流程如下所示。</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drawing>
                <wp:inline distT="0" distB="0" distL="0" distR="0">
                  <wp:extent cx="5286375" cy="5530850"/>
                  <wp:effectExtent l="0" t="0" r="9525"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86375" cy="5530850"/>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eastAsia"/>
                <w:u w:val="single"/>
              </w:rPr>
            </w:pPr>
            <w:r>
              <w:rPr>
                <w:rFonts w:hint="eastAsia"/>
                <w:u w:val="single"/>
              </w:rPr>
              <w:t>由工艺流程可知，本项目与该项目工艺类似，而该项目无组织废气达标排放，因此本项产生的非甲烷总烃无组织排放可行。</w:t>
            </w:r>
          </w:p>
          <w:p>
            <w:pPr>
              <w:pStyle w:val="7"/>
              <w:suppressLineNumbers w:val="0"/>
              <w:bidi w:val="0"/>
              <w:spacing w:before="0" w:after="0"/>
              <w:ind w:left="0" w:right="0"/>
              <w:rPr>
                <w:rFonts w:hint="default"/>
                <w:u w:val="none"/>
                <w:lang w:val="en-US" w:eastAsia="zh-CN"/>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3.2</w:t>
            </w:r>
            <w:r>
              <w:rPr>
                <w:rFonts w:hint="eastAsia"/>
                <w:u w:val="none"/>
                <w:lang w:val="en-US" w:eastAsia="zh-CN"/>
              </w:rPr>
              <w:t>.3汽车拆解过程中产生的剪切粉尘G3</w:t>
            </w:r>
          </w:p>
          <w:p>
            <w:pPr>
              <w:keepNext w:val="0"/>
              <w:keepLines w:val="0"/>
              <w:suppressLineNumbers w:val="0"/>
              <w:bidi w:val="0"/>
              <w:spacing w:before="0" w:beforeAutospacing="0" w:after="0" w:afterAutospacing="0"/>
              <w:ind w:left="0" w:right="0"/>
              <w:rPr>
                <w:rFonts w:hint="default"/>
                <w:sz w:val="24"/>
                <w:szCs w:val="24"/>
                <w:u w:val="none"/>
              </w:rPr>
            </w:pPr>
            <w:r>
              <w:rPr>
                <w:rFonts w:hint="default"/>
                <w:sz w:val="24"/>
                <w:szCs w:val="24"/>
                <w:u w:val="none"/>
              </w:rPr>
              <w:t>本项目报废汽车在密闭车间内进行拆解，且拆解之前已经进行全车清洗，拆解过程以工具拆除为主，进行剪断</w:t>
            </w:r>
            <w:r>
              <w:rPr>
                <w:rFonts w:hint="eastAsia"/>
                <w:sz w:val="24"/>
                <w:szCs w:val="24"/>
                <w:u w:val="none"/>
                <w:lang w:val="en-US" w:eastAsia="zh-CN"/>
              </w:rPr>
              <w:t>、</w:t>
            </w:r>
            <w:r>
              <w:rPr>
                <w:rFonts w:hint="default"/>
                <w:sz w:val="24"/>
                <w:szCs w:val="24"/>
                <w:u w:val="none"/>
              </w:rPr>
              <w:t>挤压打包</w:t>
            </w:r>
            <w:r>
              <w:rPr>
                <w:rFonts w:hint="eastAsia"/>
                <w:sz w:val="24"/>
                <w:szCs w:val="24"/>
                <w:u w:val="none"/>
                <w:lang w:eastAsia="zh-CN"/>
              </w:rPr>
              <w:t>、</w:t>
            </w:r>
            <w:r>
              <w:rPr>
                <w:rFonts w:hint="default"/>
                <w:sz w:val="24"/>
                <w:szCs w:val="24"/>
                <w:u w:val="none"/>
              </w:rPr>
              <w:t>压扁等处理，不进一步破碎，无破碎粉尘。</w:t>
            </w:r>
          </w:p>
          <w:p>
            <w:pPr>
              <w:keepNext w:val="0"/>
              <w:keepLines w:val="0"/>
              <w:suppressLineNumbers w:val="0"/>
              <w:spacing w:before="0" w:beforeAutospacing="0" w:after="0" w:afterAutospacing="0"/>
              <w:ind w:left="0" w:right="0"/>
              <w:rPr>
                <w:rFonts w:hint="default"/>
                <w:u w:val="single"/>
                <w:lang w:val="en-US" w:eastAsia="zh-CN"/>
              </w:rPr>
            </w:pPr>
            <w:r>
              <w:rPr>
                <w:rFonts w:hint="default"/>
                <w:sz w:val="24"/>
                <w:szCs w:val="24"/>
                <w:u w:val="single"/>
                <w:lang w:val="en-US" w:eastAsia="zh-CN"/>
              </w:rPr>
              <w:t>本项目</w:t>
            </w:r>
            <w:r>
              <w:rPr>
                <w:rFonts w:hint="eastAsia"/>
                <w:sz w:val="24"/>
                <w:szCs w:val="24"/>
                <w:u w:val="single"/>
                <w:lang w:val="en-US" w:eastAsia="zh-CN"/>
              </w:rPr>
              <w:t>所用剪切设备是液压剪及</w:t>
            </w:r>
            <w:r>
              <w:rPr>
                <w:rFonts w:hint="default"/>
                <w:sz w:val="24"/>
                <w:szCs w:val="24"/>
                <w:u w:val="single"/>
              </w:rPr>
              <w:t>门式剪切机</w:t>
            </w:r>
            <w:r>
              <w:rPr>
                <w:rFonts w:hint="eastAsia"/>
                <w:sz w:val="24"/>
                <w:szCs w:val="24"/>
                <w:u w:val="single"/>
                <w:lang w:eastAsia="zh-CN"/>
              </w:rPr>
              <w:t>，</w:t>
            </w:r>
            <w:r>
              <w:rPr>
                <w:rFonts w:hint="default"/>
                <w:sz w:val="24"/>
                <w:szCs w:val="24"/>
                <w:u w:val="single"/>
                <w:lang w:val="en-US" w:eastAsia="zh-CN"/>
              </w:rPr>
              <w:t>在封闭车间内进行。根据《工业污染源产排污系数手册》（2010年修订）3</w:t>
            </w:r>
            <w:r>
              <w:rPr>
                <w:rFonts w:hint="eastAsia"/>
                <w:sz w:val="24"/>
                <w:szCs w:val="24"/>
                <w:u w:val="single"/>
                <w:lang w:val="en-US" w:eastAsia="zh-CN"/>
              </w:rPr>
              <w:t>23</w:t>
            </w:r>
            <w:r>
              <w:rPr>
                <w:rFonts w:hint="default"/>
                <w:sz w:val="24"/>
                <w:szCs w:val="24"/>
                <w:u w:val="single"/>
                <w:lang w:val="en-US" w:eastAsia="zh-CN"/>
              </w:rPr>
              <w:t>0钢压延加工业无组织排放主要污染物排放系数可知，</w:t>
            </w:r>
            <w:r>
              <w:rPr>
                <w:rFonts w:hint="default" w:ascii="Times New Roman" w:hAnsi="Times New Roman" w:cs="Times New Roman"/>
                <w:color w:val="auto"/>
                <w:kern w:val="0"/>
                <w:sz w:val="24"/>
                <w:szCs w:val="24"/>
                <w:highlight w:val="none"/>
                <w:u w:val="single"/>
                <w:lang w:val="en-US" w:eastAsia="zh-CN" w:bidi="ar-SA"/>
              </w:rPr>
              <w:t>切割烟尘无组织排放系数为0.1-0.6kg/t-钢计算，由于本项目在汽车拆解过程中配合</w:t>
            </w:r>
            <w:r>
              <w:rPr>
                <w:rFonts w:hint="eastAsia"/>
                <w:sz w:val="24"/>
                <w:szCs w:val="24"/>
                <w:u w:val="single"/>
                <w:lang w:val="en-US" w:eastAsia="zh-CN"/>
              </w:rPr>
              <w:t>液压剪及</w:t>
            </w:r>
            <w:r>
              <w:rPr>
                <w:rFonts w:hint="default"/>
                <w:sz w:val="24"/>
                <w:szCs w:val="24"/>
                <w:u w:val="single"/>
              </w:rPr>
              <w:t>门式剪切机</w:t>
            </w:r>
            <w:r>
              <w:rPr>
                <w:rFonts w:hint="default" w:ascii="Times New Roman" w:hAnsi="Times New Roman" w:cs="Times New Roman"/>
                <w:color w:val="auto"/>
                <w:kern w:val="0"/>
                <w:sz w:val="24"/>
                <w:szCs w:val="24"/>
                <w:highlight w:val="none"/>
                <w:u w:val="single"/>
                <w:lang w:val="en-US" w:eastAsia="zh-CN" w:bidi="ar-SA"/>
              </w:rPr>
              <w:t>等，</w:t>
            </w:r>
            <w:r>
              <w:rPr>
                <w:rFonts w:hint="eastAsia" w:ascii="Times New Roman" w:hAnsi="Times New Roman" w:cs="Times New Roman"/>
                <w:color w:val="auto"/>
                <w:kern w:val="0"/>
                <w:sz w:val="24"/>
                <w:szCs w:val="24"/>
                <w:highlight w:val="none"/>
                <w:u w:val="single"/>
                <w:lang w:val="en-US" w:eastAsia="zh-CN" w:bidi="ar-SA"/>
              </w:rPr>
              <w:t>取0.1</w:t>
            </w:r>
            <w:r>
              <w:rPr>
                <w:rFonts w:hint="default" w:ascii="Times New Roman" w:hAnsi="Times New Roman" w:cs="Times New Roman"/>
                <w:color w:val="auto"/>
                <w:kern w:val="0"/>
                <w:sz w:val="24"/>
                <w:szCs w:val="24"/>
                <w:highlight w:val="none"/>
                <w:u w:val="single"/>
                <w:lang w:val="en-US" w:eastAsia="zh-CN" w:bidi="ar-SA"/>
              </w:rPr>
              <w:t>kg/t-钢计算，本项目总的钢材量为</w:t>
            </w:r>
            <w:r>
              <w:rPr>
                <w:rFonts w:hint="default"/>
                <w:color w:val="000000"/>
                <w:sz w:val="24"/>
                <w:szCs w:val="24"/>
                <w:u w:val="single"/>
              </w:rPr>
              <w:t>16782</w:t>
            </w:r>
            <w:r>
              <w:rPr>
                <w:rFonts w:hint="eastAsia"/>
                <w:color w:val="000000"/>
                <w:sz w:val="24"/>
                <w:szCs w:val="24"/>
                <w:u w:val="single"/>
                <w:lang w:val="en-US" w:eastAsia="zh-CN"/>
              </w:rPr>
              <w:t>.</w:t>
            </w:r>
            <w:r>
              <w:rPr>
                <w:rFonts w:hint="default"/>
                <w:color w:val="000000"/>
                <w:sz w:val="24"/>
                <w:szCs w:val="24"/>
                <w:u w:val="single"/>
              </w:rPr>
              <w:t>9</w:t>
            </w:r>
            <w:r>
              <w:rPr>
                <w:rFonts w:hint="default" w:ascii="Times New Roman" w:hAnsi="Times New Roman" w:cs="Times New Roman"/>
                <w:color w:val="auto"/>
                <w:kern w:val="0"/>
                <w:sz w:val="24"/>
                <w:szCs w:val="24"/>
                <w:highlight w:val="none"/>
                <w:u w:val="single"/>
                <w:lang w:val="en-US" w:eastAsia="zh-CN" w:bidi="ar-SA"/>
              </w:rPr>
              <w:t>t，</w:t>
            </w:r>
            <w:r>
              <w:rPr>
                <w:rFonts w:hint="eastAsia" w:ascii="Times New Roman" w:hAnsi="Times New Roman" w:cs="Times New Roman"/>
                <w:color w:val="auto"/>
                <w:kern w:val="0"/>
                <w:sz w:val="24"/>
                <w:szCs w:val="24"/>
                <w:highlight w:val="none"/>
                <w:u w:val="single"/>
                <w:lang w:val="en-US" w:eastAsia="zh-CN" w:bidi="ar-SA"/>
              </w:rPr>
              <w:t>因此，产生的颗粒物约为1.7t/a。</w:t>
            </w:r>
            <w:r>
              <w:rPr>
                <w:rFonts w:hint="eastAsia" w:eastAsia="Times New Roman" w:cs="Times New Roman"/>
                <w:color w:val="auto"/>
                <w:kern w:val="0"/>
                <w:sz w:val="24"/>
                <w:szCs w:val="20"/>
                <w:highlight w:val="none"/>
                <w:u w:val="single"/>
                <w:lang w:val="en-US" w:eastAsia="zh-CN" w:bidi="ar-SA"/>
              </w:rPr>
              <w:t>在工作</w:t>
            </w:r>
            <w:r>
              <w:rPr>
                <w:rFonts w:hint="default" w:ascii="Times New Roman" w:hAnsi="Times New Roman" w:eastAsia="Times New Roman" w:cs="Times New Roman"/>
                <w:color w:val="auto"/>
                <w:kern w:val="0"/>
                <w:sz w:val="24"/>
                <w:szCs w:val="20"/>
                <w:highlight w:val="none"/>
                <w:u w:val="single"/>
                <w:lang w:val="en-US" w:eastAsia="zh-CN" w:bidi="ar-SA"/>
              </w:rPr>
              <w:t>工位设置移动式</w:t>
            </w:r>
            <w:r>
              <w:rPr>
                <w:rFonts w:hint="eastAsia" w:eastAsia="Times New Roman" w:cs="Times New Roman"/>
                <w:color w:val="auto"/>
                <w:kern w:val="0"/>
                <w:sz w:val="24"/>
                <w:szCs w:val="20"/>
                <w:highlight w:val="none"/>
                <w:u w:val="single"/>
                <w:lang w:val="en-US" w:eastAsia="zh-CN" w:bidi="ar-SA"/>
              </w:rPr>
              <w:t>除尘器</w:t>
            </w:r>
            <w:r>
              <w:rPr>
                <w:rFonts w:hint="default" w:ascii="Times New Roman" w:hAnsi="Times New Roman" w:cs="Times New Roman"/>
                <w:color w:val="auto"/>
                <w:kern w:val="0"/>
                <w:sz w:val="24"/>
                <w:szCs w:val="20"/>
                <w:highlight w:val="none"/>
                <w:u w:val="single"/>
                <w:lang w:val="en-US" w:eastAsia="zh-CN" w:bidi="ar-SA"/>
              </w:rPr>
              <w:t>以减小对厂区内外的影响</w:t>
            </w:r>
            <w:r>
              <w:rPr>
                <w:rFonts w:hint="default" w:ascii="Times New Roman" w:hAnsi="Times New Roman" w:eastAsia="Times New Roman" w:cs="Times New Roman"/>
                <w:color w:val="auto"/>
                <w:kern w:val="0"/>
                <w:sz w:val="24"/>
                <w:szCs w:val="20"/>
                <w:highlight w:val="none"/>
                <w:u w:val="single"/>
                <w:lang w:val="en-US" w:eastAsia="zh-CN" w:bidi="ar-SA"/>
              </w:rPr>
              <w:t>，</w:t>
            </w:r>
            <w:r>
              <w:rPr>
                <w:rFonts w:hint="default" w:ascii="Times New Roman" w:hAnsi="Times New Roman" w:cs="Times New Roman"/>
                <w:color w:val="auto"/>
                <w:kern w:val="0"/>
                <w:sz w:val="24"/>
                <w:szCs w:val="20"/>
                <w:highlight w:val="none"/>
                <w:u w:val="single"/>
                <w:lang w:val="en-US" w:eastAsia="zh-CN" w:bidi="ar-SA"/>
              </w:rPr>
              <w:t>集气效率按照90%计，</w:t>
            </w:r>
            <w:r>
              <w:rPr>
                <w:rFonts w:hint="default" w:ascii="Times New Roman" w:hAnsi="Times New Roman" w:eastAsia="Times New Roman" w:cs="Times New Roman"/>
                <w:color w:val="auto"/>
                <w:kern w:val="0"/>
                <w:sz w:val="24"/>
                <w:szCs w:val="20"/>
                <w:highlight w:val="none"/>
                <w:u w:val="single"/>
                <w:lang w:val="en-US" w:eastAsia="zh-CN" w:bidi="ar-SA"/>
              </w:rPr>
              <w:t>除尘效率按</w:t>
            </w:r>
            <w:r>
              <w:rPr>
                <w:rFonts w:hint="eastAsia" w:eastAsia="Times New Roman" w:cs="Times New Roman"/>
                <w:color w:val="auto"/>
                <w:kern w:val="0"/>
                <w:sz w:val="24"/>
                <w:szCs w:val="20"/>
                <w:highlight w:val="none"/>
                <w:u w:val="single"/>
                <w:lang w:val="en-US" w:eastAsia="zh-CN" w:bidi="ar-SA"/>
              </w:rPr>
              <w:t>95</w:t>
            </w:r>
            <w:r>
              <w:rPr>
                <w:rFonts w:hint="default" w:ascii="Times New Roman" w:hAnsi="Times New Roman" w:eastAsia="Times New Roman" w:cs="Times New Roman"/>
                <w:color w:val="auto"/>
                <w:kern w:val="0"/>
                <w:sz w:val="24"/>
                <w:szCs w:val="20"/>
                <w:highlight w:val="none"/>
                <w:u w:val="single"/>
                <w:lang w:val="en-US" w:eastAsia="zh-CN" w:bidi="ar-SA"/>
              </w:rPr>
              <w:t>%计，</w:t>
            </w:r>
            <w:r>
              <w:rPr>
                <w:rFonts w:hint="default" w:ascii="Times New Roman" w:hAnsi="Times New Roman" w:cs="Times New Roman"/>
                <w:color w:val="auto"/>
                <w:kern w:val="0"/>
                <w:sz w:val="24"/>
                <w:szCs w:val="20"/>
                <w:highlight w:val="none"/>
                <w:u w:val="single"/>
                <w:lang w:val="en-US" w:eastAsia="zh-CN" w:bidi="ar-SA"/>
              </w:rPr>
              <w:t>则综合除尘效率约为</w:t>
            </w:r>
            <w:r>
              <w:rPr>
                <w:rFonts w:hint="eastAsia" w:cs="Times New Roman"/>
                <w:color w:val="auto"/>
                <w:kern w:val="0"/>
                <w:sz w:val="24"/>
                <w:szCs w:val="20"/>
                <w:highlight w:val="none"/>
                <w:u w:val="single"/>
                <w:lang w:val="en-US" w:eastAsia="zh-CN" w:bidi="ar-SA"/>
              </w:rPr>
              <w:t>99.5</w:t>
            </w:r>
            <w:r>
              <w:rPr>
                <w:rFonts w:hint="default" w:ascii="Times New Roman" w:hAnsi="Times New Roman" w:cs="Times New Roman"/>
                <w:color w:val="auto"/>
                <w:kern w:val="0"/>
                <w:sz w:val="24"/>
                <w:szCs w:val="20"/>
                <w:highlight w:val="none"/>
                <w:u w:val="single"/>
                <w:lang w:val="en-US" w:eastAsia="zh-CN" w:bidi="ar-SA"/>
              </w:rPr>
              <w:t>%，</w:t>
            </w:r>
            <w:r>
              <w:rPr>
                <w:rFonts w:hint="default" w:ascii="Times New Roman" w:hAnsi="Times New Roman" w:eastAsia="Times New Roman" w:cs="Times New Roman"/>
                <w:color w:val="auto"/>
                <w:kern w:val="0"/>
                <w:sz w:val="24"/>
                <w:szCs w:val="20"/>
                <w:highlight w:val="none"/>
                <w:u w:val="single"/>
                <w:lang w:val="en-US" w:eastAsia="zh-CN" w:bidi="ar-SA"/>
              </w:rPr>
              <w:t>净化处理后</w:t>
            </w:r>
            <w:r>
              <w:rPr>
                <w:rFonts w:hint="default" w:ascii="Times New Roman" w:hAnsi="Times New Roman" w:cs="Times New Roman"/>
                <w:color w:val="auto"/>
                <w:kern w:val="0"/>
                <w:sz w:val="24"/>
                <w:szCs w:val="20"/>
                <w:highlight w:val="none"/>
                <w:u w:val="single"/>
                <w:lang w:val="en-US" w:eastAsia="zh-CN" w:bidi="ar-SA"/>
              </w:rPr>
              <w:t>排放于车间内</w:t>
            </w:r>
            <w:r>
              <w:rPr>
                <w:rFonts w:hint="default" w:ascii="Times New Roman" w:hAnsi="Times New Roman" w:eastAsia="Times New Roman" w:cs="Times New Roman"/>
                <w:color w:val="auto"/>
                <w:kern w:val="0"/>
                <w:sz w:val="24"/>
                <w:szCs w:val="20"/>
                <w:highlight w:val="none"/>
                <w:u w:val="single"/>
                <w:lang w:val="en-US" w:eastAsia="zh-CN" w:bidi="ar-SA"/>
              </w:rPr>
              <w:t>以无组织形式排放</w:t>
            </w:r>
            <w:r>
              <w:rPr>
                <w:rFonts w:hint="default" w:ascii="Times New Roman" w:hAnsi="Times New Roman" w:cs="Times New Roman"/>
                <w:color w:val="auto"/>
                <w:kern w:val="0"/>
                <w:sz w:val="24"/>
                <w:szCs w:val="20"/>
                <w:highlight w:val="none"/>
                <w:u w:val="single"/>
                <w:lang w:val="en-US" w:eastAsia="zh-CN" w:bidi="ar-SA"/>
              </w:rPr>
              <w:t>于车间外，</w:t>
            </w:r>
            <w:r>
              <w:rPr>
                <w:rFonts w:hint="default" w:ascii="Times New Roman" w:hAnsi="Times New Roman" w:eastAsia="Times New Roman" w:cs="Times New Roman"/>
                <w:color w:val="auto"/>
                <w:kern w:val="0"/>
                <w:sz w:val="24"/>
                <w:szCs w:val="20"/>
                <w:highlight w:val="none"/>
                <w:u w:val="single"/>
                <w:lang w:val="en-US" w:eastAsia="zh-CN" w:bidi="ar-SA"/>
              </w:rPr>
              <w:t>则</w:t>
            </w:r>
            <w:r>
              <w:rPr>
                <w:rFonts w:hint="eastAsia" w:eastAsia="Times New Roman" w:cs="Times New Roman"/>
                <w:color w:val="auto"/>
                <w:kern w:val="0"/>
                <w:sz w:val="24"/>
                <w:szCs w:val="20"/>
                <w:highlight w:val="none"/>
                <w:u w:val="single"/>
                <w:lang w:val="en-US" w:eastAsia="zh-CN" w:bidi="ar-SA"/>
              </w:rPr>
              <w:t>剪切</w:t>
            </w:r>
            <w:r>
              <w:rPr>
                <w:rFonts w:hint="default" w:ascii="Times New Roman" w:hAnsi="Times New Roman" w:eastAsia="Times New Roman" w:cs="Times New Roman"/>
                <w:color w:val="auto"/>
                <w:kern w:val="0"/>
                <w:sz w:val="24"/>
                <w:szCs w:val="20"/>
                <w:highlight w:val="none"/>
                <w:u w:val="single"/>
                <w:lang w:val="en-US" w:eastAsia="zh-CN" w:bidi="ar-SA"/>
              </w:rPr>
              <w:t>粉尘</w:t>
            </w:r>
            <w:r>
              <w:rPr>
                <w:rFonts w:hint="eastAsia" w:ascii="Times New Roman" w:hAnsi="Times New Roman" w:eastAsia="Times New Roman" w:cs="Times New Roman"/>
                <w:color w:val="auto"/>
                <w:kern w:val="0"/>
                <w:sz w:val="24"/>
                <w:szCs w:val="20"/>
                <w:highlight w:val="none"/>
                <w:u w:val="single"/>
                <w:lang w:val="en-US" w:eastAsia="zh-CN" w:bidi="ar-SA"/>
              </w:rPr>
              <w:t>无组织</w:t>
            </w:r>
            <w:r>
              <w:rPr>
                <w:rFonts w:hint="default" w:ascii="Times New Roman" w:hAnsi="Times New Roman" w:eastAsia="Times New Roman" w:cs="Times New Roman"/>
                <w:color w:val="auto"/>
                <w:kern w:val="0"/>
                <w:sz w:val="24"/>
                <w:szCs w:val="20"/>
                <w:highlight w:val="none"/>
                <w:u w:val="single"/>
                <w:lang w:val="en-US" w:eastAsia="zh-CN" w:bidi="ar-SA"/>
              </w:rPr>
              <w:t>排放量</w:t>
            </w:r>
            <w:r>
              <w:rPr>
                <w:rFonts w:hint="eastAsia" w:ascii="Times New Roman" w:hAnsi="Times New Roman" w:eastAsia="Times New Roman" w:cs="Times New Roman"/>
                <w:color w:val="auto"/>
                <w:kern w:val="0"/>
                <w:sz w:val="24"/>
                <w:szCs w:val="20"/>
                <w:highlight w:val="none"/>
                <w:u w:val="single"/>
                <w:lang w:val="en-US" w:eastAsia="zh-CN" w:bidi="ar-SA"/>
              </w:rPr>
              <w:t>和排放速率</w:t>
            </w:r>
            <w:r>
              <w:rPr>
                <w:rFonts w:hint="default" w:ascii="Times New Roman" w:hAnsi="Times New Roman" w:eastAsia="Times New Roman" w:cs="Times New Roman"/>
                <w:color w:val="auto"/>
                <w:kern w:val="0"/>
                <w:sz w:val="24"/>
                <w:szCs w:val="20"/>
                <w:highlight w:val="none"/>
                <w:u w:val="single"/>
                <w:lang w:val="en-US" w:eastAsia="zh-CN" w:bidi="ar-SA"/>
              </w:rPr>
              <w:t>为</w:t>
            </w:r>
            <w:r>
              <w:rPr>
                <w:rFonts w:hint="eastAsia" w:ascii="Times New Roman" w:hAnsi="Times New Roman" w:eastAsia="Times New Roman" w:cs="Times New Roman"/>
                <w:color w:val="auto"/>
                <w:kern w:val="0"/>
                <w:sz w:val="24"/>
                <w:szCs w:val="20"/>
                <w:highlight w:val="none"/>
                <w:u w:val="single"/>
                <w:lang w:val="en-US" w:eastAsia="zh-CN" w:bidi="ar-SA"/>
              </w:rPr>
              <w:t>0.</w:t>
            </w:r>
            <w:r>
              <w:rPr>
                <w:rFonts w:hint="eastAsia" w:eastAsia="Times New Roman" w:cs="Times New Roman"/>
                <w:color w:val="auto"/>
                <w:kern w:val="0"/>
                <w:sz w:val="24"/>
                <w:szCs w:val="20"/>
                <w:highlight w:val="none"/>
                <w:u w:val="single"/>
                <w:lang w:val="en-US" w:eastAsia="zh-CN" w:bidi="ar-SA"/>
              </w:rPr>
              <w:t>0085</w:t>
            </w:r>
            <w:r>
              <w:rPr>
                <w:rFonts w:hint="eastAsia" w:ascii="Times New Roman" w:hAnsi="Times New Roman" w:eastAsia="Times New Roman" w:cs="Times New Roman"/>
                <w:color w:val="auto"/>
                <w:kern w:val="0"/>
                <w:sz w:val="24"/>
                <w:szCs w:val="20"/>
                <w:highlight w:val="none"/>
                <w:u w:val="single"/>
                <w:lang w:val="en-US" w:eastAsia="zh-CN" w:bidi="ar-SA"/>
              </w:rPr>
              <w:t>t/a、</w:t>
            </w:r>
            <w:r>
              <w:rPr>
                <w:rFonts w:hint="eastAsia" w:eastAsia="Times New Roman" w:cs="Times New Roman"/>
                <w:color w:val="auto"/>
                <w:kern w:val="0"/>
                <w:sz w:val="24"/>
                <w:szCs w:val="20"/>
                <w:highlight w:val="none"/>
                <w:u w:val="single"/>
                <w:lang w:val="en-US" w:eastAsia="zh-CN" w:bidi="ar-SA"/>
              </w:rPr>
              <w:t>0.0035</w:t>
            </w:r>
            <w:r>
              <w:rPr>
                <w:rFonts w:hint="eastAsia" w:ascii="Times New Roman" w:hAnsi="Times New Roman" w:eastAsia="Times New Roman" w:cs="Times New Roman"/>
                <w:color w:val="auto"/>
                <w:kern w:val="0"/>
                <w:sz w:val="24"/>
                <w:szCs w:val="20"/>
                <w:highlight w:val="none"/>
                <w:u w:val="single"/>
                <w:lang w:val="en-US" w:eastAsia="zh-CN" w:bidi="ar-SA"/>
              </w:rPr>
              <w:t>kg/h。</w:t>
            </w:r>
          </w:p>
          <w:p>
            <w:pPr>
              <w:pStyle w:val="6"/>
              <w:suppressLineNumbers w:val="0"/>
              <w:bidi w:val="0"/>
              <w:spacing w:before="0" w:beforeAutospacing="0" w:after="0" w:afterAutospacing="0"/>
              <w:ind w:left="0" w:right="0"/>
              <w:rPr>
                <w:rFonts w:hint="default"/>
                <w:u w:val="none"/>
              </w:rPr>
            </w:pPr>
            <w:bookmarkStart w:id="55" w:name="_Toc23411120"/>
            <w:bookmarkStart w:id="56" w:name="_Toc28022"/>
            <w:bookmarkStart w:id="57" w:name="_Toc7079962"/>
            <w:bookmarkStart w:id="58" w:name="_Toc13073939"/>
            <w:r>
              <w:rPr>
                <w:rFonts w:hint="eastAsia"/>
                <w:u w:val="none"/>
                <w:lang w:val="en-US" w:eastAsia="zh-CN"/>
              </w:rPr>
              <w:t>5</w:t>
            </w:r>
            <w:r>
              <w:rPr>
                <w:rFonts w:hint="default"/>
                <w:u w:val="none"/>
              </w:rPr>
              <w:t>.</w:t>
            </w:r>
            <w:r>
              <w:rPr>
                <w:rFonts w:hint="eastAsia"/>
                <w:u w:val="none"/>
                <w:lang w:val="en-US" w:eastAsia="zh-CN"/>
              </w:rPr>
              <w:t>2.</w:t>
            </w:r>
            <w:r>
              <w:rPr>
                <w:rFonts w:hint="default"/>
                <w:u w:val="none"/>
              </w:rPr>
              <w:t>3.3噪声污染源强核算</w:t>
            </w:r>
            <w:bookmarkEnd w:id="55"/>
            <w:bookmarkEnd w:id="56"/>
            <w:bookmarkEnd w:id="57"/>
            <w:bookmarkEnd w:id="58"/>
          </w:p>
          <w:p>
            <w:pPr>
              <w:keepNext w:val="0"/>
              <w:keepLines w:val="0"/>
              <w:suppressLineNumbers w:val="0"/>
              <w:spacing w:before="0" w:beforeAutospacing="0" w:after="0" w:afterAutospacing="0"/>
              <w:ind w:left="0" w:right="0" w:firstLine="480"/>
              <w:rPr>
                <w:rFonts w:hint="default"/>
                <w:szCs w:val="28"/>
                <w:u w:val="none"/>
              </w:rPr>
            </w:pPr>
            <w:r>
              <w:rPr>
                <w:rFonts w:hint="default"/>
                <w:color w:val="000000" w:themeColor="text1"/>
                <w:szCs w:val="28"/>
                <w:u w:val="none"/>
                <w14:textFill>
                  <w14:solidFill>
                    <w14:schemeClr w14:val="tx1"/>
                  </w14:solidFill>
                </w14:textFill>
              </w:rPr>
              <w:t>本项目主要的噪声源来自各种设备运行时产生的机械噪声。</w:t>
            </w:r>
            <w:r>
              <w:rPr>
                <w:rFonts w:hint="default"/>
                <w:szCs w:val="28"/>
                <w:u w:val="none"/>
              </w:rPr>
              <w:t>主要噪声源见</w:t>
            </w:r>
            <w:r>
              <w:rPr>
                <w:rFonts w:hint="eastAsia"/>
                <w:szCs w:val="28"/>
                <w:u w:val="none"/>
                <w:lang w:eastAsia="zh-CN"/>
              </w:rPr>
              <w:t>下表</w:t>
            </w:r>
            <w:r>
              <w:rPr>
                <w:rFonts w:hint="default"/>
                <w:szCs w:val="28"/>
                <w:u w:val="none"/>
              </w:rPr>
              <w:t>。</w:t>
            </w:r>
          </w:p>
          <w:p>
            <w:pPr>
              <w:keepNext w:val="0"/>
              <w:keepLines w:val="0"/>
              <w:suppressLineNumbers w:val="0"/>
              <w:spacing w:before="0" w:beforeAutospacing="0" w:after="0" w:afterAutospacing="0"/>
              <w:ind w:left="0" w:right="0" w:firstLine="482"/>
              <w:jc w:val="center"/>
              <w:rPr>
                <w:rFonts w:hint="default"/>
                <w:szCs w:val="28"/>
                <w:u w:val="none"/>
              </w:rPr>
            </w:pPr>
            <w:r>
              <w:rPr>
                <w:rFonts w:hint="eastAsia"/>
                <w:b/>
                <w:u w:val="none"/>
              </w:rPr>
              <w:t>表</w:t>
            </w:r>
            <w:r>
              <w:rPr>
                <w:rFonts w:hint="eastAsia"/>
                <w:b/>
                <w:u w:val="none"/>
                <w:lang w:val="en-US" w:eastAsia="zh-CN"/>
              </w:rPr>
              <w:t>5.2-5</w:t>
            </w:r>
            <w:r>
              <w:rPr>
                <w:rFonts w:hint="default"/>
                <w:b/>
                <w:color w:val="000000" w:themeColor="text1"/>
                <w:szCs w:val="28"/>
                <w:u w:val="none"/>
                <w14:textFill>
                  <w14:solidFill>
                    <w14:schemeClr w14:val="tx1"/>
                  </w14:solidFill>
                </w14:textFill>
              </w:rPr>
              <w:t xml:space="preserve">  主要噪声源强一览表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843"/>
              <w:gridCol w:w="795"/>
              <w:gridCol w:w="1621"/>
              <w:gridCol w:w="162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1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噪声源</w:t>
                  </w:r>
                </w:p>
              </w:tc>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数量</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源强（dB）</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运行规律</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1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油液抽排系统</w:t>
                  </w:r>
                </w:p>
              </w:tc>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4套</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厂房隔声、基础减振，选择低噪声设备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1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氟利昂回收装置</w:t>
                  </w:r>
                </w:p>
              </w:tc>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1套</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1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安全气囊引爆装置</w:t>
                  </w:r>
                </w:p>
              </w:tc>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1台</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85~90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间断性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11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金属屑压块机</w:t>
                  </w:r>
                </w:p>
              </w:tc>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2台</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80~85</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bl>
          <w:p>
            <w:pPr>
              <w:pStyle w:val="6"/>
              <w:suppressLineNumbers w:val="0"/>
              <w:bidi w:val="0"/>
              <w:spacing w:before="0" w:beforeAutospacing="0" w:after="0" w:afterAutospacing="0"/>
              <w:ind w:left="0" w:right="0"/>
              <w:rPr>
                <w:rFonts w:hint="default"/>
                <w:u w:val="none"/>
              </w:rPr>
            </w:pPr>
            <w:bookmarkStart w:id="59" w:name="_Toc23411121"/>
            <w:bookmarkStart w:id="60" w:name="_Toc7079963"/>
            <w:bookmarkStart w:id="61" w:name="_Toc20487"/>
            <w:bookmarkStart w:id="62" w:name="_Toc13073940"/>
            <w:r>
              <w:rPr>
                <w:rFonts w:hint="eastAsia"/>
                <w:u w:val="none"/>
                <w:lang w:val="en-US" w:eastAsia="zh-CN"/>
              </w:rPr>
              <w:t>5</w:t>
            </w:r>
            <w:r>
              <w:rPr>
                <w:rFonts w:hint="default"/>
                <w:u w:val="none"/>
              </w:rPr>
              <w:t>.</w:t>
            </w:r>
            <w:r>
              <w:rPr>
                <w:rFonts w:hint="eastAsia"/>
                <w:u w:val="none"/>
                <w:lang w:val="en-US" w:eastAsia="zh-CN"/>
              </w:rPr>
              <w:t>2.</w:t>
            </w:r>
            <w:r>
              <w:rPr>
                <w:rFonts w:hint="default"/>
                <w:u w:val="none"/>
              </w:rPr>
              <w:t>3.4固废污染源强核算</w:t>
            </w:r>
            <w:bookmarkEnd w:id="59"/>
            <w:bookmarkEnd w:id="60"/>
            <w:bookmarkEnd w:id="61"/>
            <w:bookmarkEnd w:id="62"/>
          </w:p>
          <w:p>
            <w:pPr>
              <w:keepNext w:val="0"/>
              <w:keepLines w:val="0"/>
              <w:suppressLineNumbers w:val="0"/>
              <w:spacing w:before="0" w:beforeAutospacing="0" w:after="0" w:afterAutospacing="0"/>
              <w:ind w:left="0" w:right="0" w:firstLine="480"/>
              <w:rPr>
                <w:rFonts w:hint="default"/>
                <w:u w:val="none"/>
              </w:rPr>
            </w:pPr>
            <w:r>
              <w:rPr>
                <w:rFonts w:hint="default"/>
                <w:u w:val="none"/>
              </w:rPr>
              <w:t>本项目为报废车辆拆解项目，固体废物主要为危险废物及一般固废。</w:t>
            </w:r>
          </w:p>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3.4</w:t>
            </w:r>
            <w:r>
              <w:rPr>
                <w:rFonts w:hint="default" w:ascii="Times New Roman" w:hAnsi="Times New Roman" w:cs="Times New Roman"/>
                <w:u w:val="none"/>
              </w:rPr>
              <w:t>.1可利用物质</w:t>
            </w:r>
          </w:p>
          <w:p>
            <w:pPr>
              <w:keepNext w:val="0"/>
              <w:keepLines w:val="0"/>
              <w:suppressLineNumbers w:val="0"/>
              <w:spacing w:before="0" w:beforeAutospacing="0" w:after="0" w:afterAutospacing="0"/>
              <w:ind w:left="0" w:right="0" w:firstLine="480"/>
              <w:rPr>
                <w:rFonts w:hint="default"/>
                <w:u w:val="none"/>
              </w:rPr>
            </w:pPr>
            <w:r>
              <w:rPr>
                <w:rFonts w:hint="default"/>
                <w:u w:val="none"/>
              </w:rPr>
              <w:t>由于其行业特征，生产过程中产生大量的固体废物，其中大部分是可以利用的即作为本项目的产品。废安全气囊（已引爆）、可用零部件、玻璃、钢材、橡胶、有色金属、塑料、及纤维、皮革即作为本项目的产品，在厂区内分类收集后出售至相关回收单位再生利用。</w:t>
            </w:r>
          </w:p>
          <w:p>
            <w:pPr>
              <w:keepNext w:val="0"/>
              <w:keepLines w:val="0"/>
              <w:suppressLineNumbers w:val="0"/>
              <w:spacing w:before="0" w:beforeAutospacing="0" w:after="0" w:afterAutospacing="0"/>
              <w:ind w:left="0" w:right="0" w:firstLine="482"/>
              <w:jc w:val="center"/>
              <w:rPr>
                <w:rFonts w:hint="default"/>
                <w:b/>
                <w:u w:val="none"/>
              </w:rPr>
            </w:pPr>
            <w:r>
              <w:rPr>
                <w:rFonts w:hint="eastAsia"/>
                <w:b/>
                <w:u w:val="none"/>
              </w:rPr>
              <w:t>表</w:t>
            </w:r>
            <w:r>
              <w:rPr>
                <w:rFonts w:hint="eastAsia"/>
                <w:b/>
                <w:u w:val="none"/>
                <w:lang w:val="en-US" w:eastAsia="zh-CN"/>
              </w:rPr>
              <w:t xml:space="preserve">5.2-6 </w:t>
            </w:r>
            <w:r>
              <w:rPr>
                <w:rFonts w:hint="eastAsia"/>
                <w:b/>
                <w:u w:val="none"/>
              </w:rPr>
              <w:t xml:space="preserve"> 可利用物质一览表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3809"/>
              <w:gridCol w:w="1316"/>
              <w:gridCol w:w="1316"/>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可回收利用物质</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重量（kg）</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重量（</w:t>
                  </w:r>
                  <w:r>
                    <w:rPr>
                      <w:rFonts w:hint="eastAsia"/>
                      <w:u w:val="none"/>
                      <w:lang w:val="en-US" w:eastAsia="zh-CN"/>
                    </w:rPr>
                    <w:t>t/a</w:t>
                  </w:r>
                  <w:r>
                    <w:rPr>
                      <w:rFonts w:hint="default"/>
                      <w:u w:val="none"/>
                    </w:rPr>
                    <w:t>）</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废安全气囊</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920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0.92</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可用零部件（发动机、变速器、消声器）</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2743037</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2743</w:t>
                  </w:r>
                  <w:r>
                    <w:rPr>
                      <w:rFonts w:hint="eastAsia"/>
                      <w:u w:val="none"/>
                      <w:lang w:val="en-US" w:eastAsia="zh-CN"/>
                    </w:rPr>
                    <w:t>.</w:t>
                  </w:r>
                  <w:r>
                    <w:rPr>
                      <w:rFonts w:hint="default"/>
                      <w:u w:val="none"/>
                    </w:rPr>
                    <w:t>037</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玻璃</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505400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505</w:t>
                  </w:r>
                  <w:r>
                    <w:rPr>
                      <w:rFonts w:hint="eastAsia"/>
                      <w:u w:val="none"/>
                      <w:lang w:val="en-US" w:eastAsia="zh-CN"/>
                    </w:rPr>
                    <w:t>.</w:t>
                  </w:r>
                  <w:r>
                    <w:rPr>
                      <w:rFonts w:hint="default"/>
                      <w:u w:val="none"/>
                    </w:rPr>
                    <w:t>4</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钢材（保险杠、车门、车身、悬架）</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16782900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16782</w:t>
                  </w:r>
                  <w:r>
                    <w:rPr>
                      <w:rFonts w:hint="eastAsia"/>
                      <w:u w:val="none"/>
                      <w:lang w:val="en-US" w:eastAsia="zh-CN"/>
                    </w:rPr>
                    <w:t>.</w:t>
                  </w:r>
                  <w:r>
                    <w:rPr>
                      <w:rFonts w:hint="default"/>
                      <w:u w:val="none"/>
                    </w:rPr>
                    <w:t>9</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橡胶</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784000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784</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有色金属</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100750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100</w:t>
                  </w:r>
                  <w:r>
                    <w:rPr>
                      <w:rFonts w:hint="eastAsia"/>
                      <w:u w:val="none"/>
                      <w:lang w:val="en-US" w:eastAsia="zh-CN"/>
                    </w:rPr>
                    <w:t>.</w:t>
                  </w:r>
                  <w:r>
                    <w:rPr>
                      <w:rFonts w:hint="default"/>
                      <w:u w:val="none"/>
                    </w:rPr>
                    <w:t>75</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塑料</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318900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318</w:t>
                  </w:r>
                  <w:r>
                    <w:rPr>
                      <w:rFonts w:hint="eastAsia"/>
                      <w:u w:val="none"/>
                      <w:lang w:val="en-US" w:eastAsia="zh-CN"/>
                    </w:rPr>
                    <w:t>.</w:t>
                  </w:r>
                  <w:r>
                    <w:rPr>
                      <w:rFonts w:hint="default"/>
                      <w:u w:val="none"/>
                    </w:rPr>
                    <w:t>9</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纤维、皮革</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380000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380</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9</w:t>
                  </w: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收集的剪切粉尘</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1530</w:t>
                  </w:r>
                </w:p>
              </w:tc>
              <w:tc>
                <w:tcPr>
                  <w:tcW w:w="714"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1.53</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1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5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合计</w:t>
                  </w:r>
                </w:p>
              </w:tc>
              <w:tc>
                <w:tcPr>
                  <w:tcW w:w="131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lang w:val="en-US" w:eastAsia="zh-CN"/>
                    </w:rPr>
                    <w:t>21617437</w:t>
                  </w:r>
                </w:p>
              </w:tc>
              <w:tc>
                <w:tcPr>
                  <w:tcW w:w="131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lang w:val="en-US" w:eastAsia="zh-CN"/>
                    </w:rPr>
                    <w:t>21617.437</w:t>
                  </w:r>
                </w:p>
              </w:tc>
              <w:tc>
                <w:tcPr>
                  <w:tcW w:w="61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p>
              </w:tc>
            </w:tr>
          </w:tbl>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3.4</w:t>
            </w:r>
            <w:r>
              <w:rPr>
                <w:rFonts w:hint="default" w:ascii="Times New Roman" w:hAnsi="Times New Roman" w:cs="Times New Roman"/>
                <w:u w:val="none"/>
              </w:rPr>
              <w:t>.2一般工业固体废物</w:t>
            </w:r>
          </w:p>
          <w:p>
            <w:pPr>
              <w:keepNext w:val="0"/>
              <w:keepLines w:val="0"/>
              <w:suppressLineNumbers w:val="0"/>
              <w:bidi w:val="0"/>
              <w:spacing w:before="0" w:beforeAutospacing="0" w:after="0" w:afterAutospacing="0"/>
              <w:ind w:left="0" w:right="0"/>
              <w:rPr>
                <w:rFonts w:hint="default"/>
                <w:u w:val="none"/>
              </w:rPr>
            </w:pPr>
            <w:r>
              <w:rPr>
                <w:rFonts w:hint="default"/>
                <w:u w:val="none"/>
              </w:rPr>
              <w:t>一般工业固体废物包括不可再利用材料</w:t>
            </w:r>
            <w:r>
              <w:rPr>
                <w:rFonts w:hint="eastAsia"/>
                <w:u w:val="none"/>
                <w:lang w:eastAsia="zh-CN"/>
              </w:rPr>
              <w:t>、</w:t>
            </w:r>
            <w:r>
              <w:rPr>
                <w:rFonts w:hint="default"/>
                <w:u w:val="none"/>
              </w:rPr>
              <w:t>含油手套及抹布</w:t>
            </w:r>
            <w:r>
              <w:rPr>
                <w:rFonts w:hint="eastAsia"/>
                <w:u w:val="none"/>
                <w:lang w:eastAsia="zh-CN"/>
              </w:rPr>
              <w:t>、</w:t>
            </w:r>
            <w:r>
              <w:rPr>
                <w:rFonts w:hint="default"/>
                <w:u w:val="none"/>
              </w:rPr>
              <w:t>生活垃圾。</w:t>
            </w:r>
          </w:p>
          <w:p>
            <w:pPr>
              <w:pStyle w:val="50"/>
              <w:keepNext w:val="0"/>
              <w:keepLines w:val="0"/>
              <w:suppressLineNumbers w:val="0"/>
              <w:bidi w:val="0"/>
              <w:spacing w:beforeAutospacing="0" w:after="0" w:afterAutospacing="0"/>
              <w:ind w:left="0" w:right="0"/>
              <w:rPr>
                <w:rFonts w:hint="default"/>
                <w:u w:val="none"/>
              </w:rPr>
            </w:pPr>
            <w:r>
              <w:rPr>
                <w:rFonts w:hint="eastAsia"/>
                <w:b/>
                <w:u w:val="none"/>
              </w:rPr>
              <w:t>表</w:t>
            </w:r>
            <w:r>
              <w:rPr>
                <w:rFonts w:hint="eastAsia"/>
                <w:b/>
                <w:u w:val="none"/>
                <w:lang w:val="en-US" w:eastAsia="zh-CN"/>
              </w:rPr>
              <w:t xml:space="preserve">5.2-7 </w:t>
            </w:r>
            <w:r>
              <w:rPr>
                <w:rFonts w:hint="eastAsia"/>
                <w:u w:val="none"/>
              </w:rPr>
              <w:t xml:space="preserve"> 一般固体废物一览表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042"/>
              <w:gridCol w:w="731"/>
              <w:gridCol w:w="2089"/>
              <w:gridCol w:w="824"/>
              <w:gridCol w:w="648"/>
              <w:gridCol w:w="703"/>
              <w:gridCol w:w="1134"/>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628" w:type="pc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类别</w:t>
                  </w:r>
                </w:p>
              </w:tc>
              <w:tc>
                <w:tcPr>
                  <w:tcW w:w="440"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p>
              </w:tc>
              <w:tc>
                <w:tcPr>
                  <w:tcW w:w="125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c>
                <w:tcPr>
                  <w:tcW w:w="496"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贮存位置</w:t>
                  </w:r>
                </w:p>
              </w:tc>
              <w:tc>
                <w:tcPr>
                  <w:tcW w:w="390" w:type="pc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贮存面积</w:t>
                  </w:r>
                </w:p>
              </w:tc>
              <w:tc>
                <w:tcPr>
                  <w:tcW w:w="423" w:type="pc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贮存能力</w:t>
                  </w:r>
                </w:p>
              </w:tc>
              <w:tc>
                <w:tcPr>
                  <w:tcW w:w="683" w:type="pc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贮存周期</w:t>
                  </w:r>
                </w:p>
              </w:tc>
              <w:tc>
                <w:tcPr>
                  <w:tcW w:w="337" w:type="pct"/>
                  <w:shd w:val="clear" w:color="auto" w:fill="auto"/>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S18</w:t>
                  </w:r>
                </w:p>
              </w:tc>
              <w:tc>
                <w:tcPr>
                  <w:tcW w:w="628"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4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130</w:t>
                  </w:r>
                  <w:r>
                    <w:rPr>
                      <w:rFonts w:hint="eastAsia"/>
                      <w:u w:val="none"/>
                      <w:lang w:val="en-US" w:eastAsia="zh-CN"/>
                    </w:rPr>
                    <w:t>.25t</w:t>
                  </w:r>
                  <w:r>
                    <w:rPr>
                      <w:rFonts w:hint="default"/>
                      <w:u w:val="none"/>
                    </w:rPr>
                    <w:t>/a</w:t>
                  </w:r>
                </w:p>
              </w:tc>
              <w:tc>
                <w:tcPr>
                  <w:tcW w:w="12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主要为破损陶瓷和汽车内含有的泥沙等</w:t>
                  </w:r>
                </w:p>
              </w:tc>
              <w:tc>
                <w:tcPr>
                  <w:tcW w:w="496" w:type="pct"/>
                  <w:vMerge w:val="restar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一般固废暂存间</w:t>
                  </w:r>
                </w:p>
              </w:tc>
              <w:tc>
                <w:tcPr>
                  <w:tcW w:w="390" w:type="pct"/>
                  <w:vMerge w:val="restar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50㎡</w:t>
                  </w:r>
                </w:p>
              </w:tc>
              <w:tc>
                <w:tcPr>
                  <w:tcW w:w="423" w:type="pct"/>
                  <w:vMerge w:val="restar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50㎡</w:t>
                  </w:r>
                </w:p>
              </w:tc>
              <w:tc>
                <w:tcPr>
                  <w:tcW w:w="68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33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22t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S19</w:t>
                  </w:r>
                </w:p>
              </w:tc>
              <w:tc>
                <w:tcPr>
                  <w:tcW w:w="628"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含油手套及抹布</w:t>
                  </w:r>
                </w:p>
              </w:tc>
              <w:tc>
                <w:tcPr>
                  <w:tcW w:w="4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 t/a</w:t>
                  </w:r>
                </w:p>
              </w:tc>
              <w:tc>
                <w:tcPr>
                  <w:tcW w:w="12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拆解过程使用的手套、抹布等劳保用品</w:t>
                  </w:r>
                </w:p>
              </w:tc>
              <w:tc>
                <w:tcPr>
                  <w:tcW w:w="496"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390"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423"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68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日产日清</w:t>
                  </w:r>
                </w:p>
              </w:tc>
              <w:tc>
                <w:tcPr>
                  <w:tcW w:w="337"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S20</w:t>
                  </w:r>
                </w:p>
              </w:tc>
              <w:tc>
                <w:tcPr>
                  <w:tcW w:w="628"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44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 t/a</w:t>
                  </w:r>
                </w:p>
              </w:tc>
              <w:tc>
                <w:tcPr>
                  <w:tcW w:w="125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496"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390"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423" w:type="pct"/>
                  <w:vMerge w:val="continue"/>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p>
              </w:tc>
              <w:tc>
                <w:tcPr>
                  <w:tcW w:w="683"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日产日清</w:t>
                  </w:r>
                </w:p>
              </w:tc>
              <w:tc>
                <w:tcPr>
                  <w:tcW w:w="33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无</w:t>
                  </w:r>
                </w:p>
              </w:tc>
            </w:tr>
          </w:tbl>
          <w:p>
            <w:pPr>
              <w:keepNext w:val="0"/>
              <w:keepLines w:val="0"/>
              <w:suppressLineNumbers w:val="0"/>
              <w:spacing w:before="0" w:beforeAutospacing="0" w:after="0" w:afterAutospacing="0"/>
              <w:ind w:left="0" w:right="0" w:firstLine="480"/>
              <w:rPr>
                <w:rFonts w:hint="eastAsia"/>
                <w:u w:val="none"/>
                <w:lang w:eastAsia="zh-CN"/>
              </w:rPr>
            </w:pPr>
            <w:r>
              <w:rPr>
                <w:rFonts w:hint="default"/>
                <w:u w:val="none"/>
              </w:rPr>
              <w:t>S18不可再利用材料</w:t>
            </w:r>
            <w:r>
              <w:rPr>
                <w:rFonts w:hint="eastAsia"/>
                <w:u w:val="none"/>
                <w:lang w:eastAsia="zh-CN"/>
              </w:rPr>
              <w:t>，</w:t>
            </w:r>
            <w:r>
              <w:rPr>
                <w:rFonts w:hint="default"/>
                <w:u w:val="none"/>
              </w:rPr>
              <w:t>主要为破损陶瓷和汽车内含有的泥沙等</w:t>
            </w:r>
            <w:r>
              <w:rPr>
                <w:rFonts w:hint="eastAsia"/>
                <w:u w:val="none"/>
                <w:lang w:eastAsia="zh-CN"/>
              </w:rPr>
              <w:t>，</w:t>
            </w:r>
            <w:r>
              <w:rPr>
                <w:rFonts w:hint="default"/>
                <w:u w:val="none"/>
              </w:rPr>
              <w:t>混入生活垃圾处理</w:t>
            </w:r>
            <w:r>
              <w:rPr>
                <w:rFonts w:hint="eastAsia"/>
                <w:u w:val="none"/>
                <w:lang w:eastAsia="zh-CN"/>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S19含油手套及抹布，人工拆解过程中将产生沾上油污的手套和抹布，产生量约 2t/a。</w:t>
            </w:r>
            <w:r>
              <w:rPr>
                <w:rFonts w:hint="default"/>
                <w:u w:val="single"/>
              </w:rPr>
              <w:t>根据《国家危险废物名录》（20</w:t>
            </w:r>
            <w:r>
              <w:rPr>
                <w:rFonts w:hint="eastAsia"/>
                <w:u w:val="single"/>
                <w:lang w:val="en-US" w:eastAsia="zh-CN"/>
              </w:rPr>
              <w:t>21</w:t>
            </w:r>
            <w:r>
              <w:rPr>
                <w:rFonts w:hint="default"/>
                <w:u w:val="single"/>
              </w:rPr>
              <w:t>年版）附表，其废物代码为900-041-49，</w:t>
            </w:r>
            <w:r>
              <w:rPr>
                <w:rFonts w:hint="eastAsia"/>
                <w:u w:val="single"/>
                <w:lang w:eastAsia="zh-CN"/>
              </w:rPr>
              <w:t>为</w:t>
            </w:r>
            <w:r>
              <w:rPr>
                <w:rFonts w:hint="eastAsia"/>
                <w:u w:val="single"/>
              </w:rPr>
              <w:t>废弃的含油抹布、劳保用品</w:t>
            </w:r>
            <w:r>
              <w:rPr>
                <w:rFonts w:hint="eastAsia"/>
                <w:u w:val="single"/>
                <w:lang w:eastAsia="zh-CN"/>
              </w:rPr>
              <w:t>。在《危险废物豁免管理清单》中，本项目不进行</w:t>
            </w:r>
            <w:r>
              <w:rPr>
                <w:rFonts w:hint="eastAsia"/>
                <w:u w:val="single"/>
              </w:rPr>
              <w:t>分类收集</w:t>
            </w:r>
            <w:r>
              <w:rPr>
                <w:rFonts w:hint="eastAsia"/>
                <w:u w:val="single"/>
                <w:lang w:eastAsia="zh-CN"/>
              </w:rPr>
              <w:t>，</w:t>
            </w:r>
            <w:r>
              <w:rPr>
                <w:rFonts w:hint="eastAsia"/>
                <w:u w:val="single"/>
              </w:rPr>
              <w:t>全过程不按危险废物管理。</w:t>
            </w:r>
            <w:r>
              <w:rPr>
                <w:rFonts w:hint="default"/>
                <w:u w:val="single"/>
              </w:rPr>
              <w:t>混入生活垃圾处理。</w:t>
            </w:r>
          </w:p>
          <w:p>
            <w:pPr>
              <w:keepNext w:val="0"/>
              <w:keepLines w:val="0"/>
              <w:suppressLineNumbers w:val="0"/>
              <w:spacing w:before="0" w:beforeAutospacing="0" w:after="0" w:afterAutospacing="0"/>
              <w:ind w:left="0" w:right="0" w:firstLine="480"/>
              <w:rPr>
                <w:rFonts w:hint="default"/>
                <w:u w:val="none"/>
              </w:rPr>
            </w:pPr>
            <w:r>
              <w:rPr>
                <w:rFonts w:hint="default"/>
                <w:u w:val="none"/>
              </w:rPr>
              <w:t>S20生活垃圾，根据《第一次全国污染源普查城镇生活源产排污系数手册》产生生活垃圾系数，确定不住宿员工生活垃圾按0.5kg/d计，住宿员工生活垃圾按1kg/d计。项目劳动定员14人，无食宿，年生产300天，则项目生活垃圾产生量为0.007t/d，2.1t/a，收集后交由环卫部门统一处理。</w:t>
            </w:r>
          </w:p>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3.4</w:t>
            </w:r>
            <w:r>
              <w:rPr>
                <w:rFonts w:hint="default" w:ascii="Times New Roman" w:hAnsi="Times New Roman" w:cs="Times New Roman"/>
                <w:u w:val="none"/>
              </w:rPr>
              <w:t>.3危险废物</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本项目在机动车拆解过程中，从汽车上拆解下来的危险废物如下所示。</w:t>
            </w:r>
          </w:p>
          <w:p>
            <w:pPr>
              <w:keepNext w:val="0"/>
              <w:keepLines w:val="0"/>
              <w:suppressLineNumbers w:val="0"/>
              <w:spacing w:before="0" w:beforeAutospacing="0" w:after="0" w:afterAutospacing="0"/>
              <w:ind w:left="0" w:right="0" w:firstLine="482"/>
              <w:jc w:val="center"/>
              <w:rPr>
                <w:rFonts w:hint="default"/>
                <w:b/>
                <w:u w:val="none"/>
              </w:rPr>
            </w:pPr>
            <w:r>
              <w:rPr>
                <w:rFonts w:hint="eastAsia"/>
                <w:b/>
                <w:u w:val="none"/>
              </w:rPr>
              <w:t>表</w:t>
            </w:r>
            <w:r>
              <w:rPr>
                <w:rFonts w:hint="eastAsia"/>
                <w:b/>
                <w:u w:val="none"/>
                <w:lang w:val="en-US" w:eastAsia="zh-CN"/>
              </w:rPr>
              <w:t>5.2-8</w:t>
            </w:r>
            <w:r>
              <w:rPr>
                <w:rFonts w:hint="eastAsia"/>
                <w:b/>
                <w:u w:val="none"/>
              </w:rPr>
              <w:t xml:space="preserve">  危险废物一览表</w:t>
            </w:r>
          </w:p>
          <w:tbl>
            <w:tblPr>
              <w:tblStyle w:val="23"/>
              <w:tblW w:w="837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036"/>
              <w:gridCol w:w="1236"/>
              <w:gridCol w:w="3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2080"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1260"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产生量（kg/a）</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69250</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内含硫酸，仅拆除，不进一步拆解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270000</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含少量液化气，仅拆除，不进一步拆解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S3</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主要产生于汽车排气管，含尾气净化剂，仅拆除，不进一步拆解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S4</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112800</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S5</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35975</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S6</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32235</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S7</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4750</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S8</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67900</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S9</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26575</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S10</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1500</w:t>
                  </w:r>
                </w:p>
              </w:tc>
              <w:tc>
                <w:tcPr>
                  <w:tcW w:w="3959"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产生于汽车空调，含 R12、R134a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S11</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2605</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金属、石油类，仅拆除，不进一步清洗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S12</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金属、含油颗粒等，仅拆除，不进一步拆解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S13</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65</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S14</w:t>
                  </w:r>
                </w:p>
              </w:tc>
              <w:tc>
                <w:tcPr>
                  <w:tcW w:w="20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126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1056</w:t>
                  </w:r>
                </w:p>
              </w:tc>
              <w:tc>
                <w:tcPr>
                  <w:tcW w:w="3959"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多氯联苯的废电容器，仅拆除，不进一步拆解</w:t>
                  </w:r>
                </w:p>
              </w:tc>
            </w:tr>
          </w:tbl>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r>
              <w:rPr>
                <w:rFonts w:hint="default"/>
                <w:u w:val="none"/>
              </w:rPr>
              <w:t>此外，本项目运营过程中，拆解机械设备运行产生的危险废物还有废润滑油、废液压油以及废油桶。</w:t>
            </w:r>
          </w:p>
          <w:p>
            <w:pPr>
              <w:keepNext w:val="0"/>
              <w:keepLines w:val="0"/>
              <w:suppressLineNumbers w:val="0"/>
              <w:spacing w:before="0" w:beforeAutospacing="0" w:after="0" w:afterAutospacing="0"/>
              <w:ind w:left="0" w:right="0" w:firstLine="482"/>
              <w:jc w:val="center"/>
              <w:rPr>
                <w:rFonts w:hint="default"/>
                <w:b/>
                <w:u w:val="none"/>
              </w:rPr>
            </w:pPr>
            <w:r>
              <w:rPr>
                <w:rFonts w:hint="eastAsia"/>
                <w:b/>
                <w:u w:val="none"/>
              </w:rPr>
              <w:t>表</w:t>
            </w:r>
            <w:r>
              <w:rPr>
                <w:rFonts w:hint="eastAsia"/>
                <w:b/>
                <w:u w:val="none"/>
                <w:lang w:val="en-US" w:eastAsia="zh-CN"/>
              </w:rPr>
              <w:t>5.2-9</w:t>
            </w:r>
            <w:r>
              <w:rPr>
                <w:rFonts w:hint="eastAsia"/>
                <w:b/>
                <w:u w:val="none"/>
              </w:rPr>
              <w:t xml:space="preserve">  危险废物一览表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162"/>
              <w:gridCol w:w="1309"/>
              <w:gridCol w:w="3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130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产生量（t/a）</w:t>
                  </w:r>
                </w:p>
              </w:tc>
              <w:tc>
                <w:tcPr>
                  <w:tcW w:w="223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S15</w:t>
                  </w:r>
                </w:p>
              </w:tc>
              <w:tc>
                <w:tcPr>
                  <w:tcW w:w="130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废油桶</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w:t>
                  </w:r>
                </w:p>
              </w:tc>
              <w:tc>
                <w:tcPr>
                  <w:tcW w:w="223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废液压油桶、废润滑油桶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S16</w:t>
                  </w:r>
                </w:p>
              </w:tc>
              <w:tc>
                <w:tcPr>
                  <w:tcW w:w="1303"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废润滑油</w:t>
                  </w:r>
                </w:p>
              </w:tc>
              <w:tc>
                <w:tcPr>
                  <w:tcW w:w="78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w:t>
                  </w:r>
                </w:p>
              </w:tc>
              <w:tc>
                <w:tcPr>
                  <w:tcW w:w="2231"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润滑油更换时会产生废润滑油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S17</w:t>
                  </w:r>
                </w:p>
              </w:tc>
              <w:tc>
                <w:tcPr>
                  <w:tcW w:w="130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78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w:t>
                  </w:r>
                </w:p>
              </w:tc>
              <w:tc>
                <w:tcPr>
                  <w:tcW w:w="2231"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润滑液压剪，定时更换</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S15废油桶，拟建项目运营期废润滑油桶产生量约10个/a，废液压油桶产生量约 10 个/a，每只按 40kg 计，则产生量为 0.8t/a。废包装容器属于危险废物HW49，其他废物中的 900-041-49。</w:t>
            </w:r>
          </w:p>
          <w:p>
            <w:pPr>
              <w:keepNext w:val="0"/>
              <w:keepLines w:val="0"/>
              <w:suppressLineNumbers w:val="0"/>
              <w:spacing w:before="0" w:beforeAutospacing="0" w:after="0" w:afterAutospacing="0"/>
              <w:ind w:left="0" w:right="0" w:firstLine="480"/>
              <w:rPr>
                <w:rFonts w:hint="default"/>
                <w:u w:val="none"/>
              </w:rPr>
            </w:pPr>
            <w:r>
              <w:rPr>
                <w:rFonts w:hint="default"/>
                <w:u w:val="none"/>
              </w:rPr>
              <w:t>S16废润滑油，设备生产过程中需采用润滑油进行润滑，润滑油更换时会产生废润滑油，产生量约为1.5t/a，属于危险废物 HW08 中的 900-217-08。</w:t>
            </w:r>
          </w:p>
          <w:p>
            <w:pPr>
              <w:keepNext w:val="0"/>
              <w:keepLines w:val="0"/>
              <w:suppressLineNumbers w:val="0"/>
              <w:spacing w:before="0" w:beforeAutospacing="0" w:after="0" w:afterAutospacing="0"/>
              <w:ind w:left="0" w:right="0" w:firstLine="480"/>
              <w:rPr>
                <w:rFonts w:hint="default"/>
                <w:u w:val="none"/>
              </w:rPr>
            </w:pPr>
            <w:r>
              <w:rPr>
                <w:rFonts w:hint="default"/>
                <w:u w:val="none"/>
              </w:rPr>
              <w:t>S17废液压油，切割使用的液压油，在更换时产生废液压油，产生量约为1.5t/a，属于危险废物HW08中的900-218-08。</w:t>
            </w:r>
          </w:p>
          <w:p>
            <w:pPr>
              <w:pStyle w:val="30"/>
              <w:keepNext w:val="0"/>
              <w:keepLines w:val="0"/>
              <w:suppressLineNumbers w:val="0"/>
              <w:spacing w:before="0" w:beforeAutospacing="0" w:afterAutospacing="0"/>
              <w:ind w:left="0" w:right="0"/>
              <w:rPr>
                <w:rFonts w:hint="eastAsia"/>
                <w:u w:val="none"/>
              </w:rPr>
            </w:pPr>
          </w:p>
        </w:tc>
      </w:tr>
      <w:bookmarkEnd w:id="25"/>
    </w:tbl>
    <w:p>
      <w:pPr>
        <w:pStyle w:val="3"/>
        <w:spacing w:before="0" w:after="0" w:line="240" w:lineRule="auto"/>
        <w:ind w:firstLine="883"/>
        <w:rPr>
          <w:u w:val="none"/>
        </w:rPr>
        <w:sectPr>
          <w:footerReference r:id="rId10" w:type="default"/>
          <w:pgSz w:w="11906" w:h="16838"/>
          <w:pgMar w:top="1440" w:right="1800" w:bottom="1440" w:left="1800" w:header="851" w:footer="992" w:gutter="0"/>
          <w:pgNumType w:fmt="decimal" w:start="1"/>
          <w:cols w:space="425" w:num="1"/>
          <w:docGrid w:type="lines" w:linePitch="435"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pStyle w:val="7"/>
              <w:suppressLineNumbers w:val="0"/>
              <w:bidi w:val="0"/>
              <w:spacing w:before="0" w:after="0"/>
              <w:ind w:left="0" w:right="0"/>
              <w:rPr>
                <w:rFonts w:hint="default" w:ascii="Times New Roman" w:hAnsi="Times New Roman" w:cs="Times New Roman"/>
                <w:u w:val="none"/>
              </w:rPr>
            </w:pPr>
            <w:r>
              <w:rPr>
                <w:rFonts w:hint="eastAsia"/>
                <w:u w:val="none"/>
                <w:lang w:val="en-US" w:eastAsia="zh-CN"/>
              </w:rPr>
              <w:t>5</w:t>
            </w:r>
            <w:r>
              <w:rPr>
                <w:rFonts w:hint="default"/>
                <w:u w:val="none"/>
              </w:rPr>
              <w:t>.</w:t>
            </w:r>
            <w:r>
              <w:rPr>
                <w:rFonts w:hint="eastAsia"/>
                <w:u w:val="none"/>
                <w:lang w:val="en-US" w:eastAsia="zh-CN"/>
              </w:rPr>
              <w:t>2.</w:t>
            </w:r>
            <w:r>
              <w:rPr>
                <w:rFonts w:hint="default"/>
                <w:u w:val="none"/>
              </w:rPr>
              <w:t>3.4</w:t>
            </w:r>
            <w:r>
              <w:rPr>
                <w:rFonts w:hint="default" w:ascii="Times New Roman" w:hAnsi="Times New Roman" w:cs="Times New Roman"/>
                <w:u w:val="none"/>
              </w:rPr>
              <w:t>.4固废汇总</w:t>
            </w:r>
          </w:p>
          <w:p>
            <w:pPr>
              <w:pStyle w:val="50"/>
              <w:keepNext w:val="0"/>
              <w:keepLines w:val="0"/>
              <w:suppressLineNumbers w:val="0"/>
              <w:bidi w:val="0"/>
              <w:spacing w:beforeAutospacing="0" w:after="0" w:afterAutospacing="0"/>
              <w:ind w:left="0" w:right="0"/>
              <w:rPr>
                <w:rFonts w:hint="default"/>
                <w:u w:val="none"/>
              </w:rPr>
            </w:pPr>
            <w:r>
              <w:rPr>
                <w:rFonts w:hint="eastAsia"/>
                <w:b/>
                <w:u w:val="none"/>
              </w:rPr>
              <w:t>表</w:t>
            </w:r>
            <w:r>
              <w:rPr>
                <w:rFonts w:hint="eastAsia"/>
                <w:b/>
                <w:u w:val="none"/>
                <w:lang w:val="en-US" w:eastAsia="zh-CN"/>
              </w:rPr>
              <w:t xml:space="preserve">5.2-10 </w:t>
            </w:r>
            <w:r>
              <w:rPr>
                <w:rFonts w:hint="eastAsia"/>
                <w:u w:val="none"/>
              </w:rPr>
              <w:t xml:space="preserve"> 危险废物一览表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093"/>
              <w:gridCol w:w="987"/>
              <w:gridCol w:w="842"/>
              <w:gridCol w:w="1219"/>
              <w:gridCol w:w="1302"/>
              <w:gridCol w:w="516"/>
              <w:gridCol w:w="1464"/>
              <w:gridCol w:w="789"/>
              <w:gridCol w:w="535"/>
              <w:gridCol w:w="722"/>
              <w:gridCol w:w="848"/>
              <w:gridCol w:w="1537"/>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3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r>
                    <w:rPr>
                      <w:rFonts w:hint="eastAsia"/>
                      <w:u w:val="none"/>
                      <w:lang w:val="en-US" w:eastAsia="zh-CN"/>
                    </w:rPr>
                    <w:t>t</w:t>
                  </w:r>
                  <w:r>
                    <w:rPr>
                      <w:rFonts w:hint="default"/>
                      <w:u w:val="none"/>
                    </w:rPr>
                    <w:t>/a）</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危险废物类别</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危险废物代码</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产生工序及装置</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形态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主要成分</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有害成分</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产废周期</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危险特性</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存储周期</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污染防治措施</w:t>
                  </w:r>
                </w:p>
              </w:tc>
              <w:tc>
                <w:tcPr>
                  <w:tcW w:w="54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69</w:t>
                  </w:r>
                  <w:r>
                    <w:rPr>
                      <w:rFonts w:hint="eastAsia"/>
                      <w:u w:val="none"/>
                      <w:lang w:val="en-US" w:eastAsia="zh-CN"/>
                    </w:rPr>
                    <w:t>.</w:t>
                  </w:r>
                  <w:r>
                    <w:rPr>
                      <w:rFonts w:hint="default"/>
                      <w:u w:val="none"/>
                    </w:rPr>
                    <w:t>250</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900-044-49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铁、碳棒、汞、硫酸化物</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汞、硫酸化物</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分类、分区收集在危险暂存区（废蓄电池、废油液 、废制冷剂均使用专用密封容器收集，各类危废分区存放，废蓄电池、废液化气罐、废油液、废油箱/电容器、废润滑油、废油桶定期交由有回收、处置资质单位进行回收处置。废尾气净化装置、废制冷剂、废滤清器、含汞开关、线路板定期交由有相应处理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270</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900-041-49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钢、液化气</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液化气</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S3</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66</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HW50</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900-049-50</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净化剂和有机物质</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有机物质</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S4</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112</w:t>
                  </w:r>
                  <w:r>
                    <w:rPr>
                      <w:rFonts w:hint="eastAsia"/>
                      <w:u w:val="none"/>
                      <w:lang w:val="en-US" w:eastAsia="zh-CN"/>
                    </w:rPr>
                    <w:t>.</w:t>
                  </w:r>
                  <w:r>
                    <w:rPr>
                      <w:rFonts w:hint="default"/>
                      <w:u w:val="none"/>
                    </w:rPr>
                    <w:t>8</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S5</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r>
                    <w:rPr>
                      <w:rFonts w:hint="eastAsia"/>
                      <w:u w:val="none"/>
                      <w:lang w:val="en-US" w:eastAsia="zh-CN"/>
                    </w:rPr>
                    <w:t>.</w:t>
                  </w:r>
                  <w:r>
                    <w:rPr>
                      <w:rFonts w:hint="default"/>
                      <w:u w:val="none"/>
                    </w:rPr>
                    <w:t>975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S6</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32</w:t>
                  </w:r>
                  <w:r>
                    <w:rPr>
                      <w:rFonts w:hint="eastAsia"/>
                      <w:u w:val="none"/>
                      <w:lang w:val="en-US" w:eastAsia="zh-CN"/>
                    </w:rPr>
                    <w:t>.</w:t>
                  </w:r>
                  <w:r>
                    <w:rPr>
                      <w:rFonts w:hint="default"/>
                      <w:u w:val="none"/>
                    </w:rPr>
                    <w:t>235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S7</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废液压油（机动车）</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r>
                    <w:rPr>
                      <w:rFonts w:hint="eastAsia"/>
                      <w:u w:val="none"/>
                      <w:lang w:val="en-US" w:eastAsia="zh-CN"/>
                    </w:rPr>
                    <w:t>.</w:t>
                  </w:r>
                  <w:r>
                    <w:rPr>
                      <w:rFonts w:hint="default"/>
                      <w:u w:val="none"/>
                    </w:rPr>
                    <w:t>75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S8</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67</w:t>
                  </w:r>
                  <w:r>
                    <w:rPr>
                      <w:rFonts w:hint="eastAsia"/>
                      <w:u w:val="none"/>
                      <w:lang w:val="en-US" w:eastAsia="zh-CN"/>
                    </w:rPr>
                    <w:t>.</w:t>
                  </w:r>
                  <w:r>
                    <w:rPr>
                      <w:rFonts w:hint="default"/>
                      <w:u w:val="none"/>
                    </w:rPr>
                    <w:t>900</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900-005-09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乙二醇、防腐防锈防垢添加剂、抗泡剂</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S9</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w:t>
                  </w:r>
                  <w:r>
                    <w:rPr>
                      <w:rFonts w:hint="eastAsia"/>
                      <w:u w:val="none"/>
                      <w:lang w:val="en-US" w:eastAsia="zh-CN"/>
                    </w:rPr>
                    <w:t>.</w:t>
                  </w:r>
                  <w:r>
                    <w:rPr>
                      <w:rFonts w:hint="default"/>
                      <w:u w:val="none"/>
                    </w:rPr>
                    <w:t>575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烃类混合物</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烃类混合物</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S10</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HW45</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900-005-09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预处理过程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卤代烃、四氟乙烷等</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卤代烃</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S11</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r>
                    <w:rPr>
                      <w:rFonts w:hint="eastAsia"/>
                      <w:u w:val="none"/>
                      <w:lang w:val="en-US" w:eastAsia="zh-CN"/>
                    </w:rPr>
                    <w:t>.</w:t>
                  </w:r>
                  <w:r>
                    <w:rPr>
                      <w:rFonts w:hint="default"/>
                      <w:u w:val="none"/>
                    </w:rPr>
                    <w:t>605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900-041-49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T/In</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S12</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66</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900-041-49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钢、油渣、其他杂质</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油渣</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T/In</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S13</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HW29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900-024-29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铜、汞</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汞</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S14</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056</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HW10</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900-008-10</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钢、塑料、多氯联苯</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S15</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废润滑油（汽车拆卸过程）</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900-217-08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润滑设备</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3个月</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S16</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废液压油（汽车拆卸过程）</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5</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HW08</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900-214-08</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每天</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用专用密封容器收集</w:t>
                  </w: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S17</w:t>
                  </w:r>
                </w:p>
              </w:tc>
              <w:tc>
                <w:tcPr>
                  <w:tcW w:w="3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废油桶（汽车拆卸过程）</w:t>
                  </w:r>
                </w:p>
              </w:tc>
              <w:tc>
                <w:tcPr>
                  <w:tcW w:w="354"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0.8</w:t>
                  </w:r>
                </w:p>
              </w:tc>
              <w:tc>
                <w:tcPr>
                  <w:tcW w:w="30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HW49</w:t>
                  </w:r>
                </w:p>
              </w:tc>
              <w:tc>
                <w:tcPr>
                  <w:tcW w:w="4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900-041-49</w:t>
                  </w:r>
                </w:p>
              </w:tc>
              <w:tc>
                <w:tcPr>
                  <w:tcW w:w="46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盛放设备</w:t>
                  </w:r>
                </w:p>
              </w:tc>
              <w:tc>
                <w:tcPr>
                  <w:tcW w:w="18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固态</w:t>
                  </w:r>
                </w:p>
              </w:tc>
              <w:tc>
                <w:tcPr>
                  <w:tcW w:w="52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添加剂、矿物油、铁</w:t>
                  </w:r>
                </w:p>
              </w:tc>
              <w:tc>
                <w:tcPr>
                  <w:tcW w:w="2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w:t>
                  </w:r>
                </w:p>
              </w:tc>
              <w:tc>
                <w:tcPr>
                  <w:tcW w:w="19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一年</w:t>
                  </w:r>
                </w:p>
              </w:tc>
              <w:tc>
                <w:tcPr>
                  <w:tcW w:w="25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T/In</w:t>
                  </w:r>
                </w:p>
              </w:tc>
              <w:tc>
                <w:tcPr>
                  <w:tcW w:w="304"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半个月</w:t>
                  </w:r>
                </w:p>
              </w:tc>
              <w:tc>
                <w:tcPr>
                  <w:tcW w:w="548" w:type="pct"/>
                </w:tcPr>
                <w:p>
                  <w:pPr>
                    <w:pStyle w:val="49"/>
                    <w:keepNext w:val="0"/>
                    <w:keepLines w:val="0"/>
                    <w:suppressLineNumbers w:val="0"/>
                    <w:bidi w:val="0"/>
                    <w:spacing w:before="0" w:beforeAutospacing="0" w:after="0" w:afterAutospacing="0"/>
                    <w:ind w:left="0" w:right="0"/>
                    <w:rPr>
                      <w:rFonts w:hint="default"/>
                      <w:u w:val="none"/>
                    </w:rPr>
                  </w:pPr>
                </w:p>
              </w:tc>
              <w:tc>
                <w:tcPr>
                  <w:tcW w:w="543"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vAlign w:val="center"/>
                </w:tcPr>
                <w:p>
                  <w:pPr>
                    <w:pStyle w:val="49"/>
                    <w:keepNext w:val="0"/>
                    <w:keepLines w:val="0"/>
                    <w:suppressLineNumbers w:val="0"/>
                    <w:bidi w:val="0"/>
                    <w:spacing w:before="0" w:beforeAutospacing="0" w:after="0" w:afterAutospacing="0"/>
                    <w:ind w:left="0" w:right="0"/>
                    <w:rPr>
                      <w:rFonts w:hint="default"/>
                      <w:u w:val="none"/>
                    </w:rPr>
                  </w:pPr>
                </w:p>
              </w:tc>
              <w:tc>
                <w:tcPr>
                  <w:tcW w:w="392"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合计</w:t>
                  </w:r>
                </w:p>
              </w:tc>
              <w:tc>
                <w:tcPr>
                  <w:tcW w:w="3859" w:type="pct"/>
                  <w:gridSpan w:val="11"/>
                  <w:vAlign w:val="center"/>
                </w:tcPr>
                <w:p>
                  <w:pPr>
                    <w:pStyle w:val="49"/>
                    <w:keepNext w:val="0"/>
                    <w:keepLines w:val="0"/>
                    <w:suppressLineNumbers w:val="0"/>
                    <w:bidi w:val="0"/>
                    <w:spacing w:before="0" w:beforeAutospacing="0" w:after="0" w:afterAutospacing="0"/>
                    <w:ind w:left="0" w:right="0"/>
                    <w:rPr>
                      <w:rFonts w:hint="default"/>
                      <w:u w:val="none"/>
                      <w:lang w:val="en-US"/>
                    </w:rPr>
                  </w:pPr>
                  <w:r>
                    <w:rPr>
                      <w:rFonts w:hint="eastAsia"/>
                      <w:u w:val="none"/>
                      <w:lang w:val="en-US" w:eastAsia="zh-CN"/>
                    </w:rPr>
                    <w:t>危险废物共计628643kg/a，约629t/a，暂存于危险废物暂存间，定期清理，由有资质单位处置</w:t>
                  </w:r>
                </w:p>
              </w:tc>
              <w:tc>
                <w:tcPr>
                  <w:tcW w:w="543" w:type="pct"/>
                </w:tcPr>
                <w:p>
                  <w:pPr>
                    <w:pStyle w:val="49"/>
                    <w:keepNext w:val="0"/>
                    <w:keepLines w:val="0"/>
                    <w:suppressLineNumbers w:val="0"/>
                    <w:bidi w:val="0"/>
                    <w:spacing w:before="0" w:beforeAutospacing="0" w:after="0" w:afterAutospacing="0"/>
                    <w:ind w:left="0" w:right="0"/>
                    <w:rPr>
                      <w:rFonts w:hint="default"/>
                      <w:u w:val="none"/>
                    </w:rPr>
                  </w:pPr>
                </w:p>
              </w:tc>
            </w:tr>
          </w:tbl>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2"/>
              <w:jc w:val="center"/>
              <w:rPr>
                <w:rFonts w:hint="default"/>
                <w:u w:val="none"/>
              </w:rPr>
            </w:pPr>
            <w:r>
              <w:rPr>
                <w:rFonts w:hint="eastAsia"/>
                <w:b/>
                <w:u w:val="none"/>
              </w:rPr>
              <w:t>表</w:t>
            </w:r>
            <w:r>
              <w:rPr>
                <w:rFonts w:hint="eastAsia"/>
                <w:b/>
                <w:u w:val="none"/>
                <w:lang w:val="en-US" w:eastAsia="zh-CN"/>
              </w:rPr>
              <w:t>5.2-11</w:t>
            </w:r>
            <w:r>
              <w:rPr>
                <w:rFonts w:hint="eastAsia"/>
                <w:b/>
                <w:u w:val="none"/>
              </w:rPr>
              <w:t xml:space="preserve">  </w:t>
            </w:r>
            <w:r>
              <w:rPr>
                <w:rFonts w:hint="eastAsia"/>
                <w:b/>
                <w:u w:val="none"/>
                <w:lang w:eastAsia="zh-CN"/>
              </w:rPr>
              <w:t>一般</w:t>
            </w:r>
            <w:r>
              <w:rPr>
                <w:rFonts w:hint="eastAsia"/>
                <w:b/>
                <w:u w:val="none"/>
              </w:rPr>
              <w:t>固体废物一览表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205"/>
              <w:gridCol w:w="1755"/>
              <w:gridCol w:w="7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4"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114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62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p>
              </w:tc>
              <w:tc>
                <w:tcPr>
                  <w:tcW w:w="2729" w:type="pct"/>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S18</w:t>
                  </w:r>
                </w:p>
              </w:tc>
              <w:tc>
                <w:tcPr>
                  <w:tcW w:w="114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62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130</w:t>
                  </w:r>
                  <w:r>
                    <w:rPr>
                      <w:rFonts w:hint="eastAsia"/>
                      <w:u w:val="none"/>
                      <w:lang w:val="en-US" w:eastAsia="zh-CN"/>
                    </w:rPr>
                    <w:t>.</w:t>
                  </w:r>
                  <w:r>
                    <w:rPr>
                      <w:rFonts w:hint="default"/>
                      <w:u w:val="none"/>
                    </w:rPr>
                    <w:t xml:space="preserve">250 </w:t>
                  </w:r>
                  <w:r>
                    <w:rPr>
                      <w:rFonts w:hint="eastAsia"/>
                      <w:u w:val="none"/>
                      <w:lang w:val="en-US" w:eastAsia="zh-CN"/>
                    </w:rPr>
                    <w:t>t</w:t>
                  </w:r>
                  <w:r>
                    <w:rPr>
                      <w:rFonts w:hint="default"/>
                      <w:u w:val="none"/>
                    </w:rPr>
                    <w:t>/a</w:t>
                  </w:r>
                </w:p>
              </w:tc>
              <w:tc>
                <w:tcPr>
                  <w:tcW w:w="272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主要为破损陶瓷和汽车内含有的泥沙等</w:t>
                  </w:r>
                  <w:r>
                    <w:rPr>
                      <w:rFonts w:hint="eastAsia"/>
                      <w:u w:val="none"/>
                      <w:lang w:eastAsia="zh-CN"/>
                    </w:rPr>
                    <w:t>，</w:t>
                  </w:r>
                  <w:r>
                    <w:rPr>
                      <w:rFonts w:hint="default"/>
                      <w:u w:val="none"/>
                    </w:rPr>
                    <w:t>半个月</w:t>
                  </w:r>
                  <w:r>
                    <w:rPr>
                      <w:rFonts w:hint="eastAsia"/>
                      <w:u w:val="none"/>
                      <w:lang w:eastAsia="zh-CN"/>
                    </w:rPr>
                    <w:t>清理一次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S19</w:t>
                  </w:r>
                </w:p>
              </w:tc>
              <w:tc>
                <w:tcPr>
                  <w:tcW w:w="114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含油手套及抹布</w:t>
                  </w:r>
                </w:p>
              </w:tc>
              <w:tc>
                <w:tcPr>
                  <w:tcW w:w="62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 t/a</w:t>
                  </w:r>
                </w:p>
              </w:tc>
              <w:tc>
                <w:tcPr>
                  <w:tcW w:w="2729"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拆解过程使用的手套、抹布等劳保用品</w:t>
                  </w:r>
                  <w:r>
                    <w:rPr>
                      <w:rFonts w:hint="eastAsia"/>
                      <w:u w:val="none"/>
                      <w:lang w:eastAsia="zh-CN"/>
                    </w:rPr>
                    <w:t>，</w:t>
                  </w:r>
                  <w:r>
                    <w:rPr>
                      <w:rFonts w:hint="default"/>
                      <w:u w:val="none"/>
                    </w:rPr>
                    <w:t>半个月</w:t>
                  </w:r>
                  <w:r>
                    <w:rPr>
                      <w:rFonts w:hint="eastAsia"/>
                      <w:u w:val="none"/>
                      <w:lang w:eastAsia="zh-CN"/>
                    </w:rPr>
                    <w:t>清理一次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S20</w:t>
                  </w:r>
                </w:p>
              </w:tc>
              <w:tc>
                <w:tcPr>
                  <w:tcW w:w="114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629"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 t/a</w:t>
                  </w:r>
                </w:p>
              </w:tc>
              <w:tc>
                <w:tcPr>
                  <w:tcW w:w="2729" w:type="pct"/>
                  <w:shd w:val="clear" w:color="auto" w:fill="auto"/>
                  <w:noWrap/>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default"/>
                      <w:u w:val="none"/>
                    </w:rPr>
                    <w:t>生活垃圾</w:t>
                  </w:r>
                  <w:r>
                    <w:rPr>
                      <w:rFonts w:hint="eastAsia"/>
                      <w:u w:val="none"/>
                      <w:lang w:eastAsia="zh-CN"/>
                    </w:rPr>
                    <w:t>，日产日清</w:t>
                  </w:r>
                </w:p>
              </w:tc>
            </w:tr>
          </w:tbl>
          <w:p>
            <w:pPr>
              <w:keepNext w:val="0"/>
              <w:keepLines w:val="0"/>
              <w:suppressLineNumbers w:val="0"/>
              <w:tabs>
                <w:tab w:val="left" w:pos="1142"/>
              </w:tabs>
              <w:spacing w:before="0" w:beforeAutospacing="0" w:after="0" w:afterAutospacing="0"/>
              <w:ind w:left="0" w:right="0" w:firstLine="480"/>
              <w:rPr>
                <w:rFonts w:hint="default"/>
                <w:u w:val="none"/>
              </w:rPr>
            </w:pPr>
          </w:p>
          <w:p>
            <w:pPr>
              <w:pStyle w:val="5"/>
              <w:suppressLineNumbers w:val="0"/>
              <w:bidi w:val="0"/>
              <w:spacing w:before="0" w:beforeAutospacing="0" w:after="0" w:afterAutospacing="0"/>
              <w:ind w:left="0" w:right="0"/>
              <w:rPr>
                <w:rFonts w:hint="default"/>
                <w:u w:val="none"/>
              </w:rPr>
            </w:pPr>
            <w:bookmarkStart w:id="63" w:name="_Toc7079964"/>
            <w:bookmarkStart w:id="64" w:name="_Toc23411122"/>
            <w:bookmarkStart w:id="65" w:name="_Toc13073941"/>
            <w:bookmarkStart w:id="66" w:name="_Toc21434"/>
            <w:bookmarkStart w:id="67" w:name="_Toc26970"/>
            <w:r>
              <w:rPr>
                <w:rFonts w:hint="eastAsia"/>
                <w:u w:val="none"/>
                <w:lang w:val="en-US" w:eastAsia="zh-CN"/>
              </w:rPr>
              <w:t>5.2.4</w:t>
            </w:r>
            <w:r>
              <w:rPr>
                <w:rFonts w:hint="default"/>
                <w:u w:val="none"/>
              </w:rPr>
              <w:t>污染物产生及排放汇总</w:t>
            </w:r>
            <w:bookmarkEnd w:id="63"/>
            <w:bookmarkEnd w:id="64"/>
            <w:bookmarkEnd w:id="65"/>
            <w:bookmarkEnd w:id="66"/>
            <w:bookmarkEnd w:id="67"/>
          </w:p>
          <w:p>
            <w:pPr>
              <w:keepNext w:val="0"/>
              <w:keepLines w:val="0"/>
              <w:suppressLineNumbers w:val="0"/>
              <w:spacing w:before="120" w:beforeLines="50" w:beforeAutospacing="0" w:after="0" w:afterAutospacing="0"/>
              <w:ind w:left="0" w:right="0" w:firstLine="0" w:firstLineChars="0"/>
              <w:jc w:val="center"/>
              <w:rPr>
                <w:rFonts w:hint="default"/>
                <w:b/>
                <w:bCs/>
                <w:iCs/>
                <w:sz w:val="24"/>
                <w:u w:val="none"/>
              </w:rPr>
            </w:pPr>
            <w:r>
              <w:rPr>
                <w:rFonts w:hint="eastAsia"/>
                <w:b/>
                <w:u w:val="none"/>
              </w:rPr>
              <w:t>表</w:t>
            </w:r>
            <w:r>
              <w:rPr>
                <w:rFonts w:hint="eastAsia"/>
                <w:b/>
                <w:u w:val="none"/>
                <w:lang w:val="en-US" w:eastAsia="zh-CN"/>
              </w:rPr>
              <w:t>5.2-12</w:t>
            </w:r>
            <w:r>
              <w:rPr>
                <w:rFonts w:hint="default"/>
                <w:b/>
                <w:bCs/>
                <w:iCs/>
                <w:sz w:val="24"/>
                <w:u w:val="none"/>
              </w:rPr>
              <w:t xml:space="preserve">  污染物产生及排放汇总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645"/>
              <w:gridCol w:w="840"/>
              <w:gridCol w:w="1845"/>
              <w:gridCol w:w="2373"/>
              <w:gridCol w:w="1996"/>
              <w:gridCol w:w="2055"/>
              <w:gridCol w:w="224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类别</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产污环节</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主要污染物</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排放量</w:t>
                  </w:r>
                </w:p>
              </w:tc>
              <w:tc>
                <w:tcPr>
                  <w:tcW w:w="80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处理方式</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废气</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G1</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废油液抽取废气</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0.002126t/a</w:t>
                  </w:r>
                </w:p>
              </w:tc>
              <w:tc>
                <w:tcPr>
                  <w:tcW w:w="73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0.002126t/a</w:t>
                  </w:r>
                </w:p>
              </w:tc>
              <w:tc>
                <w:tcPr>
                  <w:tcW w:w="80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强制通风</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G2</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制冷剂抽取废气</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0.0075t/a</w:t>
                  </w:r>
                </w:p>
              </w:tc>
              <w:tc>
                <w:tcPr>
                  <w:tcW w:w="73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0.0075t/a</w:t>
                  </w:r>
                </w:p>
              </w:tc>
              <w:tc>
                <w:tcPr>
                  <w:tcW w:w="80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强制通风</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G3</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汽车拆解过程中产生的剪切粉尘</w:t>
                  </w:r>
                </w:p>
              </w:tc>
              <w:tc>
                <w:tcPr>
                  <w:tcW w:w="850"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颗粒物</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1.7t/a</w:t>
                  </w:r>
                </w:p>
              </w:tc>
              <w:tc>
                <w:tcPr>
                  <w:tcW w:w="73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0.17t/a</w:t>
                  </w:r>
                </w:p>
              </w:tc>
              <w:tc>
                <w:tcPr>
                  <w:tcW w:w="804"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粉尘自降，人工清扫</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W1</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生活废水</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COD、氨氮、BOD5、SS等</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168</w:t>
                  </w:r>
                  <w:r>
                    <w:rPr>
                      <w:rFonts w:hint="default"/>
                      <w:u w:val="none"/>
                    </w:rPr>
                    <w:t xml:space="preserve"> t/a</w:t>
                  </w:r>
                </w:p>
              </w:tc>
              <w:tc>
                <w:tcPr>
                  <w:tcW w:w="736" w:type="pct"/>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0</w:t>
                  </w:r>
                </w:p>
              </w:tc>
              <w:tc>
                <w:tcPr>
                  <w:tcW w:w="80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化粪池处理后做农肥，不排放</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W2</w:t>
                  </w:r>
                </w:p>
              </w:tc>
              <w:tc>
                <w:tcPr>
                  <w:tcW w:w="661"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车间清洗废水、车辆清洗废水</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COD、氨氮、</w:t>
                  </w:r>
                  <w:r>
                    <w:rPr>
                      <w:rFonts w:hint="eastAsia"/>
                      <w:u w:val="none"/>
                      <w:lang w:eastAsia="zh-CN"/>
                    </w:rPr>
                    <w:t>石油类</w:t>
                  </w:r>
                  <w:r>
                    <w:rPr>
                      <w:rFonts w:hint="default"/>
                      <w:u w:val="none"/>
                    </w:rPr>
                    <w:t>、SS等</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1360</w:t>
                  </w:r>
                  <w:r>
                    <w:rPr>
                      <w:rFonts w:hint="default"/>
                      <w:u w:val="none"/>
                    </w:rPr>
                    <w:t xml:space="preserve"> t/a</w:t>
                  </w:r>
                </w:p>
              </w:tc>
              <w:tc>
                <w:tcPr>
                  <w:tcW w:w="736" w:type="pct"/>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0</w:t>
                  </w:r>
                </w:p>
              </w:tc>
              <w:tc>
                <w:tcPr>
                  <w:tcW w:w="80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由《湘阴县顽石再生科技有限公司利用建筑垃圾等废弃资源年产</w:t>
                  </w:r>
                  <w:r>
                    <w:rPr>
                      <w:rFonts w:hint="eastAsia"/>
                      <w:u w:val="none"/>
                      <w:lang w:val="en-US" w:eastAsia="zh-CN"/>
                    </w:rPr>
                    <w:t>30万吨预拌砂浆项目</w:t>
                  </w:r>
                  <w:r>
                    <w:rPr>
                      <w:rFonts w:hint="eastAsia"/>
                      <w:u w:val="none"/>
                      <w:lang w:eastAsia="zh-CN"/>
                    </w:rPr>
                    <w:t>》</w:t>
                  </w:r>
                  <w:r>
                    <w:rPr>
                      <w:rFonts w:hint="eastAsia"/>
                      <w:u w:val="none"/>
                    </w:rPr>
                    <w:t>进行制砖用，不排放</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W3</w:t>
                  </w:r>
                </w:p>
              </w:tc>
              <w:tc>
                <w:tcPr>
                  <w:tcW w:w="661"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初期雨水</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COD、氨氮、</w:t>
                  </w:r>
                  <w:r>
                    <w:rPr>
                      <w:rFonts w:hint="eastAsia"/>
                      <w:u w:val="none"/>
                      <w:lang w:eastAsia="zh-CN"/>
                    </w:rPr>
                    <w:t>石油类</w:t>
                  </w:r>
                  <w:r>
                    <w:rPr>
                      <w:rFonts w:hint="default"/>
                      <w:u w:val="none"/>
                    </w:rPr>
                    <w:t>、SS等</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643</w:t>
                  </w:r>
                  <w:r>
                    <w:rPr>
                      <w:rFonts w:hint="default"/>
                      <w:u w:val="none"/>
                    </w:rPr>
                    <w:t xml:space="preserve"> t/a</w:t>
                  </w:r>
                </w:p>
              </w:tc>
              <w:tc>
                <w:tcPr>
                  <w:tcW w:w="736" w:type="pct"/>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固废</w:t>
                  </w:r>
                </w:p>
              </w:tc>
              <w:tc>
                <w:tcPr>
                  <w:tcW w:w="231"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内含硫酸，仅拆除，不进一步拆解</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69</w:t>
                  </w:r>
                  <w:r>
                    <w:rPr>
                      <w:rFonts w:hint="eastAsia"/>
                      <w:u w:val="none"/>
                      <w:lang w:val="en-US" w:eastAsia="zh-CN"/>
                    </w:rPr>
                    <w:t>.</w:t>
                  </w:r>
                  <w:r>
                    <w:rPr>
                      <w:rFonts w:hint="default"/>
                      <w:u w:val="none"/>
                    </w:rPr>
                    <w:t>25t/a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分类收集存放，由有资质单位处理</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含少量液化气，仅拆除，不进一步拆解</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270t/a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S3</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主要产生于汽车排气管，含尾气净化剂，仅拆除，不进一步拆解</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66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S4</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112</w:t>
                  </w:r>
                  <w:r>
                    <w:rPr>
                      <w:rFonts w:hint="eastAsia"/>
                      <w:u w:val="none"/>
                      <w:lang w:val="en-US" w:eastAsia="zh-CN"/>
                    </w:rPr>
                    <w:t>.</w:t>
                  </w:r>
                  <w:r>
                    <w:rPr>
                      <w:rFonts w:hint="default"/>
                      <w:u w:val="none"/>
                    </w:rPr>
                    <w:t>8t/a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S5</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r>
                    <w:rPr>
                      <w:rFonts w:hint="eastAsia"/>
                      <w:u w:val="none"/>
                      <w:lang w:val="en-US" w:eastAsia="zh-CN"/>
                    </w:rPr>
                    <w:t>.</w:t>
                  </w:r>
                  <w:r>
                    <w:rPr>
                      <w:rFonts w:hint="default"/>
                      <w:u w:val="none"/>
                    </w:rPr>
                    <w:t>975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S6</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32</w:t>
                  </w:r>
                  <w:r>
                    <w:rPr>
                      <w:rFonts w:hint="eastAsia"/>
                      <w:u w:val="none"/>
                      <w:lang w:val="en-US" w:eastAsia="zh-CN"/>
                    </w:rPr>
                    <w:t>.</w:t>
                  </w:r>
                  <w:r>
                    <w:rPr>
                      <w:rFonts w:hint="default"/>
                      <w:u w:val="none"/>
                    </w:rPr>
                    <w:t>235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S7</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r>
                    <w:rPr>
                      <w:rFonts w:hint="eastAsia"/>
                      <w:u w:val="none"/>
                      <w:lang w:val="en-US" w:eastAsia="zh-CN"/>
                    </w:rPr>
                    <w:t>.</w:t>
                  </w:r>
                  <w:r>
                    <w:rPr>
                      <w:rFonts w:hint="default"/>
                      <w:u w:val="none"/>
                    </w:rPr>
                    <w:t>75t/a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S8</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67</w:t>
                  </w:r>
                  <w:r>
                    <w:rPr>
                      <w:rFonts w:hint="eastAsia"/>
                      <w:u w:val="none"/>
                      <w:lang w:val="en-US" w:eastAsia="zh-CN"/>
                    </w:rPr>
                    <w:t>.</w:t>
                  </w:r>
                  <w:r>
                    <w:rPr>
                      <w:rFonts w:hint="default"/>
                      <w:u w:val="none"/>
                    </w:rPr>
                    <w:t>9t/a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S9</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w:t>
                  </w:r>
                  <w:r>
                    <w:rPr>
                      <w:rFonts w:hint="eastAsia"/>
                      <w:u w:val="none"/>
                      <w:lang w:val="en-US" w:eastAsia="zh-CN"/>
                    </w:rPr>
                    <w:t>.</w:t>
                  </w:r>
                  <w:r>
                    <w:rPr>
                      <w:rFonts w:hint="default"/>
                      <w:u w:val="none"/>
                    </w:rPr>
                    <w:t>575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S10</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产生于汽车空调，含R12、R134a</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5t/a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S11</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金属、石油类，仅拆除，不进一步清洗</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r>
                    <w:rPr>
                      <w:rFonts w:hint="eastAsia"/>
                      <w:u w:val="none"/>
                      <w:lang w:val="en-US" w:eastAsia="zh-CN"/>
                    </w:rPr>
                    <w:t>.</w:t>
                  </w:r>
                  <w:r>
                    <w:rPr>
                      <w:rFonts w:hint="default"/>
                      <w:u w:val="none"/>
                    </w:rPr>
                    <w:t>605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S12</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金属、含油颗粒等，仅拆除，不进一步拆解</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66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S13</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0.0</w:t>
                  </w:r>
                  <w:r>
                    <w:rPr>
                      <w:rFonts w:hint="default"/>
                      <w:u w:val="none"/>
                    </w:rPr>
                    <w:t>65t/a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S14</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多氯联苯的废电容器，仅拆除，不进一步拆解</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r>
                    <w:rPr>
                      <w:rFonts w:hint="eastAsia"/>
                      <w:u w:val="none"/>
                      <w:lang w:val="en-US" w:eastAsia="zh-CN"/>
                    </w:rPr>
                    <w:t>.</w:t>
                  </w:r>
                  <w:r>
                    <w:rPr>
                      <w:rFonts w:hint="default"/>
                      <w:u w:val="none"/>
                    </w:rPr>
                    <w:t>056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S15</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废油桶</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废液压油桶、废润滑油桶</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S16</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废润滑油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润滑油更换时会产生废润滑油</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S17</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润滑液压剪，定时更换</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 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一般固废</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S18</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主要为破损陶瓷和汽车内含有的泥沙等</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130</w:t>
                  </w:r>
                  <w:r>
                    <w:rPr>
                      <w:rFonts w:hint="eastAsia"/>
                      <w:u w:val="none"/>
                      <w:lang w:val="en-US" w:eastAsia="zh-CN"/>
                    </w:rPr>
                    <w:t>.</w:t>
                  </w:r>
                  <w:r>
                    <w:rPr>
                      <w:rFonts w:hint="default"/>
                      <w:u w:val="none"/>
                    </w:rPr>
                    <w:t>25</w:t>
                  </w:r>
                  <w:r>
                    <w:rPr>
                      <w:rFonts w:hint="eastAsia"/>
                      <w:u w:val="none"/>
                      <w:lang w:val="en-US" w:eastAsia="zh-CN"/>
                    </w:rPr>
                    <w:t>t</w:t>
                  </w:r>
                  <w:r>
                    <w:rPr>
                      <w:rFonts w:hint="default"/>
                      <w:u w:val="none"/>
                    </w:rPr>
                    <w:t>/a</w:t>
                  </w:r>
                </w:p>
              </w:tc>
              <w:tc>
                <w:tcPr>
                  <w:tcW w:w="736"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130</w:t>
                  </w:r>
                  <w:r>
                    <w:rPr>
                      <w:rFonts w:hint="eastAsia"/>
                      <w:u w:val="none"/>
                      <w:lang w:val="en-US" w:eastAsia="zh-CN"/>
                    </w:rPr>
                    <w:t>.</w:t>
                  </w:r>
                  <w:r>
                    <w:rPr>
                      <w:rFonts w:hint="default"/>
                      <w:u w:val="none"/>
                    </w:rPr>
                    <w:t>25t/a</w:t>
                  </w:r>
                </w:p>
              </w:tc>
              <w:tc>
                <w:tcPr>
                  <w:tcW w:w="80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环卫部门统一处理</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S29</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含油手套及抹布</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拆解过程使用的手套、抹布等劳保用品</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 t/a</w:t>
                  </w:r>
                </w:p>
              </w:tc>
              <w:tc>
                <w:tcPr>
                  <w:tcW w:w="73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 t/a</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31"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S20</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 t/a</w:t>
                  </w:r>
                </w:p>
              </w:tc>
              <w:tc>
                <w:tcPr>
                  <w:tcW w:w="73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 t/a</w:t>
                  </w: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N1</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油液抽排系统</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736"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厂界达标</w:t>
                  </w:r>
                </w:p>
              </w:tc>
              <w:tc>
                <w:tcPr>
                  <w:tcW w:w="80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建筑隔声、基础减振等</w:t>
                  </w: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N2</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氟利昂回收装置</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736"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N3</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安全气囊引爆装置</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85~90</w:t>
                  </w:r>
                </w:p>
              </w:tc>
              <w:tc>
                <w:tcPr>
                  <w:tcW w:w="736"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30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N4</w:t>
                  </w:r>
                </w:p>
              </w:tc>
              <w:tc>
                <w:tcPr>
                  <w:tcW w:w="66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金属屑压块机</w:t>
                  </w:r>
                </w:p>
              </w:tc>
              <w:tc>
                <w:tcPr>
                  <w:tcW w:w="85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w:t>
                  </w:r>
                </w:p>
              </w:tc>
              <w:tc>
                <w:tcPr>
                  <w:tcW w:w="71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80~85</w:t>
                  </w:r>
                </w:p>
              </w:tc>
              <w:tc>
                <w:tcPr>
                  <w:tcW w:w="736"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0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467" w:type="pct"/>
                  <w:vAlign w:val="center"/>
                </w:tcPr>
                <w:p>
                  <w:pPr>
                    <w:pStyle w:val="49"/>
                    <w:keepNext w:val="0"/>
                    <w:keepLines w:val="0"/>
                    <w:suppressLineNumbers w:val="0"/>
                    <w:bidi w:val="0"/>
                    <w:spacing w:before="0" w:beforeAutospacing="0" w:after="0" w:afterAutospacing="0"/>
                    <w:ind w:left="0" w:right="0"/>
                    <w:rPr>
                      <w:rFonts w:hint="default"/>
                      <w:u w:val="none"/>
                    </w:rPr>
                  </w:pPr>
                </w:p>
              </w:tc>
            </w:tr>
          </w:tbl>
          <w:p>
            <w:pPr>
              <w:keepNext w:val="0"/>
              <w:keepLines w:val="0"/>
              <w:suppressLineNumbers w:val="0"/>
              <w:bidi w:val="0"/>
              <w:spacing w:before="0" w:beforeAutospacing="0" w:after="0" w:afterAutospacing="0"/>
              <w:ind w:left="0" w:right="0"/>
              <w:rPr>
                <w:rFonts w:hint="default"/>
                <w:u w:val="none"/>
                <w:vertAlign w:val="baseline"/>
              </w:rPr>
            </w:pPr>
          </w:p>
        </w:tc>
      </w:tr>
    </w:tbl>
    <w:p>
      <w:pPr>
        <w:bidi w:val="0"/>
        <w:ind w:left="0" w:leftChars="0" w:firstLine="0" w:firstLineChars="0"/>
        <w:rPr>
          <w:u w:val="none"/>
        </w:rPr>
        <w:sectPr>
          <w:pgSz w:w="16838" w:h="11906" w:orient="landscape"/>
          <w:pgMar w:top="1800" w:right="1440" w:bottom="1800" w:left="1440" w:header="851" w:footer="992" w:gutter="0"/>
          <w:pgNumType w:fmt="decimal"/>
          <w:cols w:space="425" w:num="1"/>
          <w:docGrid w:type="lines" w:linePitch="435" w:charSpace="0"/>
        </w:sectPr>
      </w:pPr>
    </w:p>
    <w:p>
      <w:pPr>
        <w:pStyle w:val="3"/>
        <w:spacing w:before="0" w:after="0" w:line="240" w:lineRule="auto"/>
        <w:ind w:firstLine="883"/>
        <w:rPr>
          <w:sz w:val="32"/>
          <w:szCs w:val="32"/>
          <w:u w:val="none"/>
        </w:rPr>
      </w:pPr>
      <w:bookmarkStart w:id="68" w:name="_Toc1226"/>
      <w:r>
        <w:rPr>
          <w:rFonts w:hint="eastAsia"/>
          <w:sz w:val="32"/>
          <w:szCs w:val="32"/>
          <w:u w:val="none"/>
        </w:rPr>
        <w:t>六、项目主要污染物及预计排放情况</w:t>
      </w:r>
      <w:bookmarkEnd w:id="68"/>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779"/>
        <w:gridCol w:w="3264"/>
        <w:gridCol w:w="1530"/>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类型</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u w:val="none"/>
              </w:rPr>
            </w:pPr>
            <w:r>
              <w:rPr>
                <w:rFonts w:hint="default"/>
                <w:u w:val="none"/>
              </w:rPr>
              <w:t>排放源</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u w:val="none"/>
              </w:rPr>
            </w:pPr>
            <w:r>
              <w:rPr>
                <w:rFonts w:hint="default"/>
                <w:u w:val="none"/>
              </w:rPr>
              <w:t>污染物名称</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u w:val="none"/>
              </w:rPr>
            </w:pPr>
            <w:r>
              <w:rPr>
                <w:rFonts w:hint="default"/>
                <w:u w:val="none"/>
              </w:rPr>
              <w:t>处理前产生量</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u w:val="none"/>
              </w:rPr>
            </w:pPr>
            <w:r>
              <w:rPr>
                <w:rFonts w:hint="default"/>
                <w:u w:val="none"/>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物</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废油液抽取废气</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非甲烷总烃</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0.00</w:t>
            </w:r>
            <w:r>
              <w:rPr>
                <w:rFonts w:hint="eastAsia"/>
                <w:u w:val="none"/>
                <w:lang w:val="en-US" w:eastAsia="zh-CN"/>
              </w:rPr>
              <w:t>2658</w:t>
            </w:r>
            <w:r>
              <w:rPr>
                <w:rFonts w:hint="default"/>
                <w:u w:val="none"/>
              </w:rPr>
              <w:t>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0.00</w:t>
            </w:r>
            <w:r>
              <w:rPr>
                <w:rFonts w:hint="eastAsia"/>
                <w:u w:val="none"/>
                <w:lang w:val="en-US" w:eastAsia="zh-CN"/>
              </w:rPr>
              <w:t>2658</w:t>
            </w:r>
            <w:r>
              <w:rPr>
                <w:rFonts w:hint="default"/>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制冷剂抽取废气</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非甲烷总烃</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0.0075t/a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0.0075t/a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汽车拆解过程中产生的剪切粉尘</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颗粒物</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1.7t/a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0.0085t/a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bookmarkStart w:id="69" w:name="_Hlk521871089"/>
            <w:r>
              <w:rPr>
                <w:rFonts w:hint="eastAsia"/>
                <w:u w:val="none"/>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eastAsia"/>
                <w:u w:val="none"/>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eastAsia"/>
                <w:u w:val="none"/>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eastAsia"/>
                <w:u w:val="none"/>
              </w:rPr>
              <w:t>物</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生活废水</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COD、氨氮、BOD5、SS等</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168</w:t>
            </w:r>
            <w:r>
              <w:rPr>
                <w:rFonts w:hint="default"/>
                <w:u w:val="none"/>
              </w:rPr>
              <w:t xml:space="preserve">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车间清洗废水、车辆清洗废水</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COD、氨氮、</w:t>
            </w:r>
            <w:r>
              <w:rPr>
                <w:rFonts w:hint="eastAsia"/>
                <w:u w:val="none"/>
                <w:lang w:eastAsia="zh-CN"/>
              </w:rPr>
              <w:t>石油类</w:t>
            </w:r>
            <w:r>
              <w:rPr>
                <w:rFonts w:hint="default"/>
                <w:u w:val="none"/>
              </w:rPr>
              <w:t>、SS等</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1360</w:t>
            </w:r>
            <w:r>
              <w:rPr>
                <w:rFonts w:hint="default"/>
                <w:u w:val="none"/>
              </w:rPr>
              <w:t xml:space="preserve">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初期雨水</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COD、氨氮、</w:t>
            </w:r>
            <w:r>
              <w:rPr>
                <w:rFonts w:hint="eastAsia"/>
                <w:u w:val="none"/>
                <w:lang w:eastAsia="zh-CN"/>
              </w:rPr>
              <w:t>石油类</w:t>
            </w:r>
            <w:r>
              <w:rPr>
                <w:rFonts w:hint="default"/>
                <w:u w:val="none"/>
              </w:rPr>
              <w:t>、SS等</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rPr>
              <w:t>643</w:t>
            </w:r>
            <w:r>
              <w:rPr>
                <w:rFonts w:hint="default"/>
                <w:u w:val="none"/>
              </w:rPr>
              <w:t xml:space="preserve">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0</w:t>
            </w:r>
          </w:p>
        </w:tc>
      </w:tr>
      <w:bookmarkEnd w:id="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物</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废蓄电池</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内含硫酸，仅拆除，不进一步拆解</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69</w:t>
            </w:r>
            <w:r>
              <w:rPr>
                <w:rFonts w:hint="eastAsia"/>
                <w:u w:val="none"/>
                <w:lang w:val="en-US" w:eastAsia="zh-CN"/>
              </w:rPr>
              <w:t>.</w:t>
            </w:r>
            <w:r>
              <w:rPr>
                <w:rFonts w:hint="default"/>
                <w:u w:val="none"/>
              </w:rPr>
              <w:t>25t/a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废液化气罐</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含少量液化气，仅拆除，不进一步拆解</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270t/a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废尾气净化装置</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主要产生于汽车排气管，含尾气净化剂，仅拆除，不进一步拆解</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0.0</w:t>
            </w:r>
            <w:r>
              <w:rPr>
                <w:rFonts w:hint="default"/>
                <w:u w:val="none"/>
              </w:rPr>
              <w:t>66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废机油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废机油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112</w:t>
            </w:r>
            <w:r>
              <w:rPr>
                <w:rFonts w:hint="eastAsia"/>
                <w:u w:val="none"/>
                <w:lang w:val="en-US" w:eastAsia="zh-CN"/>
              </w:rPr>
              <w:t>.</w:t>
            </w:r>
            <w:r>
              <w:rPr>
                <w:rFonts w:hint="default"/>
                <w:u w:val="none"/>
              </w:rPr>
              <w:t>8t/a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废制动油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废制动油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35</w:t>
            </w:r>
            <w:r>
              <w:rPr>
                <w:rFonts w:hint="eastAsia"/>
                <w:u w:val="none"/>
                <w:lang w:val="en-US" w:eastAsia="zh-CN"/>
              </w:rPr>
              <w:t>.</w:t>
            </w:r>
            <w:r>
              <w:rPr>
                <w:rFonts w:hint="default"/>
                <w:u w:val="none"/>
              </w:rPr>
              <w:t>975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废变速箱油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废变速箱油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32</w:t>
            </w:r>
            <w:r>
              <w:rPr>
                <w:rFonts w:hint="eastAsia"/>
                <w:u w:val="none"/>
                <w:lang w:val="en-US" w:eastAsia="zh-CN"/>
              </w:rPr>
              <w:t>.</w:t>
            </w:r>
            <w:r>
              <w:rPr>
                <w:rFonts w:hint="default"/>
                <w:u w:val="none"/>
              </w:rPr>
              <w:t>235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4</w:t>
            </w:r>
            <w:r>
              <w:rPr>
                <w:rFonts w:hint="eastAsia"/>
                <w:u w:val="none"/>
                <w:lang w:val="en-US" w:eastAsia="zh-CN"/>
              </w:rPr>
              <w:t>.</w:t>
            </w:r>
            <w:r>
              <w:rPr>
                <w:rFonts w:hint="default"/>
                <w:u w:val="none"/>
              </w:rPr>
              <w:t>75t/a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废防冻液</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废防冻液</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67</w:t>
            </w:r>
            <w:r>
              <w:rPr>
                <w:rFonts w:hint="eastAsia"/>
                <w:u w:val="none"/>
                <w:lang w:val="en-US" w:eastAsia="zh-CN"/>
              </w:rPr>
              <w:t>.</w:t>
            </w:r>
            <w:r>
              <w:rPr>
                <w:rFonts w:hint="default"/>
                <w:u w:val="none"/>
              </w:rPr>
              <w:t>9t/a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废汽、柴油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废汽、柴油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26</w:t>
            </w:r>
            <w:r>
              <w:rPr>
                <w:rFonts w:hint="eastAsia"/>
                <w:u w:val="none"/>
                <w:lang w:val="en-US" w:eastAsia="zh-CN"/>
              </w:rPr>
              <w:t>.</w:t>
            </w:r>
            <w:r>
              <w:rPr>
                <w:rFonts w:hint="default"/>
                <w:u w:val="none"/>
              </w:rPr>
              <w:t>575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废制冷剂</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产生于汽车空调，含R12、R134a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w:t>
            </w:r>
            <w:r>
              <w:rPr>
                <w:rFonts w:hint="eastAsia"/>
                <w:u w:val="none"/>
                <w:lang w:val="en-US" w:eastAsia="zh-CN"/>
              </w:rPr>
              <w:t>.</w:t>
            </w:r>
            <w:r>
              <w:rPr>
                <w:rFonts w:hint="default"/>
                <w:u w:val="none"/>
              </w:rPr>
              <w:t>5t/a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废油箱</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金属、石油类，仅拆除，不进一步清洗</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w:t>
            </w:r>
            <w:r>
              <w:rPr>
                <w:rFonts w:hint="eastAsia"/>
                <w:u w:val="none"/>
                <w:lang w:val="en-US" w:eastAsia="zh-CN"/>
              </w:rPr>
              <w:t>.</w:t>
            </w:r>
            <w:r>
              <w:rPr>
                <w:rFonts w:hint="default"/>
                <w:u w:val="none"/>
              </w:rPr>
              <w:t>605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废滤清器</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金属、含油颗粒等，仅拆除，不进一步拆解</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0.0</w:t>
            </w:r>
            <w:r>
              <w:rPr>
                <w:rFonts w:hint="default"/>
                <w:u w:val="none"/>
              </w:rPr>
              <w:t>66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含汞开关、线路板</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含汞开关、线路板</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0.0</w:t>
            </w:r>
            <w:r>
              <w:rPr>
                <w:rFonts w:hint="default"/>
                <w:u w:val="none"/>
              </w:rPr>
              <w:t>65t/a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电容器</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多氯联苯的废电容器，仅拆除，不进一步拆解</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w:t>
            </w:r>
            <w:r>
              <w:rPr>
                <w:rFonts w:hint="eastAsia"/>
                <w:u w:val="none"/>
                <w:lang w:val="en-US" w:eastAsia="zh-CN"/>
              </w:rPr>
              <w:t>.</w:t>
            </w:r>
            <w:r>
              <w:rPr>
                <w:rFonts w:hint="default"/>
                <w:u w:val="none"/>
              </w:rPr>
              <w:t>056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废油桶</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废液压油桶、废润滑油桶</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0.8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废润滑油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润滑油更换时会产生废润滑油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润滑液压剪，定时更换</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1.5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不可再利用材料</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主要为破损陶瓷和汽车内含有的泥沙等</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130</w:t>
            </w:r>
            <w:r>
              <w:rPr>
                <w:rFonts w:hint="eastAsia"/>
                <w:u w:val="none"/>
                <w:lang w:val="en-US" w:eastAsia="zh-CN"/>
              </w:rPr>
              <w:t>.</w:t>
            </w:r>
            <w:r>
              <w:rPr>
                <w:rFonts w:hint="default"/>
                <w:u w:val="none"/>
              </w:rPr>
              <w:t>25</w:t>
            </w:r>
            <w:r>
              <w:rPr>
                <w:rFonts w:hint="eastAsia"/>
                <w:u w:val="none"/>
                <w:lang w:val="en-US" w:eastAsia="zh-CN"/>
              </w:rPr>
              <w:t>t</w:t>
            </w:r>
            <w:r>
              <w:rPr>
                <w:rFonts w:hint="default"/>
                <w:u w:val="none"/>
              </w:rPr>
              <w: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130</w:t>
            </w:r>
            <w:r>
              <w:rPr>
                <w:rFonts w:hint="eastAsia"/>
                <w:u w:val="none"/>
                <w:lang w:val="en-US" w:eastAsia="zh-CN"/>
              </w:rPr>
              <w:t>.</w:t>
            </w:r>
            <w:r>
              <w:rPr>
                <w:rFonts w:hint="default"/>
                <w:u w:val="none"/>
              </w:rPr>
              <w:t>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含油手套及抹布</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拆解过程使用的手套、抹布等劳保用品</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生活垃圾</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生活垃圾</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2.1 t/a</w:t>
            </w:r>
          </w:p>
        </w:tc>
        <w:tc>
          <w:tcPr>
            <w:tcW w:w="0" w:type="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2.1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u w:val="none"/>
              </w:rPr>
            </w:pPr>
            <w:r>
              <w:rPr>
                <w:rFonts w:hint="default"/>
                <w:u w:val="none"/>
              </w:rPr>
              <w:t>声</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u w:val="none"/>
              </w:rPr>
            </w:pPr>
            <w:r>
              <w:rPr>
                <w:rFonts w:hint="eastAsia"/>
                <w:sz w:val="22"/>
                <w:szCs w:val="22"/>
                <w:u w:val="none"/>
              </w:rPr>
              <w:t>本项目营运期噪声主要来自</w:t>
            </w:r>
            <w:r>
              <w:rPr>
                <w:rFonts w:hint="default"/>
                <w:sz w:val="22"/>
                <w:szCs w:val="22"/>
                <w:u w:val="none"/>
              </w:rPr>
              <w:t>油液抽排系统</w:t>
            </w:r>
            <w:r>
              <w:rPr>
                <w:rFonts w:hint="eastAsia"/>
                <w:sz w:val="22"/>
                <w:szCs w:val="22"/>
                <w:u w:val="none"/>
                <w:lang w:eastAsia="zh-CN"/>
              </w:rPr>
              <w:t>、</w:t>
            </w:r>
            <w:r>
              <w:rPr>
                <w:rFonts w:hint="default"/>
                <w:sz w:val="22"/>
                <w:szCs w:val="22"/>
                <w:u w:val="none"/>
              </w:rPr>
              <w:t>氟利昂回收装置</w:t>
            </w:r>
            <w:r>
              <w:rPr>
                <w:rFonts w:hint="eastAsia"/>
                <w:sz w:val="22"/>
                <w:szCs w:val="22"/>
                <w:u w:val="none"/>
                <w:lang w:eastAsia="zh-CN"/>
              </w:rPr>
              <w:t>、</w:t>
            </w:r>
            <w:r>
              <w:rPr>
                <w:rFonts w:hint="default"/>
                <w:sz w:val="22"/>
                <w:szCs w:val="22"/>
                <w:u w:val="none"/>
              </w:rPr>
              <w:t>安全气囊引爆装置</w:t>
            </w:r>
            <w:r>
              <w:rPr>
                <w:rFonts w:hint="eastAsia"/>
                <w:sz w:val="22"/>
                <w:szCs w:val="22"/>
                <w:u w:val="none"/>
                <w:lang w:eastAsia="zh-CN"/>
              </w:rPr>
              <w:t>、</w:t>
            </w:r>
            <w:r>
              <w:rPr>
                <w:rFonts w:hint="default"/>
                <w:sz w:val="22"/>
                <w:szCs w:val="22"/>
                <w:u w:val="none"/>
              </w:rPr>
              <w:t>金属屑压块机</w:t>
            </w:r>
            <w:r>
              <w:rPr>
                <w:rFonts w:hint="eastAsia"/>
                <w:sz w:val="22"/>
                <w:szCs w:val="22"/>
                <w:u w:val="none"/>
              </w:rPr>
              <w:t>等设备运行噪声。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u w:val="none"/>
              </w:rPr>
            </w:pPr>
            <w:r>
              <w:rPr>
                <w:rFonts w:hint="eastAsia"/>
                <w:u w:val="none"/>
              </w:rPr>
              <w:t>主要</w:t>
            </w:r>
            <w:r>
              <w:rPr>
                <w:rFonts w:hint="default"/>
                <w:u w:val="none"/>
              </w:rPr>
              <w:t>生态影响</w:t>
            </w:r>
            <w:r>
              <w:rPr>
                <w:rFonts w:hint="eastAsia"/>
                <w:u w:val="none"/>
              </w:rPr>
              <w:t>（</w:t>
            </w:r>
            <w:r>
              <w:rPr>
                <w:rFonts w:hint="default"/>
                <w:u w:val="none"/>
              </w:rPr>
              <w:t>不够时可附另页</w:t>
            </w:r>
            <w:r>
              <w:rPr>
                <w:rFonts w:hint="eastAsia"/>
                <w:u w:val="none"/>
              </w:rPr>
              <w:t>）</w:t>
            </w:r>
            <w:r>
              <w:rPr>
                <w:rFonts w:hint="default"/>
                <w:u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u w:val="none"/>
              </w:rPr>
            </w:pPr>
            <w:r>
              <w:rPr>
                <w:rFonts w:hint="default"/>
                <w:u w:val="none"/>
              </w:rPr>
              <w:t>本项目位于</w:t>
            </w:r>
            <w:r>
              <w:rPr>
                <w:rFonts w:hint="eastAsia"/>
                <w:sz w:val="24"/>
                <w:szCs w:val="24"/>
                <w:u w:val="none"/>
                <w:lang w:eastAsia="zh-CN"/>
              </w:rPr>
              <w:t>湖南省岳阳市湘阴县文星镇板桥村</w:t>
            </w:r>
            <w:r>
              <w:rPr>
                <w:rFonts w:hint="default"/>
                <w:u w:val="none"/>
              </w:rPr>
              <w:t>，人类活动频繁。项目周边区域土地天然植被</w:t>
            </w:r>
            <w:r>
              <w:rPr>
                <w:rFonts w:hint="eastAsia"/>
                <w:u w:val="none"/>
                <w:lang w:eastAsia="zh-CN"/>
              </w:rPr>
              <w:t>较</w:t>
            </w:r>
            <w:r>
              <w:rPr>
                <w:rFonts w:hint="default"/>
                <w:u w:val="none"/>
              </w:rPr>
              <w:t>少</w:t>
            </w:r>
            <w:r>
              <w:rPr>
                <w:rFonts w:hint="eastAsia"/>
                <w:u w:val="none"/>
              </w:rPr>
              <w:t>，</w:t>
            </w:r>
            <w:r>
              <w:rPr>
                <w:rFonts w:hint="default"/>
                <w:u w:val="none"/>
              </w:rPr>
              <w:t>生物结构相对简单。</w:t>
            </w:r>
            <w:r>
              <w:rPr>
                <w:rFonts w:hint="eastAsia"/>
                <w:u w:val="none"/>
              </w:rPr>
              <w:t>本项目建设对周边区域无明显生态影响。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u w:val="none"/>
              </w:rPr>
            </w:pPr>
          </w:p>
        </w:tc>
      </w:tr>
    </w:tbl>
    <w:p>
      <w:pPr>
        <w:widowControl/>
        <w:ind w:firstLine="480"/>
        <w:jc w:val="left"/>
        <w:rPr>
          <w:u w:val="none"/>
        </w:rPr>
      </w:pPr>
    </w:p>
    <w:p>
      <w:pPr>
        <w:pStyle w:val="3"/>
        <w:spacing w:before="0" w:after="0" w:line="360" w:lineRule="auto"/>
        <w:ind w:firstLine="643"/>
        <w:jc w:val="left"/>
        <w:rPr>
          <w:sz w:val="32"/>
          <w:u w:val="none"/>
        </w:rPr>
      </w:pPr>
      <w:bookmarkStart w:id="70" w:name="_Toc15031"/>
      <w:r>
        <w:rPr>
          <w:rFonts w:hint="eastAsia"/>
          <w:sz w:val="32"/>
          <w:u w:val="none"/>
        </w:rPr>
        <w:t>七、环境影响分析</w:t>
      </w:r>
      <w:bookmarkEnd w:id="70"/>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6" w:hRule="atLeast"/>
        </w:trPr>
        <w:tc>
          <w:tcPr>
            <w:tcW w:w="8522" w:type="dxa"/>
          </w:tcPr>
          <w:p>
            <w:pPr>
              <w:pStyle w:val="4"/>
              <w:suppressLineNumbers w:val="0"/>
              <w:spacing w:before="0" w:beforeAutospacing="0" w:after="180" w:afterAutospacing="0"/>
              <w:ind w:left="0" w:right="0" w:firstLine="522"/>
              <w:rPr>
                <w:rFonts w:hint="default" w:ascii="Times New Roman" w:hAnsi="Times New Roman" w:cs="Times New Roman"/>
                <w:color w:val="auto"/>
                <w:u w:val="none"/>
              </w:rPr>
            </w:pPr>
            <w:bookmarkStart w:id="71" w:name="_Toc535229790"/>
            <w:bookmarkStart w:id="72" w:name="_Toc16931"/>
            <w:bookmarkStart w:id="73" w:name="_Toc30760"/>
            <w:r>
              <w:rPr>
                <w:rFonts w:hint="default" w:ascii="Times New Roman" w:hAnsi="Times New Roman" w:cs="Times New Roman"/>
                <w:color w:val="auto"/>
                <w:u w:val="none"/>
              </w:rPr>
              <w:t>7.1施工期环境影响分析</w:t>
            </w:r>
            <w:bookmarkEnd w:id="71"/>
            <w:bookmarkEnd w:id="72"/>
            <w:bookmarkEnd w:id="73"/>
          </w:p>
          <w:p>
            <w:pPr>
              <w:keepNext w:val="0"/>
              <w:keepLines w:val="0"/>
              <w:suppressLineNumbers w:val="0"/>
              <w:spacing w:before="0" w:beforeAutospacing="0" w:after="0" w:afterAutospacing="0"/>
              <w:ind w:left="0" w:right="0" w:firstLine="480"/>
              <w:rPr>
                <w:rFonts w:hint="eastAsia" w:ascii="Times New Roman" w:hAnsi="Times New Roman" w:cs="Times New Roman"/>
                <w:b/>
                <w:bCs/>
                <w:color w:val="auto"/>
                <w:sz w:val="24"/>
                <w:szCs w:val="24"/>
                <w:u w:val="none"/>
                <w:lang w:eastAsia="zh-CN"/>
              </w:rPr>
            </w:pPr>
            <w:r>
              <w:rPr>
                <w:rFonts w:hint="default"/>
                <w:u w:val="none"/>
              </w:rPr>
              <w:t>本项目</w:t>
            </w:r>
            <w:r>
              <w:rPr>
                <w:rFonts w:hint="eastAsia"/>
                <w:u w:val="none"/>
                <w:lang w:eastAsia="zh-CN"/>
              </w:rPr>
              <w:t>位于</w:t>
            </w:r>
            <w:r>
              <w:rPr>
                <w:rFonts w:hint="default"/>
                <w:u w:val="none"/>
              </w:rPr>
              <w:t>湖南省岳阳市湘阴县文星镇板桥村</w:t>
            </w:r>
            <w:r>
              <w:rPr>
                <w:rFonts w:hint="eastAsia"/>
                <w:u w:val="none"/>
                <w:lang w:eastAsia="zh-CN"/>
              </w:rPr>
              <w:t>（租赁湘阴县顽石再生科技有限公司现有厂房进行建设本项目），</w:t>
            </w:r>
            <w:r>
              <w:rPr>
                <w:rFonts w:hint="eastAsia" w:ascii="Times New Roman" w:hAnsi="Times New Roman" w:cs="Times New Roman"/>
                <w:color w:val="auto"/>
                <w:sz w:val="24"/>
                <w:szCs w:val="24"/>
                <w:u w:val="none"/>
                <w:lang w:eastAsia="zh-CN"/>
              </w:rPr>
              <w:t>建设内容主要为设备安装及其他辅助设施建设。</w:t>
            </w:r>
            <w:r>
              <w:rPr>
                <w:rFonts w:hint="eastAsia"/>
                <w:sz w:val="24"/>
                <w:szCs w:val="24"/>
                <w:u w:val="none"/>
                <w:lang w:eastAsia="zh-CN"/>
              </w:rPr>
              <w:t>车间内分区为拆解作业区、办公生活区（管理区）、未拆解的报废机动车贮存区、产品（半成品）贮存区、危废暂存间、一般固废暂存间及其他配套附属设施。</w:t>
            </w:r>
          </w:p>
          <w:p>
            <w:pPr>
              <w:keepNext w:val="0"/>
              <w:keepLines w:val="0"/>
              <w:suppressLineNumbers w:val="0"/>
              <w:spacing w:before="0" w:beforeAutospacing="0" w:after="0" w:afterAutospacing="0"/>
              <w:ind w:left="0" w:right="0" w:firstLine="480"/>
              <w:rPr>
                <w:rFonts w:hint="default"/>
                <w:u w:val="none"/>
              </w:rPr>
            </w:pPr>
            <w:r>
              <w:rPr>
                <w:rFonts w:hint="default"/>
                <w:u w:val="none"/>
              </w:rPr>
              <w:t>施工期的主要环境问题是施工噪声、扬尘、施工车辆尾气、施工废水以及施工人员产生的生活污水、生活垃圾等。</w:t>
            </w:r>
          </w:p>
          <w:p>
            <w:pPr>
              <w:keepNext w:val="0"/>
              <w:keepLines w:val="0"/>
              <w:suppressLineNumbers w:val="0"/>
              <w:spacing w:before="0" w:beforeAutospacing="0" w:after="0" w:afterAutospacing="0"/>
              <w:ind w:left="0" w:right="0" w:firstLine="482"/>
              <w:jc w:val="center"/>
              <w:rPr>
                <w:rFonts w:hint="default" w:ascii="Times New Roman" w:hAnsi="Times New Roman" w:eastAsia="宋体"/>
                <w:u w:val="none"/>
              </w:rPr>
            </w:pPr>
            <w:r>
              <w:rPr>
                <w:rFonts w:hint="default" w:ascii="Times New Roman" w:hAnsi="Times New Roman" w:eastAsia="宋体"/>
                <w:u w:val="none"/>
              </w:rPr>
              <w:object>
                <v:shape id="_x0000_i1029" o:spt="75" type="#_x0000_t75" style="height:189pt;width:302.25pt;" o:ole="t" filled="f" o:preferrelative="t" stroked="f" coordsize="21600,21600">
                  <v:path/>
                  <v:fill on="f" focussize="0,0"/>
                  <v:stroke on="f"/>
                  <v:imagedata r:id="rId14" o:title=""/>
                  <o:lock v:ext="edit" aspectratio="f"/>
                  <w10:wrap type="none"/>
                  <w10:anchorlock/>
                </v:shape>
                <o:OLEObject Type="Embed" ProgID="Visio.Drawing.11" ShapeID="_x0000_i1029" DrawAspect="Content" ObjectID="_1468075729" r:id="rId25">
                  <o:LockedField>false</o:LockedField>
                </o:OLEObject>
              </w:object>
            </w:r>
          </w:p>
          <w:p>
            <w:pPr>
              <w:keepNext w:val="0"/>
              <w:keepLines w:val="0"/>
              <w:suppressLineNumbers w:val="0"/>
              <w:spacing w:before="0" w:beforeAutospacing="0" w:after="0" w:afterAutospacing="0"/>
              <w:ind w:left="0" w:right="0" w:firstLine="482"/>
              <w:jc w:val="center"/>
              <w:rPr>
                <w:rFonts w:hint="default"/>
                <w:b/>
                <w:szCs w:val="28"/>
                <w:u w:val="none"/>
              </w:rPr>
            </w:pPr>
            <w:r>
              <w:rPr>
                <w:rFonts w:hint="eastAsia"/>
                <w:b/>
                <w:szCs w:val="28"/>
                <w:u w:val="none"/>
                <w:lang w:eastAsia="zh-CN"/>
              </w:rPr>
              <w:t>图</w:t>
            </w:r>
            <w:r>
              <w:rPr>
                <w:rFonts w:hint="eastAsia"/>
                <w:b/>
                <w:szCs w:val="28"/>
                <w:u w:val="none"/>
                <w:lang w:val="en-US" w:eastAsia="zh-CN"/>
              </w:rPr>
              <w:t xml:space="preserve">7.1-1  </w:t>
            </w:r>
            <w:r>
              <w:rPr>
                <w:rFonts w:hint="default"/>
                <w:b/>
                <w:szCs w:val="28"/>
                <w:u w:val="none"/>
              </w:rPr>
              <w:t>主要污染工序</w:t>
            </w:r>
          </w:p>
          <w:p>
            <w:pPr>
              <w:pStyle w:val="5"/>
              <w:suppressLineNumbers w:val="0"/>
              <w:bidi w:val="0"/>
              <w:spacing w:before="0" w:beforeAutospacing="0" w:after="0" w:afterAutospacing="0"/>
              <w:ind w:left="0" w:right="0"/>
              <w:rPr>
                <w:rFonts w:hint="default"/>
                <w:u w:val="none"/>
              </w:rPr>
            </w:pPr>
            <w:bookmarkStart w:id="74" w:name="_Toc13073964"/>
            <w:bookmarkStart w:id="75" w:name="_Toc302766764"/>
            <w:bookmarkStart w:id="76" w:name="_Toc23411141"/>
            <w:bookmarkStart w:id="77" w:name="_Toc7079986"/>
            <w:bookmarkStart w:id="78" w:name="_Toc3146"/>
            <w:bookmarkStart w:id="79" w:name="_Toc516152617"/>
            <w:bookmarkStart w:id="80" w:name="_Toc517774692"/>
            <w:bookmarkStart w:id="81" w:name="_Toc518660584"/>
            <w:bookmarkStart w:id="82" w:name="_Toc306024761"/>
            <w:bookmarkStart w:id="83" w:name="_Toc31323"/>
            <w:r>
              <w:rPr>
                <w:rFonts w:hint="default"/>
                <w:u w:val="none"/>
              </w:rPr>
              <w:t>7.1.1 施工期大气环境影响分析</w:t>
            </w:r>
            <w:bookmarkEnd w:id="74"/>
            <w:bookmarkEnd w:id="75"/>
            <w:bookmarkEnd w:id="76"/>
            <w:bookmarkEnd w:id="77"/>
            <w:bookmarkEnd w:id="78"/>
            <w:bookmarkEnd w:id="79"/>
            <w:bookmarkEnd w:id="80"/>
            <w:bookmarkEnd w:id="81"/>
            <w:bookmarkEnd w:id="82"/>
            <w:bookmarkEnd w:id="8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szCs w:val="22"/>
                <w:u w:val="none"/>
              </w:rPr>
            </w:pPr>
            <w:bookmarkStart w:id="84" w:name="_Toc306024762"/>
            <w:bookmarkStart w:id="85" w:name="_Toc302766765"/>
            <w:r>
              <w:rPr>
                <w:rFonts w:hint="default"/>
                <w:color w:val="000000"/>
                <w:szCs w:val="22"/>
                <w:u w:val="none"/>
              </w:rPr>
              <w:t>（1）施工扬尘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szCs w:val="22"/>
                <w:u w:val="none"/>
              </w:rPr>
            </w:pPr>
            <w:r>
              <w:rPr>
                <w:rFonts w:hint="default"/>
                <w:color w:val="000000"/>
                <w:szCs w:val="22"/>
                <w:u w:val="none"/>
              </w:rPr>
              <w:t>施工产生的扬尘主要集中在土建施工阶段，按起尘的原因可分为风力起尘和动力起尘，主要是在材料运输装卸等过程中，由于外力而产生的尘粒再悬浮而造成的。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szCs w:val="22"/>
                <w:u w:val="none"/>
              </w:rPr>
            </w:pPr>
            <w:r>
              <w:rPr>
                <w:rFonts w:hint="default"/>
                <w:color w:val="000000"/>
                <w:szCs w:val="22"/>
                <w:u w:val="none"/>
              </w:rPr>
              <w:t>据有关文献报导，车辆行驶产生的扬尘占总扬尘的60％以上，车辆行驶产生的扬尘，在完全干燥情况下，可按下列经验公式计算：</w:t>
            </w:r>
          </w:p>
          <w:p>
            <w:pPr>
              <w:keepNext w:val="0"/>
              <w:keepLines w:val="0"/>
              <w:suppressLineNumbers w:val="0"/>
              <w:spacing w:before="0" w:beforeAutospacing="0" w:after="0" w:afterAutospacing="0"/>
              <w:ind w:left="0" w:right="0" w:firstLine="480"/>
              <w:jc w:val="center"/>
              <w:rPr>
                <w:rFonts w:hint="default"/>
                <w:color w:val="000000"/>
                <w:szCs w:val="22"/>
                <w:u w:val="none"/>
              </w:rPr>
            </w:pPr>
            <w:r>
              <w:rPr>
                <w:rFonts w:hint="default"/>
                <w:color w:val="000000"/>
                <w:szCs w:val="22"/>
                <w:u w:val="none"/>
              </w:rPr>
              <w:t>Q＝0.123(V/5)(W/6.8)</w:t>
            </w:r>
            <w:r>
              <w:rPr>
                <w:rFonts w:hint="default"/>
                <w:color w:val="000000"/>
                <w:szCs w:val="22"/>
                <w:u w:val="none"/>
                <w:vertAlign w:val="superscript"/>
              </w:rPr>
              <w:t>0.85</w:t>
            </w:r>
            <w:r>
              <w:rPr>
                <w:rFonts w:hint="default"/>
                <w:color w:val="000000"/>
                <w:szCs w:val="22"/>
                <w:u w:val="none"/>
              </w:rPr>
              <w:t>(P/0.5)</w:t>
            </w:r>
            <w:r>
              <w:rPr>
                <w:rFonts w:hint="default"/>
                <w:color w:val="000000"/>
                <w:szCs w:val="22"/>
                <w:u w:val="none"/>
                <w:vertAlign w:val="superscript"/>
              </w:rPr>
              <w:t>0.75</w:t>
            </w:r>
          </w:p>
          <w:p>
            <w:pPr>
              <w:keepNext w:val="0"/>
              <w:keepLines w:val="0"/>
              <w:suppressLineNumbers w:val="0"/>
              <w:spacing w:before="0" w:beforeAutospacing="0" w:after="0" w:afterAutospacing="0"/>
              <w:ind w:left="0" w:right="0" w:firstLine="480"/>
              <w:rPr>
                <w:rFonts w:hint="default"/>
                <w:color w:val="000000"/>
                <w:u w:val="none"/>
              </w:rPr>
            </w:pPr>
            <w:r>
              <w:rPr>
                <w:rFonts w:hint="default"/>
                <w:color w:val="000000"/>
                <w:u w:val="none"/>
              </w:rPr>
              <w:t>式中：</w:t>
            </w:r>
          </w:p>
          <w:p>
            <w:pPr>
              <w:keepNext w:val="0"/>
              <w:keepLines w:val="0"/>
              <w:suppressLineNumbers w:val="0"/>
              <w:spacing w:before="0" w:beforeAutospacing="0" w:after="0" w:afterAutospacing="0"/>
              <w:ind w:left="0" w:right="0" w:firstLine="480"/>
              <w:rPr>
                <w:rFonts w:hint="default"/>
                <w:color w:val="000000"/>
                <w:u w:val="none"/>
              </w:rPr>
            </w:pPr>
            <w:r>
              <w:rPr>
                <w:rFonts w:hint="default"/>
                <w:color w:val="000000"/>
                <w:u w:val="none"/>
              </w:rPr>
              <w:t>Q——汽车行驶时的扬尘，kg/km</w:t>
            </w:r>
            <w:r>
              <w:rPr>
                <w:rFonts w:hint="default"/>
                <w:u w:val="none"/>
              </w:rPr>
              <w:t>·</w:t>
            </w:r>
            <w:r>
              <w:rPr>
                <w:rFonts w:hint="default"/>
                <w:color w:val="000000"/>
                <w:u w:val="none"/>
              </w:rPr>
              <w:t>辆；</w:t>
            </w:r>
          </w:p>
          <w:p>
            <w:pPr>
              <w:keepNext w:val="0"/>
              <w:keepLines w:val="0"/>
              <w:suppressLineNumbers w:val="0"/>
              <w:spacing w:before="0" w:beforeAutospacing="0" w:after="0" w:afterAutospacing="0"/>
              <w:ind w:left="0" w:right="0" w:firstLine="480"/>
              <w:rPr>
                <w:rFonts w:hint="default"/>
                <w:color w:val="000000"/>
                <w:u w:val="none"/>
              </w:rPr>
            </w:pPr>
            <w:r>
              <w:rPr>
                <w:rFonts w:hint="default"/>
                <w:color w:val="000000"/>
                <w:u w:val="none"/>
              </w:rPr>
              <w:t>V——汽车速度，km/h；</w:t>
            </w:r>
          </w:p>
          <w:p>
            <w:pPr>
              <w:keepNext w:val="0"/>
              <w:keepLines w:val="0"/>
              <w:suppressLineNumbers w:val="0"/>
              <w:spacing w:before="0" w:beforeAutospacing="0" w:after="0" w:afterAutospacing="0"/>
              <w:ind w:left="0" w:right="0" w:firstLine="480"/>
              <w:rPr>
                <w:rFonts w:hint="default"/>
                <w:color w:val="000000"/>
                <w:u w:val="none"/>
              </w:rPr>
            </w:pPr>
            <w:r>
              <w:rPr>
                <w:rFonts w:hint="default"/>
                <w:color w:val="000000"/>
                <w:u w:val="none"/>
              </w:rPr>
              <w:t>W——汽车载重量，吨；</w:t>
            </w:r>
          </w:p>
          <w:p>
            <w:pPr>
              <w:keepNext w:val="0"/>
              <w:keepLines w:val="0"/>
              <w:suppressLineNumbers w:val="0"/>
              <w:spacing w:before="0" w:beforeAutospacing="0" w:after="0" w:afterAutospacing="0"/>
              <w:ind w:left="0" w:right="0" w:firstLine="480"/>
              <w:rPr>
                <w:rFonts w:hint="default"/>
                <w:color w:val="000000"/>
                <w:u w:val="none"/>
              </w:rPr>
            </w:pPr>
            <w:r>
              <w:rPr>
                <w:rFonts w:hint="default"/>
                <w:color w:val="000000"/>
                <w:u w:val="none"/>
              </w:rPr>
              <w:t>P——道路表面粉尘量，kg/</w:t>
            </w:r>
            <w:r>
              <w:rPr>
                <w:rFonts w:hint="eastAsia"/>
                <w:color w:val="000000"/>
                <w:u w:val="none"/>
                <w:lang w:eastAsia="zh-CN"/>
              </w:rPr>
              <w:t>㎡</w:t>
            </w:r>
            <w:r>
              <w:rPr>
                <w:rFonts w:hint="default"/>
                <w:color w:val="000000"/>
                <w:u w:val="none"/>
              </w:rPr>
              <w:t>。</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u w:val="none"/>
              </w:rPr>
              <w:t>表7.1-</w:t>
            </w:r>
            <w:r>
              <w:rPr>
                <w:rFonts w:hint="eastAsia"/>
                <w:color w:val="000000"/>
                <w:u w:val="none"/>
                <w:lang w:val="en-US" w:eastAsia="zh-CN"/>
              </w:rPr>
              <w:t>1</w:t>
            </w:r>
            <w:r>
              <w:rPr>
                <w:rFonts w:hint="default"/>
                <w:color w:val="000000"/>
                <w:u w:val="none"/>
              </w:rPr>
              <w:t>中为10吨卡车通过一段长度为1km的路面时，不同路面清洁程度，</w:t>
            </w:r>
            <w:r>
              <w:rPr>
                <w:rFonts w:hint="default"/>
                <w:color w:val="000000"/>
                <w:szCs w:val="22"/>
                <w:u w:val="none"/>
              </w:rPr>
              <w:t>不同行驶情况下的扬尘量。</w:t>
            </w:r>
          </w:p>
          <w:p>
            <w:pPr>
              <w:keepNext w:val="0"/>
              <w:keepLines w:val="0"/>
              <w:suppressLineNumbers w:val="0"/>
              <w:spacing w:before="0" w:beforeAutospacing="0" w:after="0" w:afterAutospacing="0"/>
              <w:ind w:left="0" w:right="0" w:firstLine="482"/>
              <w:jc w:val="center"/>
              <w:rPr>
                <w:rFonts w:hint="default"/>
                <w:b/>
                <w:color w:val="000000"/>
                <w:kern w:val="0"/>
                <w:u w:val="none"/>
              </w:rPr>
            </w:pPr>
            <w:r>
              <w:rPr>
                <w:rFonts w:hint="default"/>
                <w:b/>
                <w:color w:val="000000"/>
                <w:kern w:val="0"/>
                <w:u w:val="none"/>
              </w:rPr>
              <w:t>表7.1-</w:t>
            </w:r>
            <w:r>
              <w:rPr>
                <w:rFonts w:hint="eastAsia"/>
                <w:b/>
                <w:color w:val="000000"/>
                <w:kern w:val="0"/>
                <w:u w:val="none"/>
                <w:lang w:val="en-US" w:eastAsia="zh-CN"/>
              </w:rPr>
              <w:t>1</w:t>
            </w:r>
            <w:r>
              <w:rPr>
                <w:rFonts w:hint="default"/>
                <w:b/>
                <w:color w:val="000000"/>
                <w:kern w:val="0"/>
                <w:u w:val="none"/>
              </w:rPr>
              <w:t xml:space="preserve">  在不同车速和地面清洁程度的汽车扬尘  单位：kg/km•辆</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964"/>
              <w:gridCol w:w="1198"/>
              <w:gridCol w:w="1321"/>
              <w:gridCol w:w="1203"/>
              <w:gridCol w:w="1203"/>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24" w:type="pct"/>
                  <w:tcBorders>
                    <w:tl2br w:val="single" w:color="auto" w:sz="6"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     P</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车速</w:t>
                  </w:r>
                </w:p>
              </w:tc>
              <w:tc>
                <w:tcPr>
                  <w:tcW w:w="58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w:t>
                  </w:r>
                </w:p>
              </w:tc>
              <w:tc>
                <w:tcPr>
                  <w:tcW w:w="7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w:t>
                  </w:r>
                </w:p>
              </w:tc>
              <w:tc>
                <w:tcPr>
                  <w:tcW w:w="79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0.4</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0.5</w:t>
                  </w:r>
                </w:p>
              </w:tc>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5(km/h)</w:t>
                  </w:r>
                </w:p>
              </w:tc>
              <w:tc>
                <w:tcPr>
                  <w:tcW w:w="58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0051</w:t>
                  </w:r>
                </w:p>
              </w:tc>
              <w:tc>
                <w:tcPr>
                  <w:tcW w:w="7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0.086</w:t>
                  </w:r>
                </w:p>
              </w:tc>
              <w:tc>
                <w:tcPr>
                  <w:tcW w:w="79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0.116</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0.144</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0.171</w:t>
                  </w:r>
                </w:p>
              </w:tc>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10(km/h)</w:t>
                  </w:r>
                </w:p>
              </w:tc>
              <w:tc>
                <w:tcPr>
                  <w:tcW w:w="58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0.102</w:t>
                  </w:r>
                </w:p>
              </w:tc>
              <w:tc>
                <w:tcPr>
                  <w:tcW w:w="7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0.171</w:t>
                  </w:r>
                </w:p>
              </w:tc>
              <w:tc>
                <w:tcPr>
                  <w:tcW w:w="79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0.232</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0.289</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0.341</w:t>
                  </w:r>
                </w:p>
              </w:tc>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15(km/h)</w:t>
                  </w:r>
                </w:p>
              </w:tc>
              <w:tc>
                <w:tcPr>
                  <w:tcW w:w="58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0.153</w:t>
                  </w:r>
                </w:p>
              </w:tc>
              <w:tc>
                <w:tcPr>
                  <w:tcW w:w="7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0.257</w:t>
                  </w:r>
                </w:p>
              </w:tc>
              <w:tc>
                <w:tcPr>
                  <w:tcW w:w="79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0.349</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0.433</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0.512</w:t>
                  </w:r>
                </w:p>
              </w:tc>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20(km/h)</w:t>
                  </w:r>
                </w:p>
              </w:tc>
              <w:tc>
                <w:tcPr>
                  <w:tcW w:w="58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0.255</w:t>
                  </w:r>
                </w:p>
              </w:tc>
              <w:tc>
                <w:tcPr>
                  <w:tcW w:w="72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0.429</w:t>
                  </w:r>
                </w:p>
              </w:tc>
              <w:tc>
                <w:tcPr>
                  <w:tcW w:w="79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0.582</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0.722</w:t>
                  </w:r>
                </w:p>
              </w:tc>
              <w:tc>
                <w:tcPr>
                  <w:tcW w:w="72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0.853</w:t>
                  </w:r>
                </w:p>
              </w:tc>
              <w:tc>
                <w:tcPr>
                  <w:tcW w:w="72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1.435</w:t>
                  </w:r>
                </w:p>
              </w:tc>
            </w:tr>
          </w:tbl>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由上表可见，在同样路面清洁程度条件下，车速越快，扬尘量越大；而在同样车速情况下，路面越脏，则扬尘量越大。因此限速行驶及保持路面的清洁是减少汽车扬尘的有效办法。</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一般情况下，施工工地在自然风作用下产生的扬尘所影响的范围是100米以内，如果在施工期间对车辆行驶的路面实施洒水抑尘，每天洒水4-5次，可使扬尘减少70%左右。表7.1-</w:t>
            </w:r>
            <w:r>
              <w:rPr>
                <w:rFonts w:hint="eastAsia"/>
                <w:color w:val="000000"/>
                <w:szCs w:val="22"/>
                <w:u w:val="none"/>
                <w:lang w:val="en-US" w:eastAsia="zh-CN"/>
              </w:rPr>
              <w:t>2</w:t>
            </w:r>
            <w:r>
              <w:rPr>
                <w:rFonts w:hint="default"/>
                <w:color w:val="000000"/>
                <w:szCs w:val="22"/>
                <w:u w:val="none"/>
              </w:rPr>
              <w:t>为施工场地洒水抑尘试验结果。可见每天洒水4-5次进行抑尘，可有效地控制施工扬尘，可将TSP的污染距离缩小到20米-50米。</w:t>
            </w:r>
          </w:p>
          <w:p>
            <w:pPr>
              <w:keepNext w:val="0"/>
              <w:keepLines w:val="0"/>
              <w:suppressLineNumbers w:val="0"/>
              <w:spacing w:before="0" w:beforeAutospacing="0" w:after="0" w:afterAutospacing="0"/>
              <w:ind w:left="0" w:right="0" w:firstLine="482"/>
              <w:jc w:val="center"/>
              <w:rPr>
                <w:rFonts w:hint="default"/>
                <w:b/>
                <w:color w:val="000000"/>
                <w:kern w:val="0"/>
                <w:u w:val="none"/>
              </w:rPr>
            </w:pPr>
            <w:r>
              <w:rPr>
                <w:rFonts w:hint="default"/>
                <w:b/>
                <w:color w:val="000000"/>
                <w:kern w:val="0"/>
                <w:u w:val="none"/>
              </w:rPr>
              <w:t>表7.1-</w:t>
            </w:r>
            <w:r>
              <w:rPr>
                <w:rFonts w:hint="eastAsia"/>
                <w:b/>
                <w:color w:val="000000"/>
                <w:kern w:val="0"/>
                <w:u w:val="none"/>
                <w:lang w:val="en-US" w:eastAsia="zh-CN"/>
              </w:rPr>
              <w:t>2</w:t>
            </w:r>
            <w:r>
              <w:rPr>
                <w:rFonts w:hint="default"/>
                <w:b/>
                <w:color w:val="000000"/>
                <w:kern w:val="0"/>
                <w:u w:val="none"/>
              </w:rPr>
              <w:t xml:space="preserve">  施工场地洒水抑尘试验结果</w:t>
            </w:r>
          </w:p>
          <w:tbl>
            <w:tblPr>
              <w:tblStyle w:val="23"/>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1384"/>
              <w:gridCol w:w="1264"/>
              <w:gridCol w:w="1264"/>
              <w:gridCol w:w="1265"/>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52"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距离（m）</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c>
                <w:tcPr>
                  <w:tcW w:w="76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8"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TSP小时平均浓度（mg/</w:t>
                  </w:r>
                  <w:r>
                    <w:rPr>
                      <w:rFonts w:hint="eastAsia"/>
                      <w:u w:val="none"/>
                      <w:lang w:eastAsia="zh-CN"/>
                    </w:rPr>
                    <w:t>m³</w:t>
                  </w:r>
                  <w:r>
                    <w:rPr>
                      <w:rFonts w:hint="default"/>
                      <w:u w:val="none"/>
                    </w:rPr>
                    <w:t>）</w:t>
                  </w:r>
                </w:p>
              </w:tc>
              <w:tc>
                <w:tcPr>
                  <w:tcW w:w="8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不洒水</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10.14</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2.89</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1.15</w:t>
                  </w:r>
                </w:p>
              </w:tc>
              <w:tc>
                <w:tcPr>
                  <w:tcW w:w="76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8"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3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洒水</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2.01</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1.40</w:t>
                  </w:r>
                </w:p>
              </w:tc>
              <w:tc>
                <w:tcPr>
                  <w:tcW w:w="7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0.67</w:t>
                  </w:r>
                </w:p>
              </w:tc>
              <w:tc>
                <w:tcPr>
                  <w:tcW w:w="76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0.60</w:t>
                  </w:r>
                </w:p>
              </w:tc>
            </w:tr>
          </w:tbl>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w:t>
            </w:r>
            <w:r>
              <w:rPr>
                <w:rFonts w:hint="eastAsia"/>
                <w:color w:val="000000"/>
                <w:szCs w:val="22"/>
                <w:u w:val="none"/>
                <w:lang w:val="en-US" w:eastAsia="zh-CN"/>
              </w:rPr>
              <w:t>2</w:t>
            </w:r>
            <w:r>
              <w:rPr>
                <w:rFonts w:hint="default"/>
                <w:color w:val="000000"/>
                <w:szCs w:val="22"/>
                <w:u w:val="none"/>
              </w:rPr>
              <w:t>）燃油机械及运输车辆尾气</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运输车辆和燃油动力机械会产生燃烧尾气，施工期机械尾气的排放主要是流动污染源。机械尾气的排放与机械的性能和燃料的质量关系很大。燃用合格油品的机械排放的尾气对周围环境影响不大。</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w:t>
            </w:r>
            <w:r>
              <w:rPr>
                <w:rFonts w:hint="eastAsia"/>
                <w:color w:val="000000"/>
                <w:szCs w:val="22"/>
                <w:u w:val="none"/>
                <w:lang w:val="en-US" w:eastAsia="zh-CN"/>
              </w:rPr>
              <w:t>3</w:t>
            </w:r>
            <w:r>
              <w:rPr>
                <w:rFonts w:hint="default"/>
                <w:color w:val="000000"/>
                <w:szCs w:val="22"/>
                <w:u w:val="none"/>
              </w:rPr>
              <w:t>）建筑装修废气</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建筑装修废气主要为建筑装修材料产生的氨、甲醛、苯、甲苯、二甲苯、苯并α芘、总挥发性有机物等有害物质。在建设单位按照国家有关规定委托有资质单位进行设计、施工，并选用符合国家相关标准的建筑装修材料，以确保室内空气中有害物质含量符合《室内空气质量标准》（GB/T18883-2002）中标准，可避免损害厂区内的人体健康和人身安全。</w:t>
            </w:r>
          </w:p>
          <w:p>
            <w:pPr>
              <w:pStyle w:val="5"/>
              <w:suppressLineNumbers w:val="0"/>
              <w:bidi w:val="0"/>
              <w:spacing w:before="0" w:beforeAutospacing="0" w:after="0" w:afterAutospacing="0"/>
              <w:ind w:left="0" w:right="0"/>
              <w:rPr>
                <w:rFonts w:hint="default"/>
                <w:u w:val="none"/>
              </w:rPr>
            </w:pPr>
            <w:bookmarkStart w:id="86" w:name="_Toc13073965"/>
            <w:bookmarkStart w:id="87" w:name="_Toc7079987"/>
            <w:bookmarkStart w:id="88" w:name="_Toc23411142"/>
            <w:bookmarkStart w:id="89" w:name="_Toc517774693"/>
            <w:bookmarkStart w:id="90" w:name="_Toc516152618"/>
            <w:bookmarkStart w:id="91" w:name="_Toc7505"/>
            <w:bookmarkStart w:id="92" w:name="_Toc518660585"/>
            <w:bookmarkStart w:id="93" w:name="_Toc31645"/>
            <w:r>
              <w:rPr>
                <w:rFonts w:hint="default"/>
                <w:u w:val="none"/>
              </w:rPr>
              <w:t>7.1.2 施工期地表水环境影响分析</w:t>
            </w:r>
            <w:bookmarkEnd w:id="84"/>
            <w:bookmarkEnd w:id="85"/>
            <w:bookmarkEnd w:id="86"/>
            <w:bookmarkEnd w:id="87"/>
            <w:bookmarkEnd w:id="88"/>
            <w:bookmarkEnd w:id="89"/>
            <w:bookmarkEnd w:id="90"/>
            <w:bookmarkEnd w:id="91"/>
            <w:bookmarkEnd w:id="92"/>
            <w:bookmarkEnd w:id="93"/>
            <w:r>
              <w:rPr>
                <w:rFonts w:hint="default"/>
                <w:u w:val="none"/>
              </w:rPr>
              <w:t xml:space="preserve"> </w:t>
            </w:r>
          </w:p>
          <w:p>
            <w:pPr>
              <w:keepNext w:val="0"/>
              <w:keepLines w:val="0"/>
              <w:suppressLineNumbers w:val="0"/>
              <w:spacing w:before="0" w:beforeAutospacing="0" w:after="0" w:afterAutospacing="0"/>
              <w:ind w:left="0" w:right="0" w:firstLine="480"/>
              <w:rPr>
                <w:rFonts w:hint="default"/>
                <w:u w:val="none"/>
              </w:rPr>
            </w:pPr>
            <w:r>
              <w:rPr>
                <w:rFonts w:hint="default"/>
                <w:u w:val="none"/>
              </w:rPr>
              <w:t>工程施工将产生一定量的施工车辆降尘冲洗废水以及生活污水，并随着项目建设期间不同时段其废水产生量有较大的变化。</w:t>
            </w:r>
          </w:p>
          <w:p>
            <w:pPr>
              <w:keepNext w:val="0"/>
              <w:keepLines w:val="0"/>
              <w:suppressLineNumbers w:val="0"/>
              <w:spacing w:before="0" w:beforeAutospacing="0" w:after="0" w:afterAutospacing="0"/>
              <w:ind w:left="0" w:right="0" w:firstLine="480"/>
              <w:rPr>
                <w:rFonts w:hint="default"/>
                <w:u w:val="none"/>
              </w:rPr>
            </w:pPr>
            <w:r>
              <w:rPr>
                <w:rFonts w:hint="default"/>
                <w:u w:val="none"/>
              </w:rPr>
              <w:t>a）施工车辆降尘冲洗废水</w:t>
            </w:r>
          </w:p>
          <w:p>
            <w:pPr>
              <w:keepNext w:val="0"/>
              <w:keepLines w:val="0"/>
              <w:suppressLineNumbers w:val="0"/>
              <w:spacing w:before="0" w:beforeAutospacing="0" w:after="0" w:afterAutospacing="0"/>
              <w:ind w:left="0" w:right="0" w:firstLine="480"/>
              <w:rPr>
                <w:rFonts w:hint="default"/>
                <w:u w:val="none"/>
              </w:rPr>
            </w:pPr>
            <w:r>
              <w:rPr>
                <w:rFonts w:hint="default"/>
                <w:u w:val="none"/>
              </w:rPr>
              <w:t>工程施工车辆降尘冲洗废水主要产生于施工车辆出施工区降尘冲洗过程中，污染因子主要为SS，浓度为500~800mg/L，清洗废水经沉淀池澄清后</w:t>
            </w:r>
            <w:r>
              <w:rPr>
                <w:rFonts w:hint="eastAsia"/>
                <w:u w:val="none"/>
                <w:lang w:eastAsia="zh-CN"/>
              </w:rPr>
              <w:t>循环使用</w:t>
            </w:r>
            <w:r>
              <w:rPr>
                <w:rFonts w:hint="default"/>
                <w:u w:val="none"/>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b）生活污水</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u w:val="none"/>
              </w:rPr>
              <w:t>施工期的生活污水主要产生于施工人员临时生活区。本项目施工高峰期施工人员约</w:t>
            </w:r>
            <w:r>
              <w:rPr>
                <w:rFonts w:hint="eastAsia"/>
                <w:u w:val="none"/>
                <w:lang w:val="en-US" w:eastAsia="zh-CN"/>
              </w:rPr>
              <w:t>10</w:t>
            </w:r>
            <w:r>
              <w:rPr>
                <w:rFonts w:hint="default"/>
                <w:u w:val="none"/>
              </w:rPr>
              <w:t>人，施工生活污水约为</w:t>
            </w:r>
            <w:r>
              <w:rPr>
                <w:rFonts w:hint="eastAsia"/>
                <w:u w:val="none"/>
                <w:lang w:val="en-US" w:eastAsia="zh-CN"/>
              </w:rPr>
              <w:t>0.5</w:t>
            </w:r>
            <w:r>
              <w:rPr>
                <w:rFonts w:hint="eastAsia"/>
                <w:u w:val="none"/>
                <w:lang w:eastAsia="zh-CN"/>
              </w:rPr>
              <w:t>m³</w:t>
            </w:r>
            <w:r>
              <w:rPr>
                <w:rFonts w:hint="default"/>
                <w:u w:val="none"/>
              </w:rPr>
              <w:t>/d。施工生活污水主要污染物为SS、COD及粪大肠菌群等。经化粪池处理后</w:t>
            </w:r>
            <w:r>
              <w:rPr>
                <w:rFonts w:hint="eastAsia"/>
                <w:u w:val="none"/>
                <w:lang w:eastAsia="zh-CN"/>
              </w:rPr>
              <w:t>做农肥</w:t>
            </w:r>
            <w:r>
              <w:rPr>
                <w:rFonts w:hint="default"/>
                <w:u w:val="none"/>
              </w:rPr>
              <w:t>。</w:t>
            </w:r>
          </w:p>
          <w:p>
            <w:pPr>
              <w:pStyle w:val="5"/>
              <w:suppressLineNumbers w:val="0"/>
              <w:bidi w:val="0"/>
              <w:spacing w:before="0" w:beforeAutospacing="0" w:after="0" w:afterAutospacing="0"/>
              <w:ind w:left="0" w:right="0"/>
              <w:rPr>
                <w:rFonts w:hint="default"/>
                <w:u w:val="none"/>
              </w:rPr>
            </w:pPr>
            <w:bookmarkStart w:id="94" w:name="_Toc23411143"/>
            <w:bookmarkStart w:id="95" w:name="_Toc13073966"/>
            <w:bookmarkStart w:id="96" w:name="_Toc6389"/>
            <w:bookmarkStart w:id="97" w:name="_Toc516152619"/>
            <w:bookmarkStart w:id="98" w:name="_Toc518660586"/>
            <w:bookmarkStart w:id="99" w:name="_Toc7079988"/>
            <w:bookmarkStart w:id="100" w:name="_Toc306024763"/>
            <w:bookmarkStart w:id="101" w:name="_Toc517774694"/>
            <w:bookmarkStart w:id="102" w:name="_Toc302766766"/>
            <w:bookmarkStart w:id="103" w:name="_Toc31224"/>
            <w:r>
              <w:rPr>
                <w:rFonts w:hint="default"/>
                <w:u w:val="none"/>
              </w:rPr>
              <w:t>7.1.3 施工期声环境影响分析</w:t>
            </w:r>
            <w:bookmarkEnd w:id="94"/>
            <w:bookmarkEnd w:id="95"/>
            <w:bookmarkEnd w:id="96"/>
            <w:bookmarkEnd w:id="97"/>
            <w:bookmarkEnd w:id="98"/>
            <w:bookmarkEnd w:id="99"/>
            <w:bookmarkEnd w:id="100"/>
            <w:bookmarkEnd w:id="101"/>
            <w:bookmarkEnd w:id="102"/>
            <w:bookmarkEnd w:id="103"/>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施工期噪声主要可分为机械噪声、施工作业噪声和施工车辆噪声。</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（1）施工噪声</w:t>
            </w:r>
          </w:p>
          <w:p>
            <w:pPr>
              <w:keepNext w:val="0"/>
              <w:keepLines w:val="0"/>
              <w:suppressLineNumbers w:val="0"/>
              <w:spacing w:before="0" w:beforeAutospacing="0" w:after="0" w:afterAutospacing="0"/>
              <w:ind w:left="0" w:right="0" w:firstLine="480"/>
              <w:rPr>
                <w:rFonts w:hint="default"/>
                <w:color w:val="000000"/>
                <w:szCs w:val="22"/>
                <w:u w:val="none"/>
              </w:rPr>
            </w:pPr>
            <w:r>
              <w:rPr>
                <w:rFonts w:hint="default"/>
                <w:color w:val="000000"/>
                <w:szCs w:val="22"/>
                <w:u w:val="none"/>
              </w:rPr>
              <w:t>施工噪声具有噪声强、阶段性、临时性、突发性和不固定性的的特点。施工作业噪声主要指一些零星的敲打声、装卸车辆的撞击声、拆装模板的撞击声，多为瞬间噪声，施工车辆的噪声属于交通噪声，对声环境影响最大的是机械噪声，由于施工设备位置不断变化，同一施工阶段不同时间设备运行数量亦有波动，因此很难确切预测施工场地各场界噪声值，经类比调查，各类施工机械噪声源及其影响情况见表7.1-4。施工场界环境噪声排放标准限值见表7.1-5。</w:t>
            </w:r>
          </w:p>
          <w:p>
            <w:pPr>
              <w:keepNext w:val="0"/>
              <w:keepLines w:val="0"/>
              <w:suppressLineNumbers w:val="0"/>
              <w:spacing w:before="0" w:beforeAutospacing="0" w:after="0" w:afterAutospacing="0"/>
              <w:ind w:left="0" w:right="0" w:firstLine="480"/>
              <w:rPr>
                <w:rFonts w:hint="default" w:ascii="Times New Roman" w:hAnsi="Times New Roman" w:eastAsia="宋体"/>
                <w:sz w:val="24"/>
                <w:u w:val="none"/>
              </w:rPr>
            </w:pPr>
            <w:r>
              <w:rPr>
                <w:rFonts w:hint="default" w:ascii="Times New Roman" w:hAnsi="Times New Roman" w:eastAsia="宋体"/>
                <w:sz w:val="24"/>
                <w:u w:val="none"/>
              </w:rPr>
              <w:t>项目施工过程产生的噪声主要来自施工机械和运输车辆，施工机械和运输车辆的单体声级一般均在80dB(A)以上，施工机械和运输车辆的噪声将影响施工场地周围区域声环境质量。</w:t>
            </w:r>
          </w:p>
          <w:p>
            <w:pPr>
              <w:keepNext w:val="0"/>
              <w:keepLines w:val="0"/>
              <w:suppressLineNumbers w:val="0"/>
              <w:spacing w:before="0" w:beforeAutospacing="0" w:after="0" w:afterAutospacing="0"/>
              <w:ind w:left="0" w:right="0" w:firstLine="480"/>
              <w:rPr>
                <w:rFonts w:hint="default" w:ascii="Times New Roman" w:hAnsi="Times New Roman" w:eastAsia="宋体"/>
                <w:sz w:val="24"/>
                <w:u w:val="none"/>
              </w:rPr>
            </w:pPr>
            <w:r>
              <w:rPr>
                <w:rFonts w:hint="default" w:ascii="Times New Roman" w:hAnsi="Times New Roman" w:eastAsia="宋体"/>
                <w:sz w:val="24"/>
                <w:u w:val="none"/>
              </w:rPr>
              <w:t>（1）施工机械噪声</w:t>
            </w:r>
          </w:p>
          <w:p>
            <w:pPr>
              <w:keepNext w:val="0"/>
              <w:keepLines w:val="0"/>
              <w:suppressLineNumbers w:val="0"/>
              <w:bidi w:val="0"/>
              <w:spacing w:before="0" w:beforeAutospacing="0" w:after="0" w:afterAutospacing="0"/>
              <w:ind w:left="0" w:right="0"/>
              <w:rPr>
                <w:rFonts w:hint="eastAsia" w:eastAsia="宋体"/>
                <w:u w:val="none"/>
                <w:lang w:eastAsia="zh-CN"/>
              </w:rPr>
            </w:pPr>
            <w:r>
              <w:rPr>
                <w:rFonts w:hint="eastAsia"/>
                <w:u w:val="none"/>
                <w:lang w:eastAsia="zh-CN"/>
              </w:rPr>
              <w:t>主要为设备安装时产生的安装噪声，配套工程施工过程产生的噪声，及调试过程产生的噪声。</w:t>
            </w:r>
          </w:p>
          <w:p>
            <w:pPr>
              <w:keepNext w:val="0"/>
              <w:keepLines w:val="0"/>
              <w:suppressLineNumbers w:val="0"/>
              <w:spacing w:before="0" w:beforeAutospacing="0" w:after="0" w:afterAutospacing="0"/>
              <w:ind w:left="0" w:right="0" w:firstLine="480"/>
              <w:rPr>
                <w:rFonts w:hint="default" w:ascii="Times New Roman" w:hAnsi="Times New Roman" w:eastAsia="宋体"/>
                <w:sz w:val="24"/>
                <w:u w:val="none"/>
              </w:rPr>
            </w:pPr>
            <w:r>
              <w:rPr>
                <w:rFonts w:hint="default" w:ascii="Times New Roman" w:hAnsi="Times New Roman" w:eastAsia="宋体"/>
                <w:sz w:val="24"/>
                <w:u w:val="none"/>
              </w:rPr>
              <w:t>（2）运输车辆噪声</w:t>
            </w:r>
          </w:p>
          <w:p>
            <w:pPr>
              <w:keepNext w:val="0"/>
              <w:keepLines w:val="0"/>
              <w:suppressLineNumbers w:val="0"/>
              <w:spacing w:before="0" w:beforeAutospacing="0" w:after="0" w:afterAutospacing="0"/>
              <w:ind w:left="0" w:right="0" w:firstLine="480"/>
              <w:rPr>
                <w:rFonts w:hint="default" w:ascii="Times New Roman" w:hAnsi="Times New Roman" w:eastAsia="宋体"/>
                <w:sz w:val="24"/>
                <w:u w:val="none"/>
              </w:rPr>
            </w:pPr>
            <w:r>
              <w:rPr>
                <w:rFonts w:hint="default" w:ascii="Times New Roman" w:hAnsi="Times New Roman" w:eastAsia="宋体"/>
                <w:sz w:val="24"/>
                <w:u w:val="none"/>
              </w:rPr>
              <w:t>施工过程需要运输原材料，物料运输车流量增加，施工过程中使用的大型货运卡车，其噪声级高达95dB(A)，施工过程交通运输车辆噪声源强见</w:t>
            </w:r>
            <w:r>
              <w:rPr>
                <w:rFonts w:hint="eastAsia"/>
                <w:sz w:val="24"/>
                <w:u w:val="none"/>
                <w:lang w:eastAsia="zh-CN"/>
              </w:rPr>
              <w:t>下表</w:t>
            </w:r>
            <w:r>
              <w:rPr>
                <w:rFonts w:hint="default" w:ascii="Times New Roman" w:hAnsi="Times New Roman" w:eastAsia="宋体"/>
                <w:sz w:val="24"/>
                <w:u w:val="none"/>
              </w:rPr>
              <w:t>。</w:t>
            </w:r>
          </w:p>
          <w:p>
            <w:pPr>
              <w:keepNext w:val="0"/>
              <w:keepLines w:val="0"/>
              <w:suppressLineNumbers w:val="0"/>
              <w:spacing w:before="0" w:beforeAutospacing="0" w:after="0" w:afterAutospacing="0"/>
              <w:ind w:left="0" w:right="0" w:firstLine="482"/>
              <w:jc w:val="center"/>
              <w:rPr>
                <w:rFonts w:hint="default" w:ascii="Times New Roman" w:hAnsi="Times New Roman" w:eastAsia="宋体"/>
                <w:b/>
                <w:sz w:val="24"/>
                <w:u w:val="none"/>
              </w:rPr>
            </w:pPr>
            <w:r>
              <w:rPr>
                <w:rFonts w:hint="default" w:ascii="Times New Roman" w:hAnsi="Times New Roman" w:eastAsia="宋体"/>
                <w:b/>
                <w:sz w:val="24"/>
                <w:u w:val="none"/>
              </w:rPr>
              <w:t>表</w:t>
            </w:r>
            <w:r>
              <w:rPr>
                <w:rFonts w:hint="eastAsia"/>
                <w:b/>
                <w:sz w:val="24"/>
                <w:u w:val="none"/>
                <w:lang w:val="en-US" w:eastAsia="zh-CN"/>
              </w:rPr>
              <w:t>7.1-3</w:t>
            </w:r>
            <w:r>
              <w:rPr>
                <w:rFonts w:hint="default" w:ascii="Times New Roman" w:hAnsi="Times New Roman" w:eastAsia="宋体"/>
                <w:b/>
                <w:sz w:val="24"/>
                <w:u w:val="none"/>
              </w:rPr>
              <w:t xml:space="preserve">  施工期运输车辆噪声级单位：dB(A)</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color w:val="000000"/>
                <w:szCs w:val="22"/>
                <w:u w:val="none"/>
              </w:rPr>
            </w:pPr>
            <w:r>
              <w:rPr>
                <w:rFonts w:hint="default" w:ascii="Times New Roman" w:hAnsi="Times New Roman" w:eastAsia="宋体"/>
                <w:sz w:val="24"/>
                <w:u w:val="none"/>
              </w:rPr>
              <w:drawing>
                <wp:inline distT="0" distB="0" distL="114300" distR="114300">
                  <wp:extent cx="5292725" cy="424815"/>
                  <wp:effectExtent l="0" t="0" r="3175" b="133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5292725" cy="42481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482"/>
              <w:jc w:val="center"/>
              <w:rPr>
                <w:rFonts w:hint="default"/>
                <w:b/>
                <w:color w:val="000000"/>
                <w:kern w:val="0"/>
                <w:u w:val="none"/>
              </w:rPr>
            </w:pPr>
            <w:r>
              <w:rPr>
                <w:rFonts w:hint="default"/>
                <w:b/>
                <w:color w:val="000000"/>
                <w:kern w:val="0"/>
                <w:u w:val="none"/>
              </w:rPr>
              <w:t>表7.1-4  施工机械噪声预测结果</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318"/>
              <w:gridCol w:w="664"/>
              <w:gridCol w:w="732"/>
              <w:gridCol w:w="732"/>
              <w:gridCol w:w="732"/>
              <w:gridCol w:w="732"/>
              <w:gridCol w:w="866"/>
              <w:gridCol w:w="866"/>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470"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795"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机械名称</w:t>
                  </w:r>
                </w:p>
              </w:tc>
              <w:tc>
                <w:tcPr>
                  <w:tcW w:w="3734" w:type="pct"/>
                  <w:gridSpan w:val="8"/>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距机械不同距离的噪声值dB（A）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70" w:type="pct"/>
                  <w:vMerge w:val="continue"/>
                </w:tcPr>
                <w:p>
                  <w:pPr>
                    <w:pStyle w:val="49"/>
                    <w:keepNext w:val="0"/>
                    <w:keepLines w:val="0"/>
                    <w:suppressLineNumbers w:val="0"/>
                    <w:bidi w:val="0"/>
                    <w:spacing w:before="0" w:beforeAutospacing="0" w:after="0" w:afterAutospacing="0"/>
                    <w:ind w:left="0" w:right="0"/>
                    <w:rPr>
                      <w:rFonts w:hint="default"/>
                      <w:u w:val="none"/>
                    </w:rPr>
                  </w:pPr>
                </w:p>
              </w:tc>
              <w:tc>
                <w:tcPr>
                  <w:tcW w:w="795" w:type="pct"/>
                  <w:vMerge w:val="continue"/>
                </w:tcPr>
                <w:p>
                  <w:pPr>
                    <w:pStyle w:val="49"/>
                    <w:keepNext w:val="0"/>
                    <w:keepLines w:val="0"/>
                    <w:suppressLineNumbers w:val="0"/>
                    <w:bidi w:val="0"/>
                    <w:spacing w:before="0" w:beforeAutospacing="0" w:after="0" w:afterAutospacing="0"/>
                    <w:ind w:left="0" w:right="0"/>
                    <w:rPr>
                      <w:rFonts w:hint="default"/>
                      <w:u w:val="none"/>
                    </w:rPr>
                  </w:pPr>
                </w:p>
              </w:tc>
              <w:tc>
                <w:tcPr>
                  <w:tcW w:w="4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 m</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10m</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20m</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40m</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50m</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100m</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150m</w:t>
                  </w:r>
                </w:p>
              </w:tc>
              <w:tc>
                <w:tcPr>
                  <w:tcW w:w="52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79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卡车</w:t>
                  </w:r>
                </w:p>
              </w:tc>
              <w:tc>
                <w:tcPr>
                  <w:tcW w:w="4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85</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79</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73</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67</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65</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59</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55</w:t>
                  </w:r>
                </w:p>
              </w:tc>
              <w:tc>
                <w:tcPr>
                  <w:tcW w:w="52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79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振捣机</w:t>
                  </w:r>
                </w:p>
              </w:tc>
              <w:tc>
                <w:tcPr>
                  <w:tcW w:w="4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92</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86</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74</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72</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62</w:t>
                  </w:r>
                </w:p>
              </w:tc>
              <w:tc>
                <w:tcPr>
                  <w:tcW w:w="52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795"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电锯</w:t>
                  </w:r>
                </w:p>
              </w:tc>
              <w:tc>
                <w:tcPr>
                  <w:tcW w:w="4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96</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90</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84</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78</w:t>
                  </w:r>
                </w:p>
              </w:tc>
              <w:tc>
                <w:tcPr>
                  <w:tcW w:w="44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76</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70</w:t>
                  </w:r>
                </w:p>
              </w:tc>
              <w:tc>
                <w:tcPr>
                  <w:tcW w:w="522"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52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64</w:t>
                  </w:r>
                </w:p>
              </w:tc>
            </w:tr>
          </w:tbl>
          <w:p>
            <w:pPr>
              <w:keepNext w:val="0"/>
              <w:keepLines w:val="0"/>
              <w:suppressLineNumbers w:val="0"/>
              <w:spacing w:before="0" w:beforeAutospacing="0" w:after="0" w:afterAutospacing="0"/>
              <w:ind w:left="0" w:right="0" w:firstLine="482"/>
              <w:jc w:val="center"/>
              <w:rPr>
                <w:rFonts w:hint="default"/>
                <w:b/>
                <w:color w:val="000000"/>
                <w:kern w:val="0"/>
                <w:u w:val="none"/>
              </w:rPr>
            </w:pPr>
          </w:p>
          <w:p>
            <w:pPr>
              <w:keepNext w:val="0"/>
              <w:keepLines w:val="0"/>
              <w:suppressLineNumbers w:val="0"/>
              <w:spacing w:before="0" w:beforeAutospacing="0" w:after="0" w:afterAutospacing="0"/>
              <w:ind w:left="0" w:right="0" w:firstLine="482"/>
              <w:jc w:val="center"/>
              <w:rPr>
                <w:rFonts w:hint="default"/>
                <w:b/>
                <w:color w:val="000000"/>
                <w:kern w:val="0"/>
                <w:u w:val="none"/>
              </w:rPr>
            </w:pPr>
            <w:r>
              <w:rPr>
                <w:rFonts w:hint="default"/>
                <w:b/>
                <w:color w:val="000000"/>
                <w:kern w:val="0"/>
                <w:u w:val="none"/>
              </w:rPr>
              <w:t>表7.1-5  施工场界环境噪声排放标准限值  单位：dB(A)</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昼间</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70</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55</w:t>
                  </w:r>
                </w:p>
              </w:tc>
            </w:tr>
          </w:tbl>
          <w:p>
            <w:pPr>
              <w:keepNext w:val="0"/>
              <w:keepLines w:val="0"/>
              <w:suppressLineNumbers w:val="0"/>
              <w:spacing w:before="0" w:beforeAutospacing="0" w:after="0" w:afterAutospacing="0"/>
              <w:ind w:left="0" w:right="0" w:firstLine="480"/>
              <w:rPr>
                <w:rFonts w:hint="eastAsia" w:eastAsia="宋体"/>
                <w:color w:val="000000"/>
                <w:szCs w:val="22"/>
                <w:u w:val="none"/>
                <w:lang w:eastAsia="zh-CN"/>
              </w:rPr>
            </w:pPr>
            <w:r>
              <w:rPr>
                <w:rFonts w:hint="default"/>
                <w:color w:val="000000"/>
                <w:szCs w:val="22"/>
                <w:u w:val="none"/>
              </w:rPr>
              <w:t>从</w:t>
            </w:r>
            <w:r>
              <w:rPr>
                <w:rFonts w:hint="eastAsia"/>
                <w:color w:val="000000"/>
                <w:szCs w:val="22"/>
                <w:u w:val="none"/>
              </w:rPr>
              <w:t>表7.1-4</w:t>
            </w:r>
            <w:r>
              <w:rPr>
                <w:rFonts w:hint="default"/>
                <w:color w:val="000000"/>
                <w:szCs w:val="22"/>
                <w:u w:val="none"/>
              </w:rPr>
              <w:t>可看出，施工噪声随传播距离衰减，一般施工机械噪声在场区中心施工时对场界外影响很小，但在场界边附近施工时将对周围环境产生一定不利影响，由于环境敏感点距离项目较远，受施工噪声影响轻微，且其影响具有阶段性、临时性和不固定性，一旦施工活动结束，施工噪声也就随之结束。</w:t>
            </w:r>
            <w:r>
              <w:rPr>
                <w:rFonts w:hint="eastAsia"/>
                <w:color w:val="000000"/>
                <w:szCs w:val="22"/>
                <w:u w:val="none"/>
                <w:lang w:eastAsia="zh-CN"/>
              </w:rPr>
              <w:t>禁止夜间施工。</w:t>
            </w:r>
          </w:p>
          <w:p>
            <w:pPr>
              <w:pStyle w:val="5"/>
              <w:suppressLineNumbers w:val="0"/>
              <w:bidi w:val="0"/>
              <w:spacing w:before="0" w:beforeAutospacing="0" w:after="0" w:afterAutospacing="0"/>
              <w:ind w:left="0" w:right="0"/>
              <w:rPr>
                <w:rFonts w:hint="default"/>
                <w:u w:val="none"/>
              </w:rPr>
            </w:pPr>
            <w:bookmarkStart w:id="104" w:name="_Toc23411144"/>
            <w:bookmarkStart w:id="105" w:name="_Toc517774695"/>
            <w:bookmarkStart w:id="106" w:name="_Toc306024764"/>
            <w:bookmarkStart w:id="107" w:name="_Toc516152620"/>
            <w:bookmarkStart w:id="108" w:name="_Toc25169"/>
            <w:bookmarkStart w:id="109" w:name="_Toc302766767"/>
            <w:bookmarkStart w:id="110" w:name="_Toc7079989"/>
            <w:bookmarkStart w:id="111" w:name="_Toc13073967"/>
            <w:bookmarkStart w:id="112" w:name="_Toc518660587"/>
            <w:bookmarkStart w:id="113" w:name="_Toc27511"/>
            <w:r>
              <w:rPr>
                <w:rFonts w:hint="default"/>
                <w:u w:val="none"/>
              </w:rPr>
              <w:t>7.1.4 施工期固体废物环境影响分析</w:t>
            </w:r>
            <w:bookmarkEnd w:id="104"/>
            <w:bookmarkEnd w:id="105"/>
            <w:bookmarkEnd w:id="106"/>
            <w:bookmarkEnd w:id="107"/>
            <w:bookmarkEnd w:id="108"/>
            <w:bookmarkEnd w:id="109"/>
            <w:bookmarkEnd w:id="110"/>
            <w:bookmarkEnd w:id="111"/>
            <w:bookmarkEnd w:id="112"/>
            <w:bookmarkEnd w:id="113"/>
          </w:p>
          <w:p>
            <w:pPr>
              <w:keepNext w:val="0"/>
              <w:keepLines w:val="0"/>
              <w:suppressLineNumbers w:val="0"/>
              <w:spacing w:before="0" w:beforeAutospacing="0" w:after="0" w:afterAutospacing="0"/>
              <w:ind w:left="0" w:right="0" w:firstLine="480"/>
              <w:rPr>
                <w:rFonts w:hint="default"/>
                <w:u w:val="none"/>
              </w:rPr>
            </w:pPr>
            <w:r>
              <w:rPr>
                <w:rFonts w:hint="default" w:ascii="Times New Roman" w:hAnsi="Times New Roman" w:eastAsia="宋体"/>
                <w:sz w:val="24"/>
                <w:u w:val="none"/>
              </w:rPr>
              <w:t>施工期间固体废物主要来自施工人员的生活垃圾。施工人员在施工现场施工会产生生活垃圾，在施工现场不设施工营地和食堂，可大大减少生活垃圾的排放。施工使用的厕所和垃圾收集箱等卫生设施全部依托</w:t>
            </w:r>
            <w:r>
              <w:rPr>
                <w:rFonts w:hint="eastAsia"/>
                <w:u w:val="none"/>
                <w:lang w:eastAsia="zh-CN"/>
              </w:rPr>
              <w:t>湘阴县顽石再生科技有限公司</w:t>
            </w:r>
            <w:r>
              <w:rPr>
                <w:rFonts w:hint="default" w:ascii="Times New Roman" w:hAnsi="Times New Roman" w:eastAsia="宋体"/>
                <w:sz w:val="24"/>
                <w:u w:val="none"/>
              </w:rPr>
              <w:t>现有，纳入</w:t>
            </w:r>
            <w:r>
              <w:rPr>
                <w:rFonts w:hint="eastAsia"/>
                <w:u w:val="none"/>
                <w:lang w:eastAsia="zh-CN"/>
              </w:rPr>
              <w:t>湘阴县顽石再生科技有限公司</w:t>
            </w:r>
            <w:r>
              <w:rPr>
                <w:rFonts w:hint="default" w:ascii="Times New Roman" w:hAnsi="Times New Roman" w:eastAsia="宋体"/>
                <w:sz w:val="24"/>
                <w:u w:val="none"/>
              </w:rPr>
              <w:t>环卫收运系统，进行集中收集处理。</w:t>
            </w:r>
          </w:p>
          <w:p>
            <w:pPr>
              <w:pStyle w:val="5"/>
              <w:suppressLineNumbers w:val="0"/>
              <w:bidi w:val="0"/>
              <w:spacing w:before="0" w:beforeAutospacing="0" w:after="0" w:afterAutospacing="0"/>
              <w:ind w:left="0" w:right="0"/>
              <w:rPr>
                <w:rFonts w:hint="default"/>
                <w:u w:val="none"/>
              </w:rPr>
            </w:pPr>
            <w:bookmarkStart w:id="114" w:name="_Toc23411147"/>
            <w:bookmarkStart w:id="115" w:name="_Toc14353"/>
            <w:bookmarkStart w:id="116" w:name="_Toc518660590"/>
            <w:bookmarkStart w:id="117" w:name="_Toc517774698"/>
            <w:bookmarkStart w:id="118" w:name="_Toc13073970"/>
            <w:bookmarkStart w:id="119" w:name="_Toc516152623"/>
            <w:bookmarkStart w:id="120" w:name="_Toc7079992"/>
            <w:bookmarkStart w:id="121" w:name="_Toc14457"/>
            <w:r>
              <w:rPr>
                <w:rFonts w:hint="default"/>
                <w:u w:val="none"/>
              </w:rPr>
              <w:t>7.1.</w:t>
            </w:r>
            <w:r>
              <w:rPr>
                <w:rFonts w:hint="eastAsia"/>
                <w:u w:val="none"/>
                <w:lang w:val="en-US" w:eastAsia="zh-CN"/>
              </w:rPr>
              <w:t>5</w:t>
            </w:r>
            <w:r>
              <w:rPr>
                <w:rFonts w:hint="default"/>
                <w:u w:val="none"/>
              </w:rPr>
              <w:t xml:space="preserve"> 施工期影响分析小结</w:t>
            </w:r>
            <w:bookmarkEnd w:id="114"/>
            <w:bookmarkEnd w:id="115"/>
            <w:bookmarkEnd w:id="116"/>
            <w:bookmarkEnd w:id="117"/>
            <w:bookmarkEnd w:id="118"/>
            <w:bookmarkEnd w:id="119"/>
            <w:bookmarkEnd w:id="120"/>
            <w:bookmarkEnd w:id="121"/>
          </w:p>
          <w:p>
            <w:pPr>
              <w:keepNext w:val="0"/>
              <w:keepLines w:val="0"/>
              <w:suppressLineNumbers w:val="0"/>
              <w:spacing w:before="0" w:beforeAutospacing="0" w:after="0" w:afterAutospacing="0"/>
              <w:ind w:left="0" w:right="0" w:firstLine="480"/>
              <w:rPr>
                <w:rFonts w:hint="default"/>
                <w:u w:val="none"/>
              </w:rPr>
            </w:pPr>
            <w:r>
              <w:rPr>
                <w:rFonts w:hint="default"/>
                <w:color w:val="000000"/>
                <w:szCs w:val="22"/>
                <w:u w:val="none"/>
              </w:rPr>
              <w:t>综上所述，项目施工期间污染环境的因素，主要有废水、废气、噪声、</w:t>
            </w:r>
            <w:r>
              <w:rPr>
                <w:rFonts w:hint="eastAsia"/>
                <w:color w:val="000000"/>
                <w:szCs w:val="22"/>
                <w:u w:val="none"/>
                <w:lang w:eastAsia="zh-CN"/>
              </w:rPr>
              <w:t>生活垃圾</w:t>
            </w:r>
            <w:r>
              <w:rPr>
                <w:rFonts w:hint="default"/>
                <w:color w:val="000000"/>
                <w:szCs w:val="22"/>
                <w:u w:val="none"/>
              </w:rPr>
              <w:t>，其中以施工扬尘、施工噪声对周边环境的影响最大，但这些影响均可采取一定的措施避免或减轻其污染，使其达标排放，且这些影响也是短期的，随着施工期结束，施工噪声、扬尘等问题也会消失。</w:t>
            </w:r>
          </w:p>
          <w:p>
            <w:pPr>
              <w:pStyle w:val="4"/>
              <w:suppressLineNumbers w:val="0"/>
              <w:bidi w:val="0"/>
              <w:spacing w:before="0" w:beforeAutospacing="0" w:after="0" w:afterAutospacing="0"/>
              <w:ind w:left="0" w:right="0"/>
              <w:rPr>
                <w:rFonts w:hint="default"/>
                <w:u w:val="none"/>
              </w:rPr>
            </w:pPr>
            <w:bookmarkStart w:id="122" w:name="_Toc535229791"/>
            <w:bookmarkStart w:id="123" w:name="_Toc11595"/>
            <w:bookmarkStart w:id="124" w:name="_Toc30563"/>
            <w:r>
              <w:rPr>
                <w:rFonts w:hint="default"/>
                <w:u w:val="none"/>
              </w:rPr>
              <w:t>7.2营运期大气环境影响分析</w:t>
            </w:r>
            <w:bookmarkEnd w:id="122"/>
            <w:bookmarkEnd w:id="123"/>
            <w:bookmarkEnd w:id="124"/>
          </w:p>
          <w:p>
            <w:pPr>
              <w:pStyle w:val="5"/>
              <w:suppressLineNumbers w:val="0"/>
              <w:bidi w:val="0"/>
              <w:spacing w:before="0" w:beforeAutospacing="0" w:after="0" w:afterAutospacing="0"/>
              <w:ind w:left="0" w:right="0"/>
              <w:rPr>
                <w:rFonts w:hint="default"/>
                <w:u w:val="none"/>
              </w:rPr>
            </w:pPr>
            <w:bookmarkStart w:id="125" w:name="_Toc1633"/>
            <w:bookmarkStart w:id="126" w:name="_Toc23411149"/>
            <w:bookmarkStart w:id="127" w:name="_Toc7079994"/>
            <w:bookmarkStart w:id="128" w:name="_Toc13073972"/>
            <w:bookmarkStart w:id="129" w:name="_Toc27011"/>
            <w:r>
              <w:rPr>
                <w:rFonts w:hint="default"/>
                <w:u w:val="none"/>
              </w:rPr>
              <w:t>7.2.1气象参数</w:t>
            </w:r>
            <w:bookmarkEnd w:id="125"/>
            <w:bookmarkEnd w:id="126"/>
            <w:bookmarkEnd w:id="127"/>
            <w:bookmarkEnd w:id="128"/>
            <w:bookmarkEnd w:id="129"/>
          </w:p>
          <w:p>
            <w:pPr>
              <w:keepNext w:val="0"/>
              <w:keepLines w:val="0"/>
              <w:suppressLineNumbers w:val="0"/>
              <w:bidi w:val="0"/>
              <w:spacing w:before="0" w:beforeAutospacing="0" w:after="0" w:afterAutospacing="0"/>
              <w:ind w:left="0" w:right="0"/>
              <w:rPr>
                <w:rFonts w:hint="default"/>
                <w:u w:val="none"/>
              </w:rPr>
            </w:pPr>
            <w:r>
              <w:rPr>
                <w:rFonts w:hint="default"/>
                <w:u w:val="none"/>
              </w:rPr>
              <w:t>湘阴县地处中亚热带向北亚热带过渡的季风湿润气候区，具有明显的季风特征：四季分明，湿润多雨；具有春温变化大，初夏雨水多，伏天天热易旱，冬季严寒不多。常年主导风向为北风，夏季多南风，六、七月主导风为南风。</w:t>
            </w:r>
          </w:p>
          <w:p>
            <w:pPr>
              <w:keepNext w:val="0"/>
              <w:keepLines w:val="0"/>
              <w:suppressLineNumbers w:val="0"/>
              <w:bidi w:val="0"/>
              <w:spacing w:before="0" w:beforeAutospacing="0" w:after="0" w:afterAutospacing="0"/>
              <w:ind w:left="0" w:right="0"/>
              <w:rPr>
                <w:rFonts w:hint="default"/>
                <w:u w:val="none"/>
              </w:rPr>
            </w:pPr>
            <w:r>
              <w:rPr>
                <w:rFonts w:hint="default"/>
                <w:u w:val="none"/>
              </w:rPr>
              <w:t>（1）风向</w:t>
            </w:r>
          </w:p>
          <w:p>
            <w:pPr>
              <w:keepNext w:val="0"/>
              <w:keepLines w:val="0"/>
              <w:suppressLineNumbers w:val="0"/>
              <w:bidi w:val="0"/>
              <w:spacing w:before="0" w:beforeAutospacing="0" w:after="0" w:afterAutospacing="0"/>
              <w:ind w:left="0" w:right="0"/>
              <w:rPr>
                <w:rFonts w:hint="default"/>
                <w:u w:val="none"/>
              </w:rPr>
            </w:pPr>
            <w:r>
              <w:rPr>
                <w:rFonts w:hint="default"/>
                <w:u w:val="none"/>
              </w:rPr>
              <w:t>图7.2-1是湘阴县的风向频率玫瑰图，湘阴县近五年的风向频率统计结果见表7.2-1。</w:t>
            </w:r>
          </w:p>
          <w:p>
            <w:pPr>
              <w:keepNext w:val="0"/>
              <w:keepLines w:val="0"/>
              <w:suppressLineNumbers w:val="0"/>
              <w:bidi w:val="0"/>
              <w:spacing w:before="0" w:beforeAutospacing="0" w:after="0" w:afterAutospacing="0"/>
              <w:ind w:left="0" w:right="0"/>
              <w:rPr>
                <w:rFonts w:hint="default"/>
                <w:u w:val="none"/>
              </w:rPr>
            </w:pPr>
            <w:r>
              <w:rPr>
                <w:rFonts w:hint="default"/>
                <w:u w:val="none"/>
              </w:rPr>
              <w:t>由图7.2-1可看出：该地区春、秋、冬三季由北风系统所控制，春、秋、冬三季及全年主导风向为N，此三季的静风频率都相当高，春、秋、冬三季的静风频率分别为16%、18%、20%；夏季主导风则由南风所控制，其主导风向为S，风频为17%，夏季静风频率相对于其它三季要小一些，静风频率为14%。</w:t>
            </w:r>
          </w:p>
          <w:p>
            <w:pPr>
              <w:keepNext w:val="0"/>
              <w:keepLines w:val="0"/>
              <w:suppressLineNumbers w:val="0"/>
              <w:bidi w:val="0"/>
              <w:spacing w:before="0" w:beforeAutospacing="0" w:after="0" w:afterAutospacing="0"/>
              <w:ind w:left="0" w:right="0"/>
              <w:rPr>
                <w:rFonts w:hint="default"/>
                <w:u w:val="none"/>
              </w:rPr>
            </w:pPr>
            <w:r>
              <w:rPr>
                <w:rFonts w:hint="default"/>
                <w:u w:val="none"/>
              </w:rPr>
              <w:t>从表7.2-1中可以看出：评价区域常年主导风向为N，风频为23%，夏季盛行S风，频率为17%；全年静风频率为17%。</w:t>
            </w:r>
          </w:p>
          <w:p>
            <w:pPr>
              <w:keepNext w:val="0"/>
              <w:keepLines w:val="0"/>
              <w:suppressLineNumbers w:val="0"/>
              <w:bidi w:val="0"/>
              <w:spacing w:before="0" w:beforeAutospacing="0" w:after="0" w:afterAutospacing="0"/>
              <w:ind w:left="0" w:right="0"/>
              <w:rPr>
                <w:rFonts w:hint="default"/>
                <w:u w:val="none"/>
              </w:rPr>
            </w:pPr>
            <w:r>
              <w:rPr>
                <w:rFonts w:hint="default"/>
                <w:u w:val="none"/>
              </w:rPr>
              <w:t>（2）风速</w:t>
            </w:r>
          </w:p>
          <w:p>
            <w:pPr>
              <w:keepNext w:val="0"/>
              <w:keepLines w:val="0"/>
              <w:suppressLineNumbers w:val="0"/>
              <w:bidi w:val="0"/>
              <w:spacing w:before="0" w:beforeAutospacing="0" w:after="0" w:afterAutospacing="0"/>
              <w:ind w:left="0" w:right="0"/>
              <w:rPr>
                <w:rFonts w:hint="default"/>
                <w:u w:val="none"/>
              </w:rPr>
            </w:pPr>
            <w:r>
              <w:rPr>
                <w:rFonts w:hint="default"/>
                <w:u w:val="none"/>
              </w:rPr>
              <w:t>评价区域年平均风速为3.0m/s。</w:t>
            </w:r>
          </w:p>
          <w:p>
            <w:pPr>
              <w:keepNext w:val="0"/>
              <w:keepLines w:val="0"/>
              <w:suppressLineNumbers w:val="0"/>
              <w:bidi w:val="0"/>
              <w:spacing w:before="0" w:beforeAutospacing="0" w:after="0" w:afterAutospacing="0"/>
              <w:ind w:left="0" w:right="0"/>
              <w:rPr>
                <w:rFonts w:hint="default"/>
                <w:u w:val="none"/>
              </w:rPr>
            </w:pPr>
            <w:r>
              <w:rPr>
                <w:rFonts w:hint="default"/>
                <w:u w:val="none"/>
              </w:rPr>
              <w:t>（3）大气稳定度频率分布</w:t>
            </w:r>
          </w:p>
          <w:p>
            <w:pPr>
              <w:keepNext w:val="0"/>
              <w:keepLines w:val="0"/>
              <w:suppressLineNumbers w:val="0"/>
              <w:bidi w:val="0"/>
              <w:spacing w:before="0" w:beforeAutospacing="0" w:after="0" w:afterAutospacing="0"/>
              <w:ind w:left="0" w:right="0"/>
              <w:rPr>
                <w:rFonts w:hint="default"/>
                <w:u w:val="none"/>
              </w:rPr>
            </w:pPr>
            <w:r>
              <w:rPr>
                <w:rFonts w:hint="default"/>
                <w:u w:val="none"/>
              </w:rPr>
              <w:t>评价区域各季节大气稳定度频率分布见表7.2-2。</w:t>
            </w:r>
          </w:p>
          <w:p>
            <w:pPr>
              <w:keepNext w:val="0"/>
              <w:keepLines w:val="0"/>
              <w:suppressLineNumbers w:val="0"/>
              <w:bidi w:val="0"/>
              <w:spacing w:before="0" w:beforeAutospacing="0" w:after="0" w:afterAutospacing="0"/>
              <w:ind w:left="0" w:right="0"/>
              <w:rPr>
                <w:rFonts w:hint="default"/>
                <w:u w:val="none"/>
              </w:rPr>
            </w:pPr>
            <w:r>
              <w:rPr>
                <w:rFonts w:hint="default"/>
                <w:u w:val="none"/>
              </w:rPr>
              <w:t>评价区域以中性(D类)稳定为主，频率占56.92%；稳定类和不稳定类出现频率相差不大；稳定类出频率为21.37%；不稳定类出现频率为21.71%。</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u w:val="none"/>
              </w:rPr>
            </w:pPr>
            <w:r>
              <w:rPr>
                <w:rFonts w:hint="default"/>
                <w:u w:val="none"/>
              </w:rPr>
              <w:drawing>
                <wp:anchor distT="0" distB="0" distL="114300" distR="114300" simplePos="0" relativeHeight="251670528" behindDoc="0" locked="0" layoutInCell="1" allowOverlap="1">
                  <wp:simplePos x="0" y="0"/>
                  <wp:positionH relativeFrom="column">
                    <wp:posOffset>94615</wp:posOffset>
                  </wp:positionH>
                  <wp:positionV relativeFrom="paragraph">
                    <wp:posOffset>237490</wp:posOffset>
                  </wp:positionV>
                  <wp:extent cx="2585720" cy="2438400"/>
                  <wp:effectExtent l="0" t="0" r="5080" b="0"/>
                  <wp:wrapNone/>
                  <wp:docPr id="28" name="图表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keepNext w:val="0"/>
              <w:keepLines w:val="0"/>
              <w:suppressLineNumbers w:val="0"/>
              <w:spacing w:before="0" w:beforeAutospacing="0" w:after="0" w:afterAutospacing="0"/>
              <w:ind w:left="0" w:right="0" w:firstLine="480"/>
              <w:rPr>
                <w:rFonts w:hint="default"/>
                <w:u w:val="none"/>
              </w:rPr>
            </w:pPr>
            <w:r>
              <w:rPr>
                <w:rFonts w:hint="default"/>
                <w:u w:val="none"/>
              </w:rPr>
              <w:drawing>
                <wp:anchor distT="0" distB="0" distL="114300" distR="114300" simplePos="0" relativeHeight="251669504" behindDoc="0" locked="0" layoutInCell="1" allowOverlap="1">
                  <wp:simplePos x="0" y="0"/>
                  <wp:positionH relativeFrom="column">
                    <wp:posOffset>2752725</wp:posOffset>
                  </wp:positionH>
                  <wp:positionV relativeFrom="paragraph">
                    <wp:posOffset>635</wp:posOffset>
                  </wp:positionV>
                  <wp:extent cx="2538730" cy="2400300"/>
                  <wp:effectExtent l="0" t="0" r="13970" b="0"/>
                  <wp:wrapNone/>
                  <wp:docPr id="27" name="图表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r>
              <w:rPr>
                <w:rFonts w:hint="default"/>
                <w:u w:val="none"/>
              </w:rPr>
              <w:drawing>
                <wp:anchor distT="0" distB="0" distL="114300" distR="114300" simplePos="0" relativeHeight="251671552" behindDoc="0" locked="0" layoutInCell="1" allowOverlap="1">
                  <wp:simplePos x="0" y="0"/>
                  <wp:positionH relativeFrom="column">
                    <wp:posOffset>2797810</wp:posOffset>
                  </wp:positionH>
                  <wp:positionV relativeFrom="paragraph">
                    <wp:posOffset>247015</wp:posOffset>
                  </wp:positionV>
                  <wp:extent cx="2499995" cy="2362200"/>
                  <wp:effectExtent l="0" t="0" r="14605" b="0"/>
                  <wp:wrapNone/>
                  <wp:docPr id="20" name="图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hint="default"/>
                <w:u w:val="none"/>
              </w:rPr>
              <w:drawing>
                <wp:anchor distT="0" distB="0" distL="114300" distR="114300" simplePos="0" relativeHeight="251672576" behindDoc="0" locked="0" layoutInCell="1" allowOverlap="1">
                  <wp:simplePos x="0" y="0"/>
                  <wp:positionH relativeFrom="column">
                    <wp:posOffset>5715</wp:posOffset>
                  </wp:positionH>
                  <wp:positionV relativeFrom="paragraph">
                    <wp:posOffset>209550</wp:posOffset>
                  </wp:positionV>
                  <wp:extent cx="2539365" cy="2399030"/>
                  <wp:effectExtent l="0" t="0" r="13335" b="1270"/>
                  <wp:wrapNone/>
                  <wp:docPr id="19" name="图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r>
              <w:rPr>
                <w:rFonts w:hint="default"/>
                <w:u w:val="none"/>
              </w:rPr>
              <w:drawing>
                <wp:anchor distT="0" distB="0" distL="114300" distR="114300" simplePos="0" relativeHeight="251675648" behindDoc="0" locked="0" layoutInCell="1" allowOverlap="1">
                  <wp:simplePos x="0" y="0"/>
                  <wp:positionH relativeFrom="column">
                    <wp:posOffset>1402715</wp:posOffset>
                  </wp:positionH>
                  <wp:positionV relativeFrom="paragraph">
                    <wp:posOffset>160020</wp:posOffset>
                  </wp:positionV>
                  <wp:extent cx="2345690" cy="2216785"/>
                  <wp:effectExtent l="0" t="0" r="16510" b="12065"/>
                  <wp:wrapNone/>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r>
              <w:rPr>
                <w:rFonts w:hint="default"/>
                <w:u w:val="none"/>
              </w:rPr>
              <mc:AlternateContent>
                <mc:Choice Requires="wps">
                  <w:drawing>
                    <wp:anchor distT="0" distB="0" distL="114300" distR="114300" simplePos="0" relativeHeight="251674624" behindDoc="0" locked="0" layoutInCell="1" allowOverlap="1">
                      <wp:simplePos x="0" y="0"/>
                      <wp:positionH relativeFrom="column">
                        <wp:posOffset>1432560</wp:posOffset>
                      </wp:positionH>
                      <wp:positionV relativeFrom="paragraph">
                        <wp:posOffset>261620</wp:posOffset>
                      </wp:positionV>
                      <wp:extent cx="2551430" cy="408940"/>
                      <wp:effectExtent l="4445" t="4445" r="15875" b="571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551430" cy="408940"/>
                              </a:xfrm>
                              <a:prstGeom prst="rect">
                                <a:avLst/>
                              </a:prstGeom>
                              <a:solidFill>
                                <a:srgbClr val="FFFFFF"/>
                              </a:solidFill>
                              <a:ln w="9525">
                                <a:solidFill>
                                  <a:srgbClr val="FFFFFF"/>
                                </a:solidFill>
                                <a:miter lim="800000"/>
                              </a:ln>
                              <a:effectLst/>
                            </wps:spPr>
                            <wps:txbx>
                              <w:txbxContent>
                                <w:p>
                                  <w:pPr>
                                    <w:ind w:firstLine="480"/>
                                    <w:rPr>
                                      <w:rFonts w:hint="default" w:ascii="Times New Roman" w:hAnsi="Times New Roman" w:eastAsia="宋体" w:cs="Times New Roman"/>
                                      <w:b/>
                                      <w:bCs w:val="0"/>
                                    </w:rPr>
                                  </w:pPr>
                                  <w:r>
                                    <w:rPr>
                                      <w:rFonts w:hint="default" w:ascii="Times New Roman" w:hAnsi="Times New Roman" w:eastAsia="宋体" w:cs="Times New Roman"/>
                                      <w:b/>
                                      <w:bCs w:val="0"/>
                                    </w:rPr>
                                    <w:t>图</w:t>
                                  </w:r>
                                  <w:r>
                                    <w:rPr>
                                      <w:rFonts w:hint="default" w:ascii="Times New Roman" w:hAnsi="Times New Roman" w:eastAsia="宋体" w:cs="Times New Roman"/>
                                      <w:b/>
                                      <w:bCs w:val="0"/>
                                      <w:lang w:val="en-US" w:eastAsia="zh-CN"/>
                                    </w:rPr>
                                    <w:t>7</w:t>
                                  </w:r>
                                  <w:r>
                                    <w:rPr>
                                      <w:rFonts w:hint="eastAsia" w:ascii="Times New Roman" w:hAnsi="Times New Roman" w:eastAsia="宋体" w:cs="Times New Roman"/>
                                      <w:b/>
                                      <w:bCs w:val="0"/>
                                      <w:lang w:val="en-US" w:eastAsia="zh-CN"/>
                                    </w:rPr>
                                    <w:t>.2-1</w:t>
                                  </w:r>
                                  <w:r>
                                    <w:rPr>
                                      <w:rFonts w:hint="default" w:ascii="Times New Roman" w:hAnsi="Times New Roman" w:eastAsia="宋体" w:cs="Times New Roman"/>
                                      <w:b/>
                                      <w:bCs w:val="0"/>
                                    </w:rPr>
                                    <w:t xml:space="preserve"> 风向玫瑰图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8pt;margin-top:20.6pt;height:32.2pt;width:200.9pt;z-index:251674624;mso-width-relative:page;mso-height-relative:page;" fillcolor="#FFFFFF" filled="t" stroked="t" coordsize="21600,21600" o:gfxdata="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h/ULNcAAAAKAQAADwAAAAAAAAABACAAAAAi&#10;AAAAZHJzL2Rvd25yZXYueG1sUEsBAhQAFAAAAAgAh07iQM8RMoREAgAAlQQAAA4AAAAAAAAAAQAg&#10;AAAAJgEAAGRycy9lMm9Eb2MueG1sUEsFBgAAAAAGAAYAWQEAANwFAAAAAA==&#10;">
                      <v:fill on="t" focussize="0,0"/>
                      <v:stroke color="#FFFFFF" miterlimit="8" joinstyle="miter"/>
                      <v:imagedata o:title=""/>
                      <o:lock v:ext="edit" aspectratio="f"/>
                      <v:textbox>
                        <w:txbxContent>
                          <w:p>
                            <w:pPr>
                              <w:ind w:firstLine="480"/>
                              <w:rPr>
                                <w:rFonts w:hint="default" w:ascii="Times New Roman" w:hAnsi="Times New Roman" w:eastAsia="宋体" w:cs="Times New Roman"/>
                                <w:b/>
                                <w:bCs w:val="0"/>
                              </w:rPr>
                            </w:pPr>
                            <w:r>
                              <w:rPr>
                                <w:rFonts w:hint="default" w:ascii="Times New Roman" w:hAnsi="Times New Roman" w:eastAsia="宋体" w:cs="Times New Roman"/>
                                <w:b/>
                                <w:bCs w:val="0"/>
                              </w:rPr>
                              <w:t>图</w:t>
                            </w:r>
                            <w:r>
                              <w:rPr>
                                <w:rFonts w:hint="default" w:ascii="Times New Roman" w:hAnsi="Times New Roman" w:eastAsia="宋体" w:cs="Times New Roman"/>
                                <w:b/>
                                <w:bCs w:val="0"/>
                                <w:lang w:val="en-US" w:eastAsia="zh-CN"/>
                              </w:rPr>
                              <w:t>7</w:t>
                            </w:r>
                            <w:r>
                              <w:rPr>
                                <w:rFonts w:hint="eastAsia" w:ascii="Times New Roman" w:hAnsi="Times New Roman" w:eastAsia="宋体" w:cs="Times New Roman"/>
                                <w:b/>
                                <w:bCs w:val="0"/>
                                <w:lang w:val="en-US" w:eastAsia="zh-CN"/>
                              </w:rPr>
                              <w:t>.2-1</w:t>
                            </w:r>
                            <w:r>
                              <w:rPr>
                                <w:rFonts w:hint="default" w:ascii="Times New Roman" w:hAnsi="Times New Roman" w:eastAsia="宋体" w:cs="Times New Roman"/>
                                <w:b/>
                                <w:bCs w:val="0"/>
                              </w:rPr>
                              <w:t xml:space="preserve"> 风向玫瑰图</w:t>
                            </w:r>
                          </w:p>
                        </w:txbxContent>
                      </v:textbox>
                    </v:shape>
                  </w:pict>
                </mc:Fallback>
              </mc:AlternateContent>
            </w:r>
          </w:p>
          <w:p>
            <w:pPr>
              <w:keepNext w:val="0"/>
              <w:keepLines w:val="0"/>
              <w:suppressLineNumbers w:val="0"/>
              <w:spacing w:before="0" w:beforeAutospacing="0" w:after="0" w:afterAutospacing="0"/>
              <w:ind w:left="0" w:right="0" w:firstLine="480"/>
              <w:rPr>
                <w:rFonts w:hint="default"/>
                <w:u w:val="none"/>
              </w:rPr>
            </w:pPr>
          </w:p>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p>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p>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fldChar w:fldCharType="begin" w:fldLock="1"/>
            </w:r>
            <w:r>
              <w:rPr>
                <w:rFonts w:hint="default" w:ascii="Times New Roman" w:hAnsi="Times New Roman" w:eastAsia="宋体" w:cs="Times New Roman"/>
                <w:b/>
                <w:sz w:val="21"/>
                <w:szCs w:val="21"/>
                <w:u w:val="none"/>
              </w:rPr>
              <w:instrText xml:space="preserve">ref  SHAPE  \* MERGEFORMAT </w:instrText>
            </w:r>
            <w:r>
              <w:rPr>
                <w:rFonts w:hint="default" w:ascii="Times New Roman" w:hAnsi="Times New Roman" w:eastAsia="宋体" w:cs="Times New Roman"/>
                <w:b/>
                <w:sz w:val="21"/>
                <w:szCs w:val="21"/>
                <w:u w:val="none"/>
              </w:rPr>
              <w:fldChar w:fldCharType="end"/>
            </w:r>
            <w:r>
              <w:rPr>
                <w:rFonts w:hint="default" w:ascii="Times New Roman" w:hAnsi="Times New Roman" w:eastAsia="宋体" w:cs="Times New Roman"/>
                <w:b/>
                <w:sz w:val="21"/>
                <w:szCs w:val="21"/>
                <w:u w:val="none"/>
              </w:rPr>
              <w:t>表7.2-1  全年及四季风向频率(%)分布</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94"/>
              <w:gridCol w:w="406"/>
              <w:gridCol w:w="365"/>
              <w:gridCol w:w="488"/>
              <w:gridCol w:w="402"/>
              <w:gridCol w:w="470"/>
              <w:gridCol w:w="322"/>
              <w:gridCol w:w="451"/>
              <w:gridCol w:w="384"/>
              <w:gridCol w:w="445"/>
              <w:gridCol w:w="365"/>
              <w:gridCol w:w="488"/>
              <w:gridCol w:w="420"/>
              <w:gridCol w:w="570"/>
              <w:gridCol w:w="359"/>
              <w:gridCol w:w="605"/>
              <w:gridCol w:w="439"/>
              <w:gridCol w:w="558"/>
              <w:gridCol w:w="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w:t>
                  </w: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风向</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NNE</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NE</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ENE</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E</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ESE</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SE</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SSE</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SSW</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SW</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WSW</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WNW</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NW</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NNW</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02"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风向</w:t>
                  </w: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春</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22</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02"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夏</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17</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02"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秋</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02"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冬</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29</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02"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2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全年</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23</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4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47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3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5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6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w:t>
                  </w:r>
                </w:p>
              </w:tc>
              <w:tc>
                <w:tcPr>
                  <w:tcW w:w="48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46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57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44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605"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46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558"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44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17</w:t>
                  </w:r>
                </w:p>
              </w:tc>
            </w:tr>
          </w:tbl>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表7.2-2  评价区域大气稳定度频率分布  单位：（%）</w:t>
            </w:r>
          </w:p>
          <w:tbl>
            <w:tblPr>
              <w:tblStyle w:val="23"/>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91"/>
              <w:gridCol w:w="2101"/>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tcBorders>
                    <w:tl2br w:val="single" w:color="auto" w:sz="12"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稳定度</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时间</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不稳定类</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中性类(D类)</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稳定类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春</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23.11</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60.44</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夏</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28.28</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51.03</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秋</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26.62</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51.69</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冬</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8.85</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64.50</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0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全年</w:t>
                  </w:r>
                </w:p>
              </w:tc>
              <w:tc>
                <w:tcPr>
                  <w:tcW w:w="126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21.71</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56.92</w:t>
                  </w:r>
                </w:p>
              </w:tc>
              <w:tc>
                <w:tcPr>
                  <w:tcW w:w="126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21.37</w:t>
                  </w:r>
                </w:p>
              </w:tc>
            </w:tr>
          </w:tbl>
          <w:p>
            <w:pPr>
              <w:pStyle w:val="11"/>
              <w:keepNext w:val="0"/>
              <w:keepLines w:val="0"/>
              <w:suppressLineNumbers w:val="0"/>
              <w:spacing w:before="0" w:beforeAutospacing="0" w:after="0" w:afterAutospacing="0"/>
              <w:ind w:left="0" w:leftChars="0" w:right="0" w:firstLine="480"/>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（4）参数选取</w:t>
            </w:r>
          </w:p>
          <w:p>
            <w:pPr>
              <w:pStyle w:val="11"/>
              <w:keepNext w:val="0"/>
              <w:keepLines w:val="0"/>
              <w:suppressLineNumbers w:val="0"/>
              <w:spacing w:before="0" w:beforeAutospacing="0" w:after="0" w:afterAutospacing="0"/>
              <w:ind w:left="0" w:leftChars="0" w:right="0" w:firstLine="480"/>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采用《环境影响评价技术导则大气环境》（HJ2.2-2018）中要求的AERSCREEN估算模式对项目污染物的排放进行估算。本项目主要的大气污染物为无组织排放的非甲烷总烃，采用非甲烷总烃作为环境空气影响预测和评价因子。</w:t>
            </w:r>
          </w:p>
          <w:p>
            <w:pPr>
              <w:pStyle w:val="5"/>
              <w:suppressLineNumbers w:val="0"/>
              <w:bidi w:val="0"/>
              <w:spacing w:before="0" w:beforeAutospacing="0" w:after="0" w:afterAutospacing="0"/>
              <w:ind w:left="0" w:right="0"/>
              <w:rPr>
                <w:rFonts w:hint="default"/>
                <w:u w:val="none"/>
              </w:rPr>
            </w:pPr>
            <w:bookmarkStart w:id="130" w:name="_Toc23411150"/>
            <w:bookmarkStart w:id="131" w:name="_Toc15425"/>
            <w:bookmarkStart w:id="132" w:name="_Toc7079995"/>
            <w:bookmarkStart w:id="133" w:name="_Toc13073973"/>
            <w:bookmarkStart w:id="134" w:name="_Toc25719"/>
            <w:r>
              <w:rPr>
                <w:rFonts w:hint="default"/>
                <w:u w:val="none"/>
              </w:rPr>
              <w:t>7.2.2环境影响预测</w:t>
            </w:r>
            <w:bookmarkEnd w:id="130"/>
            <w:bookmarkEnd w:id="131"/>
            <w:bookmarkEnd w:id="132"/>
            <w:bookmarkEnd w:id="133"/>
            <w:bookmarkEnd w:id="134"/>
          </w:p>
          <w:p>
            <w:pPr>
              <w:pStyle w:val="6"/>
              <w:suppressLineNumbers w:val="0"/>
              <w:bidi w:val="0"/>
              <w:spacing w:before="0" w:beforeAutospacing="0" w:after="0" w:afterAutospacing="0"/>
              <w:ind w:left="0" w:right="0"/>
              <w:rPr>
                <w:rFonts w:hint="default"/>
                <w:u w:val="none"/>
              </w:rPr>
            </w:pPr>
            <w:r>
              <w:rPr>
                <w:rFonts w:hint="default"/>
                <w:u w:val="none"/>
              </w:rPr>
              <w:t>7.2.2.1评价因子和评价标准</w:t>
            </w:r>
          </w:p>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表7.2-3  评价因子和评价标准</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评价因子</w:t>
                  </w:r>
                </w:p>
              </w:tc>
              <w:tc>
                <w:tcPr>
                  <w:tcW w:w="213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平均时段</w:t>
                  </w:r>
                </w:p>
              </w:tc>
              <w:tc>
                <w:tcPr>
                  <w:tcW w:w="2131"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标准值（ug/</w:t>
                  </w:r>
                  <w:r>
                    <w:rPr>
                      <w:rFonts w:hint="eastAsia"/>
                      <w:u w:val="none"/>
                      <w:lang w:eastAsia="zh-CN"/>
                    </w:rPr>
                    <w:t>m³</w:t>
                  </w:r>
                  <w:r>
                    <w:rPr>
                      <w:rFonts w:hint="default"/>
                      <w:u w:val="none"/>
                    </w:rPr>
                    <w:t>）</w:t>
                  </w:r>
                </w:p>
              </w:tc>
              <w:tc>
                <w:tcPr>
                  <w:tcW w:w="2131"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TVOC</w:t>
                  </w:r>
                </w:p>
              </w:tc>
              <w:tc>
                <w:tcPr>
                  <w:tcW w:w="213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8h平均</w:t>
                  </w:r>
                </w:p>
              </w:tc>
              <w:tc>
                <w:tcPr>
                  <w:tcW w:w="2131" w:type="dxa"/>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600</w:t>
                  </w:r>
                </w:p>
              </w:tc>
              <w:tc>
                <w:tcPr>
                  <w:tcW w:w="2131"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HJ 2.2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TSP</w:t>
                  </w:r>
                </w:p>
              </w:tc>
              <w:tc>
                <w:tcPr>
                  <w:tcW w:w="2130" w:type="dxa"/>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年平均</w:t>
                  </w:r>
                </w:p>
              </w:tc>
              <w:tc>
                <w:tcPr>
                  <w:tcW w:w="2131" w:type="dxa"/>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200</w:t>
                  </w:r>
                </w:p>
              </w:tc>
              <w:tc>
                <w:tcPr>
                  <w:tcW w:w="2131" w:type="dxa"/>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GB3095-2012</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本项目的非甲烷总烃主要为废油液抽取废气、制冷剂抽取废气，均为挥发性有机物，因此采用TVOC作为环境评价因子。</w:t>
            </w:r>
          </w:p>
          <w:p>
            <w:pPr>
              <w:pStyle w:val="6"/>
              <w:suppressLineNumbers w:val="0"/>
              <w:bidi w:val="0"/>
              <w:spacing w:before="0" w:beforeAutospacing="0" w:after="0" w:afterAutospacing="0"/>
              <w:ind w:left="0" w:right="0"/>
              <w:rPr>
                <w:rFonts w:hint="default"/>
                <w:u w:val="none"/>
              </w:rPr>
            </w:pPr>
            <w:r>
              <w:rPr>
                <w:rFonts w:hint="default"/>
                <w:u w:val="none"/>
              </w:rPr>
              <w:t>7.2.2.2估算模型参数</w:t>
            </w:r>
          </w:p>
          <w:p>
            <w:pPr>
              <w:pStyle w:val="50"/>
              <w:keepNext w:val="0"/>
              <w:keepLines w:val="0"/>
              <w:suppressLineNumbers w:val="0"/>
              <w:bidi w:val="0"/>
              <w:spacing w:beforeAutospacing="0" w:after="0" w:afterAutospacing="0"/>
              <w:ind w:left="0" w:right="0"/>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表7.2-4  估算模型参数</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参数</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城市/农村选项</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城市/农村</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城市</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人口数（城市选项时）</w:t>
                  </w:r>
                </w:p>
              </w:tc>
              <w:tc>
                <w:tcPr>
                  <w:tcW w:w="2841" w:type="dxa"/>
                  <w:vAlign w:val="center"/>
                </w:tcPr>
                <w:p>
                  <w:pPr>
                    <w:pStyle w:val="49"/>
                    <w:keepNext w:val="0"/>
                    <w:keepLines w:val="0"/>
                    <w:suppressLineNumbers w:val="0"/>
                    <w:bidi w:val="0"/>
                    <w:spacing w:before="0" w:beforeAutospacing="0" w:after="0" w:afterAutospacing="0"/>
                    <w:ind w:left="0" w:right="0"/>
                    <w:rPr>
                      <w:rFonts w:hint="default" w:eastAsia="宋体"/>
                      <w:u w:val="none"/>
                      <w:lang w:val="en-US" w:eastAsia="zh-CN"/>
                    </w:rPr>
                  </w:pPr>
                  <w:r>
                    <w:rPr>
                      <w:rFonts w:hint="eastAsia"/>
                      <w:u w:val="none"/>
                      <w:lang w:val="en-US" w:eastAsia="zh-CN"/>
                    </w:rPr>
                    <w:t>78万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最高环境温度/</w:t>
                  </w:r>
                  <w:r>
                    <w:rPr>
                      <w:rFonts w:hint="eastAsia"/>
                      <w:u w:val="none"/>
                    </w:rPr>
                    <w:t>℃</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最低环境温度/</w:t>
                  </w:r>
                  <w:r>
                    <w:rPr>
                      <w:rFonts w:hint="eastAsia"/>
                      <w:u w:val="none"/>
                    </w:rPr>
                    <w:t>℃</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土地利用类型</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区域湿度条件</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是否考虑地形</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考虑地形</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地形数据分辨率/m</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是否考虑岸线熏烟</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考虑岸线熏烟</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岸线距离/km</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岸线方向/°</w:t>
                  </w:r>
                </w:p>
              </w:tc>
              <w:tc>
                <w:tcPr>
                  <w:tcW w:w="2841"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bl>
          <w:p>
            <w:pPr>
              <w:keepNext w:val="0"/>
              <w:keepLines w:val="0"/>
              <w:suppressLineNumbers w:val="0"/>
              <w:spacing w:before="0" w:beforeAutospacing="0" w:after="0" w:afterAutospacing="0"/>
              <w:ind w:left="0" w:right="0" w:firstLine="480"/>
              <w:rPr>
                <w:rFonts w:hint="default"/>
                <w:u w:val="none"/>
              </w:rPr>
            </w:pPr>
          </w:p>
          <w:p>
            <w:pPr>
              <w:pStyle w:val="6"/>
              <w:suppressLineNumbers w:val="0"/>
              <w:bidi w:val="0"/>
              <w:spacing w:before="0" w:beforeAutospacing="0" w:after="0" w:afterAutospacing="0"/>
              <w:ind w:left="0" w:right="0"/>
              <w:rPr>
                <w:rFonts w:hint="default"/>
                <w:u w:val="none"/>
              </w:rPr>
            </w:pPr>
            <w:r>
              <w:rPr>
                <w:rFonts w:hint="default"/>
                <w:u w:val="none"/>
              </w:rPr>
              <w:t>7.2.2.3主要污染源估算模型计算结果</w:t>
            </w:r>
          </w:p>
          <w:p>
            <w:pPr>
              <w:pStyle w:val="11"/>
              <w:keepNext w:val="0"/>
              <w:keepLines w:val="0"/>
              <w:suppressLineNumbers w:val="0"/>
              <w:spacing w:before="0" w:beforeAutospacing="0" w:after="0" w:afterAutospacing="0"/>
              <w:ind w:left="0" w:leftChars="0" w:right="0" w:firstLine="480"/>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本项目无组织排放量见下表。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452"/>
              <w:gridCol w:w="2134"/>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47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c>
                <w:tcPr>
                  <w:tcW w:w="128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排放量(t/a)</w:t>
                  </w:r>
                </w:p>
              </w:tc>
              <w:tc>
                <w:tcPr>
                  <w:tcW w:w="148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47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1286" w:type="pct"/>
                  <w:vAlign w:val="center"/>
                </w:tcPr>
                <w:p>
                  <w:pPr>
                    <w:pStyle w:val="49"/>
                    <w:keepNext w:val="0"/>
                    <w:keepLines w:val="0"/>
                    <w:suppressLineNumbers w:val="0"/>
                    <w:bidi w:val="0"/>
                    <w:spacing w:before="0" w:beforeAutospacing="0" w:after="0" w:afterAutospacing="0"/>
                    <w:ind w:left="0" w:right="0"/>
                    <w:rPr>
                      <w:rFonts w:hint="default" w:eastAsia="宋体"/>
                      <w:u w:val="none"/>
                      <w:lang w:val="en-US" w:eastAsia="zh-CN"/>
                    </w:rPr>
                  </w:pPr>
                  <w:r>
                    <w:rPr>
                      <w:rFonts w:hint="default"/>
                      <w:u w:val="none"/>
                    </w:rPr>
                    <w:t>0.0</w:t>
                  </w:r>
                  <w:r>
                    <w:rPr>
                      <w:rFonts w:hint="eastAsia"/>
                      <w:u w:val="none"/>
                      <w:lang w:val="en-US" w:eastAsia="zh-CN"/>
                    </w:rPr>
                    <w:t>10</w:t>
                  </w:r>
                </w:p>
              </w:tc>
              <w:tc>
                <w:tcPr>
                  <w:tcW w:w="148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2</w:t>
                  </w:r>
                </w:p>
              </w:tc>
              <w:tc>
                <w:tcPr>
                  <w:tcW w:w="1478"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颗粒物</w:t>
                  </w:r>
                </w:p>
              </w:tc>
              <w:tc>
                <w:tcPr>
                  <w:tcW w:w="1286"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rPr>
                    <w:t>0.00</w:t>
                  </w:r>
                  <w:r>
                    <w:rPr>
                      <w:rFonts w:hint="eastAsia"/>
                      <w:lang w:val="en-US" w:eastAsia="zh-CN"/>
                    </w:rPr>
                    <w:t>8</w:t>
                  </w:r>
                  <w:r>
                    <w:rPr>
                      <w:rFonts w:hint="eastAsia"/>
                    </w:rPr>
                    <w:t>5</w:t>
                  </w:r>
                </w:p>
              </w:tc>
              <w:tc>
                <w:tcPr>
                  <w:tcW w:w="1488"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无组织排放</w:t>
                  </w:r>
                </w:p>
              </w:tc>
            </w:tr>
          </w:tbl>
          <w:p>
            <w:pPr>
              <w:pStyle w:val="11"/>
              <w:keepNext w:val="0"/>
              <w:keepLines w:val="0"/>
              <w:suppressLineNumbers w:val="0"/>
              <w:spacing w:before="0" w:beforeAutospacing="0" w:after="0" w:afterAutospacing="0"/>
              <w:ind w:left="0" w:leftChars="0" w:right="0" w:firstLine="422"/>
              <w:jc w:val="center"/>
              <w:rPr>
                <w:rFonts w:hint="default"/>
                <w:b/>
                <w:color w:val="000000" w:themeColor="text1"/>
                <w:sz w:val="21"/>
                <w:szCs w:val="21"/>
                <w:u w:val="none"/>
                <w14:textFill>
                  <w14:solidFill>
                    <w14:schemeClr w14:val="tx1"/>
                  </w14:solidFill>
                </w14:textFill>
              </w:rPr>
            </w:pPr>
          </w:p>
          <w:p>
            <w:pPr>
              <w:pStyle w:val="11"/>
              <w:keepNext w:val="0"/>
              <w:keepLines w:val="0"/>
              <w:suppressLineNumbers w:val="0"/>
              <w:spacing w:before="0" w:beforeAutospacing="0" w:after="0" w:afterAutospacing="0"/>
              <w:ind w:left="0" w:leftChars="0" w:right="0" w:firstLine="422"/>
              <w:jc w:val="center"/>
              <w:rPr>
                <w:rFonts w:hint="default"/>
                <w:b/>
                <w:color w:val="000000" w:themeColor="text1"/>
                <w:sz w:val="21"/>
                <w:szCs w:val="21"/>
                <w:u w:val="none"/>
                <w14:textFill>
                  <w14:solidFill>
                    <w14:schemeClr w14:val="tx1"/>
                  </w14:solidFill>
                </w14:textFill>
              </w:rPr>
            </w:pPr>
            <w:r>
              <w:rPr>
                <w:rFonts w:hint="default"/>
                <w:b/>
                <w:color w:val="000000" w:themeColor="text1"/>
                <w:sz w:val="21"/>
                <w:szCs w:val="21"/>
                <w:u w:val="none"/>
                <w14:textFill>
                  <w14:solidFill>
                    <w14:schemeClr w14:val="tx1"/>
                  </w14:solidFill>
                </w14:textFill>
              </w:rPr>
              <w:t>表7.2-5  矩形面源参数表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503"/>
              <w:gridCol w:w="897"/>
              <w:gridCol w:w="744"/>
              <w:gridCol w:w="744"/>
              <w:gridCol w:w="1051"/>
              <w:gridCol w:w="1002"/>
              <w:gridCol w:w="656"/>
              <w:gridCol w:w="1149"/>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503"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名称</w:t>
                  </w:r>
                </w:p>
              </w:tc>
              <w:tc>
                <w:tcPr>
                  <w:tcW w:w="897"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面源海拔高度/m</w:t>
                  </w:r>
                </w:p>
              </w:tc>
              <w:tc>
                <w:tcPr>
                  <w:tcW w:w="744"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面源长度/m</w:t>
                  </w:r>
                </w:p>
              </w:tc>
              <w:tc>
                <w:tcPr>
                  <w:tcW w:w="744"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面源宽度/m</w:t>
                  </w:r>
                </w:p>
              </w:tc>
              <w:tc>
                <w:tcPr>
                  <w:tcW w:w="1051"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面源有效排放高度/m</w:t>
                  </w:r>
                </w:p>
              </w:tc>
              <w:tc>
                <w:tcPr>
                  <w:tcW w:w="1002"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年排放小时数/h</w:t>
                  </w:r>
                </w:p>
              </w:tc>
              <w:tc>
                <w:tcPr>
                  <w:tcW w:w="656" w:type="dxa"/>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排放工况</w:t>
                  </w:r>
                </w:p>
              </w:tc>
              <w:tc>
                <w:tcPr>
                  <w:tcW w:w="2196" w:type="dxa"/>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污染物排放速率/（</w:t>
                  </w:r>
                  <w:r>
                    <w:rPr>
                      <w:rFonts w:hint="eastAsia"/>
                      <w:u w:val="none"/>
                      <w:lang w:val="en-US" w:eastAsia="zh-CN"/>
                    </w:rPr>
                    <w:t>kg/h</w:t>
                  </w: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3"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03"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44"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44"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51"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002"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56" w:type="dxa"/>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49"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1047"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503"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面源</w:t>
                  </w:r>
                </w:p>
              </w:tc>
              <w:tc>
                <w:tcPr>
                  <w:tcW w:w="897" w:type="dxa"/>
                  <w:vAlign w:val="center"/>
                </w:tcPr>
                <w:p>
                  <w:pPr>
                    <w:pStyle w:val="49"/>
                    <w:keepNext w:val="0"/>
                    <w:keepLines w:val="0"/>
                    <w:suppressLineNumbers w:val="0"/>
                    <w:bidi w:val="0"/>
                    <w:spacing w:before="0" w:beforeAutospacing="0" w:after="0" w:afterAutospacing="0"/>
                    <w:ind w:left="0" w:right="0"/>
                    <w:rPr>
                      <w:rFonts w:hint="default" w:eastAsia="宋体"/>
                      <w:u w:val="none"/>
                      <w:lang w:val="en-US" w:eastAsia="zh-CN"/>
                    </w:rPr>
                  </w:pPr>
                  <w:r>
                    <w:rPr>
                      <w:rFonts w:hint="default"/>
                      <w:u w:val="none"/>
                    </w:rPr>
                    <w:t>4</w:t>
                  </w:r>
                  <w:r>
                    <w:rPr>
                      <w:rFonts w:hint="eastAsia"/>
                      <w:u w:val="none"/>
                      <w:lang w:val="en-US" w:eastAsia="zh-CN"/>
                    </w:rPr>
                    <w:t>9</w:t>
                  </w:r>
                </w:p>
              </w:tc>
              <w:tc>
                <w:tcPr>
                  <w:tcW w:w="74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w:t>
                  </w:r>
                </w:p>
              </w:tc>
              <w:tc>
                <w:tcPr>
                  <w:tcW w:w="744"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p>
              </w:tc>
              <w:tc>
                <w:tcPr>
                  <w:tcW w:w="1051" w:type="dxa"/>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default"/>
                      <w:u w:val="none"/>
                    </w:rPr>
                    <w:t>1</w:t>
                  </w:r>
                  <w:r>
                    <w:rPr>
                      <w:rFonts w:hint="eastAsia"/>
                      <w:u w:val="none"/>
                      <w:lang w:val="en-US" w:eastAsia="zh-CN"/>
                    </w:rPr>
                    <w:t>5</w:t>
                  </w:r>
                </w:p>
              </w:tc>
              <w:tc>
                <w:tcPr>
                  <w:tcW w:w="1002"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2400</w:t>
                  </w:r>
                </w:p>
              </w:tc>
              <w:tc>
                <w:tcPr>
                  <w:tcW w:w="65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1149" w:type="dxa"/>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0.0042</w:t>
                  </w:r>
                </w:p>
              </w:tc>
              <w:tc>
                <w:tcPr>
                  <w:tcW w:w="1047" w:type="dxa"/>
                  <w:vAlign w:val="center"/>
                </w:tcPr>
                <w:p>
                  <w:pPr>
                    <w:pStyle w:val="49"/>
                    <w:keepNext w:val="0"/>
                    <w:keepLines w:val="0"/>
                    <w:suppressLineNumbers w:val="0"/>
                    <w:bidi w:val="0"/>
                    <w:spacing w:before="0" w:beforeAutospacing="0" w:after="0" w:afterAutospacing="0"/>
                    <w:ind w:left="0" w:right="0"/>
                    <w:rPr>
                      <w:rFonts w:hint="default"/>
                      <w:u w:val="none"/>
                      <w:lang w:val="en-US"/>
                    </w:rPr>
                  </w:pPr>
                  <w:r>
                    <w:rPr>
                      <w:rFonts w:hint="eastAsia"/>
                      <w:u w:val="none"/>
                      <w:lang w:val="en-US" w:eastAsia="zh-CN"/>
                    </w:rPr>
                    <w:t>0.0035</w:t>
                  </w:r>
                </w:p>
              </w:tc>
            </w:tr>
          </w:tbl>
          <w:p>
            <w:pPr>
              <w:pStyle w:val="11"/>
              <w:keepNext w:val="0"/>
              <w:keepLines w:val="0"/>
              <w:suppressLineNumbers w:val="0"/>
              <w:spacing w:before="0" w:beforeAutospacing="0" w:after="0" w:afterAutospacing="0"/>
              <w:ind w:left="0" w:leftChars="0" w:right="0" w:firstLine="480"/>
              <w:rPr>
                <w:rFonts w:hint="default"/>
                <w:u w:val="none"/>
              </w:rPr>
            </w:pPr>
            <w:r>
              <w:rPr>
                <w:rFonts w:hint="default"/>
                <w:color w:val="000000" w:themeColor="text1"/>
                <w:u w:val="none"/>
                <w14:textFill>
                  <w14:solidFill>
                    <w14:schemeClr w14:val="tx1"/>
                  </w14:solidFill>
                </w14:textFill>
              </w:rPr>
              <w:t>根据《环境影响评价技术导则 大气环境（HJ 2.2-2018）》，采用AERSCREEN进行估算。</w:t>
            </w:r>
            <w:r>
              <w:rPr>
                <w:rFonts w:hint="default"/>
                <w:u w:val="none"/>
              </w:rPr>
              <w:t>结果见表7.2-6。</w:t>
            </w:r>
          </w:p>
          <w:p>
            <w:pPr>
              <w:pStyle w:val="11"/>
              <w:keepNext w:val="0"/>
              <w:keepLines w:val="0"/>
              <w:suppressLineNumbers w:val="0"/>
              <w:spacing w:before="0" w:beforeAutospacing="0" w:after="0" w:afterAutospacing="0"/>
              <w:ind w:left="0" w:leftChars="0" w:right="0" w:firstLine="422"/>
              <w:jc w:val="center"/>
              <w:rPr>
                <w:rFonts w:hint="default"/>
                <w:b/>
                <w:color w:val="000000" w:themeColor="text1"/>
                <w:sz w:val="21"/>
                <w:szCs w:val="21"/>
                <w:u w:val="none"/>
                <w14:textFill>
                  <w14:solidFill>
                    <w14:schemeClr w14:val="tx1"/>
                  </w14:solidFill>
                </w14:textFill>
              </w:rPr>
            </w:pPr>
            <w:r>
              <w:rPr>
                <w:rFonts w:hint="default"/>
                <w:b/>
                <w:color w:val="000000" w:themeColor="text1"/>
                <w:sz w:val="21"/>
                <w:szCs w:val="21"/>
                <w:u w:val="none"/>
                <w14:textFill>
                  <w14:solidFill>
                    <w14:schemeClr w14:val="tx1"/>
                  </w14:solidFill>
                </w14:textFill>
              </w:rPr>
              <w:t>表7.2-6  无组织排放的</w:t>
            </w:r>
            <w:r>
              <w:rPr>
                <w:rFonts w:hint="eastAsia"/>
                <w:b/>
                <w:color w:val="000000" w:themeColor="text1"/>
                <w:sz w:val="21"/>
                <w:szCs w:val="21"/>
                <w:u w:val="none"/>
                <w:lang w:val="en-US" w:eastAsia="zh-CN"/>
                <w14:textFill>
                  <w14:solidFill>
                    <w14:schemeClr w14:val="tx1"/>
                  </w14:solidFill>
                </w14:textFill>
              </w:rPr>
              <w:t>TVOC、TSP</w:t>
            </w:r>
            <w:r>
              <w:rPr>
                <w:rFonts w:hint="default"/>
                <w:b/>
                <w:color w:val="000000" w:themeColor="text1"/>
                <w:sz w:val="21"/>
                <w:szCs w:val="21"/>
                <w:u w:val="none"/>
                <w14:textFill>
                  <w14:solidFill>
                    <w14:schemeClr w14:val="tx1"/>
                  </w14:solidFill>
                </w14:textFill>
              </w:rPr>
              <w:t>估算模式计算结果表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59"/>
              <w:gridCol w:w="1403"/>
              <w:gridCol w:w="1914"/>
              <w:gridCol w:w="1403"/>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000" w:type="pct"/>
                  <w:vMerge w:val="restar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离源距离(m)</w:t>
                  </w:r>
                </w:p>
              </w:tc>
              <w:tc>
                <w:tcPr>
                  <w:tcW w:w="2000" w:type="pct"/>
                  <w:gridSpan w:val="2"/>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TSP</w:t>
                  </w:r>
                </w:p>
              </w:tc>
              <w:tc>
                <w:tcPr>
                  <w:tcW w:w="2000" w:type="pct"/>
                  <w:gridSpan w:val="2"/>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vMerge w:val="continue"/>
                  <w:shd w:val="clear" w:color="auto" w:fill="auto"/>
                  <w:noWrap/>
                  <w:tcMar>
                    <w:top w:w="15" w:type="dxa"/>
                    <w:left w:w="15" w:type="dxa"/>
                    <w:right w:w="15" w:type="dxa"/>
                  </w:tcMar>
                  <w:vAlign w:val="bottom"/>
                </w:tcPr>
                <w:p>
                  <w:pPr>
                    <w:pStyle w:val="49"/>
                    <w:bidi w:val="0"/>
                    <w:rPr>
                      <w:rFonts w:hint="eastAsia"/>
                    </w:rPr>
                  </w:pP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占标率%</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浓度ug/m^3</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占标率%</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浓度ug/m^3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48</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1.3885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1.591221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1.3396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1.535182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0.93275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0.09</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1.068931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0.1</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0.85684</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0.08</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0.981939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0.09</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0.76979</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0.07</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0.882179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0.08</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0.69998</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0.07</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0.802177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0.07</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0.63065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0.06</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0.722725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200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0.06</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0.5694</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0.652533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225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0.06</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0.51592</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0.591244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250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0.46906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0.537543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275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0.44421</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0.509065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300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0.43035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0.493181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325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0.05</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0.41729</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0.478214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350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0.40479</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0.463889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375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0.39292</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0.450286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400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0.38144</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425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0.37045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0.424536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450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0.3598</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0.412331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475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0.34884</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0.399771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500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0.33984</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0.389457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525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0.33038</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0.378616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550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0.04</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0.32146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0.368393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575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0.31286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0.358538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600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0.30457</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0.349037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625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0.29576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0.338941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650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0.28902</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0.331217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675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0.28078</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0.321774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700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0.27319</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0.313076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725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0.26793</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0.307048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750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0.26001</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0.297972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775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0.25403</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800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0.24962</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0.286065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825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0.24426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0.279922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850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0.23887</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0.273745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875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0.23366</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0.267774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900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0.03</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0.22927</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0.262743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925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0.22451</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0.257289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950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0.22083</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0.253071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975</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0.21481</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0.246172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00"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1000</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0.21371</w:t>
                  </w:r>
                </w:p>
              </w:tc>
              <w:tc>
                <w:tcPr>
                  <w:tcW w:w="846"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0.02</w:t>
                  </w:r>
                </w:p>
              </w:tc>
              <w:tc>
                <w:tcPr>
                  <w:tcW w:w="1153" w:type="pct"/>
                  <w:shd w:val="clear" w:color="auto" w:fill="auto"/>
                  <w:noWrap/>
                  <w:tcMar>
                    <w:top w:w="15" w:type="dxa"/>
                    <w:left w:w="15" w:type="dxa"/>
                    <w:right w:w="15" w:type="dxa"/>
                  </w:tcMar>
                  <w:vAlign w:val="bottom"/>
                </w:tcPr>
                <w:p>
                  <w:pPr>
                    <w:pStyle w:val="49"/>
                    <w:bidi w:val="0"/>
                    <w:rPr>
                      <w:rFonts w:hint="eastAsia"/>
                    </w:rPr>
                  </w:pPr>
                  <w:r>
                    <w:rPr>
                      <w:rFonts w:hint="eastAsia"/>
                      <w:lang w:val="en-US" w:eastAsia="zh-CN"/>
                    </w:rPr>
                    <w:t>0.244912</w:t>
                  </w:r>
                </w:p>
              </w:tc>
            </w:tr>
          </w:tbl>
          <w:p>
            <w:pPr>
              <w:pStyle w:val="50"/>
              <w:keepNext w:val="0"/>
              <w:keepLines w:val="0"/>
              <w:suppressLineNumbers w:val="0"/>
              <w:bidi w:val="0"/>
              <w:spacing w:beforeAutospacing="0" w:after="0" w:afterAutospacing="0"/>
              <w:ind w:left="0" w:right="0"/>
              <w:rPr>
                <w:rFonts w:hint="default"/>
                <w:u w:val="none"/>
              </w:rPr>
            </w:pPr>
            <w:r>
              <w:rPr>
                <w:rFonts w:hint="default"/>
                <w:u w:val="none"/>
              </w:rPr>
              <w:t>表7</w:t>
            </w:r>
            <w:r>
              <w:rPr>
                <w:rFonts w:hint="eastAsia"/>
                <w:u w:val="none"/>
                <w:lang w:val="en-US" w:eastAsia="zh-CN"/>
              </w:rPr>
              <w:t xml:space="preserve">.2-7 </w:t>
            </w:r>
            <w:r>
              <w:rPr>
                <w:rFonts w:hint="default"/>
                <w:u w:val="none"/>
              </w:rPr>
              <w:t xml:space="preserve"> 项目大气污染物最大地面浓度预测</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500"/>
              <w:gridCol w:w="826"/>
              <w:gridCol w:w="886"/>
              <w:gridCol w:w="1274"/>
              <w:gridCol w:w="800"/>
              <w:gridCol w:w="843"/>
              <w:gridCol w:w="83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5"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污染源</w:t>
                  </w:r>
                </w:p>
              </w:tc>
              <w:tc>
                <w:tcPr>
                  <w:tcW w:w="302"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类型</w:t>
                  </w:r>
                </w:p>
              </w:tc>
              <w:tc>
                <w:tcPr>
                  <w:tcW w:w="1032" w:type="pct"/>
                  <w:gridSpan w:val="2"/>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标准</w:t>
                  </w:r>
                </w:p>
              </w:tc>
              <w:tc>
                <w:tcPr>
                  <w:tcW w:w="768"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最大落地浓度</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r>
                    <w:rPr>
                      <w:rFonts w:hint="eastAsia"/>
                      <w:u w:val="none"/>
                      <w:lang w:eastAsia="zh-CN"/>
                    </w:rPr>
                    <w:t>μ</w:t>
                  </w:r>
                  <w:r>
                    <w:rPr>
                      <w:rFonts w:hint="default"/>
                      <w:u w:val="none"/>
                    </w:rPr>
                    <w:t>g/</w:t>
                  </w:r>
                  <w:r>
                    <w:rPr>
                      <w:rFonts w:hint="eastAsia"/>
                      <w:u w:val="none"/>
                      <w:lang w:eastAsia="zh-CN"/>
                    </w:rPr>
                    <w:t>m³</w:t>
                  </w:r>
                  <w:r>
                    <w:rPr>
                      <w:rFonts w:hint="default"/>
                      <w:u w:val="none"/>
                    </w:rPr>
                    <w:t>）</w:t>
                  </w:r>
                </w:p>
              </w:tc>
              <w:tc>
                <w:tcPr>
                  <w:tcW w:w="482"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出现距离</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（m）</w:t>
                  </w:r>
                </w:p>
              </w:tc>
              <w:tc>
                <w:tcPr>
                  <w:tcW w:w="508"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Pmax</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502"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D10%</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（m）</w:t>
                  </w:r>
                </w:p>
              </w:tc>
              <w:tc>
                <w:tcPr>
                  <w:tcW w:w="857" w:type="pct"/>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5" w:type="pct"/>
                  <w:noWrap w:val="0"/>
                  <w:vAlign w:val="top"/>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rPr>
                    <w:t>无组织排放</w:t>
                  </w:r>
                </w:p>
              </w:tc>
              <w:tc>
                <w:tcPr>
                  <w:tcW w:w="302" w:type="pct"/>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面源</w:t>
                  </w:r>
                </w:p>
              </w:tc>
              <w:tc>
                <w:tcPr>
                  <w:tcW w:w="498"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TVOC</w:t>
                  </w:r>
                </w:p>
              </w:tc>
              <w:tc>
                <w:tcPr>
                  <w:tcW w:w="534"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val="en-US" w:eastAsia="zh-CN"/>
                    </w:rPr>
                    <w:t>600（8h平均）</w:t>
                  </w:r>
                </w:p>
              </w:tc>
              <w:tc>
                <w:tcPr>
                  <w:tcW w:w="768"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lang w:val="en-US" w:eastAsia="zh-CN"/>
                    </w:rPr>
                    <w:t>1.591221</w:t>
                  </w:r>
                </w:p>
              </w:tc>
              <w:tc>
                <w:tcPr>
                  <w:tcW w:w="482"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rPr>
                  </w:pPr>
                  <w:r>
                    <w:rPr>
                      <w:rFonts w:hint="eastAsia"/>
                      <w:u w:val="none"/>
                      <w:lang w:val="en-US" w:eastAsia="zh-CN"/>
                    </w:rPr>
                    <w:t>48</w:t>
                  </w:r>
                </w:p>
              </w:tc>
              <w:tc>
                <w:tcPr>
                  <w:tcW w:w="508"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lang w:val="en-US" w:eastAsia="zh-CN"/>
                    </w:rPr>
                    <w:t>0.13</w:t>
                  </w:r>
                </w:p>
              </w:tc>
              <w:tc>
                <w:tcPr>
                  <w:tcW w:w="502"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857"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HJ 2.2—2018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5" w:type="pct"/>
                  <w:noWrap w:val="0"/>
                  <w:vAlign w:val="top"/>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rPr>
                    <w:t>无组织排放</w:t>
                  </w:r>
                </w:p>
              </w:tc>
              <w:tc>
                <w:tcPr>
                  <w:tcW w:w="302" w:type="pct"/>
                  <w:noWrap w:val="0"/>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eastAsia="zh-CN"/>
                    </w:rPr>
                    <w:t>面源</w:t>
                  </w:r>
                </w:p>
              </w:tc>
              <w:tc>
                <w:tcPr>
                  <w:tcW w:w="498"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TSP</w:t>
                  </w:r>
                </w:p>
              </w:tc>
              <w:tc>
                <w:tcPr>
                  <w:tcW w:w="534"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200(年平均)</w:t>
                  </w:r>
                </w:p>
              </w:tc>
              <w:tc>
                <w:tcPr>
                  <w:tcW w:w="768" w:type="pct"/>
                  <w:noWrap w:val="0"/>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lang w:val="en-US" w:eastAsia="zh-CN"/>
                    </w:rPr>
                    <w:t>1.3885</w:t>
                  </w:r>
                </w:p>
              </w:tc>
              <w:tc>
                <w:tcPr>
                  <w:tcW w:w="482"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48</w:t>
                  </w:r>
                </w:p>
              </w:tc>
              <w:tc>
                <w:tcPr>
                  <w:tcW w:w="508" w:type="pct"/>
                  <w:noWrap w:val="0"/>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lang w:val="en-US" w:eastAsia="zh-CN"/>
                    </w:rPr>
                    <w:t>0.15</w:t>
                  </w:r>
                </w:p>
              </w:tc>
              <w:tc>
                <w:tcPr>
                  <w:tcW w:w="502" w:type="pct"/>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857" w:type="pct"/>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GB3095-2012</w:t>
                  </w:r>
                </w:p>
              </w:tc>
            </w:tr>
          </w:tbl>
          <w:p>
            <w:pPr>
              <w:keepNext w:val="0"/>
              <w:keepLines w:val="0"/>
              <w:suppressLineNumbers w:val="0"/>
              <w:spacing w:before="0" w:beforeAutospacing="0" w:after="0" w:afterAutospacing="0"/>
              <w:ind w:left="0" w:right="0" w:firstLine="480"/>
              <w:rPr>
                <w:rFonts w:hint="eastAsia" w:eastAsia="宋体"/>
                <w:bCs/>
                <w:u w:val="none"/>
                <w:lang w:eastAsia="zh-CN"/>
              </w:rPr>
            </w:pPr>
            <w:r>
              <w:rPr>
                <w:rFonts w:hint="default"/>
                <w:bCs/>
                <w:color w:val="000000" w:themeColor="text1"/>
                <w:u w:val="none"/>
                <w14:textFill>
                  <w14:solidFill>
                    <w14:schemeClr w14:val="tx1"/>
                  </w14:solidFill>
                </w14:textFill>
              </w:rPr>
              <w:t>经过估算模式计</w:t>
            </w:r>
            <w:r>
              <w:rPr>
                <w:rFonts w:hint="default"/>
                <w:bCs/>
                <w:u w:val="none"/>
              </w:rPr>
              <w:t>算，无组织排放的TVOC的最大落地浓度为</w:t>
            </w:r>
            <w:r>
              <w:rPr>
                <w:rFonts w:hint="eastAsia"/>
                <w:lang w:val="en-US" w:eastAsia="zh-CN"/>
              </w:rPr>
              <w:t>1.591221</w:t>
            </w:r>
            <w:r>
              <w:rPr>
                <w:rFonts w:hint="default" w:eastAsia="等线"/>
                <w:sz w:val="21"/>
                <w:szCs w:val="21"/>
                <w:u w:val="none"/>
              </w:rPr>
              <w:t>u</w:t>
            </w:r>
            <w:r>
              <w:rPr>
                <w:rFonts w:hint="default"/>
                <w:bCs/>
                <w:u w:val="none"/>
              </w:rPr>
              <w:t>g/m³，占标率</w:t>
            </w:r>
            <w:r>
              <w:rPr>
                <w:rFonts w:hint="default"/>
                <w:u w:val="none"/>
                <w:lang w:val="en-US" w:eastAsia="zh-CN"/>
              </w:rPr>
              <w:t>0.1</w:t>
            </w:r>
            <w:r>
              <w:rPr>
                <w:rFonts w:hint="eastAsia"/>
                <w:u w:val="none"/>
                <w:lang w:val="en-US" w:eastAsia="zh-CN"/>
              </w:rPr>
              <w:t>2</w:t>
            </w:r>
            <w:r>
              <w:rPr>
                <w:rFonts w:hint="default"/>
                <w:bCs/>
                <w:u w:val="none"/>
              </w:rPr>
              <w:t>%</w:t>
            </w:r>
            <w:r>
              <w:rPr>
                <w:rFonts w:hint="eastAsia"/>
                <w:bCs/>
                <w:u w:val="none"/>
                <w:lang w:eastAsia="zh-CN"/>
              </w:rPr>
              <w:t>，</w:t>
            </w:r>
            <w:r>
              <w:rPr>
                <w:rFonts w:hint="default"/>
                <w:bCs/>
                <w:u w:val="none"/>
              </w:rPr>
              <w:t>未超过《环境影响评价技术导则大气环境》（HJ 2.2—2018）附录D中TVOC的限值要求。</w:t>
            </w:r>
            <w:r>
              <w:rPr>
                <w:rFonts w:hint="eastAsia"/>
                <w:bCs/>
                <w:u w:val="none"/>
                <w:lang w:val="en-US" w:eastAsia="zh-CN"/>
              </w:rPr>
              <w:t>TSP</w:t>
            </w:r>
            <w:r>
              <w:rPr>
                <w:rFonts w:hint="default"/>
                <w:bCs/>
                <w:u w:val="none"/>
              </w:rPr>
              <w:t>的最大落地浓度</w:t>
            </w:r>
            <w:r>
              <w:rPr>
                <w:rFonts w:hint="eastAsia"/>
                <w:lang w:val="en-US" w:eastAsia="zh-CN"/>
              </w:rPr>
              <w:t>1.3885</w:t>
            </w:r>
            <w:r>
              <w:rPr>
                <w:rFonts w:hint="default" w:eastAsia="等线"/>
                <w:sz w:val="21"/>
                <w:szCs w:val="21"/>
                <w:u w:val="none"/>
              </w:rPr>
              <w:t>u</w:t>
            </w:r>
            <w:r>
              <w:rPr>
                <w:rFonts w:hint="default"/>
                <w:bCs/>
                <w:u w:val="none"/>
              </w:rPr>
              <w:t>g/m³，占标率</w:t>
            </w:r>
            <w:r>
              <w:rPr>
                <w:rFonts w:hint="eastAsia"/>
                <w:u w:val="none"/>
                <w:lang w:val="en-US" w:eastAsia="zh-CN"/>
              </w:rPr>
              <w:t>0.15</w:t>
            </w:r>
            <w:r>
              <w:rPr>
                <w:rFonts w:hint="default"/>
                <w:bCs/>
                <w:u w:val="none"/>
              </w:rPr>
              <w:t>%</w:t>
            </w:r>
            <w:r>
              <w:rPr>
                <w:rFonts w:hint="eastAsia"/>
                <w:bCs/>
                <w:u w:val="none"/>
                <w:lang w:eastAsia="zh-CN"/>
              </w:rPr>
              <w:t>，</w:t>
            </w:r>
            <w:r>
              <w:rPr>
                <w:rFonts w:hint="default"/>
                <w:bCs/>
                <w:u w:val="none"/>
              </w:rPr>
              <w:t>未超过《</w:t>
            </w:r>
            <w:r>
              <w:rPr>
                <w:rFonts w:hint="eastAsia"/>
                <w:bCs/>
                <w:u w:val="none"/>
                <w:lang w:eastAsia="zh-CN"/>
              </w:rPr>
              <w:t>环境空气质量标准</w:t>
            </w:r>
            <w:r>
              <w:rPr>
                <w:rFonts w:hint="default"/>
                <w:bCs/>
                <w:u w:val="none"/>
              </w:rPr>
              <w:t>》（</w:t>
            </w:r>
            <w:r>
              <w:rPr>
                <w:rFonts w:hint="eastAsia"/>
                <w:bCs/>
                <w:u w:val="none"/>
                <w:lang w:val="en-US" w:eastAsia="zh-CN"/>
              </w:rPr>
              <w:t>GB3095-2012</w:t>
            </w:r>
            <w:r>
              <w:rPr>
                <w:rFonts w:hint="default"/>
                <w:bCs/>
                <w:u w:val="none"/>
              </w:rPr>
              <w:t>）</w:t>
            </w:r>
            <w:r>
              <w:rPr>
                <w:rFonts w:hint="eastAsia"/>
                <w:bCs/>
                <w:u w:val="none"/>
                <w:lang w:eastAsia="zh-CN"/>
              </w:rPr>
              <w:t>表</w:t>
            </w:r>
            <w:r>
              <w:rPr>
                <w:rFonts w:hint="eastAsia"/>
                <w:bCs/>
                <w:u w:val="none"/>
                <w:lang w:val="en-US" w:eastAsia="zh-CN"/>
              </w:rPr>
              <w:t>2</w:t>
            </w:r>
            <w:r>
              <w:rPr>
                <w:rFonts w:hint="default"/>
                <w:bCs/>
                <w:u w:val="none"/>
              </w:rPr>
              <w:t>中T</w:t>
            </w:r>
            <w:r>
              <w:rPr>
                <w:rFonts w:hint="eastAsia"/>
                <w:bCs/>
                <w:u w:val="none"/>
                <w:lang w:val="en-US" w:eastAsia="zh-CN"/>
              </w:rPr>
              <w:t>SP</w:t>
            </w:r>
            <w:r>
              <w:rPr>
                <w:rFonts w:hint="default"/>
                <w:bCs/>
                <w:u w:val="none"/>
              </w:rPr>
              <w:t>的限值要求。</w:t>
            </w:r>
          </w:p>
          <w:p>
            <w:pPr>
              <w:pStyle w:val="5"/>
              <w:suppressLineNumbers w:val="0"/>
              <w:bidi w:val="0"/>
              <w:spacing w:before="0" w:beforeAutospacing="0" w:after="0" w:afterAutospacing="0"/>
              <w:ind w:left="0" w:right="0"/>
              <w:rPr>
                <w:rFonts w:hint="eastAsia"/>
                <w:u w:val="none"/>
                <w:lang w:val="en-US" w:eastAsia="zh-CN"/>
              </w:rPr>
            </w:pPr>
            <w:bookmarkStart w:id="135" w:name="_Toc21735"/>
            <w:bookmarkStart w:id="136" w:name="_Toc9468"/>
            <w:bookmarkStart w:id="137" w:name="_Toc9679"/>
          </w:p>
          <w:p>
            <w:pPr>
              <w:pStyle w:val="5"/>
              <w:suppressLineNumbers w:val="0"/>
              <w:bidi w:val="0"/>
              <w:spacing w:before="0" w:beforeAutospacing="0" w:after="0" w:afterAutospacing="0"/>
              <w:ind w:left="0" w:right="0"/>
              <w:rPr>
                <w:rFonts w:hint="eastAsia"/>
                <w:u w:val="none"/>
                <w:lang w:eastAsia="zh-CN"/>
              </w:rPr>
            </w:pPr>
            <w:r>
              <w:rPr>
                <w:rFonts w:hint="eastAsia"/>
                <w:u w:val="none"/>
                <w:lang w:val="en-US" w:eastAsia="zh-CN"/>
              </w:rPr>
              <w:t>7.2.3</w:t>
            </w:r>
            <w:r>
              <w:rPr>
                <w:rFonts w:hint="eastAsia"/>
                <w:u w:val="none"/>
                <w:lang w:eastAsia="zh-CN"/>
              </w:rPr>
              <w:t>评价等级</w:t>
            </w:r>
            <w:bookmarkEnd w:id="135"/>
            <w:bookmarkEnd w:id="136"/>
            <w:bookmarkEnd w:id="137"/>
          </w:p>
          <w:p>
            <w:pPr>
              <w:keepNext w:val="0"/>
              <w:keepLines w:val="0"/>
              <w:widowControl/>
              <w:suppressLineNumbers w:val="0"/>
              <w:spacing w:before="0" w:beforeAutospacing="0" w:after="0" w:afterAutospacing="0"/>
              <w:ind w:left="0" w:right="0" w:firstLine="480"/>
              <w:jc w:val="left"/>
              <w:rPr>
                <w:rFonts w:hint="default"/>
                <w:u w:val="none"/>
              </w:rPr>
            </w:pPr>
            <w:r>
              <w:rPr>
                <w:rFonts w:hint="default"/>
                <w:u w:val="none"/>
              </w:rPr>
              <w:t>大气评价等级判别表见下表。</w:t>
            </w:r>
          </w:p>
          <w:p>
            <w:pPr>
              <w:pStyle w:val="50"/>
              <w:keepNext w:val="0"/>
              <w:keepLines w:val="0"/>
              <w:suppressLineNumbers w:val="0"/>
              <w:bidi w:val="0"/>
              <w:spacing w:beforeAutospacing="0" w:after="0" w:afterAutospacing="0"/>
              <w:ind w:left="0" w:right="0"/>
              <w:rPr>
                <w:rFonts w:hint="default"/>
                <w:u w:val="none"/>
              </w:rPr>
            </w:pPr>
            <w:r>
              <w:rPr>
                <w:rFonts w:hint="default"/>
                <w:u w:val="none"/>
              </w:rPr>
              <w:t>表7.2-</w:t>
            </w:r>
            <w:r>
              <w:rPr>
                <w:rFonts w:hint="eastAsia"/>
                <w:u w:val="none"/>
                <w:lang w:val="en-US" w:eastAsia="zh-CN"/>
              </w:rPr>
              <w:t>8</w:t>
            </w:r>
            <w:r>
              <w:rPr>
                <w:rFonts w:hint="default"/>
                <w:u w:val="none"/>
              </w:rPr>
              <w:t xml:space="preserve">  评价等级判别表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评价工作等级</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一级评价</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二级评价</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三级评价</w:t>
                  </w:r>
                </w:p>
              </w:tc>
              <w:tc>
                <w:tcPr>
                  <w:tcW w:w="2500"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Pmax＜1%</w:t>
                  </w:r>
                </w:p>
              </w:tc>
            </w:tr>
          </w:tbl>
          <w:p>
            <w:pPr>
              <w:keepNext w:val="0"/>
              <w:keepLines w:val="0"/>
              <w:suppressLineNumbers w:val="0"/>
              <w:spacing w:before="0" w:beforeAutospacing="0" w:after="0" w:afterAutospacing="0"/>
              <w:ind w:left="0" w:right="0" w:firstLine="480"/>
              <w:rPr>
                <w:rFonts w:hint="default"/>
                <w:bCs/>
                <w:u w:val="none"/>
              </w:rPr>
            </w:pPr>
            <w:r>
              <w:rPr>
                <w:rFonts w:hint="eastAsia"/>
                <w:bCs/>
                <w:color w:val="auto"/>
                <w:u w:val="none"/>
                <w:lang w:eastAsia="zh-CN"/>
              </w:rPr>
              <w:t>经</w:t>
            </w:r>
            <w:r>
              <w:rPr>
                <w:rFonts w:hint="default"/>
                <w:bCs/>
                <w:color w:val="auto"/>
                <w:u w:val="none"/>
              </w:rPr>
              <w:t>计算</w:t>
            </w:r>
            <w:r>
              <w:rPr>
                <w:rFonts w:hint="eastAsia"/>
                <w:bCs/>
                <w:color w:val="auto"/>
                <w:u w:val="none"/>
                <w:lang w:eastAsia="zh-CN"/>
              </w:rPr>
              <w:t>，</w:t>
            </w:r>
            <w:r>
              <w:rPr>
                <w:rFonts w:hint="default"/>
                <w:u w:val="none"/>
              </w:rPr>
              <w:t>本项目</w:t>
            </w:r>
            <w:r>
              <w:rPr>
                <w:rFonts w:hint="default"/>
                <w:bCs/>
                <w:u w:val="none"/>
              </w:rPr>
              <w:t>最大占标率Pmax：</w:t>
            </w:r>
            <w:r>
              <w:rPr>
                <w:rFonts w:hint="eastAsia"/>
                <w:u w:val="none"/>
                <w:lang w:val="en-US" w:eastAsia="zh-CN"/>
              </w:rPr>
              <w:t>0.15</w:t>
            </w:r>
            <w:r>
              <w:rPr>
                <w:rFonts w:hint="default"/>
                <w:bCs/>
                <w:u w:val="none"/>
              </w:rPr>
              <w:t>%，</w:t>
            </w:r>
            <w:r>
              <w:rPr>
                <w:rFonts w:hint="eastAsia"/>
                <w:bCs/>
                <w:color w:val="auto"/>
                <w:u w:val="none"/>
                <w:lang w:eastAsia="zh-CN"/>
              </w:rPr>
              <w:t>本项目</w:t>
            </w:r>
            <w:r>
              <w:rPr>
                <w:rFonts w:hint="default"/>
                <w:bCs/>
                <w:u w:val="none"/>
              </w:rPr>
              <w:t>评价等级：</w:t>
            </w:r>
            <w:r>
              <w:rPr>
                <w:rFonts w:hint="default"/>
                <w:u w:val="none"/>
              </w:rPr>
              <w:t>三级</w:t>
            </w:r>
            <w:r>
              <w:rPr>
                <w:rFonts w:hint="default"/>
                <w:bCs/>
                <w:u w:val="none"/>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bCs/>
                <w:color w:val="auto"/>
                <w:u w:val="none"/>
              </w:rPr>
            </w:pPr>
            <w:r>
              <w:rPr>
                <w:rFonts w:hint="eastAsia"/>
                <w:bCs/>
                <w:color w:val="auto"/>
                <w:u w:val="none"/>
                <w:lang w:eastAsia="zh-CN"/>
              </w:rPr>
              <w:t>三级评价项目</w:t>
            </w:r>
            <w:r>
              <w:rPr>
                <w:rFonts w:hint="eastAsia"/>
                <w:bCs/>
                <w:color w:val="auto"/>
                <w:u w:val="none"/>
              </w:rPr>
              <w:t>只调查项目所在区域环境质量达标情况</w:t>
            </w:r>
            <w:r>
              <w:rPr>
                <w:rFonts w:hint="eastAsia"/>
                <w:bCs/>
                <w:color w:val="auto"/>
                <w:u w:val="none"/>
                <w:lang w:eastAsia="zh-CN"/>
              </w:rPr>
              <w:t>，不进行进一步预测与评价</w:t>
            </w:r>
            <w:r>
              <w:rPr>
                <w:rFonts w:hint="eastAsia"/>
                <w:bCs/>
                <w:color w:val="auto"/>
                <w:u w:val="none"/>
              </w:rPr>
              <w:t>。</w:t>
            </w:r>
          </w:p>
          <w:p>
            <w:pPr>
              <w:pStyle w:val="5"/>
              <w:suppressLineNumbers w:val="0"/>
              <w:bidi w:val="0"/>
              <w:spacing w:before="0" w:beforeAutospacing="0" w:after="0" w:afterAutospacing="0"/>
              <w:ind w:left="0" w:right="0"/>
              <w:rPr>
                <w:rFonts w:hint="default"/>
                <w:b/>
                <w:bCs/>
                <w:u w:val="none"/>
              </w:rPr>
            </w:pPr>
            <w:bookmarkStart w:id="138" w:name="_Toc12925"/>
            <w:bookmarkStart w:id="139" w:name="_Toc6961"/>
            <w:bookmarkStart w:id="140" w:name="_Toc6299"/>
            <w:r>
              <w:rPr>
                <w:rFonts w:hint="default"/>
                <w:u w:val="none"/>
              </w:rPr>
              <w:t>7.2.</w:t>
            </w:r>
            <w:r>
              <w:rPr>
                <w:rFonts w:hint="eastAsia"/>
                <w:u w:val="none"/>
                <w:lang w:val="en-US" w:eastAsia="zh-CN"/>
              </w:rPr>
              <w:t>4</w:t>
            </w:r>
            <w:r>
              <w:rPr>
                <w:rFonts w:hint="eastAsia"/>
                <w:b/>
                <w:bCs/>
                <w:u w:val="none"/>
              </w:rPr>
              <w:t>评价范围</w:t>
            </w:r>
            <w:bookmarkEnd w:id="138"/>
            <w:bookmarkEnd w:id="139"/>
            <w:bookmarkEnd w:id="140"/>
          </w:p>
          <w:p>
            <w:pPr>
              <w:keepNext w:val="0"/>
              <w:keepLines w:val="0"/>
              <w:widowControl/>
              <w:suppressLineNumbers w:val="0"/>
              <w:spacing w:before="0" w:beforeAutospacing="0" w:after="0" w:afterAutospacing="0"/>
              <w:ind w:left="0" w:right="0" w:firstLine="480"/>
              <w:rPr>
                <w:rFonts w:hint="default"/>
                <w:bCs/>
                <w:color w:val="auto"/>
                <w:u w:val="none"/>
              </w:rPr>
            </w:pPr>
            <w:r>
              <w:rPr>
                <w:rFonts w:hint="default"/>
                <w:bCs/>
                <w:color w:val="auto"/>
                <w:u w:val="none"/>
              </w:rPr>
              <w:t>根据《环境影响评价技术导则大气环境》（HJ 2.2—2018）中“</w:t>
            </w:r>
            <w:r>
              <w:rPr>
                <w:rFonts w:hint="eastAsia"/>
                <w:bCs/>
                <w:color w:val="auto"/>
                <w:u w:val="none"/>
              </w:rPr>
              <w:t>三级评价项目不需设置大气环境影响评价范围</w:t>
            </w:r>
            <w:r>
              <w:rPr>
                <w:rFonts w:hint="default"/>
                <w:bCs/>
                <w:color w:val="auto"/>
                <w:u w:val="none"/>
              </w:rPr>
              <w:t>”</w:t>
            </w:r>
          </w:p>
          <w:p>
            <w:pPr>
              <w:pStyle w:val="5"/>
              <w:suppressLineNumbers w:val="0"/>
              <w:bidi w:val="0"/>
              <w:spacing w:before="0" w:beforeAutospacing="0" w:after="0" w:afterAutospacing="0"/>
              <w:ind w:left="0" w:right="0"/>
              <w:rPr>
                <w:rFonts w:hint="default"/>
                <w:b/>
                <w:bCs/>
                <w:u w:val="none"/>
              </w:rPr>
            </w:pPr>
            <w:bookmarkStart w:id="141" w:name="_Toc27238"/>
            <w:bookmarkStart w:id="142" w:name="_Toc26113"/>
            <w:bookmarkStart w:id="143" w:name="_Toc6556"/>
            <w:bookmarkStart w:id="144" w:name="_Toc7079997"/>
            <w:bookmarkStart w:id="145" w:name="_Toc13073975"/>
            <w:bookmarkStart w:id="146" w:name="_Toc34840433"/>
            <w:bookmarkStart w:id="147" w:name="_Toc1690"/>
            <w:bookmarkStart w:id="148" w:name="_Toc29552"/>
            <w:r>
              <w:rPr>
                <w:rFonts w:hint="default"/>
                <w:u w:val="none"/>
              </w:rPr>
              <w:t>7.2.</w:t>
            </w:r>
            <w:r>
              <w:rPr>
                <w:rFonts w:hint="eastAsia"/>
                <w:u w:val="none"/>
                <w:lang w:val="en-US" w:eastAsia="zh-CN"/>
              </w:rPr>
              <w:t>5</w:t>
            </w:r>
            <w:r>
              <w:rPr>
                <w:rFonts w:hint="default"/>
                <w:b/>
                <w:bCs/>
                <w:u w:val="none"/>
              </w:rPr>
              <w:t>大气防护距离计算</w:t>
            </w:r>
            <w:bookmarkEnd w:id="141"/>
            <w:bookmarkEnd w:id="142"/>
            <w:bookmarkEnd w:id="143"/>
            <w:bookmarkEnd w:id="144"/>
            <w:bookmarkEnd w:id="145"/>
            <w:bookmarkEnd w:id="146"/>
            <w:bookmarkEnd w:id="147"/>
            <w:bookmarkEnd w:id="148"/>
          </w:p>
          <w:p>
            <w:pPr>
              <w:keepNext w:val="0"/>
              <w:keepLines w:val="0"/>
              <w:suppressLineNumbers w:val="0"/>
              <w:spacing w:before="0" w:beforeAutospacing="0" w:after="0" w:afterAutospacing="0"/>
              <w:ind w:left="0" w:right="0" w:firstLine="480"/>
              <w:rPr>
                <w:rFonts w:hint="default"/>
                <w:bCs/>
                <w:color w:val="000000" w:themeColor="text1"/>
                <w:u w:val="none"/>
                <w14:textFill>
                  <w14:solidFill>
                    <w14:schemeClr w14:val="tx1"/>
                  </w14:solidFill>
                </w14:textFill>
              </w:rPr>
            </w:pPr>
            <w:r>
              <w:rPr>
                <w:rFonts w:hint="default"/>
                <w:bCs/>
                <w:color w:val="auto"/>
                <w:u w:val="none"/>
              </w:rPr>
              <w:t>根据《环境影响评价技术导则大气环境》（HJ 2.2—2018），本项目厂界浓度满足大气污染物厂界浓度限值，厂界外大气污染物短期贡献浓度也未超过环境质量浓度限值的。因此本项目无需设置大气环境防护距离。</w:t>
            </w:r>
          </w:p>
          <w:p>
            <w:pPr>
              <w:pStyle w:val="5"/>
              <w:suppressLineNumbers w:val="0"/>
              <w:bidi w:val="0"/>
              <w:spacing w:before="0" w:beforeAutospacing="0" w:after="0" w:afterAutospacing="0"/>
              <w:ind w:left="0" w:right="0"/>
              <w:rPr>
                <w:rFonts w:hint="default"/>
                <w:u w:val="none"/>
              </w:rPr>
            </w:pPr>
            <w:bookmarkStart w:id="149" w:name="_Toc13073977"/>
            <w:bookmarkStart w:id="150" w:name="_Toc23411154"/>
            <w:bookmarkStart w:id="151" w:name="_Toc7079999"/>
            <w:bookmarkStart w:id="152" w:name="_Toc18580"/>
            <w:bookmarkStart w:id="153" w:name="_Toc564"/>
            <w:r>
              <w:rPr>
                <w:rFonts w:hint="default"/>
                <w:u w:val="none"/>
              </w:rPr>
              <w:t>7.2.6大气环境影响评价结论</w:t>
            </w:r>
            <w:bookmarkEnd w:id="149"/>
            <w:bookmarkEnd w:id="150"/>
            <w:bookmarkEnd w:id="151"/>
            <w:bookmarkEnd w:id="152"/>
            <w:bookmarkEnd w:id="153"/>
          </w:p>
          <w:p>
            <w:pPr>
              <w:keepNext w:val="0"/>
              <w:keepLines w:val="0"/>
              <w:suppressLineNumbers w:val="0"/>
              <w:spacing w:before="0" w:beforeAutospacing="0" w:after="0" w:afterAutospacing="0"/>
              <w:ind w:left="0" w:right="0" w:firstLine="480"/>
              <w:rPr>
                <w:rFonts w:hint="default"/>
                <w:kern w:val="0"/>
                <w:u w:val="none"/>
              </w:rPr>
            </w:pPr>
            <w:r>
              <w:rPr>
                <w:rFonts w:hint="default"/>
                <w:kern w:val="0"/>
                <w:szCs w:val="20"/>
                <w:u w:val="none"/>
              </w:rPr>
              <w:t>本</w:t>
            </w:r>
            <w:r>
              <w:rPr>
                <w:rFonts w:hint="default"/>
                <w:kern w:val="0"/>
                <w:u w:val="none"/>
              </w:rPr>
              <w:t>项目位于</w:t>
            </w:r>
            <w:r>
              <w:rPr>
                <w:rFonts w:hint="default"/>
                <w:u w:val="none"/>
              </w:rPr>
              <w:t>湖南省岳阳市湘阴县文星镇板桥村</w:t>
            </w:r>
            <w:r>
              <w:rPr>
                <w:rFonts w:hint="default"/>
                <w:kern w:val="0"/>
                <w:u w:val="none"/>
              </w:rPr>
              <w:t>，为</w:t>
            </w:r>
            <w:r>
              <w:rPr>
                <w:rFonts w:hint="eastAsia"/>
                <w:kern w:val="0"/>
                <w:u w:val="none"/>
                <w:lang w:eastAsia="zh-CN"/>
              </w:rPr>
              <w:t>年拆解回收利用10000辆废旧机动车项目</w:t>
            </w:r>
            <w:r>
              <w:rPr>
                <w:rFonts w:hint="default"/>
                <w:kern w:val="0"/>
                <w:u w:val="none"/>
              </w:rPr>
              <w:t>，报废机动车拆解能力为10000辆/年。</w:t>
            </w:r>
          </w:p>
          <w:p>
            <w:pPr>
              <w:keepNext w:val="0"/>
              <w:keepLines w:val="0"/>
              <w:suppressLineNumbers w:val="0"/>
              <w:spacing w:before="0" w:beforeAutospacing="0" w:after="0" w:afterAutospacing="0"/>
              <w:ind w:left="0" w:right="0" w:firstLine="480"/>
              <w:rPr>
                <w:rFonts w:hint="default"/>
                <w:bCs/>
                <w:u w:val="none"/>
              </w:rPr>
            </w:pPr>
            <w:r>
              <w:rPr>
                <w:rFonts w:hint="default"/>
                <w:bCs/>
                <w:color w:val="000000" w:themeColor="text1"/>
                <w:u w:val="none"/>
                <w14:textFill>
                  <w14:solidFill>
                    <w14:schemeClr w14:val="tx1"/>
                  </w14:solidFill>
                </w14:textFill>
              </w:rPr>
              <w:t>经过估算模式计</w:t>
            </w:r>
            <w:r>
              <w:rPr>
                <w:rFonts w:hint="default"/>
                <w:bCs/>
                <w:u w:val="none"/>
              </w:rPr>
              <w:t>算，无组织排放的TVOC的最大落地浓度为</w:t>
            </w:r>
            <w:r>
              <w:rPr>
                <w:rFonts w:hint="eastAsia"/>
                <w:lang w:val="en-US" w:eastAsia="zh-CN"/>
              </w:rPr>
              <w:t>1.591221</w:t>
            </w:r>
            <w:r>
              <w:rPr>
                <w:rFonts w:hint="default" w:eastAsia="等线"/>
                <w:sz w:val="21"/>
                <w:szCs w:val="21"/>
                <w:u w:val="none"/>
              </w:rPr>
              <w:t>u</w:t>
            </w:r>
            <w:r>
              <w:rPr>
                <w:rFonts w:hint="default"/>
                <w:bCs/>
                <w:u w:val="none"/>
              </w:rPr>
              <w:t>g/m³，占标率</w:t>
            </w:r>
            <w:r>
              <w:rPr>
                <w:rFonts w:hint="default"/>
                <w:u w:val="none"/>
                <w:lang w:val="en-US" w:eastAsia="zh-CN"/>
              </w:rPr>
              <w:t>0.1</w:t>
            </w:r>
            <w:r>
              <w:rPr>
                <w:rFonts w:hint="eastAsia"/>
                <w:u w:val="none"/>
                <w:lang w:val="en-US" w:eastAsia="zh-CN"/>
              </w:rPr>
              <w:t>2</w:t>
            </w:r>
            <w:r>
              <w:rPr>
                <w:rFonts w:hint="default"/>
                <w:bCs/>
                <w:u w:val="none"/>
              </w:rPr>
              <w:t>%</w:t>
            </w:r>
            <w:r>
              <w:rPr>
                <w:rFonts w:hint="eastAsia"/>
                <w:bCs/>
                <w:u w:val="none"/>
                <w:lang w:eastAsia="zh-CN"/>
              </w:rPr>
              <w:t>，</w:t>
            </w:r>
            <w:r>
              <w:rPr>
                <w:rFonts w:hint="default"/>
                <w:bCs/>
                <w:u w:val="none"/>
              </w:rPr>
              <w:t>未超过《环境影响评价技术导则大气环境》（HJ 2.2—2018）附录D中TVOC的限值要求。</w:t>
            </w:r>
            <w:r>
              <w:rPr>
                <w:rFonts w:hint="eastAsia"/>
                <w:bCs/>
                <w:u w:val="none"/>
                <w:lang w:val="en-US" w:eastAsia="zh-CN"/>
              </w:rPr>
              <w:t>TSP</w:t>
            </w:r>
            <w:r>
              <w:rPr>
                <w:rFonts w:hint="default"/>
                <w:bCs/>
                <w:u w:val="none"/>
              </w:rPr>
              <w:t>的最大落地浓度</w:t>
            </w:r>
            <w:r>
              <w:rPr>
                <w:rFonts w:hint="eastAsia"/>
                <w:lang w:val="en-US" w:eastAsia="zh-CN"/>
              </w:rPr>
              <w:t>1.3885</w:t>
            </w:r>
            <w:r>
              <w:rPr>
                <w:rFonts w:hint="default" w:eastAsia="等线"/>
                <w:sz w:val="21"/>
                <w:szCs w:val="21"/>
                <w:u w:val="none"/>
              </w:rPr>
              <w:t>u</w:t>
            </w:r>
            <w:r>
              <w:rPr>
                <w:rFonts w:hint="default"/>
                <w:bCs/>
                <w:u w:val="none"/>
              </w:rPr>
              <w:t>g/m³，占标率</w:t>
            </w:r>
            <w:r>
              <w:rPr>
                <w:rFonts w:hint="eastAsia"/>
                <w:u w:val="none"/>
                <w:lang w:val="en-US" w:eastAsia="zh-CN"/>
              </w:rPr>
              <w:t>0.15</w:t>
            </w:r>
            <w:r>
              <w:rPr>
                <w:rFonts w:hint="default"/>
                <w:bCs/>
                <w:u w:val="none"/>
              </w:rPr>
              <w:t>%</w:t>
            </w:r>
            <w:r>
              <w:rPr>
                <w:rFonts w:hint="eastAsia"/>
                <w:bCs/>
                <w:u w:val="none"/>
                <w:lang w:eastAsia="zh-CN"/>
              </w:rPr>
              <w:t>，</w:t>
            </w:r>
            <w:r>
              <w:rPr>
                <w:rFonts w:hint="default"/>
                <w:bCs/>
                <w:u w:val="none"/>
              </w:rPr>
              <w:t>未超过《</w:t>
            </w:r>
            <w:r>
              <w:rPr>
                <w:rFonts w:hint="eastAsia"/>
                <w:bCs/>
                <w:u w:val="none"/>
                <w:lang w:eastAsia="zh-CN"/>
              </w:rPr>
              <w:t>环境空气质量标准</w:t>
            </w:r>
            <w:r>
              <w:rPr>
                <w:rFonts w:hint="default"/>
                <w:bCs/>
                <w:u w:val="none"/>
              </w:rPr>
              <w:t>》（</w:t>
            </w:r>
            <w:r>
              <w:rPr>
                <w:rFonts w:hint="eastAsia"/>
                <w:bCs/>
                <w:u w:val="none"/>
                <w:lang w:val="en-US" w:eastAsia="zh-CN"/>
              </w:rPr>
              <w:t>GB3095-2012</w:t>
            </w:r>
            <w:r>
              <w:rPr>
                <w:rFonts w:hint="default"/>
                <w:bCs/>
                <w:u w:val="none"/>
              </w:rPr>
              <w:t>）</w:t>
            </w:r>
            <w:r>
              <w:rPr>
                <w:rFonts w:hint="eastAsia"/>
                <w:bCs/>
                <w:u w:val="none"/>
                <w:lang w:eastAsia="zh-CN"/>
              </w:rPr>
              <w:t>表</w:t>
            </w:r>
            <w:r>
              <w:rPr>
                <w:rFonts w:hint="eastAsia"/>
                <w:bCs/>
                <w:u w:val="none"/>
                <w:lang w:val="en-US" w:eastAsia="zh-CN"/>
              </w:rPr>
              <w:t>2</w:t>
            </w:r>
            <w:r>
              <w:rPr>
                <w:rFonts w:hint="default"/>
                <w:bCs/>
                <w:u w:val="none"/>
              </w:rPr>
              <w:t>中T</w:t>
            </w:r>
            <w:r>
              <w:rPr>
                <w:rFonts w:hint="eastAsia"/>
                <w:bCs/>
                <w:u w:val="none"/>
                <w:lang w:val="en-US" w:eastAsia="zh-CN"/>
              </w:rPr>
              <w:t>SP</w:t>
            </w:r>
            <w:r>
              <w:rPr>
                <w:rFonts w:hint="default"/>
                <w:bCs/>
                <w:u w:val="none"/>
              </w:rPr>
              <w:t>的限值要求。</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u w:val="none"/>
              </w:rPr>
              <w:t>综上所述，认为本</w:t>
            </w:r>
            <w:r>
              <w:rPr>
                <w:rFonts w:hint="default"/>
                <w:kern w:val="0"/>
                <w:szCs w:val="20"/>
                <w:u w:val="none"/>
              </w:rPr>
              <w:t>项目环境影响可以接受。</w:t>
            </w:r>
          </w:p>
          <w:p>
            <w:pPr>
              <w:pStyle w:val="5"/>
              <w:suppressLineNumbers w:val="0"/>
              <w:bidi w:val="0"/>
              <w:spacing w:before="0" w:beforeAutospacing="0" w:after="0" w:afterAutospacing="0"/>
              <w:ind w:left="0" w:right="0"/>
              <w:rPr>
                <w:rFonts w:hint="default"/>
                <w:u w:val="none"/>
              </w:rPr>
            </w:pPr>
            <w:bookmarkStart w:id="154" w:name="_Toc890"/>
            <w:bookmarkStart w:id="155" w:name="_Toc535229792"/>
            <w:bookmarkStart w:id="156" w:name="_Toc3404"/>
            <w:r>
              <w:rPr>
                <w:rFonts w:hint="default"/>
                <w:u w:val="none"/>
              </w:rPr>
              <w:t>7.3营运期地表水环境影响分析</w:t>
            </w:r>
            <w:bookmarkEnd w:id="154"/>
            <w:bookmarkEnd w:id="155"/>
            <w:bookmarkEnd w:id="156"/>
          </w:p>
          <w:p>
            <w:pPr>
              <w:keepNext w:val="0"/>
              <w:keepLines w:val="0"/>
              <w:suppressLineNumbers w:val="0"/>
              <w:spacing w:before="0" w:beforeAutospacing="0" w:after="0" w:afterAutospacing="0"/>
              <w:ind w:left="0" w:right="0" w:firstLine="480"/>
              <w:rPr>
                <w:rFonts w:hint="default"/>
                <w:u w:val="none"/>
              </w:rPr>
            </w:pPr>
            <w:r>
              <w:rPr>
                <w:rFonts w:hint="default"/>
                <w:u w:val="none"/>
              </w:rPr>
              <w:t>本项目</w:t>
            </w:r>
            <w:r>
              <w:rPr>
                <w:rFonts w:hint="eastAsia"/>
                <w:u w:val="none"/>
                <w:lang w:eastAsia="zh-CN"/>
              </w:rPr>
              <w:t>位于</w:t>
            </w:r>
            <w:r>
              <w:rPr>
                <w:rFonts w:hint="default"/>
                <w:u w:val="none"/>
              </w:rPr>
              <w:t>湖南省岳阳市湘阴县文星镇板桥村</w:t>
            </w:r>
            <w:r>
              <w:rPr>
                <w:rFonts w:hint="eastAsia"/>
                <w:u w:val="none"/>
                <w:lang w:eastAsia="zh-CN"/>
              </w:rPr>
              <w:t>，租赁湘阴县顽石再生科技有限公司现有厂房，</w:t>
            </w:r>
            <w:r>
              <w:rPr>
                <w:rFonts w:hint="default"/>
                <w:u w:val="none"/>
              </w:rPr>
              <w:t>运营期间，生活废水经过化粪池处理后做农肥，不排放</w:t>
            </w:r>
            <w:r>
              <w:rPr>
                <w:rFonts w:hint="eastAsia"/>
                <w:u w:val="none"/>
                <w:lang w:eastAsia="zh-CN"/>
              </w:rPr>
              <w:t>。</w:t>
            </w:r>
            <w:r>
              <w:rPr>
                <w:rFonts w:hint="eastAsia"/>
                <w:u w:val="none"/>
              </w:rPr>
              <w:t>初期雨水、</w:t>
            </w:r>
            <w:r>
              <w:rPr>
                <w:rFonts w:hint="eastAsia"/>
                <w:u w:val="none"/>
                <w:lang w:eastAsia="zh-CN"/>
              </w:rPr>
              <w:t>车间</w:t>
            </w:r>
            <w:r>
              <w:rPr>
                <w:rFonts w:hint="eastAsia"/>
                <w:u w:val="none"/>
              </w:rPr>
              <w:t>清洗</w:t>
            </w:r>
            <w:r>
              <w:rPr>
                <w:rFonts w:hint="eastAsia"/>
                <w:u w:val="none"/>
                <w:lang w:eastAsia="zh-CN"/>
              </w:rPr>
              <w:t>废水、车辆清洗废</w:t>
            </w:r>
            <w:r>
              <w:rPr>
                <w:rFonts w:hint="eastAsia"/>
                <w:u w:val="none"/>
              </w:rPr>
              <w:t>水</w:t>
            </w:r>
            <w:r>
              <w:rPr>
                <w:rFonts w:hint="eastAsia"/>
                <w:u w:val="none"/>
                <w:lang w:eastAsia="zh-CN"/>
              </w:rPr>
              <w:t>收集后用于</w:t>
            </w:r>
            <w:r>
              <w:rPr>
                <w:rFonts w:hint="eastAsia"/>
                <w:u w:val="none"/>
              </w:rPr>
              <w:t>湘阴县顽石再生科技有限公司</w:t>
            </w:r>
            <w:r>
              <w:rPr>
                <w:rFonts w:hint="eastAsia"/>
                <w:u w:val="none"/>
                <w:lang w:eastAsia="zh-CN"/>
              </w:rPr>
              <w:t>制砖用，无生产废水排放</w:t>
            </w:r>
            <w:r>
              <w:rPr>
                <w:rFonts w:hint="eastAsia"/>
                <w:u w:val="none"/>
              </w:rPr>
              <w:t>。</w:t>
            </w:r>
          </w:p>
          <w:p>
            <w:pPr>
              <w:keepNext w:val="0"/>
              <w:keepLines w:val="0"/>
              <w:suppressLineNumbers w:val="0"/>
              <w:spacing w:before="0" w:beforeAutospacing="0" w:after="0" w:afterAutospacing="0"/>
              <w:ind w:left="0" w:right="0" w:firstLine="480"/>
              <w:rPr>
                <w:rFonts w:hint="eastAsia" w:eastAsia="宋体"/>
                <w:u w:val="none"/>
                <w:lang w:eastAsia="zh-CN"/>
              </w:rPr>
            </w:pPr>
            <w:r>
              <w:rPr>
                <w:rFonts w:hint="default"/>
                <w:u w:val="none"/>
              </w:rPr>
              <w:t>本项目</w:t>
            </w:r>
            <w:r>
              <w:rPr>
                <w:rFonts w:hint="eastAsia"/>
                <w:u w:val="none"/>
              </w:rPr>
              <w:t>水域</w:t>
            </w:r>
            <w:r>
              <w:rPr>
                <w:rFonts w:hint="eastAsia"/>
                <w:u w:val="none"/>
                <w:lang w:eastAsia="zh-CN"/>
              </w:rPr>
              <w:t>为湘江，根据《湖南省主要地表水系水环境</w:t>
            </w:r>
            <w:r>
              <w:rPr>
                <w:rFonts w:hint="eastAsia"/>
                <w:u w:val="none"/>
                <w:lang w:val="en-US" w:eastAsia="zh-CN"/>
              </w:rPr>
              <w:t xml:space="preserve"> </w:t>
            </w:r>
            <w:r>
              <w:rPr>
                <w:rFonts w:hint="eastAsia"/>
                <w:u w:val="none"/>
                <w:lang w:eastAsia="zh-CN"/>
              </w:rPr>
              <w:t>功能区划》（DB43/023-2005），洋沙湖下游200米至磊石（东支)，其水域</w:t>
            </w:r>
            <w:r>
              <w:rPr>
                <w:rFonts w:hint="eastAsia"/>
                <w:u w:val="none"/>
              </w:rPr>
              <w:t>功能</w:t>
            </w:r>
            <w:r>
              <w:rPr>
                <w:rFonts w:hint="eastAsia"/>
                <w:u w:val="none"/>
                <w:lang w:eastAsia="zh-CN"/>
              </w:rPr>
              <w:t>是渔业用水区，为</w:t>
            </w:r>
            <w:r>
              <w:rPr>
                <w:rFonts w:hint="eastAsia" w:ascii="宋体" w:hAnsi="宋体" w:eastAsia="宋体" w:cs="宋体"/>
                <w:u w:val="none"/>
                <w:lang w:eastAsia="zh-CN"/>
              </w:rPr>
              <w:t>Ⅲ</w:t>
            </w:r>
            <w:r>
              <w:rPr>
                <w:rFonts w:hint="eastAsia"/>
                <w:u w:val="none"/>
                <w:lang w:eastAsia="zh-CN"/>
              </w:rPr>
              <w:t>类区。</w:t>
            </w:r>
          </w:p>
          <w:p>
            <w:pPr>
              <w:keepNext w:val="0"/>
              <w:keepLines w:val="0"/>
              <w:suppressLineNumbers w:val="0"/>
              <w:spacing w:before="0" w:beforeAutospacing="0" w:after="0" w:afterAutospacing="0"/>
              <w:ind w:left="0" w:right="0" w:firstLine="480"/>
              <w:rPr>
                <w:rFonts w:hint="default"/>
                <w:u w:val="none"/>
              </w:rPr>
            </w:pPr>
            <w:r>
              <w:rPr>
                <w:rFonts w:hint="default"/>
                <w:u w:val="none"/>
              </w:rPr>
              <w:t>根据《环境影响评价技术导则地表水环境》（HJ 2.3—2018），不进行地表水评价。</w:t>
            </w:r>
          </w:p>
          <w:p>
            <w:pPr>
              <w:keepNext w:val="0"/>
              <w:keepLines w:val="0"/>
              <w:suppressLineNumbers w:val="0"/>
              <w:bidi w:val="0"/>
              <w:spacing w:before="0" w:beforeAutospacing="0" w:after="0" w:afterAutospacing="0"/>
              <w:ind w:left="0" w:right="0"/>
              <w:rPr>
                <w:rFonts w:hint="eastAsia"/>
                <w:b/>
                <w:bCs/>
                <w:u w:val="single"/>
                <w:lang w:val="en-US" w:eastAsia="zh-CN"/>
              </w:rPr>
            </w:pPr>
            <w:r>
              <w:rPr>
                <w:rFonts w:hint="eastAsia"/>
                <w:b/>
                <w:bCs/>
                <w:u w:val="single"/>
                <w:lang w:val="en-US" w:eastAsia="zh-CN"/>
              </w:rPr>
              <w:t>废水依托相关废水处理设施的可行性和全部回用的可靠性分析：</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本项目位于湘阴县顽石再生科技有限公司厂区内，厂区内配备雨污分流措施，可依托现有雨污分流措施。</w:t>
            </w:r>
            <w:r>
              <w:rPr>
                <w:rFonts w:hint="eastAsia"/>
                <w:u w:val="single"/>
              </w:rPr>
              <w:t>初期雨水、</w:t>
            </w:r>
            <w:r>
              <w:rPr>
                <w:rFonts w:hint="eastAsia"/>
                <w:u w:val="single"/>
                <w:lang w:eastAsia="zh-CN"/>
              </w:rPr>
              <w:t>车间</w:t>
            </w:r>
            <w:r>
              <w:rPr>
                <w:rFonts w:hint="eastAsia"/>
                <w:u w:val="single"/>
              </w:rPr>
              <w:t>清洗</w:t>
            </w:r>
            <w:r>
              <w:rPr>
                <w:rFonts w:hint="eastAsia"/>
                <w:u w:val="single"/>
                <w:lang w:eastAsia="zh-CN"/>
              </w:rPr>
              <w:t>废水、车辆清洗废</w:t>
            </w:r>
            <w:r>
              <w:rPr>
                <w:rFonts w:hint="eastAsia"/>
                <w:u w:val="single"/>
              </w:rPr>
              <w:t>水</w:t>
            </w:r>
            <w:r>
              <w:rPr>
                <w:rFonts w:hint="eastAsia"/>
                <w:u w:val="single"/>
                <w:lang w:eastAsia="zh-CN"/>
              </w:rPr>
              <w:t>经现有污水管网排放至湘阴县顽石再生科技有限公司处理后由</w:t>
            </w:r>
            <w:r>
              <w:rPr>
                <w:rStyle w:val="29"/>
                <w:rFonts w:hint="eastAsia"/>
                <w:bCs w:val="0"/>
                <w:iCs w:val="0"/>
                <w:snapToGrid/>
                <w:color w:val="auto"/>
                <w:u w:val="single"/>
                <w:lang w:eastAsia="zh-CN"/>
              </w:rPr>
              <w:t>《</w:t>
            </w:r>
            <w:r>
              <w:rPr>
                <w:rFonts w:hint="eastAsia"/>
                <w:u w:val="single"/>
                <w:lang w:eastAsia="zh-CN"/>
              </w:rPr>
              <w:t>湘阴县顽石再生科技有限公司利用建筑垃圾等废弃资源年产</w:t>
            </w:r>
            <w:r>
              <w:rPr>
                <w:rFonts w:hint="eastAsia"/>
                <w:u w:val="single"/>
                <w:lang w:val="en-US" w:eastAsia="zh-CN"/>
              </w:rPr>
              <w:t>30万吨预拌砂浆项目</w:t>
            </w:r>
            <w:r>
              <w:rPr>
                <w:rStyle w:val="29"/>
                <w:rFonts w:hint="eastAsia"/>
                <w:bCs w:val="0"/>
                <w:iCs w:val="0"/>
                <w:snapToGrid/>
                <w:color w:val="auto"/>
                <w:u w:val="single"/>
                <w:lang w:eastAsia="zh-CN"/>
              </w:rPr>
              <w:t>》</w:t>
            </w:r>
            <w:r>
              <w:rPr>
                <w:rFonts w:hint="eastAsia"/>
                <w:u w:val="single"/>
              </w:rPr>
              <w:t>进行制砖用，不排放</w:t>
            </w:r>
            <w:r>
              <w:rPr>
                <w:rFonts w:hint="eastAsia"/>
                <w:u w:val="single"/>
                <w:lang w:eastAsia="zh-CN"/>
              </w:rPr>
              <w:t>。</w:t>
            </w:r>
          </w:p>
          <w:p>
            <w:pPr>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eastAsia="zh-CN"/>
              </w:rPr>
              <w:t>湘阴县顽石再生科技有限公司现有一座隔油池、一座三级沉淀池，有效容积为1800立方米，本项目含石油类废水（石油类≤100mg/L）可排放至隔油池中处理后再排放至沉淀池处理。可满足本项目含油废水的处理。因此本项目废水依托相关废水处理设施可行性，全部回用可靠。</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可节约水资源，降低污染物排放，达到环保可持续发展的目的，综上所述，本项目依托湘阴县顽石再生科技有限公司的</w:t>
            </w:r>
            <w:r>
              <w:rPr>
                <w:rFonts w:hint="eastAsia"/>
                <w:u w:val="single"/>
                <w:lang w:val="en-US" w:eastAsia="zh-CN"/>
              </w:rPr>
              <w:t>废水处理设施的可行。</w:t>
            </w:r>
          </w:p>
          <w:p>
            <w:pPr>
              <w:pStyle w:val="4"/>
              <w:suppressLineNumbers w:val="0"/>
              <w:bidi w:val="0"/>
              <w:spacing w:before="0" w:beforeAutospacing="0" w:after="0" w:afterAutospacing="0"/>
              <w:ind w:left="0" w:right="0"/>
              <w:rPr>
                <w:rFonts w:hint="default"/>
                <w:u w:val="none"/>
              </w:rPr>
            </w:pPr>
            <w:bookmarkStart w:id="157" w:name="_Toc535229793"/>
            <w:bookmarkStart w:id="158" w:name="_Toc15611"/>
            <w:bookmarkStart w:id="159" w:name="_Toc17989"/>
            <w:r>
              <w:rPr>
                <w:rFonts w:hint="default"/>
                <w:u w:val="none"/>
              </w:rPr>
              <w:t>7.4营运期地下水环境影响分析</w:t>
            </w:r>
            <w:bookmarkEnd w:id="157"/>
            <w:bookmarkEnd w:id="158"/>
            <w:bookmarkEnd w:id="159"/>
          </w:p>
          <w:p>
            <w:pPr>
              <w:pStyle w:val="5"/>
              <w:suppressLineNumbers w:val="0"/>
              <w:bidi w:val="0"/>
              <w:spacing w:before="0" w:beforeAutospacing="0" w:after="0" w:afterAutospacing="0"/>
              <w:ind w:left="0" w:right="0"/>
              <w:rPr>
                <w:rFonts w:hint="default"/>
                <w:u w:val="none"/>
              </w:rPr>
            </w:pPr>
            <w:bookmarkStart w:id="160" w:name="_Toc13073991"/>
            <w:bookmarkStart w:id="161" w:name="_Toc15369"/>
            <w:bookmarkStart w:id="162" w:name="_Toc23411157"/>
            <w:bookmarkStart w:id="163" w:name="_Toc7080015"/>
            <w:bookmarkStart w:id="164" w:name="_Toc19276"/>
            <w:r>
              <w:rPr>
                <w:rFonts w:hint="default"/>
                <w:u w:val="none"/>
              </w:rPr>
              <w:t>7.4.1评价区地质与水文地质概况</w:t>
            </w:r>
            <w:bookmarkEnd w:id="160"/>
            <w:bookmarkEnd w:id="161"/>
            <w:bookmarkEnd w:id="162"/>
            <w:bookmarkEnd w:id="163"/>
            <w:bookmarkEnd w:id="164"/>
          </w:p>
          <w:p>
            <w:pPr>
              <w:keepNext w:val="0"/>
              <w:keepLines w:val="0"/>
              <w:suppressLineNumbers w:val="0"/>
              <w:spacing w:before="0" w:beforeAutospacing="0" w:after="0" w:afterAutospacing="0"/>
              <w:ind w:left="0" w:right="0" w:firstLine="480"/>
              <w:rPr>
                <w:rFonts w:hint="default"/>
                <w:u w:val="none"/>
              </w:rPr>
            </w:pPr>
            <w:r>
              <w:rPr>
                <w:rFonts w:hint="default"/>
                <w:u w:val="none"/>
              </w:rPr>
              <w:t>1、区域地质构造</w:t>
            </w:r>
          </w:p>
          <w:p>
            <w:pPr>
              <w:keepNext w:val="0"/>
              <w:keepLines w:val="0"/>
              <w:suppressLineNumbers w:val="0"/>
              <w:spacing w:before="0" w:beforeAutospacing="0" w:after="0" w:afterAutospacing="0"/>
              <w:ind w:left="0" w:right="0" w:firstLine="480"/>
              <w:rPr>
                <w:rFonts w:hint="default"/>
                <w:u w:val="none"/>
              </w:rPr>
            </w:pPr>
            <w:r>
              <w:rPr>
                <w:rFonts w:hint="default"/>
                <w:u w:val="none"/>
              </w:rPr>
              <w:t>岳阳市属幕阜山脉向江汉平原过渡地带，地貌多样、交相穿插，整个地势由东南向西北倾斜。地表组成物质 65%为变质岩，其余为沙质岩，土壤组成以第四纪红色粘土和第四纪全新河、湖沉积物为主。多为山地和河湖，丘岗与盆地相穿插、平原与湖泊交错，海拔高程 40</w:t>
            </w:r>
            <w:r>
              <w:rPr>
                <w:rFonts w:hint="eastAsia"/>
                <w:u w:val="none"/>
                <w:lang w:val="en-US" w:eastAsia="zh-CN"/>
              </w:rPr>
              <w:t>~</w:t>
            </w:r>
            <w:r>
              <w:rPr>
                <w:rFonts w:hint="default"/>
                <w:u w:val="none"/>
              </w:rPr>
              <w:t>60 米，最大高差为 35 米左右。根据《中国地震烈度区划图》，该区地震设防烈度为 6 度。</w:t>
            </w:r>
          </w:p>
          <w:p>
            <w:pPr>
              <w:keepNext w:val="0"/>
              <w:keepLines w:val="0"/>
              <w:suppressLineNumbers w:val="0"/>
              <w:spacing w:before="0" w:beforeAutospacing="0" w:after="0" w:afterAutospacing="0"/>
              <w:ind w:left="0" w:right="0" w:firstLine="480"/>
              <w:rPr>
                <w:rFonts w:hint="default"/>
                <w:u w:val="none"/>
              </w:rPr>
            </w:pPr>
            <w:r>
              <w:rPr>
                <w:rFonts w:hint="default"/>
                <w:u w:val="none"/>
              </w:rPr>
              <w:t>2、岩土分层及其特征</w:t>
            </w:r>
          </w:p>
          <w:p>
            <w:pPr>
              <w:keepNext w:val="0"/>
              <w:keepLines w:val="0"/>
              <w:suppressLineNumbers w:val="0"/>
              <w:spacing w:before="0" w:beforeAutospacing="0" w:after="0" w:afterAutospacing="0"/>
              <w:ind w:left="0" w:right="0" w:firstLine="480"/>
              <w:rPr>
                <w:rFonts w:hint="default"/>
                <w:u w:val="none"/>
              </w:rPr>
            </w:pPr>
            <w:r>
              <w:rPr>
                <w:rFonts w:hint="default"/>
                <w:u w:val="none"/>
              </w:rPr>
              <w:t>依据场地已有地质资料，项目区场地各地层从上至下依次为：</w:t>
            </w:r>
          </w:p>
          <w:p>
            <w:pPr>
              <w:keepNext w:val="0"/>
              <w:keepLines w:val="0"/>
              <w:suppressLineNumbers w:val="0"/>
              <w:spacing w:before="0" w:beforeAutospacing="0" w:after="0" w:afterAutospacing="0"/>
              <w:ind w:left="0" w:right="0" w:firstLine="480"/>
              <w:rPr>
                <w:rFonts w:hint="default"/>
                <w:u w:val="none"/>
              </w:rPr>
            </w:pPr>
            <w:r>
              <w:rPr>
                <w:rFonts w:hint="default"/>
                <w:u w:val="none"/>
              </w:rPr>
              <w:t>（1）人工填土</w:t>
            </w:r>
          </w:p>
          <w:p>
            <w:pPr>
              <w:keepNext w:val="0"/>
              <w:keepLines w:val="0"/>
              <w:suppressLineNumbers w:val="0"/>
              <w:spacing w:before="0" w:beforeAutospacing="0" w:after="0" w:afterAutospacing="0"/>
              <w:ind w:left="0" w:right="0" w:firstLine="480"/>
              <w:rPr>
                <w:rFonts w:hint="default"/>
                <w:u w:val="none"/>
              </w:rPr>
            </w:pPr>
            <w:r>
              <w:rPr>
                <w:rFonts w:hint="default"/>
                <w:u w:val="none"/>
              </w:rPr>
              <w:t>褐黄、褐红、灰黑等色。主要由粘性土、砂土、碎石或少量建筑垃圾组成，结构松散，其中碎石粒径 2～15cm，次棱角状，含量约 20%～40%。场地内普遍分布，层厚 1.5～3.8m。为</w:t>
            </w:r>
            <w:r>
              <w:rPr>
                <w:rFonts w:hint="eastAsia" w:ascii="宋体" w:hAnsi="宋体" w:cs="宋体"/>
                <w:u w:val="none"/>
              </w:rPr>
              <w:t>Ⅱ</w:t>
            </w:r>
            <w:r>
              <w:rPr>
                <w:rFonts w:hint="default"/>
                <w:u w:val="none"/>
              </w:rPr>
              <w:t>级普通土。</w:t>
            </w:r>
          </w:p>
          <w:p>
            <w:pPr>
              <w:keepNext w:val="0"/>
              <w:keepLines w:val="0"/>
              <w:suppressLineNumbers w:val="0"/>
              <w:spacing w:before="0" w:beforeAutospacing="0" w:after="0" w:afterAutospacing="0"/>
              <w:ind w:left="0" w:right="0" w:firstLine="480"/>
              <w:rPr>
                <w:rFonts w:hint="default"/>
                <w:u w:val="none"/>
              </w:rPr>
            </w:pPr>
            <w:r>
              <w:rPr>
                <w:rFonts w:hint="default"/>
                <w:u w:val="none"/>
              </w:rPr>
              <w:t>（2）第四系上全新全新统湖沼沉积淤泥质粘土层</w:t>
            </w:r>
          </w:p>
          <w:p>
            <w:pPr>
              <w:keepNext w:val="0"/>
              <w:keepLines w:val="0"/>
              <w:suppressLineNumbers w:val="0"/>
              <w:spacing w:before="0" w:beforeAutospacing="0" w:after="0" w:afterAutospacing="0"/>
              <w:ind w:left="0" w:right="0" w:firstLine="480"/>
              <w:rPr>
                <w:rFonts w:hint="default"/>
                <w:u w:val="none"/>
              </w:rPr>
            </w:pPr>
            <w:r>
              <w:rPr>
                <w:rFonts w:hint="default"/>
                <w:u w:val="none"/>
              </w:rPr>
              <w:t>淤泥质粘土：浅灰、灰黑色，局部混砂及腐木，很湿～饱和，软塑状为主，局部可塑，光滑，摇振反应慢，干强度高，韧性高，压缩性高，局部表现为粘土（含淤泥质）场地内普遍分布，为</w:t>
            </w:r>
            <w:r>
              <w:rPr>
                <w:rFonts w:hint="eastAsia" w:ascii="宋体" w:hAnsi="宋体" w:cs="宋体"/>
                <w:u w:val="none"/>
              </w:rPr>
              <w:t>Ⅱ</w:t>
            </w:r>
            <w:r>
              <w:rPr>
                <w:rFonts w:hint="default"/>
                <w:u w:val="none"/>
              </w:rPr>
              <w:t>级普通土。</w:t>
            </w:r>
          </w:p>
          <w:p>
            <w:pPr>
              <w:keepNext w:val="0"/>
              <w:keepLines w:val="0"/>
              <w:suppressLineNumbers w:val="0"/>
              <w:spacing w:before="0" w:beforeAutospacing="0" w:after="0" w:afterAutospacing="0"/>
              <w:ind w:left="0" w:right="0" w:firstLine="480"/>
              <w:rPr>
                <w:rFonts w:hint="default"/>
                <w:u w:val="none"/>
              </w:rPr>
            </w:pPr>
            <w:r>
              <w:rPr>
                <w:rFonts w:hint="default"/>
                <w:u w:val="none"/>
              </w:rPr>
              <w:t>（3）第四系全新统可塑粉质粘土</w:t>
            </w:r>
          </w:p>
          <w:p>
            <w:pPr>
              <w:keepNext w:val="0"/>
              <w:keepLines w:val="0"/>
              <w:suppressLineNumbers w:val="0"/>
              <w:spacing w:before="0" w:beforeAutospacing="0" w:after="0" w:afterAutospacing="0"/>
              <w:ind w:left="0" w:right="0" w:firstLine="480"/>
              <w:rPr>
                <w:rFonts w:hint="default"/>
                <w:u w:val="none"/>
              </w:rPr>
            </w:pPr>
            <w:r>
              <w:rPr>
                <w:rFonts w:hint="default"/>
                <w:u w:val="none"/>
              </w:rPr>
              <w:t>褐灰色、褐黄色，粉粒成分为主，粘粒成分次之，稍有光泽，无摇震反应，中等干强度，韧性中，中等压缩性，标贯击数 5—8 击，呈可塑状态，层厚 0.7～3.4m。</w:t>
            </w:r>
          </w:p>
          <w:p>
            <w:pPr>
              <w:keepNext w:val="0"/>
              <w:keepLines w:val="0"/>
              <w:suppressLineNumbers w:val="0"/>
              <w:spacing w:before="0" w:beforeAutospacing="0" w:after="0" w:afterAutospacing="0"/>
              <w:ind w:left="0" w:right="0" w:firstLine="480"/>
              <w:rPr>
                <w:rFonts w:hint="default"/>
                <w:u w:val="none"/>
              </w:rPr>
            </w:pPr>
            <w:r>
              <w:rPr>
                <w:rFonts w:hint="default"/>
                <w:u w:val="none"/>
              </w:rPr>
              <w:t>（4）第四系全新统硬塑粉质粘土</w:t>
            </w:r>
          </w:p>
          <w:p>
            <w:pPr>
              <w:keepNext w:val="0"/>
              <w:keepLines w:val="0"/>
              <w:suppressLineNumbers w:val="0"/>
              <w:spacing w:before="0" w:beforeAutospacing="0" w:after="0" w:afterAutospacing="0"/>
              <w:ind w:left="0" w:right="0" w:firstLine="480"/>
              <w:rPr>
                <w:rFonts w:hint="default"/>
                <w:u w:val="none"/>
              </w:rPr>
            </w:pPr>
            <w:r>
              <w:rPr>
                <w:rFonts w:hint="default"/>
                <w:u w:val="none"/>
              </w:rPr>
              <w:t>褐黄色，粉粒成分为主，粘粒成分次之，稍有光滑，无摇震反应，较高干强度，韧性较高，含铁锰氧化物，结构密实，较低压缩性，呈硬塑状态，层厚为 0.7～5.2m。</w:t>
            </w:r>
          </w:p>
          <w:p>
            <w:pPr>
              <w:keepNext w:val="0"/>
              <w:keepLines w:val="0"/>
              <w:suppressLineNumbers w:val="0"/>
              <w:spacing w:before="0" w:beforeAutospacing="0" w:after="0" w:afterAutospacing="0"/>
              <w:ind w:left="0" w:right="0" w:firstLine="480"/>
              <w:rPr>
                <w:rFonts w:hint="default"/>
                <w:u w:val="none"/>
              </w:rPr>
            </w:pPr>
            <w:r>
              <w:rPr>
                <w:rFonts w:hint="default"/>
                <w:u w:val="none"/>
              </w:rPr>
              <w:t>（5）第四系上更新统坚硬粉质粘土</w:t>
            </w:r>
          </w:p>
          <w:p>
            <w:pPr>
              <w:keepNext w:val="0"/>
              <w:keepLines w:val="0"/>
              <w:suppressLineNumbers w:val="0"/>
              <w:spacing w:before="0" w:beforeAutospacing="0" w:after="0" w:afterAutospacing="0"/>
              <w:ind w:left="0" w:right="0" w:firstLine="480"/>
              <w:rPr>
                <w:rFonts w:hint="default"/>
                <w:u w:val="none"/>
              </w:rPr>
            </w:pPr>
            <w:r>
              <w:rPr>
                <w:rFonts w:hint="default"/>
                <w:u w:val="none"/>
              </w:rPr>
              <w:t>黄褐色、褐红色，粉粒成分为主，粘粒成分次之，上部含少量铁锰氧化物，稍有光泽，无摇震反应，干强度高，韧性高，密实，较低压缩性，具网纹状构造，层厚 2.3～6.7m。</w:t>
            </w:r>
          </w:p>
          <w:p>
            <w:pPr>
              <w:keepNext w:val="0"/>
              <w:keepLines w:val="0"/>
              <w:suppressLineNumbers w:val="0"/>
              <w:spacing w:before="0" w:beforeAutospacing="0" w:after="0" w:afterAutospacing="0"/>
              <w:ind w:left="0" w:right="0" w:firstLine="480"/>
              <w:rPr>
                <w:rFonts w:hint="default"/>
                <w:u w:val="none"/>
              </w:rPr>
            </w:pPr>
            <w:r>
              <w:rPr>
                <w:rFonts w:hint="default"/>
                <w:u w:val="none"/>
              </w:rPr>
              <w:t>（6）第四系上更新统冲洪积层</w:t>
            </w:r>
          </w:p>
          <w:p>
            <w:pPr>
              <w:keepNext w:val="0"/>
              <w:keepLines w:val="0"/>
              <w:suppressLineNumbers w:val="0"/>
              <w:spacing w:before="0" w:beforeAutospacing="0" w:after="0" w:afterAutospacing="0"/>
              <w:ind w:left="0" w:right="0" w:firstLine="480"/>
              <w:rPr>
                <w:rFonts w:hint="default"/>
                <w:u w:val="none"/>
              </w:rPr>
            </w:pPr>
            <w:r>
              <w:rPr>
                <w:rFonts w:hint="default"/>
                <w:u w:val="none"/>
              </w:rPr>
              <w:t>粉质粘土，浅黄、灰白等色，湿，可塑～硬塑，光滑，摇振反应无，干强度中等，韧性中等，压缩性中等，底部偶见砾砂夹层。层顶标高-15.89～-12.04m，层顶深度 18.20～24.00m，层厚 1.70～5.50m，为</w:t>
            </w:r>
            <w:r>
              <w:rPr>
                <w:rFonts w:hint="eastAsia" w:ascii="宋体" w:hAnsi="宋体" w:cs="宋体"/>
                <w:u w:val="none"/>
              </w:rPr>
              <w:t>Ⅱ</w:t>
            </w:r>
            <w:r>
              <w:rPr>
                <w:rFonts w:hint="default"/>
                <w:u w:val="none"/>
              </w:rPr>
              <w:t>级普通土。</w:t>
            </w:r>
          </w:p>
          <w:p>
            <w:pPr>
              <w:keepNext w:val="0"/>
              <w:keepLines w:val="0"/>
              <w:suppressLineNumbers w:val="0"/>
              <w:spacing w:before="0" w:beforeAutospacing="0" w:after="0" w:afterAutospacing="0"/>
              <w:ind w:left="0" w:right="0" w:firstLine="480"/>
              <w:rPr>
                <w:rFonts w:hint="default"/>
                <w:u w:val="none"/>
              </w:rPr>
            </w:pPr>
            <w:r>
              <w:rPr>
                <w:rFonts w:hint="default"/>
                <w:u w:val="none"/>
              </w:rPr>
              <w:t>（7）前震旦系冷家溪群崔家坳组中风化板岩</w:t>
            </w:r>
          </w:p>
          <w:p>
            <w:pPr>
              <w:keepNext w:val="0"/>
              <w:keepLines w:val="0"/>
              <w:suppressLineNumbers w:val="0"/>
              <w:spacing w:before="0" w:beforeAutospacing="0" w:after="0" w:afterAutospacing="0"/>
              <w:ind w:left="0" w:right="0" w:firstLine="480"/>
              <w:rPr>
                <w:rFonts w:hint="default"/>
                <w:u w:val="none"/>
              </w:rPr>
            </w:pPr>
            <w:r>
              <w:rPr>
                <w:rFonts w:hint="default"/>
                <w:u w:val="none"/>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w:t>
            </w:r>
            <w:r>
              <w:rPr>
                <w:rFonts w:hint="eastAsia" w:ascii="宋体" w:hAnsi="宋体" w:cs="宋体"/>
                <w:u w:val="none"/>
              </w:rPr>
              <w:t>Ⅳ</w:t>
            </w:r>
            <w:r>
              <w:rPr>
                <w:rFonts w:hint="default"/>
                <w:u w:val="none"/>
              </w:rPr>
              <w:t>类，岩芯呈碎块状、块状、短柱状，局部钻孔内呈柱状体，采取率较高，勘探深度 2.0～11.0m。</w:t>
            </w:r>
          </w:p>
          <w:p>
            <w:pPr>
              <w:keepNext w:val="0"/>
              <w:keepLines w:val="0"/>
              <w:suppressLineNumbers w:val="0"/>
              <w:spacing w:before="0" w:beforeAutospacing="0" w:after="0" w:afterAutospacing="0"/>
              <w:ind w:left="0" w:right="0" w:firstLine="480"/>
              <w:rPr>
                <w:rFonts w:hint="default"/>
                <w:u w:val="none"/>
              </w:rPr>
            </w:pPr>
            <w:r>
              <w:rPr>
                <w:rFonts w:hint="default"/>
                <w:u w:val="none"/>
              </w:rPr>
              <w:t>（8）前震旦系冷家溪群崔家坳组微风化板岩</w:t>
            </w:r>
          </w:p>
          <w:p>
            <w:pPr>
              <w:keepNext w:val="0"/>
              <w:keepLines w:val="0"/>
              <w:suppressLineNumbers w:val="0"/>
              <w:spacing w:before="0" w:beforeAutospacing="0" w:after="0" w:afterAutospacing="0"/>
              <w:ind w:left="0" w:right="0" w:firstLine="480"/>
              <w:rPr>
                <w:rFonts w:hint="default"/>
                <w:u w:val="none"/>
              </w:rPr>
            </w:pPr>
            <w:r>
              <w:rPr>
                <w:rFonts w:hint="default"/>
                <w:u w:val="none"/>
              </w:rPr>
              <w:t>青灰色，泥质成分，变余结构，中厚层夹薄层状，产状陡，岩石微弱风化，属较软岩，强度高，坚硬，板状结构，裂隙不甚发育，层理清晰，结构面以裂隙面和层面为主，组合一般，岩体较完整，岩石基本质量等级为</w:t>
            </w:r>
            <w:r>
              <w:rPr>
                <w:rFonts w:hint="eastAsia" w:ascii="宋体" w:hAnsi="宋体" w:cs="宋体"/>
                <w:u w:val="none"/>
              </w:rPr>
              <w:t>Ⅳ</w:t>
            </w:r>
            <w:r>
              <w:rPr>
                <w:rFonts w:hint="default"/>
                <w:u w:val="none"/>
              </w:rPr>
              <w:t>类，岩芯呈碎块状、块状、短柱状，采取率较高。</w:t>
            </w:r>
          </w:p>
          <w:p>
            <w:pPr>
              <w:keepNext w:val="0"/>
              <w:keepLines w:val="0"/>
              <w:suppressLineNumbers w:val="0"/>
              <w:spacing w:before="0" w:beforeAutospacing="0" w:after="0" w:afterAutospacing="0"/>
              <w:ind w:left="0" w:right="0" w:firstLine="480"/>
              <w:rPr>
                <w:rFonts w:hint="default"/>
                <w:u w:val="none"/>
              </w:rPr>
            </w:pPr>
            <w:r>
              <w:rPr>
                <w:rFonts w:hint="default"/>
                <w:u w:val="none"/>
              </w:rPr>
              <w:t>3、场地地下水条件</w:t>
            </w:r>
          </w:p>
          <w:p>
            <w:pPr>
              <w:keepNext w:val="0"/>
              <w:keepLines w:val="0"/>
              <w:suppressLineNumbers w:val="0"/>
              <w:spacing w:before="0" w:beforeAutospacing="0" w:after="0" w:afterAutospacing="0"/>
              <w:ind w:left="0" w:right="0" w:firstLine="480"/>
              <w:rPr>
                <w:rFonts w:hint="default"/>
                <w:u w:val="none"/>
              </w:rPr>
            </w:pPr>
            <w:r>
              <w:rPr>
                <w:rFonts w:hint="default"/>
                <w:u w:val="none"/>
              </w:rPr>
              <w:t>项目区地下水主要赋存在杂填土以下，粉质粘土以上，接受大气降水和地表水补给，地下水径流条件较好，水量较小，由地下水原始的山坡向冲沟河道排泄，在项目评价区范围内，地下水总体由东北往西南排泄。</w:t>
            </w:r>
          </w:p>
          <w:p>
            <w:pPr>
              <w:keepNext w:val="0"/>
              <w:keepLines w:val="0"/>
              <w:suppressLineNumbers w:val="0"/>
              <w:spacing w:before="0" w:beforeAutospacing="0" w:after="0" w:afterAutospacing="0"/>
              <w:ind w:left="0" w:right="0" w:firstLine="480"/>
              <w:rPr>
                <w:rFonts w:hint="default"/>
                <w:u w:val="none"/>
              </w:rPr>
            </w:pPr>
            <w:r>
              <w:rPr>
                <w:rFonts w:hint="default"/>
                <w:u w:val="none"/>
              </w:rPr>
              <w:t>4、地下水开发利用现状</w:t>
            </w:r>
          </w:p>
          <w:p>
            <w:pPr>
              <w:keepNext w:val="0"/>
              <w:keepLines w:val="0"/>
              <w:suppressLineNumbers w:val="0"/>
              <w:spacing w:before="0" w:beforeAutospacing="0" w:after="0" w:afterAutospacing="0"/>
              <w:ind w:left="0" w:right="0" w:firstLine="480"/>
              <w:rPr>
                <w:rFonts w:hint="default"/>
                <w:u w:val="none"/>
              </w:rPr>
            </w:pPr>
            <w:r>
              <w:rPr>
                <w:rFonts w:hint="default"/>
                <w:u w:val="none"/>
              </w:rPr>
              <w:t>项目所在区域用水由</w:t>
            </w:r>
            <w:r>
              <w:rPr>
                <w:rFonts w:hint="eastAsia"/>
                <w:u w:val="none"/>
                <w:lang w:eastAsia="zh-CN"/>
              </w:rPr>
              <w:t>自来水厂</w:t>
            </w:r>
            <w:r>
              <w:rPr>
                <w:rFonts w:hint="default"/>
                <w:u w:val="none"/>
              </w:rPr>
              <w:t>提供</w:t>
            </w:r>
            <w:r>
              <w:rPr>
                <w:rFonts w:hint="eastAsia"/>
                <w:u w:val="none"/>
                <w:lang w:eastAsia="zh-CN"/>
              </w:rPr>
              <w:t>。湘阴县目前采用地表水及地下水作为</w:t>
            </w:r>
            <w:r>
              <w:rPr>
                <w:rFonts w:hint="default"/>
                <w:u w:val="none"/>
              </w:rPr>
              <w:t>集中式饮用水源，无矿泉水、温泉等特殊地下水资源。</w:t>
            </w:r>
          </w:p>
          <w:p>
            <w:pPr>
              <w:pStyle w:val="5"/>
              <w:suppressLineNumbers w:val="0"/>
              <w:bidi w:val="0"/>
              <w:spacing w:before="0" w:beforeAutospacing="0" w:after="0" w:afterAutospacing="0"/>
              <w:ind w:left="0" w:right="0"/>
              <w:rPr>
                <w:rFonts w:hint="default"/>
                <w:u w:val="none"/>
              </w:rPr>
            </w:pPr>
            <w:bookmarkStart w:id="165" w:name="_Toc13073992"/>
            <w:bookmarkStart w:id="166" w:name="_Toc15770"/>
            <w:bookmarkStart w:id="167" w:name="_Toc23411158"/>
            <w:bookmarkStart w:id="168" w:name="_Toc7080016"/>
            <w:bookmarkStart w:id="169" w:name="_Toc12374"/>
            <w:r>
              <w:rPr>
                <w:rFonts w:hint="default"/>
                <w:u w:val="none"/>
              </w:rPr>
              <w:t>7.4.2建设项目评价等级判定</w:t>
            </w:r>
            <w:bookmarkEnd w:id="165"/>
            <w:bookmarkEnd w:id="166"/>
            <w:bookmarkEnd w:id="167"/>
            <w:bookmarkEnd w:id="168"/>
            <w:bookmarkEnd w:id="169"/>
          </w:p>
          <w:p>
            <w:pPr>
              <w:keepNext w:val="0"/>
              <w:keepLines w:val="0"/>
              <w:suppressLineNumbers w:val="0"/>
              <w:spacing w:before="0" w:beforeAutospacing="0" w:after="0" w:afterAutospacing="0"/>
              <w:ind w:left="0" w:right="0" w:firstLine="480"/>
              <w:rPr>
                <w:rFonts w:hint="eastAsia"/>
                <w:u w:val="none"/>
                <w:lang w:eastAsia="zh-CN"/>
              </w:rPr>
            </w:pPr>
            <w:r>
              <w:rPr>
                <w:rFonts w:hint="default"/>
                <w:u w:val="none"/>
              </w:rPr>
              <w:t>根据《环境影响评价技术导则地下水环境》（HJ610-2016），，按照“6.2评价工作等级划分”划分评价工作等级</w:t>
            </w:r>
            <w:r>
              <w:rPr>
                <w:rFonts w:hint="eastAsia"/>
                <w:u w:val="none"/>
                <w:lang w:eastAsia="zh-CN"/>
              </w:rPr>
              <w:t>。</w:t>
            </w:r>
          </w:p>
          <w:p>
            <w:pPr>
              <w:keepNext w:val="0"/>
              <w:keepLines w:val="0"/>
              <w:suppressLineNumbers w:val="0"/>
              <w:spacing w:before="0" w:beforeAutospacing="0" w:after="0" w:afterAutospacing="0"/>
              <w:ind w:left="0" w:right="0" w:firstLine="480"/>
              <w:rPr>
                <w:rFonts w:hint="default"/>
                <w:u w:val="none"/>
              </w:rPr>
            </w:pPr>
            <w:r>
              <w:rPr>
                <w:rFonts w:hint="eastAsia"/>
                <w:u w:val="none"/>
                <w:lang w:val="en-US" w:eastAsia="zh-CN"/>
              </w:rPr>
              <w:t>1、</w:t>
            </w:r>
            <w:r>
              <w:rPr>
                <w:rFonts w:hint="eastAsia"/>
                <w:u w:val="none"/>
              </w:rPr>
              <w:t>根据附录 A 确定建设项目所属的地下水环境影响评价项目类别</w:t>
            </w:r>
            <w:r>
              <w:rPr>
                <w:rFonts w:hint="eastAsia"/>
                <w:u w:val="none"/>
                <w:lang w:eastAsia="zh-CN"/>
              </w:rPr>
              <w:t>：</w:t>
            </w:r>
            <w:r>
              <w:rPr>
                <w:rFonts w:hint="default"/>
                <w:u w:val="none"/>
              </w:rPr>
              <w:t>本项目属于</w:t>
            </w:r>
            <w:r>
              <w:rPr>
                <w:rFonts w:hint="eastAsia" w:ascii="宋体" w:hAnsi="宋体" w:cs="宋体"/>
                <w:u w:val="none"/>
              </w:rPr>
              <w:t>Ⅲ</w:t>
            </w:r>
            <w:r>
              <w:rPr>
                <w:rFonts w:hint="default"/>
                <w:u w:val="none"/>
              </w:rPr>
              <w:t>类项目。</w:t>
            </w:r>
          </w:p>
          <w:p>
            <w:pPr>
              <w:pStyle w:val="2"/>
              <w:keepNext w:val="0"/>
              <w:keepLines w:val="0"/>
              <w:suppressLineNumbers w:val="0"/>
              <w:spacing w:before="0" w:beforeAutospacing="0" w:afterAutospacing="0"/>
              <w:ind w:left="0" w:right="0"/>
              <w:rPr>
                <w:rFonts w:hint="default"/>
                <w:u w:val="none"/>
              </w:rPr>
            </w:pPr>
            <w:r>
              <w:rPr>
                <w:rFonts w:hint="eastAsia"/>
                <w:u w:val="none"/>
                <w:lang w:val="en-US" w:eastAsia="zh-CN"/>
              </w:rPr>
              <w:t>2、根据表1确定地下水环境敏感程度分级：</w:t>
            </w:r>
            <w:r>
              <w:rPr>
                <w:rFonts w:hint="default"/>
                <w:u w:val="none"/>
              </w:rPr>
              <w:t>本项目属于</w:t>
            </w:r>
            <w:r>
              <w:rPr>
                <w:rFonts w:hint="eastAsia"/>
                <w:u w:val="none"/>
                <w:lang w:eastAsia="zh-CN"/>
              </w:rPr>
              <w:t>较敏感</w:t>
            </w:r>
            <w:r>
              <w:rPr>
                <w:rFonts w:hint="eastAsia"/>
                <w:u w:val="none"/>
              </w:rPr>
              <w:t>。</w:t>
            </w:r>
          </w:p>
          <w:p>
            <w:pPr>
              <w:pStyle w:val="12"/>
              <w:keepNext w:val="0"/>
              <w:keepLines w:val="0"/>
              <w:suppressLineNumbers w:val="0"/>
              <w:bidi w:val="0"/>
              <w:spacing w:before="0" w:beforeAutospacing="0" w:after="0" w:afterAutospacing="0"/>
              <w:ind w:right="0"/>
              <w:rPr>
                <w:rFonts w:hint="default"/>
                <w:u w:val="none"/>
              </w:rPr>
            </w:pPr>
            <w:r>
              <w:rPr>
                <w:rFonts w:hint="default"/>
                <w:u w:val="none"/>
              </w:rPr>
              <w:drawing>
                <wp:inline distT="0" distB="0" distL="114300" distR="114300">
                  <wp:extent cx="5269230" cy="2814955"/>
                  <wp:effectExtent l="0" t="0" r="7620"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1"/>
                          <a:stretch>
                            <a:fillRect/>
                          </a:stretch>
                        </pic:blipFill>
                        <pic:spPr>
                          <a:xfrm>
                            <a:off x="0" y="0"/>
                            <a:ext cx="5269230" cy="2814955"/>
                          </a:xfrm>
                          <a:prstGeom prst="rect">
                            <a:avLst/>
                          </a:prstGeom>
                          <a:noFill/>
                          <a:ln>
                            <a:noFill/>
                          </a:ln>
                        </pic:spPr>
                      </pic:pic>
                    </a:graphicData>
                  </a:graphic>
                </wp:inline>
              </w:drawing>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本项目所在区域即湘阴县使用的饮用水源包括地表水及地下水。湘阴县一水厂保护区范围、湘阴县二水厂保护区范围、湘阴县三水厂保护区范围见附图。</w:t>
            </w:r>
          </w:p>
          <w:p>
            <w:pPr>
              <w:pStyle w:val="2"/>
              <w:keepNext w:val="0"/>
              <w:keepLines w:val="0"/>
              <w:suppressLineNumbers w:val="0"/>
              <w:spacing w:before="0" w:beforeAutospacing="0" w:afterAutospacing="0"/>
              <w:ind w:left="0" w:right="0"/>
              <w:rPr>
                <w:rFonts w:hint="eastAsia"/>
                <w:u w:val="none"/>
                <w:lang w:eastAsia="zh-CN"/>
              </w:rPr>
            </w:pPr>
            <w:r>
              <w:rPr>
                <w:rFonts w:hint="eastAsia"/>
                <w:u w:val="none"/>
                <w:lang w:eastAsia="zh-CN"/>
              </w:rPr>
              <w:t>根据《岳阳市重要饮用水水源地名录》（岳政办函〔2015〕21号），湘阴县饮用地表水源如下所示。</w:t>
            </w:r>
          </w:p>
          <w:p>
            <w:pPr>
              <w:pStyle w:val="12"/>
              <w:keepNext w:val="0"/>
              <w:keepLines w:val="0"/>
              <w:suppressLineNumbers w:val="0"/>
              <w:bidi w:val="0"/>
              <w:spacing w:before="0" w:beforeAutospacing="0" w:after="0" w:afterAutospacing="0"/>
              <w:ind w:right="0"/>
              <w:rPr>
                <w:rFonts w:hint="eastAsia"/>
                <w:u w:val="none"/>
                <w:lang w:eastAsia="zh-CN"/>
              </w:rPr>
            </w:pPr>
            <w:r>
              <w:rPr>
                <w:rFonts w:hint="default"/>
                <w:u w:val="none"/>
              </w:rPr>
              <w:drawing>
                <wp:inline distT="0" distB="0" distL="114300" distR="114300">
                  <wp:extent cx="5269865" cy="1696720"/>
                  <wp:effectExtent l="0" t="0" r="6985" b="1778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2"/>
                          <a:stretch>
                            <a:fillRect/>
                          </a:stretch>
                        </pic:blipFill>
                        <pic:spPr>
                          <a:xfrm>
                            <a:off x="0" y="0"/>
                            <a:ext cx="5269865" cy="1696720"/>
                          </a:xfrm>
                          <a:prstGeom prst="rect">
                            <a:avLst/>
                          </a:prstGeom>
                          <a:noFill/>
                          <a:ln>
                            <a:noFill/>
                          </a:ln>
                        </pic:spPr>
                      </pic:pic>
                    </a:graphicData>
                  </a:graphic>
                </wp:inline>
              </w:drawing>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根据《湘阴县地下水饮用水水源保护区划分调整方案信息公示》（2019-07-03），湘阴县自来水公司拟在一水厂新增12#井、关闭4#井、取水井数量10个不变，二水厂新增5口井、调整后取水井共11口，三水厂新增4口井、调整后取水井共12口。根据《集中式饮用水水源保护区划分技术规范》（HJ338-2018），湘阴县地下水饮用水水源保护区划分方案调整为：一水厂5#、12#水井中心点连接线向外径向距离30米的区域，1#、3#、6#、7#、8#、9#、10#、11#取水井为中心，30米半径内的圆形区域；二水厂8#、13#水井中心点连接线向外径向距离30米的区域，2#、3#、4#、5#、7#、9#、10#、11#、12#取水井为中心，30米半径内的圆形区域；三水厂1#、2#水井中心点连接线向外径向距离30米的区域，3#、4#、6#、7#、8#、9#、10#、11#、12#、13#取水井为中心，30米半径内的圆形区域；30米以内遇公路以公路临水井侧路肩为界。地下水保护范围图详见附图</w:t>
            </w:r>
            <w:r>
              <w:rPr>
                <w:rFonts w:hint="eastAsia"/>
                <w:u w:val="none"/>
                <w:lang w:val="en-US" w:eastAsia="zh-CN"/>
              </w:rPr>
              <w:t>7至附图9</w:t>
            </w:r>
            <w:r>
              <w:rPr>
                <w:rFonts w:hint="eastAsia"/>
                <w:u w:val="none"/>
                <w:lang w:eastAsia="zh-CN"/>
              </w:rPr>
              <w:t>。</w:t>
            </w:r>
          </w:p>
          <w:p>
            <w:pPr>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val="en-US" w:eastAsia="zh-CN"/>
              </w:rPr>
              <w:t>3、根据建设项目地下水环境影响评价工作等级划分：</w:t>
            </w:r>
            <w:r>
              <w:rPr>
                <w:rFonts w:hint="default"/>
                <w:u w:val="none"/>
              </w:rPr>
              <w:t>本项目属于</w:t>
            </w:r>
            <w:r>
              <w:rPr>
                <w:rFonts w:hint="eastAsia"/>
                <w:u w:val="none"/>
                <w:lang w:eastAsia="zh-CN"/>
              </w:rPr>
              <w:t>三级评价</w:t>
            </w:r>
            <w:r>
              <w:rPr>
                <w:rFonts w:hint="eastAsia"/>
                <w:u w:val="none"/>
                <w:lang w:val="en-US" w:eastAsia="zh-CN"/>
              </w:rPr>
              <w:t>。</w:t>
            </w:r>
          </w:p>
          <w:p>
            <w:pPr>
              <w:keepNext w:val="0"/>
              <w:keepLines w:val="0"/>
              <w:suppressLineNumbers w:val="0"/>
              <w:spacing w:before="163" w:beforeLines="50" w:beforeAutospacing="0" w:after="0" w:afterAutospacing="0"/>
              <w:ind w:left="0" w:right="0" w:firstLine="0" w:firstLineChars="0"/>
              <w:jc w:val="center"/>
              <w:rPr>
                <w:rFonts w:hint="default"/>
                <w:b/>
                <w:bCs/>
                <w:iCs/>
                <w:sz w:val="24"/>
                <w:u w:val="none"/>
              </w:rPr>
            </w:pPr>
            <w:r>
              <w:rPr>
                <w:rFonts w:hint="default"/>
                <w:u w:val="none"/>
              </w:rPr>
              <w:drawing>
                <wp:inline distT="0" distB="0" distL="114300" distR="114300">
                  <wp:extent cx="5267325" cy="1567180"/>
                  <wp:effectExtent l="0" t="0" r="9525" b="1397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3"/>
                          <a:stretch>
                            <a:fillRect/>
                          </a:stretch>
                        </pic:blipFill>
                        <pic:spPr>
                          <a:xfrm>
                            <a:off x="0" y="0"/>
                            <a:ext cx="5267325" cy="15671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eastAsia"/>
                <w:u w:val="none"/>
                <w:lang w:eastAsia="zh-CN"/>
              </w:rPr>
              <w:t>综上所述，</w:t>
            </w:r>
            <w:r>
              <w:rPr>
                <w:rFonts w:hint="default"/>
                <w:u w:val="none"/>
              </w:rPr>
              <w:t>可知本项目地下水评价等级划分为</w:t>
            </w:r>
            <w:r>
              <w:rPr>
                <w:rFonts w:hint="eastAsia"/>
                <w:u w:val="none"/>
                <w:lang w:eastAsia="zh-CN"/>
              </w:rPr>
              <w:t>三</w:t>
            </w:r>
            <w:r>
              <w:rPr>
                <w:rFonts w:hint="default"/>
                <w:u w:val="none"/>
              </w:rPr>
              <w:t>级。</w:t>
            </w:r>
          </w:p>
          <w:p>
            <w:pPr>
              <w:pStyle w:val="5"/>
              <w:suppressLineNumbers w:val="0"/>
              <w:bidi w:val="0"/>
              <w:spacing w:before="0" w:beforeAutospacing="0" w:after="0" w:afterAutospacing="0"/>
              <w:ind w:left="0" w:right="0"/>
              <w:rPr>
                <w:rFonts w:hint="default"/>
                <w:u w:val="none"/>
              </w:rPr>
            </w:pPr>
            <w:bookmarkStart w:id="170" w:name="_Toc23411159"/>
            <w:bookmarkStart w:id="171" w:name="_Toc13073993"/>
            <w:bookmarkStart w:id="172" w:name="_Toc30823"/>
            <w:bookmarkStart w:id="173" w:name="_Toc7080017"/>
            <w:bookmarkStart w:id="174" w:name="_Toc22793"/>
            <w:r>
              <w:rPr>
                <w:rFonts w:hint="default"/>
                <w:u w:val="none"/>
              </w:rPr>
              <w:t>7.4.3评价范围确定</w:t>
            </w:r>
            <w:bookmarkEnd w:id="170"/>
            <w:bookmarkEnd w:id="171"/>
            <w:bookmarkEnd w:id="172"/>
            <w:bookmarkEnd w:id="173"/>
            <w:bookmarkEnd w:id="174"/>
          </w:p>
          <w:p>
            <w:pPr>
              <w:keepNext w:val="0"/>
              <w:keepLines w:val="0"/>
              <w:suppressLineNumbers w:val="0"/>
              <w:spacing w:before="0" w:beforeAutospacing="0" w:after="0" w:afterAutospacing="0"/>
              <w:ind w:left="0" w:right="0" w:firstLine="480"/>
              <w:rPr>
                <w:rFonts w:hint="eastAsia" w:eastAsia="宋体"/>
                <w:u w:val="none"/>
                <w:lang w:eastAsia="zh-CN"/>
              </w:rPr>
            </w:pPr>
            <w:r>
              <w:rPr>
                <w:rFonts w:hint="eastAsia"/>
                <w:u w:val="none"/>
                <w:lang w:eastAsia="zh-CN"/>
              </w:rPr>
              <w:t>根据《环境影响评价技术导则</w:t>
            </w:r>
            <w:r>
              <w:rPr>
                <w:rFonts w:hint="eastAsia"/>
                <w:u w:val="none"/>
                <w:lang w:val="en-US" w:eastAsia="zh-CN"/>
              </w:rPr>
              <w:t xml:space="preserve"> </w:t>
            </w:r>
            <w:r>
              <w:rPr>
                <w:rFonts w:hint="eastAsia"/>
                <w:u w:val="none"/>
                <w:lang w:eastAsia="zh-CN"/>
              </w:rPr>
              <w:t>地下水环境》（HJ 610-2016）确定调查评价范围。</w:t>
            </w:r>
          </w:p>
          <w:p>
            <w:pPr>
              <w:pStyle w:val="12"/>
              <w:keepNext w:val="0"/>
              <w:keepLines w:val="0"/>
              <w:suppressLineNumbers w:val="0"/>
              <w:bidi w:val="0"/>
              <w:spacing w:before="0" w:beforeAutospacing="0" w:after="0" w:afterAutospacing="0"/>
              <w:ind w:right="0"/>
              <w:rPr>
                <w:rFonts w:hint="default"/>
                <w:u w:val="none"/>
              </w:rPr>
            </w:pPr>
            <w:r>
              <w:rPr>
                <w:rFonts w:hint="default"/>
                <w:u w:val="none"/>
              </w:rPr>
              <w:drawing>
                <wp:inline distT="0" distB="0" distL="114300" distR="114300">
                  <wp:extent cx="5267325" cy="3255010"/>
                  <wp:effectExtent l="0" t="0" r="952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4"/>
                          <a:stretch>
                            <a:fillRect/>
                          </a:stretch>
                        </pic:blipFill>
                        <pic:spPr>
                          <a:xfrm>
                            <a:off x="0" y="0"/>
                            <a:ext cx="5267325" cy="325501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drawing>
                <wp:inline distT="0" distB="0" distL="114300" distR="114300">
                  <wp:extent cx="4314825" cy="5191125"/>
                  <wp:effectExtent l="0" t="0" r="952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5"/>
                          <a:stretch>
                            <a:fillRect/>
                          </a:stretch>
                        </pic:blipFill>
                        <pic:spPr>
                          <a:xfrm>
                            <a:off x="0" y="0"/>
                            <a:ext cx="4314825" cy="5191125"/>
                          </a:xfrm>
                          <a:prstGeom prst="rect">
                            <a:avLst/>
                          </a:prstGeom>
                          <a:noFill/>
                          <a:ln>
                            <a:noFill/>
                          </a:ln>
                        </pic:spPr>
                      </pic:pic>
                    </a:graphicData>
                  </a:graphic>
                </wp:inline>
              </w:drawing>
            </w:r>
          </w:p>
          <w:p>
            <w:pPr>
              <w:pStyle w:val="2"/>
              <w:keepNext w:val="0"/>
              <w:keepLines w:val="0"/>
              <w:suppressLineNumbers w:val="0"/>
              <w:spacing w:before="0" w:beforeAutospacing="0" w:afterAutospacing="0"/>
              <w:ind w:left="0" w:right="0"/>
              <w:rPr>
                <w:rFonts w:hint="default"/>
                <w:u w:val="none"/>
              </w:r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13"/>
              <w:gridCol w:w="989"/>
              <w:gridCol w:w="1474"/>
              <w:gridCol w:w="910"/>
              <w:gridCol w:w="1634"/>
              <w:gridCol w:w="1188"/>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rPr>
              <w:tc>
                <w:tcPr>
                  <w:tcW w:w="317"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p>
              </w:tc>
              <w:tc>
                <w:tcPr>
                  <w:tcW w:w="524"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变化系数α</w:t>
                  </w:r>
                </w:p>
              </w:tc>
              <w:tc>
                <w:tcPr>
                  <w:tcW w:w="885"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渗透系数K，m/d</w:t>
                  </w:r>
                </w:p>
              </w:tc>
              <w:tc>
                <w:tcPr>
                  <w:tcW w:w="546"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水力坡度I</w:t>
                  </w:r>
                </w:p>
              </w:tc>
              <w:tc>
                <w:tcPr>
                  <w:tcW w:w="98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质点迁移天数T，d</w:t>
                  </w:r>
                </w:p>
              </w:tc>
              <w:tc>
                <w:tcPr>
                  <w:tcW w:w="73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有效孔隙度n</w:t>
                  </w:r>
                  <w:r>
                    <w:rPr>
                      <w:rFonts w:hint="eastAsia"/>
                      <w:u w:val="none"/>
                      <w:vertAlign w:val="subscript"/>
                      <w:lang w:val="en-US" w:eastAsia="zh-CN"/>
                    </w:rPr>
                    <w:t>e</w:t>
                  </w:r>
                </w:p>
              </w:tc>
              <w:tc>
                <w:tcPr>
                  <w:tcW w:w="1013"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下游迁移距离L，m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17"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取值</w:t>
                  </w:r>
                </w:p>
              </w:tc>
              <w:tc>
                <w:tcPr>
                  <w:tcW w:w="524"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2</w:t>
                  </w:r>
                </w:p>
              </w:tc>
              <w:tc>
                <w:tcPr>
                  <w:tcW w:w="885"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6.81</w:t>
                  </w:r>
                </w:p>
              </w:tc>
              <w:tc>
                <w:tcPr>
                  <w:tcW w:w="546"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0.006</w:t>
                  </w:r>
                </w:p>
              </w:tc>
              <w:tc>
                <w:tcPr>
                  <w:tcW w:w="98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5000</w:t>
                  </w:r>
                </w:p>
              </w:tc>
              <w:tc>
                <w:tcPr>
                  <w:tcW w:w="731"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0.5</w:t>
                  </w:r>
                </w:p>
              </w:tc>
              <w:tc>
                <w:tcPr>
                  <w:tcW w:w="1013" w:type="pct"/>
                  <w:shd w:val="clear" w:color="auto" w:fill="auto"/>
                  <w:noWrap/>
                  <w:tcMar>
                    <w:top w:w="15" w:type="dxa"/>
                    <w:left w:w="15" w:type="dxa"/>
                    <w:right w:w="15" w:type="dxa"/>
                  </w:tcMar>
                  <w:vAlign w:val="bottom"/>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817.2</w:t>
                  </w:r>
                </w:p>
              </w:tc>
            </w:tr>
          </w:tbl>
          <w:p>
            <w:pPr>
              <w:pStyle w:val="2"/>
              <w:keepNext w:val="0"/>
              <w:keepLines w:val="0"/>
              <w:suppressLineNumbers w:val="0"/>
              <w:spacing w:before="0" w:beforeAutospacing="0" w:afterAutospacing="0"/>
              <w:ind w:left="0" w:right="0"/>
              <w:rPr>
                <w:rFonts w:hint="eastAsia"/>
                <w:u w:val="none"/>
                <w:lang w:eastAsia="zh-CN"/>
              </w:rPr>
            </w:pPr>
            <w:r>
              <w:rPr>
                <w:rFonts w:hint="eastAsia"/>
                <w:u w:val="none"/>
                <w:lang w:eastAsia="zh-CN"/>
              </w:rPr>
              <w:t>经计算，</w:t>
            </w:r>
            <w:r>
              <w:rPr>
                <w:rFonts w:hint="default"/>
                <w:u w:val="none"/>
              </w:rPr>
              <w:t>本项目</w:t>
            </w:r>
            <w:r>
              <w:rPr>
                <w:rFonts w:hint="eastAsia"/>
                <w:u w:val="none"/>
                <w:lang w:eastAsia="zh-CN"/>
              </w:rPr>
              <w:t>调查评价范围为</w:t>
            </w:r>
            <w:r>
              <w:rPr>
                <w:rFonts w:hint="eastAsia"/>
                <w:u w:val="none"/>
                <w:lang w:val="en-US" w:eastAsia="zh-CN"/>
              </w:rPr>
              <w:t>0.67</w:t>
            </w:r>
            <w:r>
              <w:rPr>
                <w:rFonts w:hint="default"/>
                <w:u w:val="none"/>
              </w:rPr>
              <w:t>k</w:t>
            </w:r>
            <w:r>
              <w:rPr>
                <w:rFonts w:hint="eastAsia"/>
                <w:u w:val="none"/>
                <w:lang w:eastAsia="zh-CN"/>
              </w:rPr>
              <w:t>㎡</w:t>
            </w:r>
            <w:r>
              <w:rPr>
                <w:rFonts w:hint="default"/>
                <w:u w:val="none"/>
              </w:rPr>
              <w:t>范围</w:t>
            </w:r>
            <w:r>
              <w:rPr>
                <w:rFonts w:hint="eastAsia"/>
                <w:u w:val="none"/>
                <w:lang w:eastAsia="zh-CN"/>
              </w:rPr>
              <w:t>。</w:t>
            </w:r>
          </w:p>
          <w:p>
            <w:pPr>
              <w:pStyle w:val="2"/>
              <w:keepNext w:val="0"/>
              <w:keepLines w:val="0"/>
              <w:suppressLineNumbers w:val="0"/>
              <w:spacing w:before="0" w:beforeAutospacing="0" w:afterAutospacing="0"/>
              <w:ind w:left="0" w:right="0"/>
              <w:rPr>
                <w:rFonts w:hint="eastAsia"/>
                <w:u w:val="none"/>
                <w:lang w:eastAsia="zh-CN"/>
              </w:rPr>
            </w:pPr>
            <w:r>
              <w:rPr>
                <w:rFonts w:hint="eastAsia"/>
                <w:u w:val="none"/>
                <w:lang w:eastAsia="zh-CN"/>
              </w:rPr>
              <w:t>根据《环境影响评价技术导则</w:t>
            </w:r>
            <w:r>
              <w:rPr>
                <w:rFonts w:hint="eastAsia"/>
                <w:u w:val="none"/>
                <w:lang w:val="en-US" w:eastAsia="zh-CN"/>
              </w:rPr>
              <w:t xml:space="preserve"> </w:t>
            </w:r>
            <w:r>
              <w:rPr>
                <w:rFonts w:hint="eastAsia"/>
                <w:u w:val="none"/>
                <w:lang w:eastAsia="zh-CN"/>
              </w:rPr>
              <w:t>地下水环境》（HJ 610-2016）“表 3 地下水环境现状调查评价范围参照表”确定地下水环境现状调查评价范围。</w:t>
            </w:r>
          </w:p>
          <w:p>
            <w:pPr>
              <w:pStyle w:val="12"/>
              <w:keepNext w:val="0"/>
              <w:keepLines w:val="0"/>
              <w:suppressLineNumbers w:val="0"/>
              <w:bidi w:val="0"/>
              <w:spacing w:before="0" w:beforeAutospacing="0" w:after="0" w:afterAutospacing="0"/>
              <w:ind w:right="0"/>
              <w:rPr>
                <w:rFonts w:hint="eastAsia"/>
                <w:u w:val="none"/>
                <w:lang w:val="en-US" w:eastAsia="zh-CN"/>
              </w:rPr>
            </w:pPr>
            <w:r>
              <w:rPr>
                <w:rFonts w:hint="default"/>
                <w:u w:val="none"/>
              </w:rPr>
              <w:drawing>
                <wp:inline distT="0" distB="0" distL="114300" distR="114300">
                  <wp:extent cx="5267960" cy="1195070"/>
                  <wp:effectExtent l="0" t="0" r="8890" b="50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6"/>
                          <a:stretch>
                            <a:fillRect/>
                          </a:stretch>
                        </pic:blipFill>
                        <pic:spPr>
                          <a:xfrm>
                            <a:off x="0" y="0"/>
                            <a:ext cx="5267960" cy="1195070"/>
                          </a:xfrm>
                          <a:prstGeom prst="rect">
                            <a:avLst/>
                          </a:prstGeom>
                          <a:noFill/>
                          <a:ln>
                            <a:noFill/>
                          </a:ln>
                        </pic:spPr>
                      </pic:pic>
                    </a:graphicData>
                  </a:graphic>
                </wp:inline>
              </w:drawing>
            </w:r>
          </w:p>
          <w:p>
            <w:pPr>
              <w:pStyle w:val="2"/>
              <w:keepNext w:val="0"/>
              <w:keepLines w:val="0"/>
              <w:suppressLineNumbers w:val="0"/>
              <w:spacing w:before="0" w:beforeAutospacing="0" w:afterAutospacing="0"/>
              <w:ind w:left="0" w:right="0"/>
              <w:rPr>
                <w:rFonts w:hint="default"/>
                <w:u w:val="none"/>
              </w:rPr>
            </w:pPr>
            <w:r>
              <w:rPr>
                <w:rFonts w:hint="default"/>
                <w:u w:val="none"/>
              </w:rPr>
              <w:t>本项目地下水</w:t>
            </w:r>
            <w:r>
              <w:rPr>
                <w:rFonts w:hint="eastAsia"/>
                <w:u w:val="none"/>
                <w:lang w:eastAsia="zh-CN"/>
              </w:rPr>
              <w:t>调查</w:t>
            </w:r>
            <w:r>
              <w:rPr>
                <w:rFonts w:hint="default"/>
                <w:u w:val="none"/>
              </w:rPr>
              <w:t>评价</w:t>
            </w:r>
            <w:r>
              <w:rPr>
                <w:rFonts w:hint="eastAsia"/>
                <w:u w:val="none"/>
                <w:lang w:eastAsia="zh-CN"/>
              </w:rPr>
              <w:t>面积</w:t>
            </w:r>
            <w:r>
              <w:rPr>
                <w:rFonts w:hint="default"/>
                <w:u w:val="none"/>
              </w:rPr>
              <w:t>：约6k</w:t>
            </w:r>
            <w:r>
              <w:rPr>
                <w:rFonts w:hint="eastAsia"/>
                <w:u w:val="none"/>
                <w:lang w:eastAsia="zh-CN"/>
              </w:rPr>
              <w:t>㎡</w:t>
            </w:r>
            <w:r>
              <w:rPr>
                <w:rFonts w:hint="default"/>
                <w:u w:val="none"/>
              </w:rPr>
              <w:t>范围。</w:t>
            </w:r>
            <w:r>
              <w:rPr>
                <w:rFonts w:hint="eastAsia"/>
                <w:u w:val="none"/>
                <w:lang w:eastAsia="zh-CN"/>
              </w:rPr>
              <w:t>现状</w:t>
            </w:r>
            <w:r>
              <w:rPr>
                <w:rFonts w:hint="default"/>
                <w:u w:val="none"/>
              </w:rPr>
              <w:t>评价范围内</w:t>
            </w:r>
            <w:r>
              <w:rPr>
                <w:rFonts w:hint="eastAsia"/>
                <w:u w:val="none"/>
                <w:lang w:eastAsia="zh-CN"/>
              </w:rPr>
              <w:t>地下水环境保护目标</w:t>
            </w:r>
            <w:r>
              <w:rPr>
                <w:rFonts w:hint="default"/>
                <w:u w:val="none"/>
              </w:rPr>
              <w:t>主要为湘阴县居民。</w:t>
            </w:r>
          </w:p>
          <w:p>
            <w:pPr>
              <w:pStyle w:val="2"/>
              <w:keepNext w:val="0"/>
              <w:keepLines w:val="0"/>
              <w:suppressLineNumbers w:val="0"/>
              <w:spacing w:before="0" w:beforeAutospacing="0" w:afterAutospacing="0"/>
              <w:ind w:left="0" w:right="0"/>
              <w:rPr>
                <w:rFonts w:hint="eastAsia" w:eastAsia="宋体"/>
                <w:u w:val="none"/>
                <w:lang w:val="en-US" w:eastAsia="zh-CN"/>
              </w:rPr>
            </w:pPr>
            <w:r>
              <w:rPr>
                <w:rFonts w:hint="eastAsia"/>
                <w:u w:val="none"/>
                <w:lang w:eastAsia="zh-CN"/>
              </w:rPr>
              <w:t>综上所述，本项目</w:t>
            </w:r>
            <w:r>
              <w:rPr>
                <w:rFonts w:hint="default"/>
                <w:u w:val="none"/>
              </w:rPr>
              <w:t>地下水</w:t>
            </w:r>
            <w:r>
              <w:rPr>
                <w:rFonts w:hint="eastAsia"/>
                <w:u w:val="none"/>
                <w:lang w:eastAsia="zh-CN"/>
              </w:rPr>
              <w:t>调查评价范围为</w:t>
            </w:r>
            <w:r>
              <w:rPr>
                <w:rFonts w:hint="default"/>
                <w:u w:val="none"/>
              </w:rPr>
              <w:t>6k</w:t>
            </w:r>
            <w:r>
              <w:rPr>
                <w:rFonts w:hint="eastAsia"/>
                <w:u w:val="none"/>
                <w:lang w:eastAsia="zh-CN"/>
              </w:rPr>
              <w:t>㎡。</w:t>
            </w:r>
          </w:p>
          <w:p>
            <w:pPr>
              <w:pStyle w:val="5"/>
              <w:suppressLineNumbers w:val="0"/>
              <w:bidi w:val="0"/>
              <w:spacing w:before="0" w:beforeAutospacing="0" w:after="0" w:afterAutospacing="0"/>
              <w:ind w:left="0" w:right="0"/>
              <w:rPr>
                <w:rFonts w:hint="default"/>
                <w:u w:val="none"/>
              </w:rPr>
            </w:pPr>
            <w:bookmarkStart w:id="175" w:name="_Toc5748"/>
            <w:bookmarkStart w:id="176" w:name="_Toc23411160"/>
            <w:bookmarkStart w:id="177" w:name="_Toc13073994"/>
            <w:bookmarkStart w:id="178" w:name="_Toc7080018"/>
            <w:bookmarkStart w:id="179" w:name="_Toc31465"/>
            <w:r>
              <w:rPr>
                <w:rFonts w:hint="default"/>
                <w:u w:val="none"/>
              </w:rPr>
              <w:t>7.4.4 地下水影响分析</w:t>
            </w:r>
            <w:bookmarkEnd w:id="175"/>
            <w:bookmarkEnd w:id="176"/>
            <w:bookmarkEnd w:id="177"/>
            <w:bookmarkEnd w:id="178"/>
            <w:bookmarkEnd w:id="179"/>
          </w:p>
          <w:p>
            <w:pPr>
              <w:keepNext w:val="0"/>
              <w:keepLines w:val="0"/>
              <w:suppressLineNumbers w:val="0"/>
              <w:spacing w:before="0" w:beforeAutospacing="0" w:after="0" w:afterAutospacing="0"/>
              <w:ind w:left="0" w:right="0"/>
              <w:rPr>
                <w:rFonts w:hint="default" w:cs="Times New Roman"/>
                <w:u w:val="none"/>
              </w:rPr>
            </w:pPr>
            <w:r>
              <w:rPr>
                <w:rFonts w:hint="default" w:cs="Times New Roman"/>
                <w:u w:val="none"/>
              </w:rPr>
              <w:t>项目所处地表组成物质65%为变质岩，其余为砂质岩，地下水以HCO</w:t>
            </w:r>
            <w:r>
              <w:rPr>
                <w:rFonts w:hint="default" w:cs="Times New Roman"/>
                <w:u w:val="none"/>
                <w:vertAlign w:val="subscript"/>
              </w:rPr>
              <w:t>3</w:t>
            </w:r>
            <w:r>
              <w:rPr>
                <w:rFonts w:hint="default" w:cs="Times New Roman"/>
                <w:u w:val="none"/>
              </w:rPr>
              <w:t>-Ca·Mg型水为主，地下水补给主要依靠大气降水和河水，本地区附近1km范围内无地下水饮用水源地等地下水敏感区和保护目标。地层岩性主要以填土、粉质粘土、风化板岩为主，颗粒较细，渗透系数在10</w:t>
            </w:r>
            <w:r>
              <w:rPr>
                <w:rFonts w:hint="default" w:cs="Times New Roman"/>
                <w:u w:val="none"/>
                <w:vertAlign w:val="superscript"/>
              </w:rPr>
              <w:t>-5</w:t>
            </w:r>
            <w:r>
              <w:rPr>
                <w:rFonts w:hint="default" w:cs="Times New Roman"/>
                <w:u w:val="none"/>
              </w:rPr>
              <w:t>cm/s～10</w:t>
            </w:r>
            <w:r>
              <w:rPr>
                <w:rFonts w:hint="default" w:cs="Times New Roman"/>
                <w:u w:val="none"/>
                <w:vertAlign w:val="superscript"/>
              </w:rPr>
              <w:t>-7</w:t>
            </w:r>
            <w:r>
              <w:rPr>
                <w:rFonts w:hint="default" w:cs="Times New Roman"/>
                <w:u w:val="none"/>
              </w:rPr>
              <w:t>cm/s之间，透水性能较弱，隔污能力较强。本项目所在区域地层天然防渗性能良好，水流垂向和横向迁移能力较弱。</w:t>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本项目正常工况下，生活废水经化粪池处理后作农肥，初期雨水依托湘阴县顽石再生科技有限公司的初期雨水收集措施，初期雨水、清洗水依托湘阴县顽石再生科技有限公司的隔油池</w:t>
            </w:r>
            <w:r>
              <w:rPr>
                <w:rFonts w:hint="eastAsia"/>
                <w:u w:val="none"/>
                <w:lang w:val="en-US" w:eastAsia="zh-CN"/>
              </w:rPr>
              <w:t>+</w:t>
            </w:r>
            <w:r>
              <w:rPr>
                <w:rFonts w:hint="eastAsia"/>
                <w:u w:val="none"/>
                <w:lang w:eastAsia="zh-CN"/>
              </w:rPr>
              <w:t>三级沉淀池处理后，用作湘阴县顽石再生科技有限公司的生产用水。本项目废水无排放。</w:t>
            </w:r>
          </w:p>
          <w:p>
            <w:pPr>
              <w:keepNext w:val="0"/>
              <w:keepLines w:val="0"/>
              <w:suppressLineNumbers w:val="0"/>
              <w:spacing w:before="0" w:beforeAutospacing="0" w:after="0" w:afterAutospacing="0"/>
              <w:ind w:left="0" w:right="0"/>
              <w:rPr>
                <w:rFonts w:hint="default" w:cs="Times New Roman"/>
                <w:u w:val="none"/>
              </w:rPr>
            </w:pPr>
            <w:r>
              <w:rPr>
                <w:rFonts w:hint="default" w:cs="Times New Roman"/>
                <w:u w:val="none"/>
              </w:rPr>
              <w:t>为防止项目生产过程中对地下水产生影响，建设单位应选用优质设备和管件，并加强日常管理和维修维护工作，防止和减少跑、冒、滴、漏现象的发生，同时根据对地下水影响敏感程度，分一般区、重点区采取不同的防渗、防腐措施。</w:t>
            </w:r>
          </w:p>
          <w:p>
            <w:pPr>
              <w:keepNext w:val="0"/>
              <w:keepLines w:val="0"/>
              <w:suppressLineNumbers w:val="0"/>
              <w:spacing w:before="0" w:beforeAutospacing="0" w:after="0" w:afterAutospacing="0"/>
              <w:ind w:left="0" w:right="0"/>
              <w:rPr>
                <w:rFonts w:hint="default" w:cs="Times New Roman"/>
                <w:u w:val="none"/>
              </w:rPr>
            </w:pPr>
            <w:r>
              <w:rPr>
                <w:rFonts w:hint="default" w:cs="Times New Roman"/>
                <w:u w:val="none"/>
              </w:rPr>
              <w:t>对厂区可能泄漏污染物的污染区地面进行防渗处理，并及时地将泄漏/渗漏的污染物收集起来进行处理，可有效防治洒落地面的污染物渗入地下。根据本工程的特点，将厂区不同的区域划分为重点防渗区、一般防渗区和简单防渗区。</w:t>
            </w:r>
          </w:p>
          <w:p>
            <w:pPr>
              <w:keepNext w:val="0"/>
              <w:keepLines w:val="0"/>
              <w:suppressLineNumbers w:val="0"/>
              <w:spacing w:before="0" w:beforeAutospacing="0" w:after="0" w:afterAutospacing="0"/>
              <w:ind w:left="0" w:right="0"/>
              <w:rPr>
                <w:rFonts w:hint="default" w:cs="Times New Roman"/>
                <w:u w:val="none"/>
              </w:rPr>
            </w:pPr>
            <w:r>
              <w:rPr>
                <w:rFonts w:hint="eastAsia" w:ascii="宋体" w:hAnsi="宋体" w:cs="宋体"/>
                <w:u w:val="none"/>
              </w:rPr>
              <w:t>①</w:t>
            </w:r>
            <w:r>
              <w:rPr>
                <w:rFonts w:hint="default" w:cs="Times New Roman"/>
                <w:u w:val="none"/>
              </w:rPr>
              <w:t>重点防渗区：根据《报废机动车拆解环境保护技术规范》，未拆解的报废机动车的贮存区、拆解作业区、产品（半成品）贮存区、危险废物暂存间应具有防渗地面。可采用土工布、HDPE膜等进行防渗</w:t>
            </w:r>
            <w:r>
              <w:rPr>
                <w:rFonts w:hint="eastAsia" w:cs="Times New Roman"/>
                <w:u w:val="none"/>
                <w:lang w:eastAsia="zh-CN"/>
              </w:rPr>
              <w:t>，并做好油水收集设施</w:t>
            </w:r>
            <w:r>
              <w:rPr>
                <w:rFonts w:hint="default" w:cs="Times New Roman"/>
                <w:u w:val="none"/>
              </w:rPr>
              <w:t>。通过上述措施可使重点污染区各单元防渗层渗透系数≤10</w:t>
            </w:r>
            <w:r>
              <w:rPr>
                <w:rFonts w:hint="default" w:cs="Times New Roman"/>
                <w:u w:val="none"/>
                <w:vertAlign w:val="superscript"/>
              </w:rPr>
              <w:t>-7</w:t>
            </w:r>
            <w:r>
              <w:rPr>
                <w:rFonts w:hint="default" w:cs="Times New Roman"/>
                <w:u w:val="none"/>
              </w:rPr>
              <w:t>cm/s。</w:t>
            </w:r>
          </w:p>
          <w:p>
            <w:pPr>
              <w:keepNext w:val="0"/>
              <w:keepLines w:val="0"/>
              <w:suppressLineNumbers w:val="0"/>
              <w:spacing w:before="0" w:beforeAutospacing="0" w:after="0" w:afterAutospacing="0"/>
              <w:ind w:left="0" w:right="0"/>
              <w:rPr>
                <w:rFonts w:hint="default" w:cs="Times New Roman"/>
                <w:u w:val="none"/>
              </w:rPr>
            </w:pPr>
            <w:r>
              <w:rPr>
                <w:rFonts w:hint="eastAsia" w:ascii="宋体" w:hAnsi="宋体" w:cs="宋体"/>
                <w:u w:val="none"/>
              </w:rPr>
              <w:t>②</w:t>
            </w:r>
            <w:r>
              <w:rPr>
                <w:rFonts w:hint="default" w:cs="Times New Roman"/>
                <w:u w:val="none"/>
              </w:rPr>
              <w:t>一般防渗区：一般固废暂存间 。</w:t>
            </w:r>
          </w:p>
          <w:p>
            <w:pPr>
              <w:keepNext w:val="0"/>
              <w:keepLines w:val="0"/>
              <w:suppressLineNumbers w:val="0"/>
              <w:spacing w:before="0" w:beforeAutospacing="0" w:after="0" w:afterAutospacing="0"/>
              <w:ind w:left="0" w:right="0"/>
              <w:rPr>
                <w:rFonts w:hint="default" w:cs="Times New Roman"/>
                <w:u w:val="none"/>
              </w:rPr>
            </w:pPr>
            <w:r>
              <w:rPr>
                <w:rFonts w:hint="eastAsia" w:ascii="宋体" w:hAnsi="宋体" w:cs="宋体"/>
                <w:u w:val="none"/>
              </w:rPr>
              <w:t>③</w:t>
            </w:r>
            <w:r>
              <w:rPr>
                <w:rFonts w:hint="default" w:cs="Times New Roman"/>
                <w:u w:val="none"/>
              </w:rPr>
              <w:t>简单防渗区：厂区道路、办公区等，对于非污染防治区主要是指没有污染物泄漏的区域或部位，不会对地下水环境造成污染。</w:t>
            </w:r>
          </w:p>
          <w:p>
            <w:pPr>
              <w:keepNext w:val="0"/>
              <w:keepLines w:val="0"/>
              <w:suppressLineNumbers w:val="0"/>
              <w:spacing w:before="0" w:beforeAutospacing="0" w:after="0" w:afterAutospacing="0"/>
              <w:ind w:left="0" w:right="0"/>
              <w:rPr>
                <w:rFonts w:hint="default" w:cs="Times New Roman"/>
                <w:u w:val="none"/>
              </w:rPr>
            </w:pPr>
            <w:r>
              <w:rPr>
                <w:rFonts w:hint="default" w:cs="Times New Roman"/>
                <w:u w:val="none"/>
              </w:rPr>
              <w:t>本项目涉及地下水的污染源主要为生活污水</w:t>
            </w:r>
            <w:r>
              <w:rPr>
                <w:rFonts w:hint="eastAsia" w:cs="Times New Roman"/>
                <w:u w:val="none"/>
                <w:lang w:eastAsia="zh-CN"/>
              </w:rPr>
              <w:t>、清洗水、初期雨水</w:t>
            </w:r>
            <w:r>
              <w:rPr>
                <w:rFonts w:hint="default" w:cs="Times New Roman"/>
                <w:u w:val="none"/>
              </w:rPr>
              <w:t>，主要污染物为COD、氨氮、SS等，生活污水经过化粪池处理后</w:t>
            </w:r>
            <w:r>
              <w:rPr>
                <w:rFonts w:hint="eastAsia" w:cs="Times New Roman"/>
                <w:u w:val="none"/>
                <w:lang w:eastAsia="zh-CN"/>
              </w:rPr>
              <w:t>做农肥，</w:t>
            </w:r>
            <w:r>
              <w:rPr>
                <w:rFonts w:hint="eastAsia"/>
                <w:u w:val="none"/>
                <w:lang w:eastAsia="zh-CN"/>
              </w:rPr>
              <w:t>初期雨水依托湘阴县顽石再生科技有限公司的初期雨水收集措施，初期雨水、清洗水依托湘阴县顽石再生科技有限公司的隔油池</w:t>
            </w:r>
            <w:r>
              <w:rPr>
                <w:rFonts w:hint="eastAsia"/>
                <w:u w:val="none"/>
                <w:lang w:val="en-US" w:eastAsia="zh-CN"/>
              </w:rPr>
              <w:t>+</w:t>
            </w:r>
            <w:r>
              <w:rPr>
                <w:rFonts w:hint="eastAsia"/>
                <w:u w:val="none"/>
                <w:lang w:eastAsia="zh-CN"/>
              </w:rPr>
              <w:t>三级沉淀池处理后，用作湘阴县顽石再生科技有限公司的生产用水。本项目废水无排放</w:t>
            </w:r>
            <w:r>
              <w:rPr>
                <w:rFonts w:hint="default" w:cs="Times New Roman"/>
                <w:u w:val="none"/>
              </w:rPr>
              <w:t>。重点防渗区做好防渗后，正常工况下不会对厂区地下水造成污染。</w:t>
            </w:r>
          </w:p>
          <w:p>
            <w:pPr>
              <w:pStyle w:val="4"/>
              <w:suppressLineNumbers w:val="0"/>
              <w:bidi w:val="0"/>
              <w:spacing w:before="0" w:beforeAutospacing="0" w:after="0" w:afterAutospacing="0"/>
              <w:ind w:left="0" w:right="0"/>
              <w:rPr>
                <w:rFonts w:hint="default"/>
                <w:u w:val="none"/>
              </w:rPr>
            </w:pPr>
            <w:bookmarkStart w:id="180" w:name="_Toc535229794"/>
            <w:bookmarkStart w:id="181" w:name="_Toc27167"/>
            <w:bookmarkStart w:id="182" w:name="_Toc5902"/>
            <w:r>
              <w:rPr>
                <w:rFonts w:hint="default"/>
                <w:u w:val="none"/>
              </w:rPr>
              <w:t>7.5营运期声环境影响评价</w:t>
            </w:r>
            <w:bookmarkEnd w:id="180"/>
            <w:bookmarkEnd w:id="181"/>
            <w:bookmarkEnd w:id="182"/>
          </w:p>
          <w:p>
            <w:pPr>
              <w:keepNext w:val="0"/>
              <w:keepLines w:val="0"/>
              <w:suppressLineNumbers w:val="0"/>
              <w:spacing w:before="0" w:beforeAutospacing="0" w:after="0" w:afterAutospacing="0"/>
              <w:ind w:left="0" w:right="0" w:firstLine="480"/>
              <w:rPr>
                <w:rFonts w:hint="default"/>
                <w:u w:val="none"/>
              </w:rPr>
            </w:pPr>
            <w:r>
              <w:rPr>
                <w:rFonts w:hint="default"/>
                <w:u w:val="none"/>
              </w:rPr>
              <w:t>项目位于湖南省岳阳市湘阴县文星镇板桥村，根据区域环境功能区划，项目厂界和环境噪声评价标准分别按《工业企业厂界环境噪声排放标准》 （GB12348-2008）中2类标准限值执行。本项目中，项目工业噪声源强均为固定声源。因此，本项目根据导则对工业噪声预测。</w:t>
            </w:r>
          </w:p>
          <w:p>
            <w:pPr>
              <w:pStyle w:val="5"/>
              <w:suppressLineNumbers w:val="0"/>
              <w:bidi w:val="0"/>
              <w:spacing w:before="0" w:beforeAutospacing="0" w:after="0" w:afterAutospacing="0"/>
              <w:ind w:left="0" w:right="0"/>
              <w:rPr>
                <w:rFonts w:hint="default"/>
                <w:u w:val="none"/>
              </w:rPr>
            </w:pPr>
            <w:bookmarkStart w:id="183" w:name="_Toc23064"/>
            <w:bookmarkStart w:id="184" w:name="_Toc7080020"/>
            <w:bookmarkStart w:id="185" w:name="_Toc13073996"/>
            <w:bookmarkStart w:id="186" w:name="_Toc23411162"/>
            <w:bookmarkStart w:id="187" w:name="_Toc31813"/>
            <w:r>
              <w:rPr>
                <w:rFonts w:hint="default"/>
                <w:u w:val="none"/>
              </w:rPr>
              <w:t>7.5.1噪声源情况</w:t>
            </w:r>
            <w:bookmarkEnd w:id="183"/>
            <w:bookmarkEnd w:id="184"/>
            <w:bookmarkEnd w:id="185"/>
            <w:bookmarkEnd w:id="186"/>
            <w:bookmarkEnd w:id="187"/>
          </w:p>
          <w:p>
            <w:pPr>
              <w:keepNext w:val="0"/>
              <w:keepLines w:val="0"/>
              <w:suppressLineNumbers w:val="0"/>
              <w:spacing w:before="0" w:beforeAutospacing="0" w:after="0" w:afterAutospacing="0"/>
              <w:ind w:left="0" w:right="0" w:firstLine="480"/>
              <w:rPr>
                <w:rFonts w:hint="default"/>
                <w:u w:val="none"/>
              </w:rPr>
            </w:pPr>
            <w:r>
              <w:rPr>
                <w:rFonts w:hint="default"/>
                <w:u w:val="none"/>
              </w:rPr>
              <w:t>a）本项目噪声源较简单，且均位于厂房之中，为室内声源，厂房有隔声效果。</w:t>
            </w:r>
          </w:p>
          <w:p>
            <w:pPr>
              <w:keepNext w:val="0"/>
              <w:keepLines w:val="0"/>
              <w:suppressLineNumbers w:val="0"/>
              <w:spacing w:before="0" w:beforeAutospacing="0" w:after="0" w:afterAutospacing="0"/>
              <w:ind w:left="0" w:right="0" w:firstLine="480"/>
              <w:rPr>
                <w:rFonts w:hint="default"/>
                <w:u w:val="none"/>
              </w:rPr>
            </w:pPr>
            <w:r>
              <w:rPr>
                <w:rFonts w:hint="default"/>
                <w:u w:val="none"/>
              </w:rPr>
              <w:t>b）高噪声设备和低噪声设备的户外噪声级相差较大，按照噪声级叠加规律，相差 10dB 以上的多个噪声源，可不用考虑低噪声的影响。因此，本次评价在预测时按此规律筛选，主要考虑高噪声设备的影响。</w:t>
            </w:r>
          </w:p>
          <w:p>
            <w:pPr>
              <w:keepNext w:val="0"/>
              <w:keepLines w:val="0"/>
              <w:suppressLineNumbers w:val="0"/>
              <w:spacing w:before="163" w:beforeLines="50" w:beforeAutospacing="0" w:after="0" w:afterAutospacing="0"/>
              <w:ind w:left="0" w:right="0" w:firstLine="0" w:firstLineChars="0"/>
              <w:jc w:val="center"/>
              <w:rPr>
                <w:rFonts w:hint="default"/>
                <w:b/>
                <w:bCs/>
                <w:iCs/>
                <w:sz w:val="24"/>
                <w:u w:val="none"/>
              </w:rPr>
            </w:pPr>
            <w:r>
              <w:rPr>
                <w:rFonts w:hint="default"/>
                <w:b/>
                <w:bCs/>
                <w:iCs/>
                <w:sz w:val="24"/>
                <w:u w:val="none"/>
              </w:rPr>
              <w:t>表7.5-1  噪声源情况</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069"/>
              <w:gridCol w:w="967"/>
              <w:gridCol w:w="1223"/>
              <w:gridCol w:w="162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24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噪声源</w:t>
                  </w:r>
                </w:p>
              </w:tc>
              <w:tc>
                <w:tcPr>
                  <w:tcW w:w="5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数量</w:t>
                  </w:r>
                </w:p>
              </w:tc>
              <w:tc>
                <w:tcPr>
                  <w:tcW w:w="7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源强（dB）</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运行规律</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24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油液抽排系统</w:t>
                  </w:r>
                </w:p>
              </w:tc>
              <w:tc>
                <w:tcPr>
                  <w:tcW w:w="5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4套</w:t>
                  </w:r>
                </w:p>
              </w:tc>
              <w:tc>
                <w:tcPr>
                  <w:tcW w:w="7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厂房隔声、基础减振，选择低噪声设备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24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氟利昂回收装置</w:t>
                  </w:r>
                </w:p>
              </w:tc>
              <w:tc>
                <w:tcPr>
                  <w:tcW w:w="5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1套</w:t>
                  </w:r>
                </w:p>
              </w:tc>
              <w:tc>
                <w:tcPr>
                  <w:tcW w:w="7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75~80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24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安全气囊引爆装置</w:t>
                  </w:r>
                </w:p>
              </w:tc>
              <w:tc>
                <w:tcPr>
                  <w:tcW w:w="5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1台</w:t>
                  </w:r>
                </w:p>
              </w:tc>
              <w:tc>
                <w:tcPr>
                  <w:tcW w:w="7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85~90</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间断性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124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金属屑压块机</w:t>
                  </w:r>
                </w:p>
              </w:tc>
              <w:tc>
                <w:tcPr>
                  <w:tcW w:w="583"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2台</w:t>
                  </w:r>
                </w:p>
              </w:tc>
              <w:tc>
                <w:tcPr>
                  <w:tcW w:w="73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80~85</w:t>
                  </w:r>
                </w:p>
              </w:tc>
              <w:tc>
                <w:tcPr>
                  <w:tcW w:w="97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连续性</w:t>
                  </w:r>
                </w:p>
              </w:tc>
              <w:tc>
                <w:tcPr>
                  <w:tcW w:w="977" w:type="pct"/>
                  <w:vMerge w:val="continue"/>
                </w:tcPr>
                <w:p>
                  <w:pPr>
                    <w:pStyle w:val="49"/>
                    <w:keepNext w:val="0"/>
                    <w:keepLines w:val="0"/>
                    <w:suppressLineNumbers w:val="0"/>
                    <w:bidi w:val="0"/>
                    <w:spacing w:before="0" w:beforeAutospacing="0" w:after="0" w:afterAutospacing="0"/>
                    <w:ind w:left="0" w:right="0"/>
                    <w:rPr>
                      <w:rFonts w:hint="default"/>
                      <w:u w:val="none"/>
                    </w:rPr>
                  </w:pPr>
                </w:p>
              </w:tc>
            </w:tr>
          </w:tbl>
          <w:p>
            <w:pPr>
              <w:pStyle w:val="5"/>
              <w:suppressLineNumbers w:val="0"/>
              <w:bidi w:val="0"/>
              <w:spacing w:before="0" w:beforeAutospacing="0" w:after="0" w:afterAutospacing="0"/>
              <w:ind w:left="0" w:right="0"/>
              <w:rPr>
                <w:rFonts w:hint="default"/>
                <w:u w:val="none"/>
              </w:rPr>
            </w:pPr>
            <w:bookmarkStart w:id="188" w:name="_Toc7080022"/>
            <w:bookmarkStart w:id="189" w:name="_Toc23411163"/>
            <w:bookmarkStart w:id="190" w:name="_Toc13073998"/>
            <w:bookmarkStart w:id="191" w:name="_Toc11250"/>
            <w:bookmarkStart w:id="192" w:name="_Toc8922"/>
            <w:r>
              <w:rPr>
                <w:rFonts w:hint="default"/>
                <w:u w:val="none"/>
              </w:rPr>
              <w:t>7.5.2评价范围和基本要求</w:t>
            </w:r>
            <w:bookmarkEnd w:id="188"/>
            <w:bookmarkEnd w:id="189"/>
            <w:bookmarkEnd w:id="190"/>
            <w:bookmarkEnd w:id="191"/>
            <w:bookmarkEnd w:id="192"/>
          </w:p>
          <w:p>
            <w:pPr>
              <w:keepNext w:val="0"/>
              <w:keepLines w:val="0"/>
              <w:suppressLineNumbers w:val="0"/>
              <w:spacing w:before="0" w:beforeAutospacing="0" w:after="0" w:afterAutospacing="0"/>
              <w:ind w:left="0" w:right="0" w:firstLine="480"/>
              <w:rPr>
                <w:rFonts w:hint="default"/>
                <w:u w:val="none"/>
              </w:rPr>
            </w:pPr>
            <w:r>
              <w:rPr>
                <w:rFonts w:hint="default"/>
                <w:u w:val="none"/>
              </w:rPr>
              <w:t>以建设项目边界向外 200 m 为评价范围。距离本项目厂界约30m范围外有居民（板桥村居民），为主要声环境保护目标。</w:t>
            </w:r>
          </w:p>
          <w:p>
            <w:pPr>
              <w:pStyle w:val="5"/>
              <w:suppressLineNumbers w:val="0"/>
              <w:bidi w:val="0"/>
              <w:spacing w:before="0" w:beforeAutospacing="0" w:after="0" w:afterAutospacing="0"/>
              <w:ind w:left="0" w:right="0"/>
              <w:rPr>
                <w:rFonts w:hint="default"/>
                <w:u w:val="none"/>
              </w:rPr>
            </w:pPr>
            <w:bookmarkStart w:id="193" w:name="_Toc23411164"/>
            <w:bookmarkStart w:id="194" w:name="_Toc13073999"/>
            <w:bookmarkStart w:id="195" w:name="_Toc7080023"/>
            <w:bookmarkStart w:id="196" w:name="_Toc26883"/>
            <w:bookmarkStart w:id="197" w:name="_Toc25306"/>
            <w:r>
              <w:rPr>
                <w:rFonts w:hint="default"/>
                <w:u w:val="none"/>
              </w:rPr>
              <w:t>7.5.3声环境影响预测</w:t>
            </w:r>
            <w:bookmarkEnd w:id="193"/>
            <w:bookmarkEnd w:id="194"/>
            <w:bookmarkEnd w:id="195"/>
            <w:bookmarkEnd w:id="196"/>
            <w:bookmarkEnd w:id="197"/>
          </w:p>
          <w:p>
            <w:pPr>
              <w:keepNext w:val="0"/>
              <w:keepLines w:val="0"/>
              <w:suppressLineNumbers w:val="0"/>
              <w:spacing w:before="0" w:beforeAutospacing="0" w:after="0" w:afterAutospacing="0"/>
              <w:ind w:left="0" w:right="0" w:firstLine="480"/>
              <w:rPr>
                <w:rFonts w:hint="default"/>
                <w:u w:val="none"/>
              </w:rPr>
            </w:pPr>
            <w:r>
              <w:rPr>
                <w:rFonts w:hint="default"/>
                <w:u w:val="none"/>
              </w:rPr>
              <w:t>（1）预测点：以项目厂界作为预测点。</w:t>
            </w:r>
          </w:p>
          <w:p>
            <w:pPr>
              <w:keepNext w:val="0"/>
              <w:keepLines w:val="0"/>
              <w:suppressLineNumbers w:val="0"/>
              <w:spacing w:before="0" w:beforeAutospacing="0" w:after="0" w:afterAutospacing="0"/>
              <w:ind w:left="0" w:right="0" w:firstLine="480"/>
              <w:rPr>
                <w:rFonts w:hint="default"/>
                <w:u w:val="none"/>
              </w:rPr>
            </w:pPr>
            <w:r>
              <w:rPr>
                <w:rFonts w:hint="default"/>
                <w:u w:val="none"/>
              </w:rPr>
              <w:t>（2）预测模式：采用《环境影响评价技术导则—声环境》（HJ2.4-2009）中推荐模式进行预测。</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668010" cy="2428875"/>
                  <wp:effectExtent l="0" t="0" r="889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rcRect t="6692"/>
                          <a:stretch>
                            <a:fillRect/>
                          </a:stretch>
                        </pic:blipFill>
                        <pic:spPr>
                          <a:xfrm>
                            <a:off x="0" y="0"/>
                            <a:ext cx="5675551" cy="2432096"/>
                          </a:xfrm>
                          <a:prstGeom prst="rect">
                            <a:avLst/>
                          </a:prstGeom>
                          <a:ln>
                            <a:noFill/>
                          </a:ln>
                        </pic:spPr>
                      </pic:pic>
                    </a:graphicData>
                  </a:graphic>
                </wp:inline>
              </w:drawing>
            </w:r>
          </w:p>
          <w:p>
            <w:pPr>
              <w:pStyle w:val="5"/>
              <w:suppressLineNumbers w:val="0"/>
              <w:bidi w:val="0"/>
              <w:spacing w:before="0" w:beforeAutospacing="0" w:after="0" w:afterAutospacing="0"/>
              <w:ind w:left="0" w:right="0"/>
              <w:rPr>
                <w:rFonts w:hint="default"/>
                <w:u w:val="none"/>
              </w:rPr>
            </w:pPr>
            <w:bookmarkStart w:id="198" w:name="_Toc4641"/>
            <w:bookmarkStart w:id="199" w:name="_Toc23411165"/>
            <w:bookmarkStart w:id="200" w:name="_Toc9292"/>
            <w:bookmarkStart w:id="201" w:name="_Toc13074000"/>
            <w:bookmarkStart w:id="202" w:name="_Toc7080024"/>
            <w:r>
              <w:rPr>
                <w:rFonts w:hint="default"/>
                <w:u w:val="none"/>
              </w:rPr>
              <w:t>7.5.4评价等级</w:t>
            </w:r>
            <w:bookmarkEnd w:id="198"/>
            <w:bookmarkEnd w:id="199"/>
            <w:bookmarkEnd w:id="200"/>
          </w:p>
          <w:p>
            <w:pPr>
              <w:keepNext w:val="0"/>
              <w:keepLines w:val="0"/>
              <w:suppressLineNumbers w:val="0"/>
              <w:spacing w:before="0" w:beforeAutospacing="0" w:after="0" w:afterAutospacing="0"/>
              <w:ind w:left="0" w:right="0" w:firstLine="480"/>
              <w:rPr>
                <w:rFonts w:hint="default"/>
                <w:u w:val="none"/>
              </w:rPr>
            </w:pPr>
            <w:r>
              <w:rPr>
                <w:rFonts w:hint="default"/>
                <w:u w:val="none"/>
              </w:rPr>
              <w:t>根据《环境影响评价技术导则 声环境》（HJ 2.4—2009），“建设项目建设前后评价范围内敏感目标噪声级增高量在 3 dB(A) 以下 [ 不含 3 dB(A)] ，且受影响人口数量变化不大时，按三级评价。”本项目建设前后评价范围内敏感目标噪声级增高量在3 dB(A) 以下，因此为三级评价。</w:t>
            </w:r>
          </w:p>
          <w:p>
            <w:pPr>
              <w:pStyle w:val="5"/>
              <w:suppressLineNumbers w:val="0"/>
              <w:bidi w:val="0"/>
              <w:spacing w:before="0" w:beforeAutospacing="0" w:after="0" w:afterAutospacing="0"/>
              <w:ind w:left="0" w:right="0"/>
              <w:rPr>
                <w:rFonts w:hint="default"/>
                <w:u w:val="none"/>
              </w:rPr>
            </w:pPr>
            <w:bookmarkStart w:id="203" w:name="_Toc19784"/>
            <w:bookmarkStart w:id="204" w:name="_Toc23411166"/>
            <w:bookmarkStart w:id="205" w:name="_Toc17809"/>
            <w:r>
              <w:rPr>
                <w:rFonts w:hint="default"/>
                <w:u w:val="none"/>
              </w:rPr>
              <w:t>7.5.5噪声评价结果</w:t>
            </w:r>
            <w:bookmarkEnd w:id="201"/>
            <w:bookmarkEnd w:id="202"/>
            <w:bookmarkEnd w:id="203"/>
            <w:bookmarkEnd w:id="204"/>
            <w:bookmarkEnd w:id="205"/>
          </w:p>
          <w:p>
            <w:pPr>
              <w:keepNext w:val="0"/>
              <w:keepLines w:val="0"/>
              <w:suppressLineNumbers w:val="0"/>
              <w:spacing w:before="0" w:beforeAutospacing="0" w:after="0" w:afterAutospacing="0"/>
              <w:ind w:left="0" w:right="0" w:firstLine="480"/>
              <w:rPr>
                <w:rFonts w:hint="default"/>
                <w:u w:val="none"/>
              </w:rPr>
            </w:pPr>
            <w:r>
              <w:rPr>
                <w:rFonts w:hint="default"/>
                <w:u w:val="none"/>
              </w:rPr>
              <w:t>本项目各主要声源属于稳态声源，昼间和夜间声源参数相同，贡献值也相同。高噪声设备主要位于厂区内部，经过模拟预测，本项目正常运行时，夜间不生产，厂界噪声贡献值和预测值见表7.5-2。</w:t>
            </w:r>
          </w:p>
          <w:p>
            <w:pPr>
              <w:keepNext w:val="0"/>
              <w:keepLines w:val="0"/>
              <w:suppressLineNumbers w:val="0"/>
              <w:spacing w:before="0" w:beforeAutospacing="0" w:after="0" w:afterAutospacing="0"/>
              <w:ind w:left="0" w:right="0" w:firstLine="480"/>
              <w:jc w:val="center"/>
              <w:rPr>
                <w:rFonts w:hint="default"/>
                <w:b/>
                <w:bCs/>
                <w:iCs/>
                <w:sz w:val="24"/>
                <w:u w:val="none"/>
              </w:rPr>
            </w:pPr>
          </w:p>
          <w:p>
            <w:pPr>
              <w:keepNext w:val="0"/>
              <w:keepLines w:val="0"/>
              <w:suppressLineNumbers w:val="0"/>
              <w:spacing w:before="0" w:beforeAutospacing="0" w:after="0" w:afterAutospacing="0"/>
              <w:ind w:left="0" w:right="0" w:firstLine="480"/>
              <w:jc w:val="center"/>
              <w:rPr>
                <w:rFonts w:hint="default"/>
                <w:b/>
                <w:bCs/>
                <w:iCs/>
                <w:sz w:val="24"/>
                <w:u w:val="none"/>
              </w:rPr>
            </w:pPr>
            <w:r>
              <w:rPr>
                <w:rFonts w:hint="default"/>
                <w:b/>
                <w:bCs/>
                <w:iCs/>
                <w:sz w:val="24"/>
                <w:u w:val="none"/>
              </w:rPr>
              <w:t>表7.5-2  噪声预测结果  单位：dB（A）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283"/>
              <w:gridCol w:w="1181"/>
              <w:gridCol w:w="1268"/>
              <w:gridCol w:w="1160"/>
              <w:gridCol w:w="921"/>
              <w:gridCol w:w="986"/>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773"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厂界位置</w:t>
                  </w:r>
                </w:p>
              </w:tc>
              <w:tc>
                <w:tcPr>
                  <w:tcW w:w="711" w:type="pct"/>
                  <w:vMerge w:val="restar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离厂界最近距离 /m</w:t>
                  </w:r>
                </w:p>
              </w:tc>
              <w:tc>
                <w:tcPr>
                  <w:tcW w:w="76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贡献值</w:t>
                  </w:r>
                </w:p>
              </w:tc>
              <w:tc>
                <w:tcPr>
                  <w:tcW w:w="1254"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现状监测值（平均值）</w:t>
                  </w:r>
                </w:p>
              </w:tc>
              <w:tc>
                <w:tcPr>
                  <w:tcW w:w="1187"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73"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711" w:type="pct"/>
                  <w:vMerge w:val="continue"/>
                </w:tcPr>
                <w:p>
                  <w:pPr>
                    <w:pStyle w:val="49"/>
                    <w:keepNext w:val="0"/>
                    <w:keepLines w:val="0"/>
                    <w:suppressLineNumbers w:val="0"/>
                    <w:bidi w:val="0"/>
                    <w:spacing w:before="0" w:beforeAutospacing="0" w:after="0" w:afterAutospacing="0"/>
                    <w:ind w:left="0" w:right="0"/>
                    <w:rPr>
                      <w:rFonts w:hint="default"/>
                      <w:u w:val="none"/>
                    </w:rPr>
                  </w:pPr>
                </w:p>
              </w:tc>
              <w:tc>
                <w:tcPr>
                  <w:tcW w:w="76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昼间</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昼间</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7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厂界东</w:t>
                  </w:r>
                </w:p>
              </w:tc>
              <w:tc>
                <w:tcPr>
                  <w:tcW w:w="7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7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53</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56.55</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41.95</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58.14</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7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厂界南</w:t>
                  </w:r>
                </w:p>
              </w:tc>
              <w:tc>
                <w:tcPr>
                  <w:tcW w:w="7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7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56.85</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40.45</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59.46</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7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厂界西</w:t>
                  </w:r>
                </w:p>
              </w:tc>
              <w:tc>
                <w:tcPr>
                  <w:tcW w:w="7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12</w:t>
                  </w:r>
                </w:p>
              </w:tc>
              <w:tc>
                <w:tcPr>
                  <w:tcW w:w="7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54</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54.1</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41.05</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57.06</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77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厂界北</w:t>
                  </w:r>
                </w:p>
              </w:tc>
              <w:tc>
                <w:tcPr>
                  <w:tcW w:w="711"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59</w:t>
                  </w:r>
                </w:p>
              </w:tc>
              <w:tc>
                <w:tcPr>
                  <w:tcW w:w="7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52.8</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39.65</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54.63</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pct"/>
                  <w:gridSpan w:val="3"/>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GB12348-2008</w:t>
                  </w:r>
                </w:p>
              </w:tc>
              <w:tc>
                <w:tcPr>
                  <w:tcW w:w="76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9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55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59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60</w:t>
                  </w:r>
                </w:p>
              </w:tc>
              <w:tc>
                <w:tcPr>
                  <w:tcW w:w="593"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50</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降噪措施：隔声减振，选用低噪声的先进设备，采用建筑隔声的方法降低噪声污染，经过距离衰减后，本项目噪声可达标排放。</w:t>
            </w:r>
          </w:p>
          <w:p>
            <w:pPr>
              <w:keepNext w:val="0"/>
              <w:keepLines w:val="0"/>
              <w:suppressLineNumbers w:val="0"/>
              <w:spacing w:before="0" w:beforeAutospacing="0" w:after="0" w:afterAutospacing="0"/>
              <w:ind w:left="0" w:right="0" w:firstLine="480"/>
              <w:rPr>
                <w:rFonts w:hint="default"/>
                <w:u w:val="none"/>
              </w:rPr>
            </w:pPr>
            <w:r>
              <w:rPr>
                <w:rFonts w:hint="default"/>
                <w:u w:val="none"/>
              </w:rPr>
              <w:t>由表7.5-2可知，采取各项降噪措施后，厂界昼间噪声贡献值值满足《工业企业厂界环境噪声排放标准》2类标准的要求，昼间预测值均满足《声环境质量标准》（GB3096-2008）2类相关要求。</w:t>
            </w:r>
          </w:p>
          <w:p>
            <w:pPr>
              <w:pStyle w:val="5"/>
              <w:suppressLineNumbers w:val="0"/>
              <w:bidi w:val="0"/>
              <w:spacing w:before="0" w:beforeAutospacing="0" w:after="0" w:afterAutospacing="0"/>
              <w:ind w:left="0" w:right="0"/>
              <w:rPr>
                <w:rFonts w:hint="eastAsia"/>
                <w:u w:val="none"/>
                <w:lang w:val="en-US" w:eastAsia="zh-CN"/>
              </w:rPr>
            </w:pPr>
            <w:bookmarkStart w:id="206" w:name="_Toc12795"/>
            <w:bookmarkStart w:id="207" w:name="_Toc13092"/>
            <w:r>
              <w:rPr>
                <w:rFonts w:hint="eastAsia"/>
                <w:u w:val="none"/>
                <w:lang w:val="en-US" w:eastAsia="zh-CN"/>
              </w:rPr>
              <w:t>7.5.6项目对周边主要环保目标的声环境影响及控制措施</w:t>
            </w:r>
            <w:bookmarkEnd w:id="206"/>
            <w:bookmarkEnd w:id="207"/>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480" w:firstLineChars="200"/>
              <w:jc w:val="both"/>
              <w:textAlignment w:val="auto"/>
              <w:rPr>
                <w:rFonts w:hint="eastAsia"/>
                <w:u w:val="none"/>
                <w:lang w:val="en-US" w:eastAsia="zh-CN"/>
              </w:rPr>
            </w:pPr>
            <w:r>
              <w:rPr>
                <w:rFonts w:hint="eastAsia"/>
                <w:u w:val="none"/>
                <w:lang w:val="en-US" w:eastAsia="zh-CN"/>
              </w:rPr>
              <w:t>项目周边主要声环境保护目标如下所示。</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95"/>
              <w:gridCol w:w="1459"/>
              <w:gridCol w:w="1945"/>
              <w:gridCol w:w="15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敏感点</w:t>
                  </w:r>
                </w:p>
              </w:tc>
              <w:tc>
                <w:tcPr>
                  <w:tcW w:w="879"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方位</w:t>
                  </w:r>
                </w:p>
              </w:tc>
              <w:tc>
                <w:tcPr>
                  <w:tcW w:w="117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规模</w:t>
                  </w:r>
                </w:p>
              </w:tc>
              <w:tc>
                <w:tcPr>
                  <w:tcW w:w="9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板桥村居民点1</w:t>
                  </w:r>
                </w:p>
              </w:tc>
              <w:tc>
                <w:tcPr>
                  <w:tcW w:w="87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东</w:t>
                  </w:r>
                </w:p>
              </w:tc>
              <w:tc>
                <w:tcPr>
                  <w:tcW w:w="117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约2户</w:t>
                  </w:r>
                </w:p>
              </w:tc>
              <w:tc>
                <w:tcPr>
                  <w:tcW w:w="9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板桥村居民点2</w:t>
                  </w:r>
                </w:p>
              </w:tc>
              <w:tc>
                <w:tcPr>
                  <w:tcW w:w="879"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西北</w:t>
                  </w:r>
                </w:p>
              </w:tc>
              <w:tc>
                <w:tcPr>
                  <w:tcW w:w="117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约4户</w:t>
                  </w:r>
                </w:p>
              </w:tc>
              <w:tc>
                <w:tcPr>
                  <w:tcW w:w="9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33.8m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板桥村居民点3</w:t>
                  </w:r>
                </w:p>
              </w:tc>
              <w:tc>
                <w:tcPr>
                  <w:tcW w:w="879" w:type="pct"/>
                  <w:tcBorders>
                    <w:bottom w:val="single" w:color="auto" w:sz="4" w:space="0"/>
                  </w:tcBorders>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东北</w:t>
                  </w:r>
                </w:p>
              </w:tc>
              <w:tc>
                <w:tcPr>
                  <w:tcW w:w="117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约15户</w:t>
                  </w:r>
                </w:p>
              </w:tc>
              <w:tc>
                <w:tcPr>
                  <w:tcW w:w="96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30.5m</w:t>
                  </w:r>
                </w:p>
              </w:tc>
            </w:tr>
          </w:tbl>
          <w:p>
            <w:pPr>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本项目为一班8小时工作制，不在夜间生产，噪声通过隔声、噪声衰减等</w:t>
            </w:r>
            <w:r>
              <w:rPr>
                <w:rFonts w:hint="default"/>
                <w:u w:val="single"/>
              </w:rPr>
              <w:t>降噪</w:t>
            </w:r>
            <w:r>
              <w:rPr>
                <w:rFonts w:hint="eastAsia"/>
                <w:u w:val="single"/>
                <w:lang w:val="en-US" w:eastAsia="zh-CN"/>
              </w:rPr>
              <w:t>措施处理后，厂界噪声能够达标。不会对周边居民产生影响。</w:t>
            </w:r>
          </w:p>
          <w:p>
            <w:pPr>
              <w:keepNext w:val="0"/>
              <w:keepLines w:val="0"/>
              <w:suppressLineNumbers w:val="0"/>
              <w:bidi w:val="0"/>
              <w:spacing w:before="0" w:beforeAutospacing="0" w:after="0" w:afterAutospacing="0"/>
              <w:ind w:left="0" w:right="0"/>
              <w:rPr>
                <w:rFonts w:hint="default"/>
                <w:u w:val="single"/>
              </w:rPr>
            </w:pPr>
            <w:r>
              <w:rPr>
                <w:rFonts w:hint="default"/>
                <w:u w:val="single"/>
              </w:rPr>
              <w:t>本项目主要噪声源较大为</w:t>
            </w:r>
            <w:r>
              <w:rPr>
                <w:rFonts w:hint="default"/>
                <w:u w:val="single"/>
                <w:lang w:eastAsia="zh-CN"/>
              </w:rPr>
              <w:t>剪切机、金属打包压块机</w:t>
            </w:r>
            <w:r>
              <w:rPr>
                <w:rFonts w:hint="default"/>
                <w:u w:val="single"/>
              </w:rPr>
              <w:t>、安全汽囊引爆装置等产生的噪声。项目拟采取的噪声治理措施如下：</w:t>
            </w:r>
          </w:p>
          <w:p>
            <w:pPr>
              <w:keepNext w:val="0"/>
              <w:keepLines w:val="0"/>
              <w:suppressLineNumbers w:val="0"/>
              <w:bidi w:val="0"/>
              <w:spacing w:before="0" w:beforeAutospacing="0" w:after="0" w:afterAutospacing="0"/>
              <w:ind w:left="0" w:right="0"/>
              <w:rPr>
                <w:rFonts w:hint="default"/>
                <w:u w:val="single"/>
              </w:rPr>
            </w:pPr>
            <w:r>
              <w:rPr>
                <w:rFonts w:hint="default"/>
                <w:u w:val="single"/>
              </w:rPr>
              <w:fldChar w:fldCharType="begin"/>
            </w:r>
            <w:r>
              <w:rPr>
                <w:rFonts w:hint="default"/>
                <w:u w:val="single"/>
              </w:rPr>
              <w:instrText xml:space="preserve"> = 1 \* GB3 </w:instrText>
            </w:r>
            <w:r>
              <w:rPr>
                <w:rFonts w:hint="default"/>
                <w:u w:val="single"/>
              </w:rPr>
              <w:fldChar w:fldCharType="separate"/>
            </w:r>
            <w:r>
              <w:rPr>
                <w:rFonts w:hint="default"/>
                <w:u w:val="single"/>
              </w:rPr>
              <w:t>①</w:t>
            </w:r>
            <w:r>
              <w:rPr>
                <w:rFonts w:hint="default"/>
                <w:u w:val="single"/>
              </w:rPr>
              <w:fldChar w:fldCharType="end"/>
            </w:r>
            <w:r>
              <w:rPr>
                <w:rFonts w:hint="default"/>
                <w:u w:val="single"/>
              </w:rPr>
              <w:t>采取设备基础减振、管道软接、隔声房隔声等降噪措施。</w:t>
            </w:r>
          </w:p>
          <w:p>
            <w:pPr>
              <w:keepNext w:val="0"/>
              <w:keepLines w:val="0"/>
              <w:suppressLineNumbers w:val="0"/>
              <w:bidi w:val="0"/>
              <w:spacing w:before="0" w:beforeAutospacing="0" w:after="0" w:afterAutospacing="0"/>
              <w:ind w:left="0" w:right="0"/>
              <w:rPr>
                <w:rFonts w:hint="default"/>
                <w:u w:val="single"/>
              </w:rPr>
            </w:pPr>
            <w:r>
              <w:rPr>
                <w:rFonts w:hint="default"/>
                <w:u w:val="single"/>
              </w:rPr>
              <w:t>②合理布局，生产设备噪声源基本均布置在生产车间内，其充分利用车间内部空间，符合噪声源相对集中、闹静分开的原则；废气处理装置引风机布置在车间外；安全气囊引爆器设置在专用的隔声房内。本项目厂房墙面为实体墙，同时加强门窗隔声措施，因此隔声量计为20dB(A)。</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52" w:firstLineChars="200"/>
              <w:textAlignment w:val="auto"/>
              <w:rPr>
                <w:rFonts w:hint="default" w:ascii="Times New Roman" w:hAnsi="Times New Roman" w:cs="Times New Roman"/>
                <w:i w:val="0"/>
                <w:iCs w:val="0"/>
                <w:spacing w:val="-7"/>
                <w:kern w:val="0"/>
                <w:sz w:val="24"/>
                <w:szCs w:val="24"/>
                <w:u w:val="single"/>
              </w:rPr>
            </w:pPr>
            <w:r>
              <w:rPr>
                <w:rFonts w:hint="default" w:ascii="Times New Roman" w:hAnsi="Times New Roman" w:cs="Times New Roman"/>
                <w:i w:val="0"/>
                <w:iCs w:val="0"/>
                <w:spacing w:val="-7"/>
                <w:kern w:val="0"/>
                <w:sz w:val="24"/>
                <w:szCs w:val="24"/>
                <w:u w:val="single"/>
              </w:rPr>
              <w:t>③加强设备维修，避免设备老化引起的噪声。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52" w:firstLineChars="200"/>
              <w:textAlignment w:val="auto"/>
              <w:rPr>
                <w:rFonts w:hint="default" w:ascii="Times New Roman" w:hAnsi="Times New Roman" w:cs="Times New Roman"/>
                <w:i w:val="0"/>
                <w:iCs w:val="0"/>
                <w:spacing w:val="-7"/>
                <w:kern w:val="0"/>
                <w:sz w:val="24"/>
                <w:szCs w:val="24"/>
                <w:u w:val="single"/>
              </w:rPr>
            </w:pPr>
            <w:r>
              <w:rPr>
                <w:rFonts w:hint="default" w:ascii="Times New Roman" w:hAnsi="Times New Roman" w:cs="Times New Roman"/>
                <w:i w:val="0"/>
                <w:iCs w:val="0"/>
                <w:spacing w:val="-7"/>
                <w:kern w:val="0"/>
                <w:sz w:val="24"/>
                <w:szCs w:val="24"/>
                <w:u w:val="single"/>
                <w:lang w:eastAsia="zh-CN"/>
              </w:rPr>
              <w:t>④</w:t>
            </w:r>
            <w:r>
              <w:rPr>
                <w:rFonts w:hint="default" w:ascii="Times New Roman" w:hAnsi="Times New Roman" w:cs="Times New Roman"/>
                <w:i w:val="0"/>
                <w:iCs w:val="0"/>
                <w:spacing w:val="-7"/>
                <w:kern w:val="0"/>
                <w:sz w:val="24"/>
                <w:szCs w:val="24"/>
                <w:u w:val="single"/>
              </w:rPr>
              <w:t>严格执行一班制生产。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52" w:firstLineChars="200"/>
              <w:textAlignment w:val="auto"/>
              <w:rPr>
                <w:rFonts w:hint="eastAsia" w:ascii="Times New Roman" w:hAnsi="Times New Roman" w:cs="Times New Roman"/>
                <w:i w:val="0"/>
                <w:iCs w:val="0"/>
                <w:spacing w:val="-7"/>
                <w:kern w:val="0"/>
                <w:sz w:val="24"/>
                <w:szCs w:val="24"/>
                <w:u w:val="single"/>
                <w:lang w:eastAsia="zh-CN"/>
              </w:rPr>
            </w:pPr>
            <w:r>
              <w:rPr>
                <w:rFonts w:hint="eastAsia" w:ascii="Times New Roman" w:hAnsi="Times New Roman" w:cs="Times New Roman"/>
                <w:i w:val="0"/>
                <w:iCs w:val="0"/>
                <w:spacing w:val="-7"/>
                <w:kern w:val="0"/>
                <w:sz w:val="24"/>
                <w:szCs w:val="24"/>
                <w:u w:val="single"/>
                <w:lang w:eastAsia="zh-CN"/>
              </w:rPr>
              <w:t>⑤禁止夜间生产。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52" w:firstLineChars="200"/>
              <w:textAlignment w:val="auto"/>
              <w:rPr>
                <w:rFonts w:hint="eastAsia" w:ascii="Times New Roman" w:hAnsi="Times New Roman" w:cs="Times New Roman"/>
                <w:i w:val="0"/>
                <w:iCs w:val="0"/>
                <w:spacing w:val="-7"/>
                <w:kern w:val="0"/>
                <w:sz w:val="24"/>
                <w:szCs w:val="24"/>
                <w:u w:val="single"/>
                <w:lang w:eastAsia="zh-CN"/>
              </w:rPr>
            </w:pPr>
            <w:r>
              <w:rPr>
                <w:rFonts w:hint="eastAsia" w:ascii="Times New Roman" w:hAnsi="Times New Roman" w:cs="Times New Roman"/>
                <w:i w:val="0"/>
                <w:iCs w:val="0"/>
                <w:spacing w:val="-7"/>
                <w:kern w:val="0"/>
                <w:sz w:val="24"/>
                <w:szCs w:val="24"/>
                <w:u w:val="single"/>
                <w:lang w:eastAsia="zh-CN"/>
              </w:rPr>
              <w:t>⑥午间休息时间减少高噪声设备运作。</w:t>
            </w:r>
          </w:p>
          <w:p>
            <w:pPr>
              <w:keepNext w:val="0"/>
              <w:keepLines w:val="0"/>
              <w:suppressLineNumbers w:val="0"/>
              <w:spacing w:before="0" w:beforeAutospacing="0" w:after="0" w:afterAutospacing="0"/>
              <w:ind w:left="0" w:right="0"/>
              <w:rPr>
                <w:rFonts w:hint="default"/>
                <w:u w:val="none"/>
              </w:rPr>
            </w:pPr>
            <w:r>
              <w:rPr>
                <w:rFonts w:hint="default" w:ascii="Times New Roman" w:hAnsi="Times New Roman" w:cs="Times New Roman"/>
                <w:spacing w:val="-7"/>
                <w:kern w:val="0"/>
                <w:sz w:val="24"/>
                <w:szCs w:val="24"/>
                <w:u w:val="none"/>
              </w:rPr>
              <w:t>通过采取上述隔声降噪措施后，</w:t>
            </w:r>
            <w:r>
              <w:rPr>
                <w:rFonts w:hint="default" w:ascii="Times New Roman" w:hAnsi="Times New Roman" w:cs="Times New Roman"/>
                <w:spacing w:val="-7"/>
                <w:kern w:val="0"/>
                <w:sz w:val="24"/>
                <w:szCs w:val="24"/>
                <w:u w:val="none"/>
                <w:lang w:eastAsia="zh-CN"/>
              </w:rPr>
              <w:t>经距离</w:t>
            </w:r>
            <w:r>
              <w:rPr>
                <w:rFonts w:hint="default" w:ascii="Times New Roman" w:hAnsi="Times New Roman" w:cs="Times New Roman"/>
                <w:spacing w:val="-7"/>
                <w:kern w:val="0"/>
                <w:sz w:val="24"/>
                <w:szCs w:val="24"/>
                <w:u w:val="none"/>
              </w:rPr>
              <w:t>衰减，厂界噪声能符合《工业企业厂界环境噪声排放标准》（GB 12348-2008）中</w:t>
            </w:r>
            <w:r>
              <w:rPr>
                <w:rFonts w:hint="eastAsia" w:cs="Times New Roman"/>
                <w:spacing w:val="-7"/>
                <w:kern w:val="0"/>
                <w:sz w:val="24"/>
                <w:szCs w:val="24"/>
                <w:u w:val="none"/>
                <w:lang w:val="en-US" w:eastAsia="zh-CN"/>
              </w:rPr>
              <w:t>2</w:t>
            </w:r>
            <w:r>
              <w:rPr>
                <w:rFonts w:hint="default" w:ascii="Times New Roman" w:hAnsi="Times New Roman" w:cs="Times New Roman"/>
                <w:spacing w:val="-7"/>
                <w:kern w:val="0"/>
                <w:sz w:val="24"/>
                <w:szCs w:val="24"/>
                <w:u w:val="none"/>
              </w:rPr>
              <w:t>类区标准，能够确保厂界噪声达标排放，以上噪声治理措施技术成熟可靠，经济合理。</w:t>
            </w:r>
          </w:p>
          <w:p>
            <w:pPr>
              <w:pStyle w:val="4"/>
              <w:suppressLineNumbers w:val="0"/>
              <w:bidi w:val="0"/>
              <w:spacing w:before="0" w:beforeAutospacing="0" w:after="0" w:afterAutospacing="0"/>
              <w:ind w:left="0" w:right="0"/>
              <w:rPr>
                <w:rFonts w:hint="default"/>
                <w:u w:val="none"/>
              </w:rPr>
            </w:pPr>
            <w:bookmarkStart w:id="208" w:name="_Toc535229795"/>
            <w:bookmarkStart w:id="209" w:name="_Toc21595"/>
            <w:bookmarkStart w:id="210" w:name="_Toc12220"/>
            <w:r>
              <w:rPr>
                <w:rFonts w:hint="default"/>
                <w:u w:val="none"/>
              </w:rPr>
              <w:t>7.6营运期固体废物环境影响分析</w:t>
            </w:r>
            <w:bookmarkEnd w:id="208"/>
            <w:bookmarkEnd w:id="209"/>
            <w:bookmarkEnd w:id="210"/>
          </w:p>
          <w:p>
            <w:pPr>
              <w:pStyle w:val="5"/>
              <w:suppressLineNumbers w:val="0"/>
              <w:bidi w:val="0"/>
              <w:spacing w:before="0" w:beforeAutospacing="0" w:after="0" w:afterAutospacing="0"/>
              <w:ind w:left="0" w:right="0"/>
              <w:rPr>
                <w:rFonts w:hint="default"/>
                <w:u w:val="none"/>
              </w:rPr>
            </w:pPr>
            <w:bookmarkStart w:id="211" w:name="_Toc13074002"/>
            <w:bookmarkStart w:id="212" w:name="_Toc7080026"/>
            <w:bookmarkStart w:id="213" w:name="_Toc771"/>
            <w:bookmarkStart w:id="214" w:name="_Toc23411168"/>
            <w:bookmarkStart w:id="215" w:name="_Toc32175"/>
            <w:r>
              <w:rPr>
                <w:rFonts w:hint="default"/>
                <w:u w:val="none"/>
              </w:rPr>
              <w:t>7.6.1 固体废物处置原则</w:t>
            </w:r>
            <w:bookmarkEnd w:id="211"/>
            <w:bookmarkEnd w:id="212"/>
            <w:bookmarkEnd w:id="213"/>
            <w:bookmarkEnd w:id="214"/>
            <w:bookmarkEnd w:id="215"/>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为防止固体废物污染环境，保障人体健康，对固体废物的处置首先应该考虑合理使用资源，充分回收，尽可能减少固体废物产生量，其次考虑安全、合理、卫生的处置，力图以最经济和可靠的方式将废物量减量化、资源化和无害化，最大限度降低对环境的不利影响。</w:t>
            </w:r>
          </w:p>
          <w:p>
            <w:pPr>
              <w:pStyle w:val="5"/>
              <w:suppressLineNumbers w:val="0"/>
              <w:bidi w:val="0"/>
              <w:spacing w:before="0" w:beforeAutospacing="0" w:after="0" w:afterAutospacing="0"/>
              <w:ind w:left="0" w:right="0"/>
              <w:rPr>
                <w:rFonts w:hint="default"/>
                <w:u w:val="none"/>
              </w:rPr>
            </w:pPr>
            <w:bookmarkStart w:id="216" w:name="_Toc23411169"/>
            <w:bookmarkStart w:id="217" w:name="_Toc13074003"/>
            <w:bookmarkStart w:id="218" w:name="_Toc7080027"/>
            <w:bookmarkStart w:id="219" w:name="_Toc24610"/>
            <w:bookmarkStart w:id="220" w:name="_Toc19856"/>
            <w:r>
              <w:rPr>
                <w:rFonts w:hint="default"/>
                <w:u w:val="none"/>
              </w:rPr>
              <w:t>7.6.2 固体废物产生及处置情况</w:t>
            </w:r>
            <w:bookmarkEnd w:id="216"/>
            <w:bookmarkEnd w:id="217"/>
            <w:bookmarkEnd w:id="218"/>
            <w:bookmarkEnd w:id="219"/>
            <w:bookmarkEnd w:id="220"/>
          </w:p>
          <w:p>
            <w:pPr>
              <w:keepNext w:val="0"/>
              <w:keepLines w:val="0"/>
              <w:suppressLineNumbers w:val="0"/>
              <w:spacing w:before="163" w:beforeLines="50" w:beforeAutospacing="0" w:after="0" w:afterAutospacing="0"/>
              <w:ind w:left="0" w:right="0" w:firstLine="0" w:firstLineChars="0"/>
              <w:jc w:val="center"/>
              <w:rPr>
                <w:rFonts w:hint="default"/>
                <w:b/>
                <w:bCs/>
                <w:iCs/>
                <w:sz w:val="24"/>
                <w:u w:val="none"/>
              </w:rPr>
            </w:pPr>
            <w:r>
              <w:rPr>
                <w:rFonts w:hint="default"/>
                <w:b/>
                <w:bCs/>
                <w:iCs/>
                <w:sz w:val="24"/>
                <w:u w:val="none"/>
              </w:rPr>
              <w:t>表7.6-1  一般固体废物产生情况一览表</w:t>
            </w:r>
          </w:p>
          <w:tbl>
            <w:tblPr>
              <w:tblStyle w:val="23"/>
              <w:tblW w:w="85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886"/>
              <w:gridCol w:w="1036"/>
              <w:gridCol w:w="4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1"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1958"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1071"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w:t>
                  </w:r>
                </w:p>
              </w:tc>
              <w:tc>
                <w:tcPr>
                  <w:tcW w:w="4650"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S18</w:t>
                  </w:r>
                </w:p>
              </w:tc>
              <w:tc>
                <w:tcPr>
                  <w:tcW w:w="195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107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130250 kg/a</w:t>
                  </w:r>
                </w:p>
              </w:tc>
              <w:tc>
                <w:tcPr>
                  <w:tcW w:w="465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主要为破损陶瓷和汽车内含有的泥沙等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S19</w:t>
                  </w:r>
                </w:p>
              </w:tc>
              <w:tc>
                <w:tcPr>
                  <w:tcW w:w="195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含油手套及抹布</w:t>
                  </w:r>
                </w:p>
              </w:tc>
              <w:tc>
                <w:tcPr>
                  <w:tcW w:w="107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 t/a</w:t>
                  </w:r>
                </w:p>
              </w:tc>
              <w:tc>
                <w:tcPr>
                  <w:tcW w:w="465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拆解过程使用的手套、抹布等劳保用品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S20</w:t>
                  </w:r>
                </w:p>
              </w:tc>
              <w:tc>
                <w:tcPr>
                  <w:tcW w:w="195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1071"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2.1 t/a</w:t>
                  </w:r>
                </w:p>
              </w:tc>
              <w:tc>
                <w:tcPr>
                  <w:tcW w:w="465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r>
          </w:tbl>
          <w:p>
            <w:pPr>
              <w:pStyle w:val="50"/>
              <w:keepNext w:val="0"/>
              <w:keepLines w:val="0"/>
              <w:suppressLineNumbers w:val="0"/>
              <w:bidi w:val="0"/>
              <w:spacing w:beforeAutospacing="0" w:after="0" w:afterAutospacing="0"/>
              <w:ind w:left="0" w:right="0"/>
              <w:rPr>
                <w:rFonts w:hint="default"/>
                <w:u w:val="none"/>
              </w:rPr>
            </w:pPr>
            <w:r>
              <w:rPr>
                <w:rFonts w:hint="default"/>
                <w:u w:val="none"/>
              </w:rPr>
              <w:t>表7.6-2  危险废物产生情况一览表</w:t>
            </w:r>
          </w:p>
          <w:tbl>
            <w:tblPr>
              <w:tblStyle w:val="23"/>
              <w:tblW w:w="85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047"/>
              <w:gridCol w:w="1096"/>
              <w:gridCol w:w="4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编号</w:t>
                  </w:r>
                </w:p>
              </w:tc>
              <w:tc>
                <w:tcPr>
                  <w:tcW w:w="2126"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来源</w:t>
                  </w:r>
                </w:p>
              </w:tc>
              <w:tc>
                <w:tcPr>
                  <w:tcW w:w="113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产生量（kg/a）</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69250</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内含硫酸，仅拆除，不进一步拆解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S2</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270000</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含少量液化气，仅拆除，不进一步拆解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S3</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主要产生于汽车排气管，含尾气净化剂，仅拆除，不进一步拆解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S4</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112800</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S5</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35975</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S6</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32235</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S7</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4750</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S8</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67900</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S9</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26575</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S10</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1500</w:t>
                  </w:r>
                </w:p>
              </w:tc>
              <w:tc>
                <w:tcPr>
                  <w:tcW w:w="439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产生于汽车空调，含 R12、R134a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S11</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2605</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金属、石油类，仅拆除，不进一步清洗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S12</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66</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金属、含油颗粒等，仅拆除，不进一步拆解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S13</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65</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S14</w:t>
                  </w:r>
                </w:p>
              </w:tc>
              <w:tc>
                <w:tcPr>
                  <w:tcW w:w="2126"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113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1056</w:t>
                  </w:r>
                </w:p>
              </w:tc>
              <w:tc>
                <w:tcPr>
                  <w:tcW w:w="4394" w:type="dxa"/>
                  <w:shd w:val="clear" w:color="auto" w:fill="auto"/>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多氯联苯的废电容器，仅拆除，不进一步拆解</w:t>
                  </w:r>
                </w:p>
              </w:tc>
            </w:tr>
          </w:tbl>
          <w:p>
            <w:pPr>
              <w:pStyle w:val="5"/>
              <w:suppressLineNumbers w:val="0"/>
              <w:bidi w:val="0"/>
              <w:spacing w:before="0" w:beforeAutospacing="0" w:after="0" w:afterAutospacing="0"/>
              <w:ind w:left="0" w:right="0"/>
              <w:rPr>
                <w:rFonts w:hint="eastAsia"/>
                <w:u w:val="none"/>
                <w:lang w:val="en-US" w:eastAsia="zh-CN"/>
              </w:rPr>
            </w:pPr>
            <w:bookmarkStart w:id="221" w:name="_Toc20014"/>
            <w:bookmarkStart w:id="222" w:name="_Toc25070"/>
            <w:bookmarkStart w:id="223" w:name="_Toc23411170"/>
            <w:r>
              <w:rPr>
                <w:rFonts w:hint="default"/>
                <w:u w:val="none"/>
              </w:rPr>
              <w:t>7.6.3</w:t>
            </w:r>
            <w:r>
              <w:rPr>
                <w:rFonts w:hint="eastAsia"/>
                <w:u w:val="none"/>
                <w:lang w:val="en-US" w:eastAsia="zh-CN"/>
              </w:rPr>
              <w:t>一般固废暂存间的建设要求</w:t>
            </w:r>
            <w:bookmarkEnd w:id="221"/>
            <w:bookmarkEnd w:id="222"/>
          </w:p>
          <w:p>
            <w:pPr>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根据</w:t>
            </w:r>
            <w:r>
              <w:rPr>
                <w:rFonts w:hint="default"/>
                <w:u w:val="none"/>
              </w:rPr>
              <w:t>《</w:t>
            </w:r>
            <w:r>
              <w:rPr>
                <w:rFonts w:hint="eastAsia"/>
                <w:u w:val="none"/>
              </w:rPr>
              <w:t>一般工业固体废物贮存和填埋污染控制标准</w:t>
            </w:r>
            <w:r>
              <w:rPr>
                <w:rFonts w:hint="default"/>
                <w:u w:val="none"/>
              </w:rPr>
              <w:t>》（GB18599-20</w:t>
            </w:r>
            <w:r>
              <w:rPr>
                <w:rFonts w:hint="eastAsia"/>
                <w:u w:val="none"/>
                <w:lang w:val="en-US" w:eastAsia="zh-CN"/>
              </w:rPr>
              <w:t>20</w:t>
            </w:r>
            <w:r>
              <w:rPr>
                <w:rFonts w:hint="default"/>
                <w:u w:val="none"/>
              </w:rPr>
              <w:t>）</w:t>
            </w:r>
            <w:r>
              <w:rPr>
                <w:rFonts w:hint="eastAsia"/>
                <w:u w:val="none"/>
                <w:lang w:eastAsia="zh-CN"/>
              </w:rPr>
              <w:t>提出一般固废暂存间的建设要求。</w:t>
            </w:r>
          </w:p>
          <w:p>
            <w:pPr>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1、用天然或人工防渗材料构筑阻止贮存场内外液体渗透。</w:t>
            </w:r>
          </w:p>
          <w:p>
            <w:pPr>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2、禁止危险废物和生活垃圾混入。</w:t>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3、</w:t>
            </w:r>
            <w:r>
              <w:rPr>
                <w:rFonts w:hint="eastAsia"/>
                <w:u w:val="none"/>
              </w:rPr>
              <w:t>当天然基础层防渗系数＞ 10</w:t>
            </w:r>
            <w:r>
              <w:rPr>
                <w:rFonts w:hint="eastAsia"/>
                <w:u w:val="none"/>
                <w:vertAlign w:val="superscript"/>
              </w:rPr>
              <w:t>-7</w:t>
            </w:r>
            <w:r>
              <w:rPr>
                <w:rFonts w:hint="eastAsia"/>
                <w:u w:val="none"/>
              </w:rPr>
              <w:t>cm/s 时，应采用天然或人工材料构筑防渗层，防渗层厚度应相当于渗透系数10</w:t>
            </w:r>
            <w:r>
              <w:rPr>
                <w:rFonts w:hint="eastAsia"/>
                <w:u w:val="none"/>
                <w:vertAlign w:val="superscript"/>
              </w:rPr>
              <w:t>-</w:t>
            </w:r>
            <w:r>
              <w:rPr>
                <w:rFonts w:hint="eastAsia"/>
                <w:u w:val="none"/>
                <w:vertAlign w:val="superscript"/>
                <w:lang w:val="en-US" w:eastAsia="zh-CN"/>
              </w:rPr>
              <w:t>10</w:t>
            </w:r>
            <w:r>
              <w:rPr>
                <w:rFonts w:hint="eastAsia"/>
                <w:u w:val="none"/>
              </w:rPr>
              <w:t>cm/s和厚度1.5m的黏土层的防渗性能</w:t>
            </w:r>
            <w:r>
              <w:rPr>
                <w:rFonts w:hint="eastAsia"/>
                <w:u w:val="none"/>
                <w:lang w:eastAsia="zh-CN"/>
              </w:rPr>
              <w:t>。</w:t>
            </w:r>
          </w:p>
          <w:p>
            <w:pPr>
              <w:keepNext w:val="0"/>
              <w:keepLines w:val="0"/>
              <w:suppressLineNumbers w:val="0"/>
              <w:bidi w:val="0"/>
              <w:spacing w:before="0" w:beforeAutospacing="0" w:after="0" w:afterAutospacing="0"/>
              <w:ind w:left="0" w:right="0"/>
              <w:rPr>
                <w:rFonts w:hint="eastAsia" w:eastAsia="宋体"/>
                <w:u w:val="none"/>
                <w:lang w:eastAsia="zh-CN"/>
              </w:rPr>
            </w:pPr>
            <w:r>
              <w:rPr>
                <w:rFonts w:hint="eastAsia"/>
                <w:u w:val="none"/>
                <w:lang w:val="en-US" w:eastAsia="zh-CN"/>
              </w:rPr>
              <w:t>4、</w:t>
            </w:r>
            <w:r>
              <w:rPr>
                <w:rFonts w:hint="eastAsia"/>
                <w:u w:val="none"/>
              </w:rPr>
              <w:t>应建立档案制度，将贮存的一般工业固体废物的种类和数量，详细记录在案，长期保存，供随时查阅</w:t>
            </w:r>
            <w:r>
              <w:rPr>
                <w:rFonts w:hint="eastAsia"/>
                <w:u w:val="none"/>
                <w:lang w:eastAsia="zh-CN"/>
              </w:rPr>
              <w:t>。</w:t>
            </w:r>
          </w:p>
          <w:p>
            <w:pPr>
              <w:keepNext w:val="0"/>
              <w:keepLines w:val="0"/>
              <w:suppressLineNumbers w:val="0"/>
              <w:spacing w:before="0" w:beforeAutospacing="0" w:after="0" w:afterAutospacing="0"/>
              <w:ind w:left="0" w:right="0"/>
              <w:rPr>
                <w:rFonts w:hint="eastAsia" w:eastAsia="宋体"/>
                <w:u w:val="none"/>
                <w:lang w:val="en-US" w:eastAsia="zh-CN"/>
              </w:rPr>
            </w:pPr>
            <w:r>
              <w:rPr>
                <w:rFonts w:hint="eastAsia"/>
                <w:u w:val="none"/>
                <w:lang w:val="en-US" w:eastAsia="zh-CN"/>
              </w:rPr>
              <w:t>5、</w:t>
            </w:r>
            <w:r>
              <w:rPr>
                <w:rFonts w:hint="eastAsia"/>
                <w:u w:val="none"/>
              </w:rPr>
              <w:t>环境保护图形标志应按 GB15562.2 规定进行检查和维护</w:t>
            </w:r>
            <w:r>
              <w:rPr>
                <w:rFonts w:hint="eastAsia"/>
                <w:u w:val="none"/>
                <w:lang w:eastAsia="zh-CN"/>
              </w:rPr>
              <w:t>。</w:t>
            </w:r>
          </w:p>
          <w:p>
            <w:pPr>
              <w:pStyle w:val="5"/>
              <w:suppressLineNumbers w:val="0"/>
              <w:bidi w:val="0"/>
              <w:spacing w:before="0" w:beforeAutospacing="0" w:after="0" w:afterAutospacing="0"/>
              <w:ind w:left="0" w:right="0"/>
              <w:rPr>
                <w:rFonts w:hint="default"/>
                <w:u w:val="none"/>
              </w:rPr>
            </w:pPr>
            <w:bookmarkStart w:id="224" w:name="_Toc29126"/>
            <w:bookmarkStart w:id="225" w:name="_Toc17732"/>
            <w:r>
              <w:rPr>
                <w:rFonts w:hint="eastAsia"/>
                <w:u w:val="none"/>
                <w:lang w:val="en-US" w:eastAsia="zh-CN"/>
              </w:rPr>
              <w:t>7.6.4</w:t>
            </w:r>
            <w:r>
              <w:rPr>
                <w:rFonts w:hint="default"/>
                <w:u w:val="none"/>
              </w:rPr>
              <w:t>危险废物贮存</w:t>
            </w:r>
            <w:r>
              <w:rPr>
                <w:rFonts w:hint="eastAsia"/>
                <w:u w:val="none"/>
                <w:lang w:eastAsia="zh-CN"/>
              </w:rPr>
              <w:t>及危废暂存间建设</w:t>
            </w:r>
            <w:r>
              <w:rPr>
                <w:rFonts w:hint="default"/>
                <w:u w:val="none"/>
              </w:rPr>
              <w:t>要求</w:t>
            </w:r>
            <w:bookmarkEnd w:id="223"/>
            <w:bookmarkEnd w:id="224"/>
            <w:bookmarkEnd w:id="225"/>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根据《危险废物贮存污染控制标准》（GB18597），提出危险废物贮存要求。</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一、危险废物暂存要求：</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1、按要求建设危险废物暂存间，暂存危险废物。</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2、在常温常压下易爆、易燃及排出有毒气体的危险废物必须进行预处理，使之稳定后贮存，否则，按易爆、易燃危险品贮存。</w:t>
            </w:r>
          </w:p>
          <w:p>
            <w:pPr>
              <w:keepNext w:val="0"/>
              <w:keepLines w:val="0"/>
              <w:suppressLineNumbers w:val="0"/>
              <w:spacing w:before="0" w:beforeAutospacing="0" w:after="0" w:afterAutospacing="0"/>
              <w:ind w:left="0" w:right="0" w:firstLine="480"/>
              <w:rPr>
                <w:rFonts w:hint="default"/>
                <w:u w:val="none"/>
              </w:rPr>
            </w:pPr>
            <w:r>
              <w:rPr>
                <w:rFonts w:hint="default"/>
                <w:u w:val="none"/>
              </w:rPr>
              <w:t>3、在常温常压下不水解、不挥发的固体危险废物可在贮存设施内分别堆放。</w:t>
            </w:r>
          </w:p>
          <w:p>
            <w:pPr>
              <w:keepNext w:val="0"/>
              <w:keepLines w:val="0"/>
              <w:suppressLineNumbers w:val="0"/>
              <w:spacing w:before="0" w:beforeAutospacing="0" w:after="0" w:afterAutospacing="0"/>
              <w:ind w:left="0" w:right="0" w:firstLine="480"/>
              <w:rPr>
                <w:rFonts w:hint="default"/>
                <w:u w:val="none"/>
              </w:rPr>
            </w:pPr>
            <w:r>
              <w:rPr>
                <w:rFonts w:hint="default"/>
                <w:u w:val="none"/>
              </w:rPr>
              <w:t>4、除了常温常压下不水解、不挥发的固体危险废物，其他危险废物必须装入容器内。</w:t>
            </w:r>
          </w:p>
          <w:p>
            <w:pPr>
              <w:keepNext w:val="0"/>
              <w:keepLines w:val="0"/>
              <w:suppressLineNumbers w:val="0"/>
              <w:spacing w:before="0" w:beforeAutospacing="0" w:after="0" w:afterAutospacing="0"/>
              <w:ind w:left="0" w:right="0" w:firstLine="480"/>
              <w:rPr>
                <w:rFonts w:hint="default"/>
                <w:u w:val="none"/>
              </w:rPr>
            </w:pPr>
            <w:r>
              <w:rPr>
                <w:rFonts w:hint="default"/>
                <w:u w:val="none"/>
              </w:rPr>
              <w:t>5、禁止将不相容（相互反应）的危险废物在同一容器内混装。</w:t>
            </w:r>
          </w:p>
          <w:p>
            <w:pPr>
              <w:keepNext w:val="0"/>
              <w:keepLines w:val="0"/>
              <w:suppressLineNumbers w:val="0"/>
              <w:spacing w:before="0" w:beforeAutospacing="0" w:after="0" w:afterAutospacing="0"/>
              <w:ind w:left="0" w:right="0" w:firstLine="480"/>
              <w:rPr>
                <w:rFonts w:hint="default"/>
                <w:u w:val="none"/>
              </w:rPr>
            </w:pPr>
            <w:r>
              <w:rPr>
                <w:rFonts w:hint="default"/>
                <w:u w:val="none"/>
              </w:rPr>
              <w:t>6、无法装入常用容器的危险废物可用防漏胶袋等盛装。</w:t>
            </w:r>
          </w:p>
          <w:p>
            <w:pPr>
              <w:keepNext w:val="0"/>
              <w:keepLines w:val="0"/>
              <w:suppressLineNumbers w:val="0"/>
              <w:spacing w:before="0" w:beforeAutospacing="0" w:after="0" w:afterAutospacing="0"/>
              <w:ind w:left="0" w:right="0" w:firstLine="480"/>
              <w:rPr>
                <w:rFonts w:hint="default"/>
                <w:u w:val="none"/>
              </w:rPr>
            </w:pPr>
            <w:r>
              <w:rPr>
                <w:rFonts w:hint="default"/>
                <w:u w:val="none"/>
              </w:rPr>
              <w:t>7、装载液体、半固体危险废物的容器内须留足够空间，容器顶部与液体表面之间保留100mm以上的空间。</w:t>
            </w:r>
          </w:p>
          <w:p>
            <w:pPr>
              <w:keepNext w:val="0"/>
              <w:keepLines w:val="0"/>
              <w:suppressLineNumbers w:val="0"/>
              <w:spacing w:before="0" w:beforeAutospacing="0" w:after="0" w:afterAutospacing="0"/>
              <w:ind w:left="0" w:right="0" w:firstLine="480"/>
              <w:rPr>
                <w:rFonts w:hint="default"/>
                <w:u w:val="none"/>
              </w:rPr>
            </w:pPr>
            <w:r>
              <w:rPr>
                <w:rFonts w:hint="default"/>
                <w:u w:val="none"/>
              </w:rPr>
              <w:t>8、盛装危险废物的容器上必须粘贴符合GB18597附录A所示的标签。</w:t>
            </w:r>
          </w:p>
          <w:p>
            <w:pPr>
              <w:keepNext w:val="0"/>
              <w:keepLines w:val="0"/>
              <w:suppressLineNumbers w:val="0"/>
              <w:spacing w:before="0" w:beforeAutospacing="0" w:after="0" w:afterAutospacing="0"/>
              <w:ind w:left="0" w:right="0" w:firstLine="480"/>
              <w:rPr>
                <w:rFonts w:hint="default"/>
                <w:u w:val="none"/>
              </w:rPr>
            </w:pPr>
            <w:r>
              <w:rPr>
                <w:rFonts w:hint="default"/>
                <w:u w:val="none"/>
              </w:rPr>
              <w:t>二、危险废物贮存容器要求：</w:t>
            </w:r>
          </w:p>
          <w:p>
            <w:pPr>
              <w:keepNext w:val="0"/>
              <w:keepLines w:val="0"/>
              <w:suppressLineNumbers w:val="0"/>
              <w:spacing w:before="0" w:beforeAutospacing="0" w:after="0" w:afterAutospacing="0"/>
              <w:ind w:left="0" w:right="0" w:firstLine="480"/>
              <w:rPr>
                <w:rFonts w:hint="default"/>
                <w:u w:val="none"/>
              </w:rPr>
            </w:pPr>
            <w:r>
              <w:rPr>
                <w:rFonts w:hint="default"/>
                <w:u w:val="none"/>
              </w:rPr>
              <w:t>1、应当使用符合标准的容器盛装危险废物。</w:t>
            </w:r>
          </w:p>
          <w:p>
            <w:pPr>
              <w:keepNext w:val="0"/>
              <w:keepLines w:val="0"/>
              <w:suppressLineNumbers w:val="0"/>
              <w:spacing w:before="0" w:beforeAutospacing="0" w:after="0" w:afterAutospacing="0"/>
              <w:ind w:left="0" w:right="0" w:firstLine="480"/>
              <w:rPr>
                <w:rFonts w:hint="default"/>
                <w:u w:val="none"/>
              </w:rPr>
            </w:pPr>
            <w:r>
              <w:rPr>
                <w:rFonts w:hint="default"/>
                <w:u w:val="none"/>
              </w:rPr>
              <w:t>2、装载危险废物的容器及材质要满足相应的强度要求。</w:t>
            </w:r>
          </w:p>
          <w:p>
            <w:pPr>
              <w:keepNext w:val="0"/>
              <w:keepLines w:val="0"/>
              <w:suppressLineNumbers w:val="0"/>
              <w:spacing w:before="0" w:beforeAutospacing="0" w:after="0" w:afterAutospacing="0"/>
              <w:ind w:left="0" w:right="0" w:firstLine="480"/>
              <w:rPr>
                <w:rFonts w:hint="default"/>
                <w:u w:val="none"/>
              </w:rPr>
            </w:pPr>
            <w:r>
              <w:rPr>
                <w:rFonts w:hint="default"/>
                <w:u w:val="none"/>
              </w:rPr>
              <w:t>3、装载危险废物的容器必须完好无损。</w:t>
            </w:r>
          </w:p>
          <w:p>
            <w:pPr>
              <w:keepNext w:val="0"/>
              <w:keepLines w:val="0"/>
              <w:suppressLineNumbers w:val="0"/>
              <w:spacing w:before="0" w:beforeAutospacing="0" w:after="0" w:afterAutospacing="0"/>
              <w:ind w:left="0" w:right="0" w:firstLine="480"/>
              <w:rPr>
                <w:rFonts w:hint="default"/>
                <w:u w:val="none"/>
              </w:rPr>
            </w:pPr>
            <w:r>
              <w:rPr>
                <w:rFonts w:hint="default"/>
                <w:u w:val="none"/>
              </w:rPr>
              <w:t>4、装载危险废物的容器材质和衬里要与危险废物相容（不相互反应）。</w:t>
            </w:r>
          </w:p>
          <w:p>
            <w:pPr>
              <w:keepNext w:val="0"/>
              <w:keepLines w:val="0"/>
              <w:suppressLineNumbers w:val="0"/>
              <w:spacing w:before="0" w:beforeAutospacing="0" w:after="0" w:afterAutospacing="0"/>
              <w:ind w:left="0" w:right="0" w:firstLine="480"/>
              <w:rPr>
                <w:rFonts w:hint="default"/>
                <w:u w:val="none"/>
              </w:rPr>
            </w:pPr>
            <w:r>
              <w:rPr>
                <w:rFonts w:hint="default"/>
                <w:u w:val="none"/>
              </w:rPr>
              <w:t>5、液体危险废物的可注入开孔直径不超过70mm并有放气孔的桶中。</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u w:val="none"/>
              </w:rPr>
              <w:t>三、</w:t>
            </w:r>
            <w:r>
              <w:rPr>
                <w:rFonts w:hint="default"/>
                <w:color w:val="000000" w:themeColor="text1"/>
                <w:szCs w:val="28"/>
                <w:u w:val="none"/>
                <w14:textFill>
                  <w14:solidFill>
                    <w14:schemeClr w14:val="tx1"/>
                  </w14:solidFill>
                </w14:textFill>
              </w:rPr>
              <w:t>危险废物暂存间建设要求：</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1、地面与裙脚要用坚固、防渗的材料建造，建筑材料必须与危险废物相容。</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2、危险废物暂存间内要有安全照明设施和观察窗口。</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3、用以存放装载液体、半固体危险废物容器的地方，必须有耐腐蚀的硬化地面，且表面无裂痕。</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4、应设计堵截泄露的裙脚，地面与裙脚所围建的容积不低于堵截最大容器的最大储量或总储量的五分之一。</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5、不相容的危险废物必须分开存放，并设有隔离间隔断。</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6、基础必须防渗，防渗层为至少1m厚黏土层（渗透系数≤10</w:t>
            </w:r>
            <w:r>
              <w:rPr>
                <w:rFonts w:hint="default"/>
                <w:color w:val="000000" w:themeColor="text1"/>
                <w:szCs w:val="28"/>
                <w:u w:val="none"/>
                <w:vertAlign w:val="superscript"/>
                <w14:textFill>
                  <w14:solidFill>
                    <w14:schemeClr w14:val="tx1"/>
                  </w14:solidFill>
                </w14:textFill>
              </w:rPr>
              <w:t>-7</w:t>
            </w:r>
            <w:r>
              <w:rPr>
                <w:rFonts w:hint="default"/>
                <w:color w:val="000000" w:themeColor="text1"/>
                <w:szCs w:val="28"/>
                <w:u w:val="none"/>
                <w14:textFill>
                  <w14:solidFill>
                    <w14:schemeClr w14:val="tx1"/>
                  </w14:solidFill>
                </w14:textFill>
              </w:rPr>
              <w:t>cm/s），或2mm厚高密度聚乙烯，或至少2mm厚的其他人工材料，渗透系数≤10</w:t>
            </w:r>
            <w:r>
              <w:rPr>
                <w:rFonts w:hint="default"/>
                <w:color w:val="000000" w:themeColor="text1"/>
                <w:szCs w:val="28"/>
                <w:u w:val="none"/>
                <w:vertAlign w:val="superscript"/>
                <w14:textFill>
                  <w14:solidFill>
                    <w14:schemeClr w14:val="tx1"/>
                  </w14:solidFill>
                </w14:textFill>
              </w:rPr>
              <w:t>-10</w:t>
            </w:r>
            <w:r>
              <w:rPr>
                <w:rFonts w:hint="default"/>
                <w:color w:val="000000" w:themeColor="text1"/>
                <w:szCs w:val="28"/>
                <w:u w:val="none"/>
                <w14:textFill>
                  <w14:solidFill>
                    <w14:schemeClr w14:val="tx1"/>
                  </w14:solidFill>
                </w14:textFill>
              </w:rPr>
              <w:t>cm/s。</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7、堆放危险废物的高度应根据地面承载能力确定。</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8、衬里放在一个基础或底座上。</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9、衬里要能够覆盖危险废物或其溶出物可能涉及到的范围。</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10、衬里材料与堆放危险废物相容。</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11、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pPr>
              <w:keepNext w:val="0"/>
              <w:keepLines w:val="0"/>
              <w:suppressLineNumbers w:val="0"/>
              <w:spacing w:before="0" w:beforeAutospacing="0" w:after="0" w:afterAutospacing="0"/>
              <w:ind w:left="0" w:right="0" w:firstLine="480"/>
              <w:rPr>
                <w:rFonts w:hint="default"/>
                <w:u w:val="none"/>
              </w:rPr>
            </w:pPr>
            <w:r>
              <w:rPr>
                <w:rFonts w:hint="default"/>
                <w:u w:val="none"/>
              </w:rPr>
              <w:t>四、其他管理要求</w:t>
            </w:r>
          </w:p>
          <w:p>
            <w:pPr>
              <w:keepNext w:val="0"/>
              <w:keepLines w:val="0"/>
              <w:suppressLineNumbers w:val="0"/>
              <w:spacing w:before="0" w:beforeAutospacing="0" w:after="0" w:afterAutospacing="0"/>
              <w:ind w:left="0" w:right="0" w:firstLine="480"/>
              <w:rPr>
                <w:rFonts w:hint="default"/>
                <w:u w:val="none"/>
              </w:rPr>
            </w:pPr>
            <w:r>
              <w:rPr>
                <w:rFonts w:hint="default"/>
                <w:u w:val="none"/>
              </w:rPr>
              <w:t>1、作好危险废物情况的记录，记录危险废物的名称、来源、数量、特性和包装容器的类别、入库日期、存放库位、废物出库日期及接收单位名称。危险废物的记录和货单在危险废物回取后应继续保留3年。</w:t>
            </w:r>
          </w:p>
          <w:p>
            <w:pPr>
              <w:keepNext w:val="0"/>
              <w:keepLines w:val="0"/>
              <w:suppressLineNumbers w:val="0"/>
              <w:spacing w:before="0" w:beforeAutospacing="0" w:after="0" w:afterAutospacing="0"/>
              <w:ind w:left="0" w:right="0" w:firstLine="480"/>
              <w:rPr>
                <w:rFonts w:hint="default"/>
                <w:u w:val="none"/>
              </w:rPr>
            </w:pPr>
            <w:r>
              <w:rPr>
                <w:rFonts w:hint="default"/>
                <w:u w:val="none"/>
              </w:rPr>
              <w:t>2、危废暂存间清理出来的泄露物，一律按危险废物处理。</w:t>
            </w:r>
          </w:p>
          <w:p>
            <w:pPr>
              <w:pStyle w:val="5"/>
              <w:suppressLineNumbers w:val="0"/>
              <w:bidi w:val="0"/>
              <w:spacing w:before="0" w:beforeAutospacing="0" w:after="0" w:afterAutospacing="0"/>
              <w:ind w:left="0" w:right="0"/>
              <w:rPr>
                <w:rFonts w:hint="eastAsia"/>
                <w:u w:val="single"/>
                <w:lang w:val="en-US" w:eastAsia="zh-CN"/>
              </w:rPr>
            </w:pPr>
            <w:bookmarkStart w:id="226" w:name="_Toc1017"/>
            <w:bookmarkStart w:id="227" w:name="_Toc29861"/>
            <w:r>
              <w:rPr>
                <w:rFonts w:hint="eastAsia"/>
                <w:u w:val="single"/>
                <w:lang w:val="en-US" w:eastAsia="zh-CN"/>
              </w:rPr>
              <w:t>7.6.5各类固废分类收集、处置的可靠性分析</w:t>
            </w:r>
            <w:bookmarkEnd w:id="226"/>
            <w:bookmarkEnd w:id="227"/>
          </w:p>
          <w:p>
            <w:pPr>
              <w:keepNext w:val="0"/>
              <w:keepLines w:val="0"/>
              <w:suppressLineNumbers w:val="0"/>
              <w:kinsoku w:val="0"/>
              <w:adjustRightInd w:val="0"/>
              <w:snapToGrid w:val="0"/>
              <w:spacing w:before="0" w:beforeAutospacing="0" w:after="0" w:afterAutospacing="0" w:line="360" w:lineRule="auto"/>
              <w:ind w:left="0" w:right="0" w:firstLine="480" w:firstLineChars="200"/>
              <w:rPr>
                <w:rFonts w:hint="default"/>
                <w:sz w:val="24"/>
                <w:u w:val="single"/>
              </w:rPr>
            </w:pPr>
            <w:r>
              <w:rPr>
                <w:rFonts w:hint="default"/>
                <w:u w:val="single"/>
              </w:rPr>
              <w:t>项目</w:t>
            </w:r>
            <w:r>
              <w:rPr>
                <w:rFonts w:hint="eastAsia"/>
                <w:u w:val="single"/>
              </w:rPr>
              <w:t>不可再利用材料</w:t>
            </w:r>
            <w:r>
              <w:rPr>
                <w:rFonts w:hint="eastAsia"/>
                <w:u w:val="single"/>
                <w:lang w:eastAsia="zh-CN"/>
              </w:rPr>
              <w:t>、</w:t>
            </w:r>
            <w:r>
              <w:rPr>
                <w:rFonts w:hint="eastAsia"/>
                <w:u w:val="single"/>
              </w:rPr>
              <w:t>含油手套及抹布</w:t>
            </w:r>
            <w:r>
              <w:rPr>
                <w:rFonts w:hint="eastAsia"/>
                <w:u w:val="single"/>
                <w:lang w:eastAsia="zh-CN"/>
              </w:rPr>
              <w:t>、</w:t>
            </w:r>
            <w:r>
              <w:rPr>
                <w:rFonts w:hint="eastAsia"/>
                <w:u w:val="single"/>
              </w:rPr>
              <w:t>生活垃圾委托环卫部门</w:t>
            </w:r>
            <w:r>
              <w:rPr>
                <w:rFonts w:hint="eastAsia"/>
                <w:u w:val="single"/>
                <w:lang w:eastAsia="zh-CN"/>
              </w:rPr>
              <w:t>清运</w:t>
            </w:r>
            <w:r>
              <w:rPr>
                <w:rFonts w:hint="eastAsia"/>
                <w:u w:val="single"/>
              </w:rPr>
              <w:t>处理</w:t>
            </w:r>
            <w:r>
              <w:rPr>
                <w:rFonts w:hint="eastAsia"/>
                <w:u w:val="single"/>
                <w:lang w:eastAsia="zh-CN"/>
              </w:rPr>
              <w:t>；可利用物质</w:t>
            </w:r>
            <w:r>
              <w:rPr>
                <w:rFonts w:hint="eastAsia"/>
                <w:u w:val="single"/>
                <w:lang w:val="en-US" w:eastAsia="zh-CN"/>
              </w:rPr>
              <w:t>废安全气囊、可用零部件（发动机、变速器、消声器）、玻璃、钢材（保险杠、车门、车身、悬架）、橡胶、有色金属、塑料、纤维、皮革、收集的剪切粉尘</w:t>
            </w:r>
            <w:r>
              <w:rPr>
                <w:rFonts w:hint="eastAsia"/>
                <w:u w:val="single"/>
                <w:lang w:eastAsia="zh-CN"/>
              </w:rPr>
              <w:t>作为产品</w:t>
            </w:r>
            <w:r>
              <w:rPr>
                <w:rFonts w:hint="eastAsia"/>
                <w:u w:val="single"/>
              </w:rPr>
              <w:t>外售综合利用</w:t>
            </w:r>
            <w:r>
              <w:rPr>
                <w:rFonts w:hint="eastAsia"/>
                <w:u w:val="single"/>
                <w:lang w:eastAsia="zh-CN"/>
              </w:rPr>
              <w:t>；危险废物废蓄电池、废液化气罐、废尾气净化装置、废机油、废制动油、废变速箱油、废液压油（机动车）、废防冻液、废汽油、废柴油、废制冷剂、废油箱、废滤清器、含汞开关、含汞线路板、电容器、废润滑油（汽车拆卸过程）、废液压油（汽车拆卸过程）、废油桶（汽车拆卸过程）</w:t>
            </w:r>
            <w:r>
              <w:rPr>
                <w:rFonts w:hint="eastAsia"/>
                <w:u w:val="single"/>
              </w:rPr>
              <w:t>委托有资质单位处理</w:t>
            </w:r>
            <w:r>
              <w:rPr>
                <w:rFonts w:hint="default"/>
                <w:sz w:val="24"/>
                <w:u w:val="single"/>
              </w:rPr>
              <w:t>。本项目危险废物按《危险废物贮存污染控制标准》（GB18597-2001）及其他危险废物的相关规定进行分类收集，</w:t>
            </w:r>
            <w:r>
              <w:rPr>
                <w:rFonts w:hint="eastAsia"/>
                <w:sz w:val="24"/>
                <w:u w:val="single"/>
              </w:rPr>
              <w:t>未拆解的报废机动车的贮存区、拆解作业区、产品（半成品）贮存区、危险废物暂存间</w:t>
            </w:r>
            <w:r>
              <w:rPr>
                <w:rFonts w:hint="eastAsia"/>
                <w:sz w:val="24"/>
                <w:u w:val="single"/>
                <w:lang w:eastAsia="zh-CN"/>
              </w:rPr>
              <w:t>做</w:t>
            </w:r>
            <w:r>
              <w:rPr>
                <w:rFonts w:hint="eastAsia"/>
                <w:sz w:val="24"/>
                <w:u w:val="single"/>
              </w:rPr>
              <w:t>防渗地面</w:t>
            </w:r>
            <w:r>
              <w:rPr>
                <w:rFonts w:hint="eastAsia"/>
                <w:sz w:val="24"/>
                <w:u w:val="single"/>
                <w:lang w:eastAsia="zh-CN"/>
              </w:rPr>
              <w:t>，</w:t>
            </w:r>
            <w:r>
              <w:rPr>
                <w:rFonts w:hint="eastAsia"/>
                <w:sz w:val="24"/>
                <w:u w:val="single"/>
              </w:rPr>
              <w:t>可采用土工布、HDPE膜等进行防渗，并做好油水收集设施</w:t>
            </w:r>
            <w:r>
              <w:rPr>
                <w:rFonts w:hint="eastAsia"/>
                <w:sz w:val="24"/>
                <w:u w:val="single"/>
                <w:lang w:eastAsia="zh-CN"/>
              </w:rPr>
              <w:t>，</w:t>
            </w:r>
            <w:r>
              <w:rPr>
                <w:rFonts w:hint="default"/>
                <w:sz w:val="24"/>
                <w:u w:val="single"/>
              </w:rPr>
              <w:t>有屋顶和围墙</w:t>
            </w:r>
            <w:r>
              <w:rPr>
                <w:rFonts w:hint="eastAsia"/>
                <w:sz w:val="24"/>
                <w:u w:val="single"/>
                <w:lang w:eastAsia="zh-CN"/>
              </w:rPr>
              <w:t>等，</w:t>
            </w:r>
            <w:r>
              <w:rPr>
                <w:rFonts w:hint="default"/>
                <w:sz w:val="24"/>
                <w:u w:val="single"/>
              </w:rPr>
              <w:t>能防风防渗。</w:t>
            </w:r>
          </w:p>
          <w:p>
            <w:pPr>
              <w:keepNext w:val="0"/>
              <w:keepLines w:val="0"/>
              <w:suppressLineNumbers w:val="0"/>
              <w:spacing w:before="0" w:beforeAutospacing="0" w:after="0" w:afterAutospacing="0"/>
              <w:ind w:left="0" w:right="0"/>
              <w:rPr>
                <w:rFonts w:hint="eastAsia" w:eastAsia="宋体"/>
                <w:u w:val="single"/>
                <w:lang w:eastAsia="zh-CN"/>
              </w:rPr>
            </w:pPr>
            <w:r>
              <w:rPr>
                <w:rFonts w:hint="default"/>
                <w:sz w:val="24"/>
                <w:u w:val="single"/>
              </w:rPr>
              <w:t>因此，</w:t>
            </w:r>
            <w:r>
              <w:rPr>
                <w:rFonts w:hint="eastAsia"/>
                <w:sz w:val="24"/>
                <w:u w:val="single"/>
              </w:rPr>
              <w:t>各类固废分类收集、处置的</w:t>
            </w:r>
            <w:r>
              <w:rPr>
                <w:rFonts w:hint="eastAsia"/>
                <w:sz w:val="24"/>
                <w:u w:val="single"/>
                <w:lang w:eastAsia="zh-CN"/>
              </w:rPr>
              <w:t>措施可行。</w:t>
            </w:r>
          </w:p>
          <w:p>
            <w:pPr>
              <w:pStyle w:val="4"/>
              <w:suppressLineNumbers w:val="0"/>
              <w:bidi w:val="0"/>
              <w:spacing w:before="0" w:beforeAutospacing="0" w:after="0" w:afterAutospacing="0"/>
              <w:ind w:left="0" w:right="0"/>
              <w:rPr>
                <w:rFonts w:hint="default"/>
                <w:u w:val="none"/>
              </w:rPr>
            </w:pPr>
            <w:bookmarkStart w:id="228" w:name="_Toc17370"/>
            <w:bookmarkStart w:id="229" w:name="_Toc27209"/>
            <w:r>
              <w:rPr>
                <w:rFonts w:hint="default"/>
                <w:u w:val="none"/>
              </w:rPr>
              <w:t>7.7 营运期土壤环境影响分析</w:t>
            </w:r>
            <w:bookmarkEnd w:id="228"/>
            <w:bookmarkEnd w:id="229"/>
          </w:p>
          <w:p>
            <w:pPr>
              <w:pStyle w:val="5"/>
              <w:suppressLineNumbers w:val="0"/>
              <w:bidi w:val="0"/>
              <w:spacing w:before="0" w:beforeAutospacing="0" w:after="0" w:afterAutospacing="0"/>
              <w:ind w:left="0" w:right="0"/>
              <w:rPr>
                <w:rFonts w:hint="default"/>
                <w:u w:val="none"/>
              </w:rPr>
            </w:pPr>
            <w:bookmarkStart w:id="230" w:name="_Toc23411172"/>
            <w:bookmarkStart w:id="231" w:name="_Toc6265"/>
            <w:bookmarkStart w:id="232" w:name="_Toc3642"/>
            <w:r>
              <w:rPr>
                <w:rFonts w:hint="default"/>
                <w:u w:val="none"/>
              </w:rPr>
              <w:t>7.7.1评价等级判定</w:t>
            </w:r>
            <w:bookmarkEnd w:id="230"/>
            <w:bookmarkEnd w:id="231"/>
            <w:bookmarkEnd w:id="232"/>
          </w:p>
          <w:p>
            <w:pPr>
              <w:keepNext w:val="0"/>
              <w:keepLines w:val="0"/>
              <w:suppressLineNumbers w:val="0"/>
              <w:spacing w:before="0" w:beforeAutospacing="0" w:after="0" w:afterAutospacing="0"/>
              <w:ind w:left="0" w:right="0" w:firstLine="480"/>
              <w:rPr>
                <w:rFonts w:hint="default"/>
                <w:u w:val="none"/>
              </w:rPr>
            </w:pPr>
            <w:r>
              <w:rPr>
                <w:rFonts w:hint="default"/>
                <w:u w:val="none"/>
              </w:rPr>
              <w:t>本项目为</w:t>
            </w:r>
            <w:r>
              <w:rPr>
                <w:rFonts w:hint="eastAsia"/>
                <w:u w:val="none"/>
                <w:lang w:eastAsia="zh-CN"/>
              </w:rPr>
              <w:t>年拆解回收利用10000辆废旧机动车项目</w:t>
            </w:r>
            <w:r>
              <w:rPr>
                <w:rFonts w:hint="default"/>
                <w:u w:val="none"/>
              </w:rPr>
              <w:t>，项目建成后，形成10000辆/年的报废机动车拆解能力。根据《环境影响评价技术导则 土壤环境》（HJ 964—2018）“附录 A土壤环境影响评价项目类别”，本项目为</w:t>
            </w:r>
            <w:r>
              <w:rPr>
                <w:rFonts w:hint="eastAsia" w:ascii="宋体" w:hAnsi="宋体" w:cs="宋体"/>
                <w:highlight w:val="yellow"/>
                <w:u w:val="none"/>
              </w:rPr>
              <w:t>Ⅲ</w:t>
            </w:r>
            <w:r>
              <w:rPr>
                <w:rFonts w:hint="default"/>
                <w:highlight w:val="yellow"/>
                <w:u w:val="none"/>
              </w:rPr>
              <w:t>类项目</w:t>
            </w:r>
            <w:r>
              <w:rPr>
                <w:rFonts w:hint="default"/>
                <w:u w:val="none"/>
              </w:rPr>
              <w:t>。</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本项目项目总用地3325平方米，将建设项目占地规模分为大型（≥50 h</w:t>
            </w:r>
            <w:r>
              <w:rPr>
                <w:rFonts w:hint="eastAsia"/>
                <w:u w:val="none"/>
                <w:lang w:eastAsia="zh-CN"/>
              </w:rPr>
              <w:t>㎡</w:t>
            </w:r>
            <w:r>
              <w:rPr>
                <w:rFonts w:hint="default"/>
                <w:u w:val="none"/>
              </w:rPr>
              <w:t>）、中型（5~50 h</w:t>
            </w:r>
            <w:r>
              <w:rPr>
                <w:rFonts w:hint="eastAsia"/>
                <w:u w:val="none"/>
                <w:lang w:eastAsia="zh-CN"/>
              </w:rPr>
              <w:t>㎡</w:t>
            </w:r>
            <w:r>
              <w:rPr>
                <w:rFonts w:hint="default"/>
                <w:u w:val="none"/>
              </w:rPr>
              <w:t>）、小型（≤5 h</w:t>
            </w:r>
            <w:r>
              <w:rPr>
                <w:rFonts w:hint="eastAsia"/>
                <w:u w:val="none"/>
                <w:lang w:eastAsia="zh-CN"/>
              </w:rPr>
              <w:t>㎡</w:t>
            </w:r>
            <w:r>
              <w:rPr>
                <w:rFonts w:hint="default"/>
                <w:u w:val="none"/>
              </w:rPr>
              <w:t>），可判定本项目为</w:t>
            </w:r>
            <w:r>
              <w:rPr>
                <w:rFonts w:hint="default"/>
                <w:highlight w:val="yellow"/>
                <w:u w:val="none"/>
              </w:rPr>
              <w:t>小型</w:t>
            </w:r>
            <w:r>
              <w:rPr>
                <w:rFonts w:hint="default"/>
                <w:u w:val="none"/>
              </w:rPr>
              <w:t>占地规模。</w:t>
            </w:r>
          </w:p>
          <w:p>
            <w:pPr>
              <w:keepNext w:val="0"/>
              <w:keepLines w:val="0"/>
              <w:suppressLineNumbers w:val="0"/>
              <w:spacing w:before="0" w:beforeAutospacing="0" w:after="0" w:afterAutospacing="0"/>
              <w:ind w:left="0" w:right="0" w:firstLine="480"/>
              <w:rPr>
                <w:rFonts w:hint="default"/>
                <w:u w:val="none"/>
              </w:rPr>
            </w:pPr>
            <w:r>
              <w:rPr>
                <w:rFonts w:hint="default"/>
                <w:u w:val="none"/>
              </w:rPr>
              <w:t>根据HJ 964—2018中的表3，可判定本项目为</w:t>
            </w:r>
            <w:r>
              <w:rPr>
                <w:rFonts w:hint="default"/>
                <w:highlight w:val="yellow"/>
                <w:u w:val="none"/>
              </w:rPr>
              <w:t>敏感</w:t>
            </w:r>
            <w:r>
              <w:rPr>
                <w:rFonts w:hint="default"/>
                <w:u w:val="none"/>
              </w:rPr>
              <w:t>。</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1224280"/>
                  <wp:effectExtent l="0" t="0" r="2540" b="139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8"/>
                          <a:stretch>
                            <a:fillRect/>
                          </a:stretch>
                        </pic:blipFill>
                        <pic:spPr>
                          <a:xfrm>
                            <a:off x="0" y="0"/>
                            <a:ext cx="5274310" cy="1224568"/>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根据HJ 964—2018中的表4，本项目为</w:t>
            </w:r>
            <w:r>
              <w:rPr>
                <w:rFonts w:hint="eastAsia" w:ascii="宋体" w:hAnsi="宋体" w:cs="宋体"/>
                <w:u w:val="none"/>
              </w:rPr>
              <w:t>Ⅲ</w:t>
            </w:r>
            <w:r>
              <w:rPr>
                <w:rFonts w:hint="default"/>
                <w:u w:val="none"/>
              </w:rPr>
              <w:t>类项目的，可判定本项目为</w:t>
            </w:r>
            <w:r>
              <w:rPr>
                <w:rFonts w:hint="default"/>
                <w:highlight w:val="yellow"/>
                <w:u w:val="none"/>
              </w:rPr>
              <w:t>三级评价</w:t>
            </w:r>
            <w:r>
              <w:rPr>
                <w:rFonts w:hint="default"/>
                <w:u w:val="none"/>
              </w:rPr>
              <w:t>。</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159131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274310" cy="1591450"/>
                          </a:xfrm>
                          <a:prstGeom prst="rect">
                            <a:avLst/>
                          </a:prstGeom>
                        </pic:spPr>
                      </pic:pic>
                    </a:graphicData>
                  </a:graphic>
                </wp:inline>
              </w:drawing>
            </w:r>
          </w:p>
          <w:p>
            <w:pPr>
              <w:pStyle w:val="5"/>
              <w:suppressLineNumbers w:val="0"/>
              <w:bidi w:val="0"/>
              <w:spacing w:before="0" w:beforeAutospacing="0" w:after="0" w:afterAutospacing="0"/>
              <w:ind w:left="0" w:right="0"/>
              <w:rPr>
                <w:rFonts w:hint="default"/>
                <w:u w:val="none"/>
              </w:rPr>
            </w:pPr>
            <w:bookmarkStart w:id="233" w:name="_Toc14023"/>
            <w:bookmarkStart w:id="234" w:name="_Toc23411173"/>
            <w:bookmarkStart w:id="235" w:name="_Toc9023"/>
            <w:r>
              <w:rPr>
                <w:rFonts w:hint="default"/>
                <w:u w:val="none"/>
              </w:rPr>
              <w:t>7.7.1现状调查范围</w:t>
            </w:r>
            <w:bookmarkEnd w:id="233"/>
            <w:bookmarkEnd w:id="234"/>
            <w:bookmarkEnd w:id="235"/>
          </w:p>
          <w:p>
            <w:pPr>
              <w:keepNext w:val="0"/>
              <w:keepLines w:val="0"/>
              <w:suppressLineNumbers w:val="0"/>
              <w:spacing w:before="0" w:beforeAutospacing="0" w:after="0" w:afterAutospacing="0"/>
              <w:ind w:left="0" w:right="0" w:firstLine="480"/>
              <w:rPr>
                <w:rFonts w:hint="default"/>
                <w:u w:val="none"/>
              </w:rPr>
            </w:pPr>
            <w:r>
              <w:rPr>
                <w:rFonts w:hint="default"/>
                <w:u w:val="none"/>
              </w:rPr>
              <w:t>根据《环境影响评价技术导则土壤环境（试行）》（HJ 964—2018）中的表5，本项目为三级评价，现状调查范围为0.05km范围内。</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2105660"/>
                  <wp:effectExtent l="0" t="0" r="254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0"/>
                          <a:stretch>
                            <a:fillRect/>
                          </a:stretch>
                        </pic:blipFill>
                        <pic:spPr>
                          <a:xfrm>
                            <a:off x="0" y="0"/>
                            <a:ext cx="5274310" cy="2106061"/>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已进行了土壤监测，监测点位及监测因子均未超标。</w:t>
            </w:r>
          </w:p>
          <w:p>
            <w:pPr>
              <w:pStyle w:val="5"/>
              <w:suppressLineNumbers w:val="0"/>
              <w:bidi w:val="0"/>
              <w:spacing w:before="0" w:beforeAutospacing="0" w:after="0" w:afterAutospacing="0"/>
              <w:ind w:left="0" w:right="0"/>
              <w:rPr>
                <w:rFonts w:hint="default"/>
                <w:u w:val="none"/>
              </w:rPr>
            </w:pPr>
            <w:bookmarkStart w:id="236" w:name="_Toc15498"/>
            <w:bookmarkStart w:id="237" w:name="_Toc23411174"/>
            <w:bookmarkStart w:id="238" w:name="_Toc29525"/>
            <w:r>
              <w:rPr>
                <w:rFonts w:hint="default"/>
                <w:u w:val="none"/>
              </w:rPr>
              <w:t>7.7.3评价区域土壤调查情况</w:t>
            </w:r>
            <w:bookmarkEnd w:id="236"/>
            <w:bookmarkEnd w:id="237"/>
            <w:bookmarkEnd w:id="238"/>
          </w:p>
          <w:p>
            <w:pPr>
              <w:keepNext w:val="0"/>
              <w:keepLines w:val="0"/>
              <w:suppressLineNumbers w:val="0"/>
              <w:spacing w:before="0" w:beforeAutospacing="0" w:after="0" w:afterAutospacing="0"/>
              <w:ind w:left="0" w:right="0" w:firstLine="480"/>
              <w:rPr>
                <w:rFonts w:hint="default"/>
                <w:u w:val="none"/>
              </w:rPr>
            </w:pPr>
            <w:r>
              <w:rPr>
                <w:rFonts w:hint="default"/>
                <w:u w:val="none"/>
              </w:rPr>
              <w:t>由土壤环境监测结果可知，项目所在地土壤监测项目没有超标，土壤环境质量良好。</w:t>
            </w:r>
          </w:p>
          <w:p>
            <w:pPr>
              <w:pStyle w:val="4"/>
              <w:suppressLineNumbers w:val="0"/>
              <w:bidi w:val="0"/>
              <w:spacing w:before="0" w:beforeAutospacing="0" w:after="0" w:afterAutospacing="0"/>
              <w:ind w:left="0" w:right="0"/>
              <w:rPr>
                <w:rFonts w:hint="default"/>
                <w:u w:val="none"/>
              </w:rPr>
            </w:pPr>
            <w:bookmarkStart w:id="239" w:name="_Toc10666"/>
            <w:bookmarkStart w:id="240" w:name="_Toc24720"/>
          </w:p>
          <w:p>
            <w:pPr>
              <w:pStyle w:val="4"/>
              <w:suppressLineNumbers w:val="0"/>
              <w:bidi w:val="0"/>
              <w:spacing w:before="0" w:beforeAutospacing="0" w:after="0" w:afterAutospacing="0"/>
              <w:ind w:left="0" w:right="0"/>
              <w:rPr>
                <w:rFonts w:hint="default"/>
                <w:u w:val="none"/>
              </w:rPr>
            </w:pPr>
            <w:r>
              <w:rPr>
                <w:rFonts w:hint="default"/>
                <w:u w:val="none"/>
              </w:rPr>
              <w:t>7.8营运期生态环境影响分析</w:t>
            </w:r>
            <w:bookmarkEnd w:id="239"/>
            <w:bookmarkEnd w:id="240"/>
          </w:p>
          <w:p>
            <w:pPr>
              <w:keepNext w:val="0"/>
              <w:keepLines w:val="0"/>
              <w:suppressLineNumbers w:val="0"/>
              <w:spacing w:before="0" w:beforeAutospacing="0" w:after="0" w:afterAutospacing="0"/>
              <w:ind w:left="0" w:right="0" w:firstLine="480"/>
              <w:rPr>
                <w:rFonts w:hint="default"/>
                <w:u w:val="none"/>
              </w:rPr>
            </w:pPr>
            <w:r>
              <w:rPr>
                <w:rFonts w:hint="default"/>
                <w:u w:val="none"/>
              </w:rPr>
              <w:t>本项目占地范围3325平方米，位于湖南省岳阳市湘阴县文星镇板桥村，为一般区域，因此，根据《环境影响评价技术导则 生态影响》（HJ 19—2011）中表1的划分，本项目为三级评价。</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313680" cy="1191260"/>
                  <wp:effectExtent l="0" t="0" r="127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5313680" cy="1191260"/>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项目影响区范围内无珍稀保护或敏感动植物分布。项目运营期污染物排放量较小，基本不会改变项目区水体、大气和土壤的理化性质。</w:t>
            </w:r>
          </w:p>
          <w:p>
            <w:pPr>
              <w:pStyle w:val="4"/>
              <w:suppressLineNumbers w:val="0"/>
              <w:bidi w:val="0"/>
              <w:spacing w:before="0" w:beforeAutospacing="0" w:after="0" w:afterAutospacing="0"/>
              <w:ind w:left="0" w:right="0"/>
              <w:rPr>
                <w:rFonts w:hint="default"/>
                <w:u w:val="none"/>
              </w:rPr>
            </w:pPr>
            <w:bookmarkStart w:id="241" w:name="_Toc17859"/>
            <w:bookmarkStart w:id="242" w:name="_Toc535229802"/>
            <w:bookmarkStart w:id="243" w:name="_Toc8085"/>
            <w:r>
              <w:rPr>
                <w:rFonts w:hint="eastAsia"/>
                <w:u w:val="none"/>
                <w:lang w:val="en-US" w:eastAsia="zh-CN"/>
              </w:rPr>
              <w:t>7.9</w:t>
            </w:r>
            <w:r>
              <w:rPr>
                <w:rFonts w:hint="default"/>
                <w:u w:val="none"/>
              </w:rPr>
              <w:t>环境风险评价</w:t>
            </w:r>
            <w:bookmarkEnd w:id="241"/>
            <w:bookmarkEnd w:id="242"/>
            <w:bookmarkEnd w:id="243"/>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本次评价以《建设项目环境风险评价技术导则》(HJ169-2018)为指导，对本项目的环境风险进行梳理和评价，针对可能存在的环境风险隐患，提出相应的补救或完善措施；并对该项目进行风险识别和源项分析，进行风险计算和评价，提出减缓风险的措施和应急预案，为环境管理提供资料和依据，达到降低危险、减少危害的目的。</w:t>
            </w: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244" w:name="_Toc27390"/>
            <w:bookmarkStart w:id="245" w:name="_Toc12502"/>
            <w:r>
              <w:rPr>
                <w:rFonts w:hint="eastAsia"/>
                <w:u w:val="none"/>
                <w:lang w:val="en-US" w:eastAsia="zh-CN"/>
              </w:rPr>
              <w:t>7.9</w:t>
            </w:r>
            <w:r>
              <w:rPr>
                <w:rFonts w:hint="default" w:ascii="Times New Roman" w:hAnsi="Times New Roman" w:cs="Times New Roman"/>
                <w:color w:val="auto"/>
                <w:u w:val="none"/>
              </w:rPr>
              <w:t>.1环境风险潜势划分</w:t>
            </w:r>
            <w:bookmarkEnd w:id="244"/>
            <w:bookmarkEnd w:id="245"/>
          </w:p>
          <w:p>
            <w:pPr>
              <w:pStyle w:val="6"/>
              <w:suppressLineNumbers w:val="0"/>
              <w:bidi w:val="0"/>
              <w:spacing w:before="0" w:beforeAutospacing="0" w:after="0" w:afterAutospacing="0"/>
              <w:ind w:left="0" w:right="0"/>
              <w:rPr>
                <w:rFonts w:hint="default"/>
                <w:u w:val="none"/>
              </w:rPr>
            </w:pPr>
            <w:bookmarkStart w:id="246" w:name="_Toc7080041"/>
            <w:bookmarkStart w:id="247" w:name="_Toc23411178"/>
            <w:bookmarkStart w:id="248" w:name="_Toc25318"/>
            <w:bookmarkStart w:id="249" w:name="_Toc13074012"/>
            <w:bookmarkStart w:id="250" w:name="_Toc9435349"/>
            <w:r>
              <w:rPr>
                <w:rFonts w:hint="eastAsia"/>
                <w:u w:val="none"/>
                <w:lang w:val="en-US" w:eastAsia="zh-CN"/>
              </w:rPr>
              <w:t>7.9</w:t>
            </w:r>
            <w:r>
              <w:rPr>
                <w:rFonts w:hint="default"/>
                <w:u w:val="none"/>
              </w:rPr>
              <w:t>.1.1环境敏感程度（E）的分级</w:t>
            </w:r>
            <w:bookmarkEnd w:id="246"/>
            <w:bookmarkEnd w:id="247"/>
            <w:bookmarkEnd w:id="248"/>
            <w:bookmarkEnd w:id="249"/>
            <w:bookmarkEnd w:id="250"/>
          </w:p>
          <w:p>
            <w:pPr>
              <w:keepNext w:val="0"/>
              <w:keepLines w:val="0"/>
              <w:suppressLineNumbers w:val="0"/>
              <w:spacing w:before="0" w:beforeAutospacing="0" w:after="0" w:afterAutospacing="0"/>
              <w:ind w:left="0" w:right="0" w:firstLine="480"/>
              <w:rPr>
                <w:rFonts w:hint="default"/>
                <w:u w:val="none"/>
              </w:rPr>
            </w:pPr>
            <w:r>
              <w:rPr>
                <w:rFonts w:hint="default"/>
                <w:u w:val="none"/>
              </w:rPr>
              <w:t>（1）大气环境</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周边5km范围内居民区、医疗卫生、文化教育、科研等机构，行政办公机构总人数大于5万人，根据《建设项目环境风险评价技术导则》（HJ/T169-2018）中的附录D，项目大气环境敏感程度为环境高度敏感区（E1）。</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2405" cy="1712595"/>
                  <wp:effectExtent l="0" t="0" r="4445" b="190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2"/>
                          <a:srcRect t="31512"/>
                          <a:stretch>
                            <a:fillRect/>
                          </a:stretch>
                        </pic:blipFill>
                        <pic:spPr>
                          <a:xfrm>
                            <a:off x="0" y="0"/>
                            <a:ext cx="5274310" cy="1713722"/>
                          </a:xfrm>
                          <a:prstGeom prst="rect">
                            <a:avLst/>
                          </a:prstGeom>
                          <a:ln>
                            <a:noFill/>
                          </a:ln>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大气环境敏感程度分级为E2。</w:t>
            </w:r>
          </w:p>
          <w:p>
            <w:pPr>
              <w:keepNext w:val="0"/>
              <w:keepLines w:val="0"/>
              <w:suppressLineNumbers w:val="0"/>
              <w:spacing w:before="0" w:beforeAutospacing="0" w:after="0" w:afterAutospacing="0"/>
              <w:ind w:left="0" w:right="0" w:firstLine="480"/>
              <w:rPr>
                <w:rFonts w:hint="default"/>
                <w:u w:val="none"/>
              </w:rPr>
            </w:pPr>
            <w:r>
              <w:rPr>
                <w:rFonts w:hint="default"/>
                <w:u w:val="none"/>
              </w:rPr>
              <w:t>（2）地表水环境</w:t>
            </w:r>
          </w:p>
          <w:p>
            <w:pPr>
              <w:keepNext w:val="0"/>
              <w:keepLines w:val="0"/>
              <w:suppressLineNumbers w:val="0"/>
              <w:spacing w:before="0" w:beforeAutospacing="0" w:after="0" w:afterAutospacing="0"/>
              <w:ind w:left="0" w:right="0" w:firstLine="480"/>
              <w:rPr>
                <w:rFonts w:hint="default"/>
                <w:u w:val="none"/>
              </w:rPr>
            </w:pPr>
            <w:r>
              <w:rPr>
                <w:rFonts w:hint="default"/>
                <w:u w:val="none"/>
              </w:rPr>
              <w:t>根据《湖南省主要地表水系水环境功能区划》（DB43/023-2005），湘江为渔业用水区，其水域环境功能为</w:t>
            </w:r>
            <w:r>
              <w:rPr>
                <w:rFonts w:hint="eastAsia" w:ascii="宋体" w:hAnsi="宋体" w:cs="宋体"/>
                <w:u w:val="none"/>
              </w:rPr>
              <w:t>Ⅲ</w:t>
            </w:r>
            <w:r>
              <w:rPr>
                <w:rFonts w:hint="default"/>
                <w:u w:val="none"/>
              </w:rPr>
              <w:t>类。根据《建设项目环境风险评价技术导则》（HJ/T169-2018）中的附录D，地表水功能敏感性为较敏感（F2）。</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114300" distR="114300">
                  <wp:extent cx="5269865" cy="1384935"/>
                  <wp:effectExtent l="0" t="0" r="6985" b="571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3"/>
                          <a:stretch>
                            <a:fillRect/>
                          </a:stretch>
                        </pic:blipFill>
                        <pic:spPr>
                          <a:xfrm>
                            <a:off x="0" y="0"/>
                            <a:ext cx="5269865" cy="138493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949325"/>
                  <wp:effectExtent l="0" t="0" r="2540" b="317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4"/>
                          <a:stretch>
                            <a:fillRect/>
                          </a:stretch>
                        </pic:blipFill>
                        <pic:spPr>
                          <a:xfrm>
                            <a:off x="0" y="0"/>
                            <a:ext cx="5274310" cy="949864"/>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根据《建设项目环境风险评价技术导则》（HJ/T169-2018）中的附录D，依据事故情况下危险物质泄漏到水体的排放点受纳地表水体功能敏感性，与下游环境敏感目标情况，地表水环境敏感程度为E2，为环境中度敏感区。</w:t>
            </w:r>
          </w:p>
          <w:p>
            <w:pPr>
              <w:keepNext w:val="0"/>
              <w:keepLines w:val="0"/>
              <w:suppressLineNumbers w:val="0"/>
              <w:spacing w:before="0" w:beforeAutospacing="0" w:after="0" w:afterAutospacing="0"/>
              <w:ind w:left="0" w:right="0" w:firstLine="480"/>
              <w:rPr>
                <w:rFonts w:hint="default"/>
                <w:u w:val="none"/>
              </w:rPr>
            </w:pPr>
            <w:r>
              <w:rPr>
                <w:rFonts w:hint="default"/>
                <w:u w:val="none"/>
              </w:rPr>
              <w:t>（3）地下水环境</w:t>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1630045"/>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274310" cy="1630519"/>
                          </a:xfrm>
                          <a:prstGeom prst="rect">
                            <a:avLst/>
                          </a:prstGeom>
                        </pic:spPr>
                      </pic:pic>
                    </a:graphicData>
                  </a:graphic>
                </wp:inline>
              </w:drawing>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12947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a:stretch>
                            <a:fillRect/>
                          </a:stretch>
                        </pic:blipFill>
                        <pic:spPr>
                          <a:xfrm>
                            <a:off x="0" y="0"/>
                            <a:ext cx="5274310" cy="1295380"/>
                          </a:xfrm>
                          <a:prstGeom prst="rect">
                            <a:avLst/>
                          </a:prstGeom>
                        </pic:spPr>
                      </pic:pic>
                    </a:graphicData>
                  </a:graphic>
                </wp:inline>
              </w:drawing>
            </w:r>
          </w:p>
          <w:p>
            <w:pPr>
              <w:keepNext w:val="0"/>
              <w:keepLines w:val="0"/>
              <w:suppressLineNumbers w:val="0"/>
              <w:spacing w:before="0" w:beforeAutospacing="0" w:after="0" w:afterAutospacing="0"/>
              <w:ind w:left="0" w:right="0" w:firstLine="0" w:firstLineChars="0"/>
              <w:rPr>
                <w:rFonts w:hint="default"/>
                <w:u w:val="none"/>
              </w:rPr>
            </w:pPr>
            <w:r>
              <w:rPr>
                <w:rFonts w:hint="default"/>
                <w:u w:val="none"/>
              </w:rPr>
              <w:drawing>
                <wp:inline distT="0" distB="0" distL="0" distR="0">
                  <wp:extent cx="5274310" cy="905510"/>
                  <wp:effectExtent l="0" t="0" r="254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7"/>
                          <a:stretch>
                            <a:fillRect/>
                          </a:stretch>
                        </pic:blipFill>
                        <pic:spPr>
                          <a:xfrm>
                            <a:off x="0" y="0"/>
                            <a:ext cx="5274310" cy="905912"/>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依据地下水功能敏感性与包气带防污性能，本项目为E3 为环境低度敏感区。</w:t>
            </w:r>
          </w:p>
          <w:p>
            <w:pPr>
              <w:keepNext w:val="0"/>
              <w:keepLines w:val="0"/>
              <w:suppressLineNumbers w:val="0"/>
              <w:spacing w:before="0" w:beforeAutospacing="0" w:after="0" w:afterAutospacing="0"/>
              <w:ind w:left="0" w:right="0" w:firstLine="480"/>
              <w:rPr>
                <w:rFonts w:hint="default"/>
                <w:u w:val="none"/>
              </w:rPr>
            </w:pPr>
            <w:r>
              <w:rPr>
                <w:rFonts w:hint="default"/>
                <w:u w:val="none"/>
              </w:rPr>
              <w:t>（4）综上所述，本项目环境敏感程度（E）的分级为E3。</w:t>
            </w:r>
          </w:p>
          <w:p>
            <w:pPr>
              <w:pStyle w:val="6"/>
              <w:suppressLineNumbers w:val="0"/>
              <w:bidi w:val="0"/>
              <w:spacing w:before="0" w:beforeAutospacing="0" w:after="0" w:afterAutospacing="0"/>
              <w:ind w:left="0" w:right="0"/>
              <w:rPr>
                <w:rFonts w:hint="default"/>
                <w:u w:val="none"/>
              </w:rPr>
            </w:pPr>
            <w:bookmarkStart w:id="251" w:name="_Toc23411179"/>
            <w:bookmarkStart w:id="252" w:name="_Toc2001"/>
            <w:bookmarkStart w:id="253" w:name="_Toc9435350"/>
            <w:bookmarkStart w:id="254" w:name="_Toc7080042"/>
            <w:bookmarkStart w:id="255" w:name="_Toc13074013"/>
            <w:r>
              <w:rPr>
                <w:rFonts w:hint="eastAsia"/>
                <w:u w:val="none"/>
                <w:lang w:val="en-US" w:eastAsia="zh-CN"/>
              </w:rPr>
              <w:t>7.9</w:t>
            </w:r>
            <w:r>
              <w:rPr>
                <w:rFonts w:hint="default"/>
                <w:u w:val="none"/>
              </w:rPr>
              <w:t>.1.2危险物质及工艺系统危害性（P）的确定</w:t>
            </w:r>
            <w:bookmarkEnd w:id="251"/>
            <w:bookmarkEnd w:id="252"/>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按照《建设项目环境风险评价技术导则》HJ169-2018附录 C 危险物质及工艺系统危险性（P）分级计算所涉及的每种危险物质在厂界内的最大存在总量与其在附录 B 中对应临界量的比值 Q。在不同厂区的同一种物质，按其在厂界内的最大存在总量计算。 </w:t>
            </w:r>
          </w:p>
          <w:p>
            <w:pPr>
              <w:keepNext w:val="0"/>
              <w:keepLines w:val="0"/>
              <w:suppressLineNumbers w:val="0"/>
              <w:spacing w:before="0" w:beforeAutospacing="0" w:after="0" w:afterAutospacing="0"/>
              <w:ind w:left="0" w:right="0" w:firstLine="480"/>
              <w:rPr>
                <w:rFonts w:hint="default"/>
                <w:u w:val="none"/>
              </w:rPr>
            </w:pPr>
            <w:r>
              <w:rPr>
                <w:rFonts w:hint="default"/>
                <w:u w:val="none"/>
              </w:rPr>
              <w:t>当存在多种危险物质时，则按下式计算物质总量与其临界量比值</w:t>
            </w:r>
          </w:p>
          <w:p>
            <w:pPr>
              <w:keepNext w:val="0"/>
              <w:keepLines w:val="0"/>
              <w:suppressLineNumbers w:val="0"/>
              <w:spacing w:before="0" w:beforeAutospacing="0" w:after="0" w:afterAutospacing="0"/>
              <w:ind w:left="0" w:right="0" w:firstLine="0" w:firstLineChars="0"/>
              <w:jc w:val="center"/>
              <w:rPr>
                <w:rFonts w:hint="default"/>
                <w:u w:val="none"/>
              </w:rPr>
            </w:pPr>
            <w:r>
              <w:rPr>
                <w:rFonts w:hint="default"/>
                <w:u w:val="none"/>
              </w:rPr>
              <w:drawing>
                <wp:inline distT="0" distB="0" distL="0" distR="0">
                  <wp:extent cx="5486400" cy="21101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5488152" cy="2111413"/>
                          </a:xfrm>
                          <a:prstGeom prst="rect">
                            <a:avLst/>
                          </a:prstGeom>
                        </pic:spPr>
                      </pic:pic>
                    </a:graphicData>
                  </a:graphic>
                </wp:inline>
              </w:drawing>
            </w:r>
          </w:p>
          <w:p>
            <w:pPr>
              <w:keepNext w:val="0"/>
              <w:keepLines w:val="0"/>
              <w:suppressLineNumbers w:val="0"/>
              <w:spacing w:before="0" w:beforeAutospacing="0" w:after="0" w:afterAutospacing="0"/>
              <w:ind w:left="0" w:right="0" w:firstLine="480"/>
              <w:rPr>
                <w:rFonts w:hint="default"/>
                <w:u w:val="none"/>
              </w:rPr>
            </w:pPr>
            <w:r>
              <w:rPr>
                <w:rFonts w:hint="default"/>
                <w:u w:val="none"/>
              </w:rPr>
              <w:t>根据《建设项目环境风险评价技术导则》（HJ169-2018）附录 B 中危险物质判别依据。本次环评确定矿物油（液压油、润滑油）、废油（包括汽油、柴油、机油、变速箱油、制动液、废液压油、废润滑油等）、多氯联苯（电容器内）、硫酸（蓄电池内）为本项目的环境风险危险物质。汽车拆解回收的废油、矿物油及多氯联苯存放于危废储存区。汽油、柴油及多氯联苯理化性质及毒理性质见</w:t>
            </w:r>
            <w:r>
              <w:rPr>
                <w:rFonts w:hint="eastAsia"/>
                <w:u w:val="none"/>
                <w:lang w:eastAsia="zh-CN"/>
              </w:rPr>
              <w:t>下表</w:t>
            </w:r>
            <w:r>
              <w:rPr>
                <w:rFonts w:hint="default"/>
                <w:u w:val="none"/>
              </w:rPr>
              <w:t>。</w:t>
            </w:r>
          </w:p>
          <w:p>
            <w:pPr>
              <w:keepNext w:val="0"/>
              <w:keepLines w:val="0"/>
              <w:suppressLineNumbers w:val="0"/>
              <w:spacing w:before="0" w:beforeAutospacing="0" w:after="0" w:afterAutospacing="0"/>
              <w:ind w:left="0" w:right="0" w:firstLine="482"/>
              <w:jc w:val="center"/>
              <w:rPr>
                <w:rFonts w:hint="default"/>
                <w:b/>
                <w:u w:val="none"/>
              </w:rPr>
            </w:pPr>
            <w:r>
              <w:rPr>
                <w:rFonts w:hint="default"/>
                <w:b/>
                <w:u w:val="none"/>
              </w:rPr>
              <w:t>表</w:t>
            </w:r>
            <w:r>
              <w:rPr>
                <w:rFonts w:hint="eastAsia"/>
                <w:b/>
                <w:u w:val="none"/>
                <w:lang w:val="en-US" w:eastAsia="zh-CN"/>
              </w:rPr>
              <w:t>7.9</w:t>
            </w:r>
            <w:r>
              <w:rPr>
                <w:rFonts w:hint="default"/>
                <w:b/>
                <w:u w:val="none"/>
              </w:rPr>
              <w:t>-1  风险物质危险性识别</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
              <w:gridCol w:w="326"/>
              <w:gridCol w:w="2201"/>
              <w:gridCol w:w="2982"/>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名称</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理化性质</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燃爆危险性</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毒性危害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具有挥发性和易燃性</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爆炸危险组别为T31/IA. 其闪点为-50</w:t>
                  </w:r>
                  <w:r>
                    <w:rPr>
                      <w:rFonts w:hint="eastAsia"/>
                      <w:u w:val="none"/>
                    </w:rPr>
                    <w:t>℃</w:t>
                  </w:r>
                  <w:r>
                    <w:rPr>
                      <w:rFonts w:hint="default"/>
                      <w:u w:val="none"/>
                    </w:rPr>
                    <w:t>，爆炸下限为1%，爆炸上限为7.6%，其蒸汽与空气混合成为炸性混合物，遇明火、高热、氧化剂时极易引起燃烧爆炸</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易于从呼吸道或溶解皮脂从皮肤侵入人体，引起急性和慢性中毒，当空气中汽油燕气浓度达到30-40mg/L 时，人呼吸半小时后，即导致生命危险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柴油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具有挥发性和易燃性</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火灾危险程度的乙B或丙A类物质，其闪点≥60</w:t>
                  </w:r>
                  <w:r>
                    <w:rPr>
                      <w:rFonts w:hint="eastAsia"/>
                      <w:u w:val="none"/>
                    </w:rPr>
                    <w:t>℃</w:t>
                  </w:r>
                  <w:r>
                    <w:rPr>
                      <w:rFonts w:hint="default"/>
                      <w:u w:val="none"/>
                    </w:rPr>
                    <w:t>，爆炸危险组别/类别为T3/IIA</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对皮肤粘膜有刺激作用。皮肤接触柴油可引起接触性皮炎、油性瘁疮吸入柴油雾滴可引起吸入性肺炎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液压</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淡黄色液体，相对密度为0.871，闪点为224</w:t>
                  </w:r>
                  <w:r>
                    <w:rPr>
                      <w:rFonts w:hint="eastAsia"/>
                      <w:u w:val="none"/>
                    </w:rPr>
                    <w:t>℃</w:t>
                  </w:r>
                  <w:r>
                    <w:rPr>
                      <w:rFonts w:hint="default"/>
                      <w:u w:val="none"/>
                    </w:rPr>
                    <w:t>，引燃温220~500</w:t>
                  </w:r>
                  <w:r>
                    <w:rPr>
                      <w:rFonts w:hint="eastAsia"/>
                      <w:u w:val="none"/>
                    </w:rPr>
                    <w:t>℃</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无爆炸危险性，可燃</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极低毒性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润滑</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淡黄色粘稠液体，相对密度空气=10.85</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可燃液体，闪点为120~340</w:t>
                  </w:r>
                  <w:r>
                    <w:rPr>
                      <w:rFonts w:hint="eastAsia"/>
                      <w:u w:val="none"/>
                    </w:rPr>
                    <w:t>℃</w:t>
                  </w:r>
                  <w:r>
                    <w:rPr>
                      <w:rFonts w:hint="default"/>
                      <w:u w:val="none"/>
                    </w:rPr>
                    <w:t>火灾危险为丙B类，遇明火、高热可</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燃</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急性吸入，可出现乏力、头晕、</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头痛、恶心，严重者可引起油脂性肺炎。慢接触者，暴露部位可发生油性痤疮和接触型皮炎。可引发神经衰弱综合症，呼吸道和眼刺激症状及慢性油脂性肺炎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机油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油体液状，淡黄色至褐色，无气味或略带异味，不溶于水。闪点为76</w:t>
                  </w:r>
                  <w:r>
                    <w:rPr>
                      <w:rFonts w:hint="eastAsia"/>
                      <w:u w:val="none"/>
                    </w:rPr>
                    <w:t>℃</w:t>
                  </w:r>
                  <w:r>
                    <w:rPr>
                      <w:rFonts w:hint="default"/>
                      <w:u w:val="none"/>
                    </w:rPr>
                    <w:t>，引燃温度248</w:t>
                  </w:r>
                  <w:r>
                    <w:rPr>
                      <w:rFonts w:hint="eastAsia"/>
                      <w:u w:val="none"/>
                    </w:rPr>
                    <w:t>℃</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遇明火、高热可燃</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急性吸入，可出现乏力、头晕、头痛、恶心，严重者可引起油脂性肺炎。慢接触者，暴露部位可发生油性痤疮和接触性皮炎。可引起神经衰弱综合征，呼吸道和眼刺激症状及慢性油脂性肺炎。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变速箱油</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淡黄色液体</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可燃</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极低毒性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制动</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液</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淡黄色液体，沸点130</w:t>
                  </w:r>
                  <w:r>
                    <w:rPr>
                      <w:rFonts w:hint="eastAsia"/>
                      <w:u w:val="none"/>
                    </w:rPr>
                    <w:t>℃</w:t>
                  </w:r>
                  <w:r>
                    <w:rPr>
                      <w:rFonts w:hint="default"/>
                      <w:u w:val="none"/>
                    </w:rPr>
                    <w:t>以上，凝固点低，低温流动性好</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可燃</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极低毒性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是一种无色或浅黄色的油状物质，难溶于水，易溶于脂肪和其他有机化合物。具有良好的阻燃性，低电导率，良好的抗热洁 能力，良好的化学稳定性，抗多种氧化剂</w:t>
                  </w: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遇明火、高热可燃。与氧化剂可发生反应。受高热分解放出有毒的气体。若遇高热，容器内压增大，有开裂和爆炸的危险</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最低致死剂量为500mg/kg人经口。经皮毒性涂敷于动物皮肤时，使局部表皮增厚、毛囊肿胀，肝脏出现脂肪变性和中央萎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w:t>
                  </w:r>
                </w:p>
              </w:tc>
              <w:tc>
                <w:tcPr>
                  <w:tcW w:w="33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硫酸</w:t>
                  </w:r>
                </w:p>
              </w:tc>
              <w:tc>
                <w:tcPr>
                  <w:tcW w:w="1094"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无色透明油状液体，无臭，与水任意比互溶，熔</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点10.5</w:t>
                  </w:r>
                  <w:r>
                    <w:rPr>
                      <w:rFonts w:hint="eastAsia"/>
                      <w:u w:val="none"/>
                    </w:rPr>
                    <w:t>℃</w:t>
                  </w:r>
                </w:p>
                <w:p>
                  <w:pPr>
                    <w:pStyle w:val="49"/>
                    <w:keepNext w:val="0"/>
                    <w:keepLines w:val="0"/>
                    <w:suppressLineNumbers w:val="0"/>
                    <w:bidi w:val="0"/>
                    <w:spacing w:before="0" w:beforeAutospacing="0" w:after="0" w:afterAutospacing="0"/>
                    <w:ind w:left="0" w:right="0"/>
                    <w:rPr>
                      <w:rFonts w:hint="default"/>
                      <w:u w:val="none"/>
                    </w:rPr>
                  </w:pPr>
                </w:p>
              </w:tc>
              <w:tc>
                <w:tcPr>
                  <w:tcW w:w="1813"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遇水大量放热，可发生沸溅。与易燃物如苯和可燃物如糖、纤维素等接触会发生剧烈反应，甚至引起燃烧。遇电石、高氯酸盐、雷酸盐、硝酸盐、苦味酸盐、金属粉末等猛烈反应，发生爆炸或燃烧。有强烈的腐蚀性和水性</w:t>
                  </w:r>
                </w:p>
              </w:tc>
              <w:tc>
                <w:tcPr>
                  <w:tcW w:w="1530" w:type="pct"/>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LD50，2140mg/kg(大鼠经口)LC50，510mg/</w:t>
                  </w:r>
                  <w:r>
                    <w:rPr>
                      <w:rFonts w:hint="eastAsia"/>
                      <w:u w:val="none"/>
                      <w:lang w:eastAsia="zh-CN"/>
                    </w:rPr>
                    <w:t>m³</w:t>
                  </w:r>
                  <w:r>
                    <w:rPr>
                      <w:rFonts w:hint="default"/>
                      <w:u w:val="none"/>
                    </w:rPr>
                    <w:t>，</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2小时(大鼠吸入)320mg/</w:t>
                  </w:r>
                  <w:r>
                    <w:rPr>
                      <w:rFonts w:hint="eastAsia"/>
                      <w:u w:val="none"/>
                      <w:lang w:eastAsia="zh-CN"/>
                    </w:rPr>
                    <w:t>m³</w:t>
                  </w:r>
                  <w:r>
                    <w:rPr>
                      <w:rFonts w:hint="default"/>
                      <w:u w:val="none"/>
                    </w:rPr>
                    <w:t xml:space="preserve"> ，2小时(小鼠吸入)接触其蒸气或烟雾，可引起急性中毒，出现眼结膜炎，鼻及口腔粘膜有烧灼感，鼻衄、齿龈</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出血，气管炎等。误服可引起消化道灼伤、溃疡形成，有可能引起胃穿孔、腹膜炎等。眼和皮肤接触可致灼伤。慢性影响，牙齿酸蚀症、慢性支气管炎、肺气肿和肺硬化</w:t>
                  </w:r>
                </w:p>
              </w:tc>
            </w:tr>
          </w:tbl>
          <w:p>
            <w:pPr>
              <w:keepNext w:val="0"/>
              <w:keepLines w:val="0"/>
              <w:suppressLineNumbers w:val="0"/>
              <w:spacing w:before="0" w:beforeAutospacing="0" w:after="0" w:afterAutospacing="0"/>
              <w:ind w:left="0" w:right="0" w:firstLine="480"/>
              <w:rPr>
                <w:rFonts w:hint="default"/>
                <w:u w:val="none"/>
              </w:rPr>
            </w:pPr>
          </w:p>
          <w:p>
            <w:pPr>
              <w:keepNext w:val="0"/>
              <w:keepLines w:val="0"/>
              <w:suppressLineNumbers w:val="0"/>
              <w:spacing w:before="0" w:beforeAutospacing="0" w:after="0" w:afterAutospacing="0"/>
              <w:ind w:left="0" w:right="0" w:firstLine="480"/>
              <w:rPr>
                <w:rFonts w:hint="default"/>
                <w:u w:val="none"/>
              </w:rPr>
            </w:pPr>
            <w:r>
              <w:rPr>
                <w:rFonts w:hint="default"/>
                <w:u w:val="none"/>
              </w:rPr>
              <w:t>根据《建设项目环境风险评价技术导则》（HJ169-2018）附录 B 中危险物质判别依据，原辅材料储存库及生产线中危险化学品，Q 的确定见下表。</w:t>
            </w:r>
          </w:p>
          <w:p>
            <w:pPr>
              <w:keepNext w:val="0"/>
              <w:keepLines w:val="0"/>
              <w:suppressLineNumbers w:val="0"/>
              <w:spacing w:before="0" w:beforeAutospacing="0" w:after="0" w:afterAutospacing="0"/>
              <w:ind w:left="0" w:right="0" w:firstLine="482"/>
              <w:jc w:val="center"/>
              <w:rPr>
                <w:rFonts w:hint="default"/>
                <w:b/>
                <w:u w:val="none"/>
              </w:rPr>
            </w:pPr>
          </w:p>
          <w:p>
            <w:pPr>
              <w:keepNext w:val="0"/>
              <w:keepLines w:val="0"/>
              <w:suppressLineNumbers w:val="0"/>
              <w:spacing w:before="0" w:beforeAutospacing="0" w:after="0" w:afterAutospacing="0"/>
              <w:ind w:left="0" w:right="0" w:firstLine="482"/>
              <w:jc w:val="center"/>
              <w:rPr>
                <w:rFonts w:hint="default"/>
                <w:b/>
                <w:u w:val="none"/>
              </w:rPr>
            </w:pPr>
          </w:p>
          <w:p>
            <w:pPr>
              <w:keepNext w:val="0"/>
              <w:keepLines w:val="0"/>
              <w:suppressLineNumbers w:val="0"/>
              <w:spacing w:before="0" w:beforeAutospacing="0" w:after="0" w:afterAutospacing="0"/>
              <w:ind w:left="0" w:right="0" w:firstLine="482"/>
              <w:jc w:val="center"/>
              <w:rPr>
                <w:rFonts w:hint="default"/>
                <w:b/>
                <w:u w:val="none"/>
              </w:rPr>
            </w:pPr>
            <w:r>
              <w:rPr>
                <w:rFonts w:hint="default"/>
                <w:b/>
                <w:u w:val="none"/>
              </w:rPr>
              <w:t>表</w:t>
            </w:r>
            <w:r>
              <w:rPr>
                <w:rFonts w:hint="eastAsia"/>
                <w:b/>
                <w:u w:val="none"/>
                <w:lang w:val="en-US" w:eastAsia="zh-CN"/>
              </w:rPr>
              <w:t>7.9</w:t>
            </w:r>
            <w:r>
              <w:rPr>
                <w:rFonts w:hint="default"/>
                <w:b/>
                <w:u w:val="none"/>
              </w:rPr>
              <w:t>-2  建设项目 Q 值确定表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3813"/>
              <w:gridCol w:w="706"/>
              <w:gridCol w:w="1180"/>
              <w:gridCol w:w="102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危险物质名称  </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CAS 号</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最大存在总量q</w:t>
                  </w:r>
                  <w:r>
                    <w:rPr>
                      <w:rFonts w:hint="default"/>
                      <w:u w:val="none"/>
                      <w:vertAlign w:val="subscript"/>
                    </w:rPr>
                    <w:t>n</w:t>
                  </w:r>
                  <w:r>
                    <w:rPr>
                      <w:rFonts w:hint="default"/>
                      <w:u w:val="none"/>
                    </w:rPr>
                    <w:t xml:space="preserve">/t </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临界量 Q</w:t>
                  </w:r>
                  <w:r>
                    <w:rPr>
                      <w:rFonts w:hint="default"/>
                      <w:u w:val="none"/>
                      <w:vertAlign w:val="subscript"/>
                    </w:rPr>
                    <w:t>n</w:t>
                  </w:r>
                  <w:r>
                    <w:rPr>
                      <w:rFonts w:hint="default"/>
                      <w:u w:val="none"/>
                    </w:rPr>
                    <w:t xml:space="preserve">/t  </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该种危险物质 Q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矿物油（液压油、润滑油）</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2500</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废油（包括汽油、柴油、机油、变速箱油、制动液、废液压油、废润滑油等）</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14.1</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2500</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0.00564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多氯联苯（电容器内）</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0.06</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2.5</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硫酸（蓄电池内）</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3.5</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p>
              </w:tc>
              <w:tc>
                <w:tcPr>
                  <w:tcW w:w="2209"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 xml:space="preserve">项目 Q 值 Σ </w:t>
                  </w:r>
                </w:p>
              </w:tc>
              <w:tc>
                <w:tcPr>
                  <w:tcW w:w="41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47"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641"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c>
                <w:tcPr>
                  <w:tcW w:w="720"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0.38084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p>
              </w:tc>
              <w:tc>
                <w:tcPr>
                  <w:tcW w:w="4734" w:type="pct"/>
                  <w:gridSpan w:val="5"/>
                  <w:shd w:val="clear" w:color="auto" w:fill="auto"/>
                  <w:noWrap/>
                  <w:vAlign w:val="bottom"/>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备注：危废储存周期为半个月。本项目油类物质临界量参照《建设项目环境风险评价技术导则》（HJ/T169-2018）附录B 381项油类物质的临界量</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根据上表计算，本项目危险物质数量与临界量比值Q=0.00112&lt;1，项目环境风险潜势为</w:t>
            </w:r>
            <w:r>
              <w:rPr>
                <w:rFonts w:hint="eastAsia" w:ascii="宋体" w:hAnsi="宋体" w:cs="宋体"/>
                <w:u w:val="none"/>
              </w:rPr>
              <w:t>Ⅰ</w:t>
            </w:r>
            <w:r>
              <w:rPr>
                <w:rFonts w:hint="default"/>
                <w:u w:val="none"/>
              </w:rPr>
              <w:t>。</w:t>
            </w:r>
          </w:p>
          <w:bookmarkEnd w:id="253"/>
          <w:bookmarkEnd w:id="254"/>
          <w:bookmarkEnd w:id="255"/>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256" w:name="_Toc26843"/>
            <w:bookmarkStart w:id="257" w:name="_Toc10968"/>
            <w:r>
              <w:rPr>
                <w:rFonts w:hint="eastAsia"/>
                <w:u w:val="none"/>
                <w:lang w:val="en-US" w:eastAsia="zh-CN"/>
              </w:rPr>
              <w:t>7.9</w:t>
            </w:r>
            <w:r>
              <w:rPr>
                <w:rFonts w:hint="default" w:ascii="Times New Roman" w:hAnsi="Times New Roman" w:cs="Times New Roman"/>
                <w:color w:val="auto"/>
                <w:u w:val="none"/>
              </w:rPr>
              <w:t>.2环境风险评价等级划分</w:t>
            </w:r>
            <w:bookmarkEnd w:id="256"/>
            <w:bookmarkEnd w:id="257"/>
          </w:p>
          <w:p>
            <w:pPr>
              <w:keepNext w:val="0"/>
              <w:keepLines w:val="0"/>
              <w:suppressLineNumbers w:val="0"/>
              <w:spacing w:before="0" w:beforeAutospacing="0" w:after="0" w:afterAutospacing="0"/>
              <w:ind w:left="0" w:right="0" w:firstLine="480"/>
              <w:rPr>
                <w:rFonts w:hint="default"/>
                <w:u w:val="none"/>
              </w:rPr>
            </w:pPr>
            <w:r>
              <w:rPr>
                <w:rFonts w:hint="default"/>
                <w:u w:val="none"/>
              </w:rPr>
              <w:t>根据《建设项目环境风险评价技术导则》（HJ169-2018）表1中的评价工作等级划分，可知本项目仅需简单分析即可。</w:t>
            </w:r>
          </w:p>
          <w:p>
            <w:pPr>
              <w:keepNext w:val="0"/>
              <w:keepLines w:val="0"/>
              <w:suppressLineNumbers w:val="0"/>
              <w:spacing w:before="0" w:beforeAutospacing="0" w:after="0" w:afterAutospacing="0"/>
              <w:ind w:left="0" w:right="0" w:firstLine="480"/>
              <w:jc w:val="center"/>
              <w:rPr>
                <w:rFonts w:hint="default"/>
                <w:u w:val="none"/>
              </w:rPr>
            </w:pPr>
            <w:r>
              <w:rPr>
                <w:rFonts w:hint="default"/>
                <w:u w:val="none"/>
              </w:rPr>
              <w:t>表 1 评价工作等级划分</w:t>
            </w:r>
          </w:p>
          <w:p>
            <w:pPr>
              <w:keepNext w:val="0"/>
              <w:keepLines w:val="0"/>
              <w:suppressLineNumbers w:val="0"/>
              <w:spacing w:before="0" w:beforeAutospacing="0" w:after="0" w:afterAutospacing="0"/>
              <w:ind w:left="0" w:right="0" w:firstLine="0" w:firstLineChars="0"/>
              <w:rPr>
                <w:rFonts w:hint="default"/>
                <w:kern w:val="0"/>
                <w:szCs w:val="20"/>
                <w:u w:val="none"/>
              </w:rPr>
            </w:pPr>
            <w:r>
              <w:rPr>
                <w:rFonts w:hint="default"/>
                <w:u w:val="none"/>
              </w:rPr>
              <w:drawing>
                <wp:inline distT="0" distB="0" distL="0" distR="0">
                  <wp:extent cx="5274310" cy="102044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5274310" cy="1020677"/>
                          </a:xfrm>
                          <a:prstGeom prst="rect">
                            <a:avLst/>
                          </a:prstGeom>
                        </pic:spPr>
                      </pic:pic>
                    </a:graphicData>
                  </a:graphic>
                </wp:inline>
              </w:drawing>
            </w: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258" w:name="_Toc13645"/>
            <w:bookmarkStart w:id="259" w:name="_Toc10611"/>
            <w:r>
              <w:rPr>
                <w:rFonts w:hint="eastAsia"/>
                <w:u w:val="none"/>
                <w:lang w:val="en-US" w:eastAsia="zh-CN"/>
              </w:rPr>
              <w:t>7.9</w:t>
            </w:r>
            <w:r>
              <w:rPr>
                <w:rFonts w:hint="default" w:ascii="Times New Roman" w:hAnsi="Times New Roman" w:cs="Times New Roman"/>
                <w:color w:val="auto"/>
                <w:u w:val="none"/>
              </w:rPr>
              <w:t>.3 事故源分析</w:t>
            </w:r>
            <w:bookmarkEnd w:id="258"/>
            <w:bookmarkEnd w:id="259"/>
          </w:p>
          <w:p>
            <w:pPr>
              <w:pStyle w:val="6"/>
              <w:suppressLineNumbers w:val="0"/>
              <w:bidi w:val="0"/>
              <w:spacing w:before="0" w:beforeAutospacing="0" w:after="0" w:afterAutospacing="0"/>
              <w:ind w:left="0" w:right="0"/>
              <w:rPr>
                <w:rFonts w:hint="default"/>
                <w:u w:val="none"/>
              </w:rPr>
            </w:pPr>
            <w:bookmarkStart w:id="260" w:name="_Toc9337"/>
            <w:bookmarkStart w:id="261" w:name="_Toc23411182"/>
            <w:r>
              <w:rPr>
                <w:rFonts w:hint="eastAsia"/>
                <w:u w:val="none"/>
                <w:lang w:val="en-US" w:eastAsia="zh-CN"/>
              </w:rPr>
              <w:t>7.9</w:t>
            </w:r>
            <w:r>
              <w:rPr>
                <w:rFonts w:hint="default"/>
                <w:u w:val="none"/>
              </w:rPr>
              <w:t>.3.1正常工况下的环境风险</w:t>
            </w:r>
            <w:bookmarkEnd w:id="260"/>
            <w:bookmarkEnd w:id="261"/>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本项目生产过程中的风险主要是考虑矿物油及废油泄漏后的环境风险以及泄漏后遇高热、明火引起的火灾产生的伴生风险。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1、危废暂存间、油品库房存放有矿物油及废油，可能发生泄漏事故，其最大的包装为 200L/桶，铁桶包装。发生事故的情况考虑为，由于搬运人员操作不善导致储存的矿物油及废油包装桶倾倒，从而发生泄漏事故。所有矿物油及废油同时发生泄漏的几率极小，本事故考虑某单一最大存放量的危废泄漏，造成的突发环境事故进行分析。若发生人为操作不善，最可能情况为 1 个桶倾倒，发生泄漏事故，则矿物油或废油泄漏源强为170kg，矿物油密度按 0.85kg/L 计，泄漏速率约 1kg/s，则单桶废矿物油在 2.83 分钟内可泄漏完。 </w:t>
            </w:r>
          </w:p>
          <w:p>
            <w:pPr>
              <w:keepNext w:val="0"/>
              <w:keepLines w:val="0"/>
              <w:suppressLineNumbers w:val="0"/>
              <w:spacing w:before="0" w:beforeAutospacing="0" w:after="0" w:afterAutospacing="0"/>
              <w:ind w:left="0" w:right="0" w:firstLine="480"/>
              <w:rPr>
                <w:rFonts w:hint="default"/>
                <w:u w:val="none"/>
              </w:rPr>
            </w:pPr>
            <w:r>
              <w:rPr>
                <w:rFonts w:hint="default"/>
                <w:u w:val="none"/>
              </w:rPr>
              <w:t xml:space="preserve">2、在油品抽取过程中由于容器、封盖老化或操作不规范，致使汽油或柴油散发到空气中可能会发生燃烧甚至爆炸。 </w:t>
            </w:r>
          </w:p>
          <w:p>
            <w:pPr>
              <w:pStyle w:val="6"/>
              <w:suppressLineNumbers w:val="0"/>
              <w:bidi w:val="0"/>
              <w:spacing w:before="0" w:beforeAutospacing="0" w:after="0" w:afterAutospacing="0"/>
              <w:ind w:left="0" w:right="0"/>
              <w:rPr>
                <w:rFonts w:hint="default"/>
                <w:u w:val="none"/>
              </w:rPr>
            </w:pPr>
            <w:bookmarkStart w:id="262" w:name="_Toc12252"/>
            <w:bookmarkStart w:id="263" w:name="_Toc23411183"/>
            <w:r>
              <w:rPr>
                <w:rFonts w:hint="eastAsia"/>
                <w:u w:val="none"/>
                <w:lang w:val="en-US" w:eastAsia="zh-CN"/>
              </w:rPr>
              <w:t>7.9</w:t>
            </w:r>
            <w:r>
              <w:rPr>
                <w:rFonts w:hint="default"/>
                <w:u w:val="none"/>
              </w:rPr>
              <w:t>.3.2 非正常工况下的环境风险</w:t>
            </w:r>
            <w:bookmarkEnd w:id="262"/>
            <w:bookmarkEnd w:id="263"/>
            <w:r>
              <w:rPr>
                <w:rFonts w:hint="default"/>
                <w:u w:val="none"/>
              </w:rPr>
              <w:t xml:space="preserve"> </w:t>
            </w:r>
          </w:p>
          <w:p>
            <w:pPr>
              <w:keepNext w:val="0"/>
              <w:keepLines w:val="0"/>
              <w:suppressLineNumbers w:val="0"/>
              <w:spacing w:before="0" w:beforeAutospacing="0" w:after="0" w:afterAutospacing="0"/>
              <w:ind w:left="0" w:right="0" w:firstLine="480"/>
              <w:rPr>
                <w:rFonts w:hint="default"/>
                <w:u w:val="none"/>
              </w:rPr>
            </w:pPr>
            <w:r>
              <w:rPr>
                <w:rFonts w:hint="default"/>
                <w:u w:val="none"/>
              </w:rPr>
              <w:t>1</w:t>
            </w:r>
            <w:r>
              <w:rPr>
                <w:rFonts w:hint="default"/>
                <w:kern w:val="0"/>
                <w:szCs w:val="20"/>
                <w:u w:val="none"/>
              </w:rPr>
              <w:t>、</w:t>
            </w:r>
            <w:r>
              <w:rPr>
                <w:rFonts w:hint="default"/>
                <w:u w:val="none"/>
              </w:rPr>
              <w:t xml:space="preserve">废机动车拆解下的蓄电池内含有稀硫酸，在拆解过程中，可能会发生蓄电 池中的硫酸泄漏。按本项目的拆解工艺，蓄电池仅从车身上拆卸下来，并不对蓄电池本身进行拆解，当遇到破损的蓄电池才有可能出现泄漏的情况。在拆解、贮存过 程中可能因泄漏、包装破损等因素而引发对水、大气、土壤的污染事故。 </w:t>
            </w:r>
          </w:p>
          <w:p>
            <w:pPr>
              <w:keepNext w:val="0"/>
              <w:keepLines w:val="0"/>
              <w:suppressLineNumbers w:val="0"/>
              <w:spacing w:before="0" w:beforeAutospacing="0" w:after="0" w:afterAutospacing="0"/>
              <w:ind w:left="0" w:right="0" w:firstLine="480"/>
              <w:rPr>
                <w:rFonts w:hint="default"/>
                <w:u w:val="none"/>
              </w:rPr>
            </w:pPr>
            <w:r>
              <w:rPr>
                <w:rFonts w:hint="default"/>
                <w:u w:val="none"/>
              </w:rPr>
              <w:t>2</w:t>
            </w:r>
            <w:r>
              <w:rPr>
                <w:rFonts w:hint="default"/>
                <w:kern w:val="0"/>
                <w:szCs w:val="20"/>
                <w:u w:val="none"/>
              </w:rPr>
              <w:t>、</w:t>
            </w:r>
            <w:r>
              <w:rPr>
                <w:rFonts w:hint="default"/>
                <w:u w:val="none"/>
              </w:rPr>
              <w:t>制冷剂的抽取过程中可能会出现抽取设备的接口或管道的破损，部分车辆 会出现制冷剂的泄漏，泄漏量约为0.5L/次。并且目前汽车空调制冷剂多采用R134A（四氟乙烷），属于HPC类物质，不会对臭氧层产生破坏。化学性质稳定、无明显毒性，为目前多数国家认可的环保制冷剂。但不排除部分车辆会出现氟利昂的泄漏，存在石油类、污染物对土壤、地下水等的影响以及氟利昂对臭氧层产生破坏等。</w:t>
            </w: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264" w:name="_Toc16302"/>
            <w:bookmarkStart w:id="265" w:name="_Toc17901"/>
            <w:r>
              <w:rPr>
                <w:rFonts w:hint="eastAsia"/>
                <w:u w:val="none"/>
                <w:lang w:val="en-US" w:eastAsia="zh-CN"/>
              </w:rPr>
              <w:t>7.9</w:t>
            </w:r>
            <w:r>
              <w:rPr>
                <w:rFonts w:hint="default" w:ascii="Times New Roman" w:hAnsi="Times New Roman" w:cs="Times New Roman"/>
                <w:color w:val="auto"/>
                <w:u w:val="none"/>
              </w:rPr>
              <w:t>.4环境风险管理及事故防范措施</w:t>
            </w:r>
            <w:bookmarkEnd w:id="264"/>
            <w:bookmarkEnd w:id="265"/>
          </w:p>
          <w:p>
            <w:pPr>
              <w:pStyle w:val="6"/>
              <w:suppressLineNumbers w:val="0"/>
              <w:bidi w:val="0"/>
              <w:spacing w:before="0" w:beforeAutospacing="0" w:after="0" w:afterAutospacing="0"/>
              <w:ind w:left="0" w:right="0"/>
              <w:rPr>
                <w:rFonts w:hint="default"/>
                <w:u w:val="none"/>
              </w:rPr>
            </w:pPr>
            <w:bookmarkStart w:id="266" w:name="_Toc7080045"/>
            <w:bookmarkStart w:id="267" w:name="_Toc13074016"/>
            <w:bookmarkStart w:id="268" w:name="_Toc23411185"/>
            <w:bookmarkStart w:id="269" w:name="_Toc1081"/>
            <w:r>
              <w:rPr>
                <w:rFonts w:hint="eastAsia"/>
                <w:u w:val="none"/>
                <w:lang w:val="en-US" w:eastAsia="zh-CN"/>
              </w:rPr>
              <w:t>7.9</w:t>
            </w:r>
            <w:r>
              <w:rPr>
                <w:rFonts w:hint="default"/>
                <w:u w:val="none"/>
              </w:rPr>
              <w:t>.3.1 环境风险管理目标</w:t>
            </w:r>
            <w:bookmarkEnd w:id="266"/>
            <w:bookmarkEnd w:id="267"/>
            <w:bookmarkEnd w:id="268"/>
            <w:bookmarkEnd w:id="269"/>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环境风险管理目标是采用最低合理可行原则（as low as reasonable practicable，ALARP）管控环境风险。采取的环境风险防范措施应与社会经济技术发展水平相适应，运用科学的技术手段和管理方法，对环境风险进行有效的预防、监控、响应。</w:t>
            </w:r>
          </w:p>
          <w:p>
            <w:pPr>
              <w:pStyle w:val="6"/>
              <w:suppressLineNumbers w:val="0"/>
              <w:bidi w:val="0"/>
              <w:spacing w:before="0" w:beforeAutospacing="0" w:after="0" w:afterAutospacing="0"/>
              <w:ind w:left="0" w:right="0"/>
              <w:rPr>
                <w:rFonts w:hint="default"/>
                <w:u w:val="none"/>
              </w:rPr>
            </w:pPr>
            <w:bookmarkStart w:id="270" w:name="_Toc23411186"/>
            <w:bookmarkStart w:id="271" w:name="_Toc31936"/>
            <w:r>
              <w:rPr>
                <w:rFonts w:hint="eastAsia"/>
                <w:u w:val="none"/>
                <w:lang w:val="en-US" w:eastAsia="zh-CN"/>
              </w:rPr>
              <w:t>7.9</w:t>
            </w:r>
            <w:r>
              <w:rPr>
                <w:rFonts w:hint="default"/>
                <w:u w:val="none"/>
              </w:rPr>
              <w:t>.3.2 风险管理</w:t>
            </w:r>
            <w:bookmarkEnd w:id="270"/>
            <w:bookmarkEnd w:id="271"/>
            <w:r>
              <w:rPr>
                <w:rFonts w:hint="default"/>
                <w:u w:val="none"/>
              </w:rPr>
              <w:t xml:space="preserve">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风险事故发生的规律表明不安全因素+管理缺陷导致风险事故隐患+人的不安全行为，导致风险事故。“预防为主”是安全生产的原则，加强预防工作，从管理入手，把风险事故的发生和影响降到最低限度，针对本项目的生产特点，特别注意以下，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1、应设置安全环保机构，负责全公司的环保安全工作。制定各项安全生产管 理制度、严格的生产操作规则和完善的事故应急计划及相应的应急处理手段和设施，同时加强安全教育，以提高职工的安全意识和安全防范能力。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2、总平面布置根据功能分区布置，各功能区之间设有环形通道，有利于安全 疏散和消防。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3、建立健全的规章制度，非直接操作人员不得擅自进入物料仓库，严禁烟火， 进出仓库都要有严格的手续，以免发生意外仓库内须有消防通道工艺油和其他易燃物品分开放置。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4、生产现场设置各种安全标志。按照规范对凡需要迅速发现并引起注意以防发生事故的场所、部位均按要求涂安全色。 </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 xml:space="preserve">5、按照建筑防火设计规范等进行平面布置，配备善的消防设施等。包括火灾 报警系统等，在各建筑物内、工艺装置区等配置适量的灭火器，用于扑灭初期火灾及小型火灾。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6、项目建成后应综合考虑生产、使用、运输、储存等系统事故隐患，确定风险源，拟定安全制度，培训人员，持证上岗。同时配备应急设施器材。</w:t>
            </w:r>
          </w:p>
          <w:p>
            <w:pPr>
              <w:pStyle w:val="6"/>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bookmarkStart w:id="272" w:name="_Toc23411187"/>
            <w:bookmarkStart w:id="273" w:name="_Toc6692"/>
            <w:bookmarkStart w:id="274" w:name="_Toc13074017"/>
            <w:bookmarkStart w:id="275" w:name="_Toc7080046"/>
            <w:r>
              <w:rPr>
                <w:rFonts w:hint="eastAsia"/>
                <w:u w:val="none"/>
                <w:lang w:val="en-US" w:eastAsia="zh-CN"/>
              </w:rPr>
              <w:t>7.9</w:t>
            </w:r>
            <w:r>
              <w:rPr>
                <w:rFonts w:hint="default"/>
                <w:u w:val="none"/>
              </w:rPr>
              <w:t>.3.3 环境风险防范措施</w:t>
            </w:r>
            <w:bookmarkEnd w:id="272"/>
            <w:bookmarkEnd w:id="273"/>
            <w:bookmarkEnd w:id="274"/>
            <w:bookmarkEnd w:id="275"/>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jc w:val="left"/>
              <w:textAlignment w:val="auto"/>
              <w:rPr>
                <w:rFonts w:hint="eastAsia" w:ascii="宋体" w:hAnsi="Times New Roman" w:cs="宋体"/>
                <w:kern w:val="0"/>
                <w:sz w:val="24"/>
                <w:szCs w:val="24"/>
                <w:u w:val="none"/>
              </w:rPr>
            </w:pPr>
            <w:r>
              <w:rPr>
                <w:rFonts w:hint="eastAsia" w:ascii="宋体" w:hAnsi="Times New Roman" w:cs="宋体"/>
                <w:kern w:val="0"/>
                <w:sz w:val="24"/>
                <w:szCs w:val="24"/>
                <w:u w:val="none"/>
              </w:rPr>
              <w:t>公司突发环境事件主要有厂区火灾爆炸事件、危化品泄漏、环保设施非正常运转事件等，为降低突发环境事件的发生概率，企业需采取一定的事件预防措施，具体如下：</w:t>
            </w:r>
            <w:r>
              <w:rPr>
                <w:rFonts w:hint="default" w:ascii="宋体" w:hAnsi="Times New Roman" w:cs="宋体"/>
                <w:kern w:val="0"/>
                <w:sz w:val="24"/>
                <w:szCs w:val="24"/>
                <w:u w:val="none"/>
              </w:rPr>
              <w:t xml:space="preserve"> </w:t>
            </w:r>
          </w:p>
          <w:p>
            <w:pPr>
              <w:pStyle w:val="6"/>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lang w:val="en-US" w:eastAsia="zh-CN"/>
              </w:rPr>
            </w:pPr>
            <w:r>
              <w:rPr>
                <w:rFonts w:hint="eastAsia"/>
                <w:u w:val="none"/>
                <w:lang w:val="en-US" w:eastAsia="zh-CN"/>
              </w:rPr>
              <w:t>1、拆解区域事故预防措施</w:t>
            </w:r>
          </w:p>
          <w:p>
            <w:pPr>
              <w:keepNext w:val="0"/>
              <w:keepLines w:val="0"/>
              <w:pageBreakBefore w:val="0"/>
              <w:widowControl w:val="0"/>
              <w:numPr>
                <w:ilvl w:val="0"/>
                <w:numId w:val="3"/>
              </w:numPr>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eastAsia="zh-CN"/>
              </w:rPr>
            </w:pPr>
            <w:r>
              <w:rPr>
                <w:rFonts w:hint="eastAsia"/>
                <w:u w:val="none"/>
                <w:lang w:eastAsia="zh-CN"/>
              </w:rPr>
              <w:t>拆解车间地面应采取重点防渗措施，应设置导流沟和泄露收集池，在使用油毡或抹布吸附处理泄露的危险废物的基础上，确保危险废物可以截留在拆解车间内。</w:t>
            </w:r>
          </w:p>
          <w:p>
            <w:pPr>
              <w:keepNext w:val="0"/>
              <w:keepLines w:val="0"/>
              <w:pageBreakBefore w:val="0"/>
              <w:widowControl w:val="0"/>
              <w:numPr>
                <w:ilvl w:val="0"/>
                <w:numId w:val="3"/>
              </w:numPr>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rPr>
              <w:t>制定完善的操作规程，车间操作员工必须认真学习相应操作规程，严格按操作规程工作，防止操作工非正常操作引起火灾等突发环境事件。</w:t>
            </w:r>
            <w:r>
              <w:rPr>
                <w:rFonts w:hint="default"/>
                <w:u w:val="none"/>
              </w:rPr>
              <w:t xml:space="preserve">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lang w:eastAsia="zh-CN"/>
              </w:rPr>
              <w:t>（</w:t>
            </w:r>
            <w:r>
              <w:rPr>
                <w:rFonts w:hint="eastAsia"/>
                <w:u w:val="none"/>
                <w:lang w:val="en-US" w:eastAsia="zh-CN"/>
              </w:rPr>
              <w:t>3</w:t>
            </w:r>
            <w:r>
              <w:rPr>
                <w:rFonts w:hint="eastAsia"/>
                <w:u w:val="none"/>
                <w:lang w:eastAsia="zh-CN"/>
              </w:rPr>
              <w:t>）</w:t>
            </w:r>
            <w:r>
              <w:rPr>
                <w:rFonts w:hint="eastAsia"/>
                <w:u w:val="none"/>
              </w:rPr>
              <w:t>严格执行企业的各项安全管理制度，组织专人每天每班多次进行周期性巡回检查，必要时按照</w:t>
            </w:r>
            <w:r>
              <w:rPr>
                <w:rFonts w:hint="default"/>
                <w:u w:val="none"/>
              </w:rPr>
              <w:t>“</w:t>
            </w:r>
            <w:r>
              <w:rPr>
                <w:rFonts w:hint="eastAsia"/>
                <w:u w:val="none"/>
              </w:rPr>
              <w:t>生产服从安全</w:t>
            </w:r>
            <w:r>
              <w:rPr>
                <w:rFonts w:hint="default"/>
                <w:u w:val="none"/>
              </w:rPr>
              <w:t>”</w:t>
            </w:r>
            <w:r>
              <w:rPr>
                <w:rFonts w:hint="eastAsia"/>
                <w:u w:val="none"/>
              </w:rPr>
              <w:t>原则停车检修。</w:t>
            </w:r>
            <w:r>
              <w:rPr>
                <w:rFonts w:hint="default"/>
                <w:u w:val="none"/>
              </w:rPr>
              <w:t xml:space="preserve">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lang w:eastAsia="zh-CN"/>
              </w:rPr>
              <w:t>（</w:t>
            </w:r>
            <w:r>
              <w:rPr>
                <w:rFonts w:hint="eastAsia"/>
                <w:u w:val="none"/>
                <w:lang w:val="en-US" w:eastAsia="zh-CN"/>
              </w:rPr>
              <w:t>4</w:t>
            </w:r>
            <w:r>
              <w:rPr>
                <w:rFonts w:hint="eastAsia"/>
                <w:u w:val="none"/>
                <w:lang w:eastAsia="zh-CN"/>
              </w:rPr>
              <w:t>）</w:t>
            </w:r>
            <w:r>
              <w:rPr>
                <w:rFonts w:hint="eastAsia"/>
                <w:u w:val="none"/>
              </w:rPr>
              <w:t>建立健全的车间制冷剂抽取机、切割设备的管理档案，由专人负责管理、保养。</w:t>
            </w:r>
            <w:r>
              <w:rPr>
                <w:rFonts w:hint="default"/>
                <w:u w:val="none"/>
              </w:rPr>
              <w:t xml:space="preserve">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lang w:eastAsia="zh-CN"/>
              </w:rPr>
              <w:t>（</w:t>
            </w:r>
            <w:r>
              <w:rPr>
                <w:rFonts w:hint="eastAsia"/>
                <w:u w:val="none"/>
                <w:lang w:val="en-US" w:eastAsia="zh-CN"/>
              </w:rPr>
              <w:t>5</w:t>
            </w:r>
            <w:r>
              <w:rPr>
                <w:rFonts w:hint="eastAsia"/>
                <w:u w:val="none"/>
                <w:lang w:eastAsia="zh-CN"/>
              </w:rPr>
              <w:t>）</w:t>
            </w:r>
            <w:r>
              <w:rPr>
                <w:rFonts w:hint="eastAsia"/>
                <w:u w:val="none"/>
              </w:rPr>
              <w:t>及时清理车间内的材料，避免材料长期堆存，及时进行处理。</w:t>
            </w:r>
            <w:r>
              <w:rPr>
                <w:rFonts w:hint="default"/>
                <w:u w:val="none"/>
              </w:rPr>
              <w:t xml:space="preserve">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lang w:eastAsia="zh-CN"/>
              </w:rPr>
              <w:t>（</w:t>
            </w:r>
            <w:r>
              <w:rPr>
                <w:rFonts w:hint="eastAsia"/>
                <w:u w:val="none"/>
                <w:lang w:val="en-US" w:eastAsia="zh-CN"/>
              </w:rPr>
              <w:t>6</w:t>
            </w:r>
            <w:r>
              <w:rPr>
                <w:rFonts w:hint="eastAsia"/>
                <w:u w:val="none"/>
                <w:lang w:eastAsia="zh-CN"/>
              </w:rPr>
              <w:t>）</w:t>
            </w:r>
            <w:r>
              <w:rPr>
                <w:rFonts w:hint="eastAsia"/>
                <w:u w:val="none"/>
              </w:rPr>
              <w:t>检查废蓄电池等泄漏情况，如有泄漏，须做好防渗漏措施。</w:t>
            </w:r>
            <w:r>
              <w:rPr>
                <w:rFonts w:hint="default"/>
                <w:u w:val="none"/>
              </w:rPr>
              <w:t xml:space="preserve"> </w:t>
            </w:r>
          </w:p>
          <w:p>
            <w:pPr>
              <w:pStyle w:val="6"/>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lang w:val="en-US" w:eastAsia="zh-CN"/>
              </w:rPr>
            </w:pPr>
            <w:r>
              <w:rPr>
                <w:rFonts w:hint="eastAsia"/>
                <w:u w:val="none"/>
                <w:lang w:val="en-US" w:eastAsia="zh-CN"/>
              </w:rPr>
              <w:t>2、危废暂存库事故预防措施</w:t>
            </w:r>
          </w:p>
          <w:p>
            <w:pPr>
              <w:keepNext w:val="0"/>
              <w:keepLines w:val="0"/>
              <w:pageBreakBefore w:val="0"/>
              <w:widowControl w:val="0"/>
              <w:numPr>
                <w:ilvl w:val="0"/>
                <w:numId w:val="4"/>
              </w:numPr>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应指定专人对产生的危险废物及时收集，危废操作人员必须经过培训并具备相应知识。</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（2）其余危险废物中液体、半固体的危险废物必须用包装容器进行装盛，固态危险废物可用包装容器或包装袋进行装盛并存放在危险废物贮存间。</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（3）同一包装容器、包装袋不能同时装盛两种以上不同性质或类别的危险废物。</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（4）包装容器必须完好无损，没有腐蚀、污染、损毁或其他能导致其包装效能减弱的缺陷。</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（5）已装盛废物的包装容器应妥善盖好或密封，容器表面应保持清洁，不应黏附任何危险废物。</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（6）在将液体废物注入容器时，须预留足够的空隙，以确保容器内的液体废物在正常的处理、存放及运输时，不因温度或其他物理状况转变而膨胀，造成容器泄漏或永久变形。</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7）危险废物暂存库应防风防雨防渗透，暂存库内地面采取重点防渗措施，设置导流沟和收集池，危险废物分类存放，底部设置托盘，危险废物包装物发生破损可将危险废物截留在仓库内，不会向外环境扩散并对其产生影响。</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eastAsia="zh-CN"/>
              </w:rPr>
              <w:t>（</w:t>
            </w:r>
            <w:r>
              <w:rPr>
                <w:rFonts w:hint="eastAsia"/>
                <w:u w:val="none"/>
                <w:lang w:val="en-US" w:eastAsia="zh-CN"/>
              </w:rPr>
              <w:t>8</w:t>
            </w:r>
            <w:r>
              <w:rPr>
                <w:rFonts w:hint="eastAsia"/>
                <w:u w:val="none"/>
                <w:lang w:eastAsia="zh-CN"/>
              </w:rPr>
              <w:t>）</w:t>
            </w:r>
            <w:r>
              <w:rPr>
                <w:rFonts w:hint="default"/>
                <w:u w:val="none"/>
              </w:rPr>
              <w:t>拆解得到工业固废应按种类分别收集在不同的专用容器或固定区域，并设立明显的区分标识，库区严禁烟火。</w:t>
            </w:r>
          </w:p>
          <w:p>
            <w:pPr>
              <w:pStyle w:val="6"/>
              <w:pageBreakBefore w:val="0"/>
              <w:widowControl w:val="0"/>
              <w:suppressLineNumbers w:val="0"/>
              <w:tabs>
                <w:tab w:val="left" w:pos="397"/>
              </w:tabs>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3、废气风险防范措施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default" w:ascii="Times New Roman" w:hAnsi="Times New Roman" w:cs="Times New Roman"/>
                <w:b w:val="0"/>
                <w:bCs/>
                <w:kern w:val="0"/>
                <w:sz w:val="24"/>
                <w:szCs w:val="24"/>
                <w:u w:val="none"/>
              </w:rPr>
            </w:pPr>
            <w:r>
              <w:rPr>
                <w:rFonts w:hint="eastAsia" w:ascii="Times New Roman" w:hAnsi="Times New Roman" w:cs="Times New Roman"/>
                <w:b w:val="0"/>
                <w:bCs/>
                <w:kern w:val="0"/>
                <w:sz w:val="24"/>
                <w:szCs w:val="24"/>
                <w:u w:val="none"/>
                <w:lang w:eastAsia="zh-CN"/>
              </w:rPr>
              <w:t>（</w:t>
            </w:r>
            <w:r>
              <w:rPr>
                <w:rFonts w:hint="eastAsia" w:ascii="Times New Roman" w:hAnsi="Times New Roman" w:cs="Times New Roman"/>
                <w:b w:val="0"/>
                <w:bCs/>
                <w:kern w:val="0"/>
                <w:sz w:val="24"/>
                <w:szCs w:val="24"/>
                <w:u w:val="none"/>
                <w:lang w:val="en-US" w:eastAsia="zh-CN"/>
              </w:rPr>
              <w:t>1</w:t>
            </w:r>
            <w:r>
              <w:rPr>
                <w:rFonts w:hint="eastAsia" w:ascii="Times New Roman" w:hAnsi="Times New Roman" w:cs="Times New Roman"/>
                <w:b w:val="0"/>
                <w:bCs/>
                <w:kern w:val="0"/>
                <w:sz w:val="24"/>
                <w:szCs w:val="24"/>
                <w:u w:val="none"/>
                <w:lang w:eastAsia="zh-CN"/>
              </w:rPr>
              <w:t>）</w:t>
            </w:r>
            <w:r>
              <w:rPr>
                <w:rFonts w:hint="default" w:ascii="Times New Roman" w:hAnsi="Times New Roman" w:cs="Times New Roman"/>
                <w:b w:val="0"/>
                <w:bCs/>
                <w:kern w:val="0"/>
                <w:sz w:val="24"/>
                <w:szCs w:val="24"/>
                <w:u w:val="none"/>
              </w:rPr>
              <w:t>废气处理设施的相关操作人员应严格按照操作规程进行操作；每天一次对废气处理设施进行巡检</w:t>
            </w:r>
            <w:r>
              <w:rPr>
                <w:rFonts w:hint="eastAsia" w:ascii="Times New Roman" w:hAnsi="Times New Roman" w:cs="Times New Roman"/>
                <w:b w:val="0"/>
                <w:bCs/>
                <w:kern w:val="0"/>
                <w:sz w:val="24"/>
                <w:szCs w:val="24"/>
                <w:u w:val="none"/>
                <w:lang w:eastAsia="zh-CN"/>
              </w:rPr>
              <w:t>，</w:t>
            </w:r>
            <w:r>
              <w:rPr>
                <w:rFonts w:hint="default" w:ascii="Times New Roman" w:hAnsi="Times New Roman" w:cs="Times New Roman"/>
                <w:b w:val="0"/>
                <w:bCs/>
                <w:kern w:val="0"/>
                <w:sz w:val="24"/>
                <w:szCs w:val="24"/>
                <w:u w:val="none"/>
              </w:rPr>
              <w:t>发现问题及时解决，并做好巡检记录。</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default" w:ascii="Times New Roman" w:hAnsi="Times New Roman" w:cs="Times New Roman"/>
                <w:b w:val="0"/>
                <w:bCs/>
                <w:kern w:val="0"/>
                <w:sz w:val="24"/>
                <w:szCs w:val="24"/>
                <w:u w:val="none"/>
              </w:rPr>
            </w:pPr>
            <w:r>
              <w:rPr>
                <w:rFonts w:hint="eastAsia" w:ascii="Times New Roman" w:hAnsi="Times New Roman" w:cs="Times New Roman"/>
                <w:b w:val="0"/>
                <w:bCs/>
                <w:kern w:val="0"/>
                <w:sz w:val="24"/>
                <w:szCs w:val="24"/>
                <w:u w:val="none"/>
                <w:lang w:eastAsia="zh-CN"/>
              </w:rPr>
              <w:t>（</w:t>
            </w:r>
            <w:r>
              <w:rPr>
                <w:rFonts w:hint="eastAsia" w:ascii="Times New Roman" w:hAnsi="Times New Roman" w:cs="Times New Roman"/>
                <w:b w:val="0"/>
                <w:bCs/>
                <w:kern w:val="0"/>
                <w:sz w:val="24"/>
                <w:szCs w:val="24"/>
                <w:u w:val="none"/>
                <w:lang w:val="en-US" w:eastAsia="zh-CN"/>
              </w:rPr>
              <w:t>2</w:t>
            </w:r>
            <w:r>
              <w:rPr>
                <w:rFonts w:hint="eastAsia" w:ascii="Times New Roman" w:hAnsi="Times New Roman" w:cs="Times New Roman"/>
                <w:b w:val="0"/>
                <w:bCs/>
                <w:kern w:val="0"/>
                <w:sz w:val="24"/>
                <w:szCs w:val="24"/>
                <w:u w:val="none"/>
                <w:lang w:eastAsia="zh-CN"/>
              </w:rPr>
              <w:t>）</w:t>
            </w:r>
            <w:r>
              <w:rPr>
                <w:rFonts w:hint="default" w:ascii="Times New Roman" w:hAnsi="Times New Roman" w:cs="Times New Roman"/>
                <w:b w:val="0"/>
                <w:bCs/>
                <w:kern w:val="0"/>
                <w:sz w:val="24"/>
                <w:szCs w:val="24"/>
                <w:u w:val="none"/>
              </w:rPr>
              <w:t>加强设备维护，及时发现处理设备隐患。应设有备用电源和备用处理设备和零件，以备停电或设备出现故障及时更换使废气全部做到达标排放。一旦设备出现故障不能及时处理的，应立即上报主管，并通知相应车间停产。</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default" w:ascii="Times New Roman" w:hAnsi="Times New Roman" w:cs="Times New Roman"/>
                <w:b w:val="0"/>
                <w:bCs/>
                <w:kern w:val="0"/>
                <w:sz w:val="24"/>
                <w:szCs w:val="24"/>
                <w:u w:val="none"/>
              </w:rPr>
            </w:pPr>
            <w:r>
              <w:rPr>
                <w:rFonts w:hint="eastAsia" w:ascii="Times New Roman" w:hAnsi="Times New Roman" w:cs="Times New Roman"/>
                <w:b w:val="0"/>
                <w:bCs/>
                <w:kern w:val="0"/>
                <w:sz w:val="24"/>
                <w:szCs w:val="24"/>
                <w:u w:val="none"/>
                <w:lang w:eastAsia="zh-CN"/>
              </w:rPr>
              <w:t>（</w:t>
            </w:r>
            <w:r>
              <w:rPr>
                <w:rFonts w:hint="eastAsia" w:ascii="Times New Roman" w:hAnsi="Times New Roman" w:cs="Times New Roman"/>
                <w:b w:val="0"/>
                <w:bCs/>
                <w:kern w:val="0"/>
                <w:sz w:val="24"/>
                <w:szCs w:val="24"/>
                <w:u w:val="none"/>
                <w:lang w:val="en-US" w:eastAsia="zh-CN"/>
              </w:rPr>
              <w:t>3</w:t>
            </w:r>
            <w:r>
              <w:rPr>
                <w:rFonts w:hint="eastAsia" w:ascii="Times New Roman" w:hAnsi="Times New Roman" w:cs="Times New Roman"/>
                <w:b w:val="0"/>
                <w:bCs/>
                <w:kern w:val="0"/>
                <w:sz w:val="24"/>
                <w:szCs w:val="24"/>
                <w:u w:val="none"/>
                <w:lang w:eastAsia="zh-CN"/>
              </w:rPr>
              <w:t>）</w:t>
            </w:r>
            <w:r>
              <w:rPr>
                <w:rFonts w:hint="eastAsia" w:cs="Times New Roman"/>
                <w:b w:val="0"/>
                <w:bCs/>
                <w:kern w:val="0"/>
                <w:sz w:val="24"/>
                <w:szCs w:val="24"/>
                <w:u w:val="none"/>
                <w:lang w:eastAsia="zh-CN"/>
              </w:rPr>
              <w:t>按照监测方案</w:t>
            </w:r>
            <w:r>
              <w:rPr>
                <w:rFonts w:hint="default" w:ascii="Times New Roman" w:hAnsi="Times New Roman" w:cs="Times New Roman"/>
                <w:b w:val="0"/>
                <w:bCs/>
                <w:kern w:val="0"/>
                <w:sz w:val="24"/>
                <w:szCs w:val="24"/>
                <w:u w:val="none"/>
              </w:rPr>
              <w:t>定期监测</w:t>
            </w:r>
            <w:r>
              <w:rPr>
                <w:rFonts w:hint="eastAsia" w:cs="Times New Roman"/>
                <w:b w:val="0"/>
                <w:bCs/>
                <w:kern w:val="0"/>
                <w:sz w:val="24"/>
                <w:szCs w:val="24"/>
                <w:u w:val="none"/>
                <w:lang w:eastAsia="zh-CN"/>
              </w:rPr>
              <w:t>厂界</w:t>
            </w:r>
            <w:r>
              <w:rPr>
                <w:rFonts w:hint="default" w:ascii="Times New Roman" w:hAnsi="Times New Roman" w:cs="Times New Roman"/>
                <w:b w:val="0"/>
                <w:bCs/>
                <w:kern w:val="0"/>
                <w:sz w:val="24"/>
                <w:szCs w:val="24"/>
                <w:u w:val="none"/>
              </w:rPr>
              <w:t>废气排放浓度，保证达标排放；定期检查通风管道，避免无组织排放，保证废气高空排放。</w:t>
            </w:r>
          </w:p>
          <w:p>
            <w:pPr>
              <w:pStyle w:val="6"/>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eastAsia"/>
                <w:u w:val="none"/>
                <w:lang w:val="en-US" w:eastAsia="zh-CN"/>
              </w:rPr>
            </w:pPr>
            <w:r>
              <w:rPr>
                <w:rFonts w:hint="eastAsia"/>
                <w:u w:val="none"/>
                <w:lang w:val="en-US" w:eastAsia="zh-CN"/>
              </w:rPr>
              <w:t>4、三级环境风险防控措施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eastAsia" w:ascii="Times New Roman" w:hAnsi="Times New Roman" w:cs="Times New Roman"/>
                <w:b w:val="0"/>
                <w:bCs/>
                <w:kern w:val="0"/>
                <w:sz w:val="24"/>
                <w:szCs w:val="24"/>
                <w:u w:val="none"/>
                <w:lang w:eastAsia="zh-CN"/>
              </w:rPr>
            </w:pPr>
            <w:r>
              <w:rPr>
                <w:rFonts w:hint="eastAsia" w:ascii="Times New Roman" w:hAnsi="Times New Roman" w:cs="Times New Roman"/>
                <w:b w:val="0"/>
                <w:bCs/>
                <w:kern w:val="0"/>
                <w:sz w:val="24"/>
                <w:szCs w:val="24"/>
                <w:u w:val="none"/>
                <w:lang w:eastAsia="zh-CN"/>
              </w:rPr>
              <w:t>项目建成后，项目应设置安全环保管理机构，并应配备管理人员，通过技能培训，承担该项目运行中的环保安全工作。安全环保机构应根据相关的环境管理要求，结合具体情况，制定该项目各项安全生产管理制度、严格的生产操作规则和完善的事故应急计划及相应的应急处理手段和设施，同时加强安全教育，以提高职工的安全意识和安全防范能力。</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eastAsia" w:ascii="Times New Roman" w:hAnsi="Times New Roman" w:cs="Times New Roman"/>
                <w:b w:val="0"/>
                <w:bCs/>
                <w:kern w:val="0"/>
                <w:sz w:val="24"/>
                <w:szCs w:val="24"/>
                <w:u w:val="none"/>
                <w:lang w:eastAsia="zh-CN"/>
              </w:rPr>
            </w:pPr>
            <w:r>
              <w:rPr>
                <w:rFonts w:hint="eastAsia" w:ascii="Times New Roman" w:hAnsi="Times New Roman" w:cs="Times New Roman"/>
                <w:b w:val="0"/>
                <w:bCs/>
                <w:kern w:val="0"/>
                <w:sz w:val="24"/>
                <w:szCs w:val="24"/>
                <w:u w:val="none"/>
                <w:lang w:eastAsia="zh-CN"/>
              </w:rPr>
              <w:t>为了阻断事故泄漏液和消防水进入外环境，本项目采取“收→储→处理”方式处理事故泄漏和事故消防水。参考《事故状态下水体污染的预防与控制技术要求》（Q/SY1190-2013），项目设置“三级防控措施”防范事故泄漏液和消防污水进入外围水环境。并建立应急体系，包括响应级别、响应联动程序和环境风险事故监测体系，实行三级防控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eastAsia" w:ascii="Times New Roman" w:hAnsi="Times New Roman" w:cs="Times New Roman"/>
                <w:b w:val="0"/>
                <w:bCs/>
                <w:kern w:val="0"/>
                <w:sz w:val="24"/>
                <w:szCs w:val="24"/>
                <w:u w:val="none"/>
                <w:lang w:eastAsia="zh-CN"/>
              </w:rPr>
            </w:pPr>
            <w:r>
              <w:rPr>
                <w:rFonts w:hint="eastAsia" w:ascii="Times New Roman" w:hAnsi="Times New Roman" w:cs="Times New Roman"/>
                <w:b w:val="0"/>
                <w:bCs/>
                <w:kern w:val="0"/>
                <w:sz w:val="24"/>
                <w:szCs w:val="24"/>
                <w:u w:val="none"/>
                <w:lang w:eastAsia="zh-CN"/>
              </w:rPr>
              <w:t>（1）一级防控措施：</w:t>
            </w:r>
            <w:r>
              <w:rPr>
                <w:rFonts w:hint="eastAsia" w:cs="Times New Roman"/>
                <w:b w:val="0"/>
                <w:bCs/>
                <w:kern w:val="0"/>
                <w:sz w:val="24"/>
                <w:szCs w:val="24"/>
                <w:u w:val="none"/>
                <w:lang w:eastAsia="zh-CN"/>
              </w:rPr>
              <w:t>拆解车间内设置导流沟、泄露收集池，</w:t>
            </w:r>
            <w:r>
              <w:rPr>
                <w:rFonts w:hint="eastAsia" w:ascii="Times New Roman" w:hAnsi="Times New Roman" w:cs="Times New Roman"/>
                <w:b w:val="0"/>
                <w:bCs/>
                <w:kern w:val="0"/>
                <w:sz w:val="24"/>
                <w:szCs w:val="24"/>
                <w:u w:val="none"/>
                <w:lang w:eastAsia="zh-CN"/>
              </w:rPr>
              <w:t>危险废物</w:t>
            </w:r>
            <w:r>
              <w:rPr>
                <w:rFonts w:hint="eastAsia" w:cs="Times New Roman"/>
                <w:b w:val="0"/>
                <w:bCs/>
                <w:kern w:val="0"/>
                <w:sz w:val="24"/>
                <w:szCs w:val="24"/>
                <w:u w:val="none"/>
                <w:lang w:eastAsia="zh-CN"/>
              </w:rPr>
              <w:t>暂存库</w:t>
            </w:r>
            <w:r>
              <w:rPr>
                <w:rFonts w:hint="eastAsia" w:ascii="Times New Roman" w:hAnsi="Times New Roman" w:cs="Times New Roman"/>
                <w:b w:val="0"/>
                <w:bCs/>
                <w:kern w:val="0"/>
                <w:sz w:val="24"/>
                <w:szCs w:val="24"/>
                <w:u w:val="none"/>
                <w:lang w:eastAsia="zh-CN"/>
              </w:rPr>
              <w:t>内设置围堰、导流沟</w:t>
            </w:r>
            <w:r>
              <w:rPr>
                <w:rFonts w:hint="eastAsia" w:cs="Times New Roman"/>
                <w:b w:val="0"/>
                <w:bCs/>
                <w:kern w:val="0"/>
                <w:sz w:val="24"/>
                <w:szCs w:val="24"/>
                <w:u w:val="none"/>
                <w:lang w:eastAsia="zh-CN"/>
              </w:rPr>
              <w:t>、泄露收集池</w:t>
            </w:r>
            <w:r>
              <w:rPr>
                <w:rFonts w:hint="eastAsia" w:ascii="Times New Roman" w:hAnsi="Times New Roman" w:cs="Times New Roman"/>
                <w:b w:val="0"/>
                <w:bCs/>
                <w:kern w:val="0"/>
                <w:sz w:val="24"/>
                <w:szCs w:val="24"/>
                <w:u w:val="none"/>
                <w:lang w:eastAsia="zh-CN"/>
              </w:rPr>
              <w:t>，用于收集</w:t>
            </w:r>
            <w:r>
              <w:rPr>
                <w:rFonts w:hint="eastAsia" w:cs="Times New Roman"/>
                <w:b w:val="0"/>
                <w:bCs/>
                <w:kern w:val="0"/>
                <w:sz w:val="24"/>
                <w:szCs w:val="24"/>
                <w:u w:val="none"/>
                <w:lang w:eastAsia="zh-CN"/>
              </w:rPr>
              <w:t>拆解车间</w:t>
            </w:r>
            <w:r>
              <w:rPr>
                <w:rFonts w:hint="eastAsia" w:ascii="Times New Roman" w:hAnsi="Times New Roman" w:cs="Times New Roman"/>
                <w:b w:val="0"/>
                <w:bCs/>
                <w:kern w:val="0"/>
                <w:sz w:val="24"/>
                <w:szCs w:val="24"/>
                <w:u w:val="none"/>
                <w:lang w:eastAsia="zh-CN"/>
              </w:rPr>
              <w:t>和危险废物</w:t>
            </w:r>
            <w:r>
              <w:rPr>
                <w:rFonts w:hint="eastAsia" w:cs="Times New Roman"/>
                <w:b w:val="0"/>
                <w:bCs/>
                <w:kern w:val="0"/>
                <w:sz w:val="24"/>
                <w:szCs w:val="24"/>
                <w:u w:val="none"/>
                <w:lang w:eastAsia="zh-CN"/>
              </w:rPr>
              <w:t>暂存库</w:t>
            </w:r>
            <w:r>
              <w:rPr>
                <w:rFonts w:hint="eastAsia" w:ascii="Times New Roman" w:hAnsi="Times New Roman" w:cs="Times New Roman"/>
                <w:b w:val="0"/>
                <w:bCs/>
                <w:kern w:val="0"/>
                <w:sz w:val="24"/>
                <w:szCs w:val="24"/>
                <w:u w:val="none"/>
                <w:lang w:eastAsia="zh-CN"/>
              </w:rPr>
              <w:t>产生的泄漏废液等事故废水。</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auto"/>
              <w:rPr>
                <w:rFonts w:hint="eastAsia" w:ascii="Times New Roman" w:hAnsi="Times New Roman" w:cs="Times New Roman"/>
                <w:b w:val="0"/>
                <w:bCs/>
                <w:kern w:val="0"/>
                <w:sz w:val="24"/>
                <w:szCs w:val="24"/>
                <w:u w:val="none"/>
                <w:lang w:eastAsia="zh-CN"/>
              </w:rPr>
            </w:pPr>
            <w:r>
              <w:rPr>
                <w:rFonts w:hint="eastAsia" w:ascii="Times New Roman" w:hAnsi="Times New Roman" w:cs="Times New Roman"/>
                <w:b w:val="0"/>
                <w:bCs/>
                <w:kern w:val="0"/>
                <w:sz w:val="24"/>
                <w:szCs w:val="24"/>
                <w:u w:val="none"/>
                <w:lang w:eastAsia="zh-CN"/>
              </w:rPr>
              <w:t>（2）二级防控措施：在雨水排放口与市政雨水管衔接口处设置切换闸阀作为二级防控措施，防控溢流至雨水系统的事故废水进入市政雨水管网，进而污染地表水体。</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textAlignment w:val="auto"/>
              <w:rPr>
                <w:rFonts w:hint="default"/>
                <w:color w:val="000000" w:themeColor="text1"/>
                <w:u w:val="none"/>
                <w14:textFill>
                  <w14:solidFill>
                    <w14:schemeClr w14:val="tx1"/>
                  </w14:solidFill>
                </w14:textFill>
              </w:rPr>
            </w:pPr>
            <w:r>
              <w:rPr>
                <w:rFonts w:hint="eastAsia" w:ascii="Times New Roman" w:hAnsi="Times New Roman" w:cs="Times New Roman"/>
                <w:b w:val="0"/>
                <w:bCs/>
                <w:kern w:val="0"/>
                <w:sz w:val="24"/>
                <w:szCs w:val="24"/>
                <w:u w:val="none"/>
                <w:lang w:eastAsia="zh-CN"/>
              </w:rPr>
              <w:t>（3）三级防控措施：设置事故应急池，防控重大事故泄漏物料和消防废水造成的环境污染。</w:t>
            </w:r>
          </w:p>
          <w:p>
            <w:pPr>
              <w:pStyle w:val="6"/>
              <w:pageBreakBefore w:val="0"/>
              <w:widowControl w:val="0"/>
              <w:suppressLineNumbers w:val="0"/>
              <w:kinsoku/>
              <w:wordWrap/>
              <w:overflowPunct/>
              <w:topLinePunct w:val="0"/>
              <w:bidi w:val="0"/>
              <w:snapToGrid/>
              <w:spacing w:before="0" w:beforeAutospacing="0" w:after="0" w:afterAutospacing="0" w:line="288" w:lineRule="auto"/>
              <w:ind w:left="0" w:right="0"/>
              <w:textAlignment w:val="auto"/>
              <w:rPr>
                <w:rFonts w:hint="default"/>
                <w:u w:val="none"/>
              </w:rPr>
            </w:pPr>
            <w:r>
              <w:rPr>
                <w:rFonts w:hint="eastAsia"/>
                <w:u w:val="none"/>
                <w:lang w:val="en-US" w:eastAsia="zh-CN"/>
              </w:rPr>
              <w:t>5</w:t>
            </w:r>
            <w:r>
              <w:rPr>
                <w:rFonts w:hint="default"/>
                <w:u w:val="none"/>
              </w:rPr>
              <w:t xml:space="preserve">、设置完备的应急物资。 </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textAlignment w:val="auto"/>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针对厂房矿物油及油液等泄漏应配备相应的应急物资，见表</w:t>
            </w:r>
            <w:r>
              <w:rPr>
                <w:rFonts w:hint="eastAsia"/>
                <w:color w:val="000000" w:themeColor="text1"/>
                <w:u w:val="none"/>
                <w:lang w:eastAsia="zh-CN"/>
                <w14:textFill>
                  <w14:solidFill>
                    <w14:schemeClr w14:val="tx1"/>
                  </w14:solidFill>
                </w14:textFill>
              </w:rPr>
              <w:t>下表</w:t>
            </w:r>
            <w:r>
              <w:rPr>
                <w:rFonts w:hint="default"/>
                <w:color w:val="000000" w:themeColor="text1"/>
                <w:u w:val="none"/>
                <w14:textFill>
                  <w14:solidFill>
                    <w14:schemeClr w14:val="tx1"/>
                  </w14:solidFill>
                </w14:textFill>
              </w:rPr>
              <w:t>。</w:t>
            </w:r>
          </w:p>
          <w:p>
            <w:pPr>
              <w:keepNext w:val="0"/>
              <w:keepLines w:val="0"/>
              <w:suppressLineNumbers w:val="0"/>
              <w:spacing w:before="0" w:beforeAutospacing="0" w:after="0" w:afterAutospacing="0"/>
              <w:ind w:left="0" w:right="0" w:firstLine="482"/>
              <w:jc w:val="center"/>
              <w:rPr>
                <w:rFonts w:hint="default"/>
                <w:b/>
                <w:bCs w:val="0"/>
                <w:kern w:val="0"/>
                <w:szCs w:val="20"/>
                <w:u w:val="none"/>
              </w:rPr>
            </w:pPr>
            <w:r>
              <w:rPr>
                <w:rFonts w:hint="default"/>
                <w:b/>
                <w:bCs w:val="0"/>
                <w:u w:val="none"/>
              </w:rPr>
              <w:t>表</w:t>
            </w:r>
            <w:r>
              <w:rPr>
                <w:rFonts w:hint="eastAsia"/>
                <w:b/>
                <w:bCs w:val="0"/>
                <w:u w:val="none"/>
                <w:lang w:val="en-US" w:eastAsia="zh-CN"/>
              </w:rPr>
              <w:t>7.9</w:t>
            </w:r>
            <w:r>
              <w:rPr>
                <w:rFonts w:hint="default"/>
                <w:b/>
                <w:bCs w:val="0"/>
                <w:u w:val="none"/>
              </w:rPr>
              <w:t>-</w:t>
            </w:r>
            <w:r>
              <w:rPr>
                <w:rFonts w:hint="eastAsia"/>
                <w:b/>
                <w:bCs w:val="0"/>
                <w:u w:val="none"/>
                <w:lang w:val="en-US" w:eastAsia="zh-CN"/>
              </w:rPr>
              <w:t>3</w:t>
            </w:r>
            <w:r>
              <w:rPr>
                <w:rFonts w:hint="default"/>
                <w:b/>
                <w:bCs w:val="0"/>
                <w:kern w:val="0"/>
                <w:szCs w:val="20"/>
                <w:u w:val="none"/>
              </w:rPr>
              <w:t xml:space="preserve">  各个风险源应急资源储备建议</w:t>
            </w:r>
          </w:p>
          <w:tbl>
            <w:tblPr>
              <w:tblStyle w:val="23"/>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84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1843"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风险单元</w:t>
                  </w:r>
                </w:p>
              </w:tc>
              <w:tc>
                <w:tcPr>
                  <w:tcW w:w="552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1843"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危废暂存区</w:t>
                  </w:r>
                </w:p>
              </w:tc>
              <w:tc>
                <w:tcPr>
                  <w:tcW w:w="552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灭火器4个、应急泄漏桶3个、吸液棉2卷、围堰、环形导流渠和集液池（有效容积不小于1</w:t>
                  </w:r>
                  <w:r>
                    <w:rPr>
                      <w:rFonts w:hint="eastAsia"/>
                      <w:u w:val="none"/>
                      <w:lang w:eastAsia="zh-CN"/>
                    </w:rPr>
                    <w:t>m³</w:t>
                  </w:r>
                  <w:r>
                    <w:rPr>
                      <w:rFonts w:hint="default"/>
                      <w:u w:val="none"/>
                    </w:rPr>
                    <w:t>）、消防沙1吨、铲子2个、扫帚2把、防酸碱手套3双、防水鞋6双、2副过滤式防毒面具、警戒线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1843"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油品库房</w:t>
                  </w:r>
                </w:p>
              </w:tc>
              <w:tc>
                <w:tcPr>
                  <w:tcW w:w="552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灭火器4个、应急泄漏桶2个、吸液棉1卷、围堰、消防沙0.5吨、铲子2个、扫帚2把、防酸碱手套3双、防水鞋3双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4"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1843"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废油液、蓄电池、电容器拆卸区域</w:t>
                  </w:r>
                </w:p>
              </w:tc>
              <w:tc>
                <w:tcPr>
                  <w:tcW w:w="5528"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分别配备灭火器2个、应急泄漏桶2个、吸液棉1卷、铲子1个、扫帚1把</w:t>
                  </w:r>
                </w:p>
              </w:tc>
            </w:tr>
          </w:tbl>
          <w:p>
            <w:pPr>
              <w:pStyle w:val="6"/>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6、环境事故风险应急演练</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按照要求，建设单位应编制环境风险应急预案，编制完成后，报环保部门备案后实施，并安排环境</w:t>
            </w:r>
            <w:r>
              <w:rPr>
                <w:rFonts w:hint="eastAsia"/>
                <w:kern w:val="0"/>
                <w:szCs w:val="20"/>
                <w:u w:val="none"/>
                <w:lang w:eastAsia="zh-CN"/>
              </w:rPr>
              <w:t>事故</w:t>
            </w:r>
            <w:r>
              <w:rPr>
                <w:rFonts w:hint="default"/>
                <w:kern w:val="0"/>
                <w:szCs w:val="20"/>
                <w:u w:val="none"/>
              </w:rPr>
              <w:t>风险应急演练，进行应急处置宣传、教育。</w:t>
            </w:r>
          </w:p>
          <w:p>
            <w:pPr>
              <w:pStyle w:val="6"/>
              <w:suppressLineNumbers w:val="0"/>
              <w:bidi w:val="0"/>
              <w:spacing w:before="0" w:beforeAutospacing="0" w:after="0" w:afterAutospacing="0"/>
              <w:ind w:left="0" w:right="0"/>
              <w:rPr>
                <w:rFonts w:hint="default"/>
                <w:u w:val="none"/>
              </w:rPr>
            </w:pPr>
            <w:bookmarkStart w:id="276" w:name="_Toc13074018"/>
            <w:bookmarkStart w:id="277" w:name="_Toc24766"/>
            <w:bookmarkStart w:id="278" w:name="_Toc23411188"/>
            <w:r>
              <w:rPr>
                <w:rFonts w:hint="eastAsia"/>
                <w:u w:val="none"/>
                <w:lang w:val="en-US" w:eastAsia="zh-CN"/>
              </w:rPr>
              <w:t>7.9</w:t>
            </w:r>
            <w:r>
              <w:rPr>
                <w:rFonts w:hint="default"/>
                <w:u w:val="none"/>
              </w:rPr>
              <w:t>.3.4 应急预案</w:t>
            </w:r>
            <w:bookmarkEnd w:id="276"/>
            <w:bookmarkEnd w:id="277"/>
            <w:bookmarkEnd w:id="278"/>
          </w:p>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2"/>
              <w:textAlignment w:val="auto"/>
              <w:rPr>
                <w:rFonts w:hint="default" w:ascii="Times New Roman" w:hAnsi="Times New Roman" w:cs="Times New Roman"/>
                <w:u w:val="none"/>
              </w:rPr>
            </w:pPr>
            <w:r>
              <w:rPr>
                <w:rFonts w:hint="default" w:ascii="Times New Roman" w:hAnsi="Times New Roman" w:cs="Times New Roman"/>
                <w:u w:val="none"/>
              </w:rPr>
              <w:t xml:space="preserve">1、应急预案内容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 xml:space="preserve">为了确保人员与财产安全，本项目必须制定完善应急预案，并且在运营期定期依应急计划进行训练，以确保发生应急事故时能迅速正确进行掌握处理原则进行抢救，以降低灾害影响。根据《突发环境事件应急管理办法》（环保部令第34号），制定的应急预案应包括表7.7-1中所列内容。 </w:t>
            </w:r>
          </w:p>
          <w:p>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2"/>
              <w:textAlignment w:val="auto"/>
              <w:rPr>
                <w:rFonts w:hint="default" w:ascii="Times New Roman" w:hAnsi="Times New Roman" w:cs="Times New Roman"/>
                <w:u w:val="none"/>
              </w:rPr>
            </w:pPr>
            <w:r>
              <w:rPr>
                <w:rFonts w:hint="default" w:ascii="Times New Roman" w:hAnsi="Times New Roman" w:cs="Times New Roman"/>
                <w:u w:val="none"/>
              </w:rPr>
              <w:t xml:space="preserve">2、组织机构和职责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 xml:space="preserve">1、组织机构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 xml:space="preserve">组织机构主要为该公司成立的环境安全管理机构，由该公司环保第一责任人、环保直接负责人、环保主管部门负责人和其他的专职环境管理人员组成。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 xml:space="preserve">2、主要任务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textAlignment w:val="auto"/>
              <w:rPr>
                <w:rFonts w:hint="default"/>
                <w:kern w:val="0"/>
                <w:szCs w:val="20"/>
                <w:u w:val="none"/>
              </w:rPr>
            </w:pPr>
            <w:r>
              <w:rPr>
                <w:rFonts w:hint="default"/>
                <w:kern w:val="0"/>
                <w:szCs w:val="20"/>
                <w:u w:val="none"/>
              </w:rPr>
              <w:t xml:space="preserve">划定隔离区域，制定处置措施，控制事件现场。进行现场调查，认定突发环境事件等级，按规定向有关部门和当地各级政府报告。查明事件原因，判明污染区域，提出处理措施，防止污染扩大，负责污染警报的设立和解除，负责对污染事故进行调查取证，立案查处，接受上级管理部门的监督管理，负责完成有关部门提出的环境恢复、生态修复建议措施，参与指挥急救、疏散、恢复正常秩序、安定群众情绪等方面的工作。 </w:t>
            </w:r>
          </w:p>
          <w:p>
            <w:pPr>
              <w:keepNext w:val="0"/>
              <w:keepLines w:val="0"/>
              <w:suppressLineNumbers w:val="0"/>
              <w:spacing w:before="0" w:beforeAutospacing="0" w:after="0" w:afterAutospacing="0"/>
              <w:ind w:left="0" w:right="0" w:firstLine="482"/>
              <w:jc w:val="center"/>
              <w:rPr>
                <w:rFonts w:hint="default"/>
                <w:b/>
                <w:kern w:val="0"/>
                <w:szCs w:val="20"/>
                <w:u w:val="none"/>
              </w:rPr>
            </w:pPr>
            <w:r>
              <w:rPr>
                <w:rFonts w:hint="default"/>
                <w:b/>
                <w:u w:val="none"/>
              </w:rPr>
              <w:t>表</w:t>
            </w:r>
            <w:r>
              <w:rPr>
                <w:rFonts w:hint="eastAsia"/>
                <w:b/>
                <w:u w:val="none"/>
                <w:lang w:val="en-US" w:eastAsia="zh-CN"/>
              </w:rPr>
              <w:t>7.9</w:t>
            </w:r>
            <w:r>
              <w:rPr>
                <w:rFonts w:hint="default"/>
                <w:b/>
                <w:u w:val="none"/>
              </w:rPr>
              <w:t>-</w:t>
            </w:r>
            <w:r>
              <w:rPr>
                <w:rFonts w:hint="eastAsia"/>
                <w:b/>
                <w:u w:val="none"/>
                <w:lang w:val="en-US" w:eastAsia="zh-CN"/>
              </w:rPr>
              <w:t>4</w:t>
            </w:r>
            <w:r>
              <w:rPr>
                <w:rFonts w:hint="default"/>
                <w:b/>
                <w:kern w:val="0"/>
                <w:szCs w:val="20"/>
                <w:u w:val="none"/>
              </w:rPr>
              <w:t xml:space="preserve">  应急预案内容</w:t>
            </w:r>
          </w:p>
          <w:tbl>
            <w:tblPr>
              <w:tblStyle w:val="23"/>
              <w:tblW w:w="867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2270"/>
              <w:gridCol w:w="5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序号</w:t>
                  </w:r>
                </w:p>
              </w:tc>
              <w:tc>
                <w:tcPr>
                  <w:tcW w:w="2397"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项目</w:t>
                  </w:r>
                </w:p>
              </w:tc>
              <w:tc>
                <w:tcPr>
                  <w:tcW w:w="5793" w:type="dxa"/>
                  <w:shd w:val="clear" w:color="auto" w:fill="auto"/>
                  <w:noWrap/>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应急计划区</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装置区、环境保护目标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应急组织机构、人员</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3</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预案分级响应条件</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4</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应急救援保障</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应急设施、设备与器材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5</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报警、通讯联络方式</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6</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应急环境监测、抢险、救援及控制措施</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7</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应急检测、防护措施、清除泄漏措施和器材</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8</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人员紧急撤离、疏散，应急剂量控制、撤离组织计划</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事故现场、工厂邻近区、受事故影响的区域人员及公众对毒物应急剂量的控制规定，撤离组织计划及救护，医疗救护与公众健康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9</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事故应急救援关闭程序与恢复措施</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10</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应急培训计划</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0"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w:t>
                  </w:r>
                </w:p>
              </w:tc>
              <w:tc>
                <w:tcPr>
                  <w:tcW w:w="2397"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公众教育和信息</w:t>
                  </w:r>
                </w:p>
              </w:tc>
              <w:tc>
                <w:tcPr>
                  <w:tcW w:w="5793" w:type="dxa"/>
                  <w:shd w:val="clear" w:color="auto" w:fill="auto"/>
                  <w:noWrap/>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对工厂邻近地区开展公众教育、培训和发布有关信息</w:t>
                  </w:r>
                </w:p>
              </w:tc>
            </w:tr>
          </w:tbl>
          <w:p>
            <w:pPr>
              <w:pStyle w:val="6"/>
              <w:suppressLineNumbers w:val="0"/>
              <w:spacing w:before="0" w:beforeAutospacing="0" w:after="0" w:afterAutospacing="0"/>
              <w:ind w:left="0" w:right="0" w:firstLine="482"/>
              <w:rPr>
                <w:rFonts w:hint="default" w:ascii="Times New Roman" w:hAnsi="Times New Roman" w:cs="Times New Roman"/>
                <w:kern w:val="0"/>
                <w:szCs w:val="20"/>
                <w:u w:val="none"/>
              </w:rPr>
            </w:pPr>
            <w:r>
              <w:rPr>
                <w:rFonts w:hint="default" w:ascii="Times New Roman" w:hAnsi="Times New Roman" w:cs="Times New Roman"/>
                <w:u w:val="none"/>
              </w:rPr>
              <w:t>3、处置程序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1.迅速报告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发生突发环境事件后，必须在第一时间向当地环保部门应急报告。同时，配合有关管理部门，立即启动应急指挥系统，检查所需仪器装备，了解事发地地形地貌、气象条件、地表及地下水条件、重要保护目标及其分布等情况。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2.快速出警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接到指令后，配合应急现场指挥组率各应急小组携带环境应急专用设备，在最短的时间内赶赴事发现场。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3.现场控制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应急处置小组到达现场后，应迅速控制现场、划定紧急隔离区域、设置警告标志、制定处置措施，切断污染源，防止污染物扩散。应急监测小组到达现场后，应迅速布点监测，在第一时间确定污染物种类，出具检测数据。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4.现场调查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应急处置小组应迅速张开现场调查、取证工作，查明事件原因、影响程度等，并负责与当地公安、消防等单位协调，共同进行现场勘验工作。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5.现场报告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各应急小组将现场调查情况、应急监测数据和现场处置情况，及时报告应急现场指挥组。应急现场指挥组按6小时速报、24显示确报的要求，负责向应急领导组报告突发事件现场处置动态情况。应急领导组根据时间影响范围、程度，决定是否增调有关专家、人员、设备、物资前往现场增援。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6.污染处置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各应急小组根据现场调查和查阅有关资料并参考专家意见，向应急现场指挥组提出污染处置方案。对造成水污染事故的，应急监测小组需测量流速，估算污染物转移、扩散速率。迅速联合当地环境监察人员对事故周围环境和人员反应作初步调查。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7.污染警戒区域划定和消息发布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应急处置小组根据污染监测数据和现场调查，向应急现场指挥组提出污染警戒区域的建议。应急现场指挥组向应急领导组报告后发布警报决定。应急现场指挥组要组织各应急小组召开事故处理分析会，将分析结果及时报告应急领导小组。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8.污染跟踪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应急小组要对污染状况进行跟踪调查，根据监测数据和其他有关数据编制分析图表，预测污染迁移强度、速度和影响范围，及时调整对策。每24小时向应急现场指挥组报告一次污染事故处理动态和下一步对策续报，直至突发事件消失。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9.污染警报解除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污染警报解除有应急现场指挥组根据监测数据报应急领导小组同意后发布。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10.调查取证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全程详细记录污染事故过程、污染范围、周围环境状况、污染物排放情况、污染途径、危害程度等内容，调查、分析事故原因。尽可能采用原始的第一手材料，科学分析确定事故责任人，依法对涉案人员作调查询问笔录，立案查处。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 xml:space="preserve">11.结案归档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kern w:val="0"/>
                <w:szCs w:val="20"/>
                <w:u w:val="none"/>
              </w:rPr>
            </w:pPr>
            <w:r>
              <w:rPr>
                <w:rFonts w:hint="default"/>
                <w:kern w:val="0"/>
                <w:szCs w:val="20"/>
                <w:u w:val="none"/>
              </w:rPr>
              <w:t>污染事故处理完毕后，及时归纳、整理，形成总结报告，按照一事一卷要求存档备案，并上报有关部门。</w:t>
            </w:r>
          </w:p>
          <w:p>
            <w:pPr>
              <w:pStyle w:val="6"/>
              <w:suppressLineNumbers w:val="0"/>
              <w:bidi w:val="0"/>
              <w:spacing w:before="0" w:beforeAutospacing="0" w:after="0" w:afterAutospacing="0"/>
              <w:ind w:left="0" w:right="0"/>
              <w:rPr>
                <w:rFonts w:hint="default"/>
                <w:u w:val="none"/>
              </w:rPr>
            </w:pPr>
            <w:bookmarkStart w:id="279" w:name="_Toc21907"/>
            <w:bookmarkStart w:id="280" w:name="_Toc13074019"/>
            <w:bookmarkStart w:id="281" w:name="_Toc23411189"/>
            <w:r>
              <w:rPr>
                <w:rFonts w:hint="eastAsia"/>
                <w:u w:val="none"/>
                <w:lang w:val="en-US" w:eastAsia="zh-CN"/>
              </w:rPr>
              <w:t>7.9</w:t>
            </w:r>
            <w:r>
              <w:rPr>
                <w:rFonts w:hint="default"/>
                <w:u w:val="none"/>
              </w:rPr>
              <w:t>.3.5 评价结论与建议</w:t>
            </w:r>
            <w:bookmarkEnd w:id="279"/>
            <w:bookmarkEnd w:id="280"/>
            <w:bookmarkEnd w:id="281"/>
          </w:p>
          <w:p>
            <w:pPr>
              <w:keepNext w:val="0"/>
              <w:keepLines w:val="0"/>
              <w:suppressLineNumbers w:val="0"/>
              <w:spacing w:before="0" w:beforeAutospacing="0" w:after="0" w:afterAutospacing="0"/>
              <w:ind w:left="0" w:right="0" w:firstLine="480"/>
              <w:rPr>
                <w:rFonts w:hint="default"/>
                <w:color w:val="000000"/>
                <w:szCs w:val="28"/>
                <w:u w:val="none"/>
              </w:rPr>
            </w:pPr>
            <w:r>
              <w:rPr>
                <w:rFonts w:hint="default"/>
                <w:color w:val="000000"/>
                <w:szCs w:val="28"/>
                <w:u w:val="none"/>
              </w:rPr>
              <w:t>1、结论</w:t>
            </w:r>
          </w:p>
          <w:p>
            <w:pPr>
              <w:keepNext w:val="0"/>
              <w:keepLines w:val="0"/>
              <w:suppressLineNumbers w:val="0"/>
              <w:spacing w:before="0" w:beforeAutospacing="0" w:after="0" w:afterAutospacing="0"/>
              <w:ind w:left="0" w:right="0" w:firstLine="480"/>
              <w:rPr>
                <w:rFonts w:hint="default"/>
                <w:color w:val="000000"/>
                <w:szCs w:val="28"/>
                <w:u w:val="none"/>
              </w:rPr>
            </w:pPr>
            <w:r>
              <w:rPr>
                <w:rFonts w:hint="default"/>
                <w:kern w:val="0"/>
                <w:szCs w:val="20"/>
                <w:u w:val="none"/>
              </w:rPr>
              <w:t>根据《建设项目环境风险评价技术导则》(HJ169-2018)中表 1 评价工作等级划分为“简单分析”。</w:t>
            </w:r>
          </w:p>
          <w:p>
            <w:pPr>
              <w:keepNext w:val="0"/>
              <w:keepLines w:val="0"/>
              <w:suppressLineNumbers w:val="0"/>
              <w:spacing w:before="0" w:beforeAutospacing="0" w:after="0" w:afterAutospacing="0"/>
              <w:ind w:left="0" w:right="0" w:firstLine="480"/>
              <w:rPr>
                <w:rFonts w:hint="default"/>
                <w:u w:val="none"/>
              </w:rPr>
            </w:pPr>
            <w:r>
              <w:rPr>
                <w:rFonts w:hint="default"/>
                <w:kern w:val="0"/>
                <w:szCs w:val="20"/>
                <w:u w:val="none"/>
              </w:rPr>
              <w:t>本项目主要物质风险源为矿物油（液压油、润滑油）、废油（包括汽油、柴油、机油、变速箱油、制动液、废液压油、废润滑油等）、多氯联苯（电容器内）、硫酸（蓄电池内）。由于物质储量和用量较小，不存在重大危险源。项目在生产、储存、运输等过程中存在泄漏、燃烧、爆炸等事故风险。为了防范事故和减少危害，企业应根据实际情况制定相应事故的应急预案。在采取严格的防范、应急与减缓措施后，本项目的事故率、损失和环境影响在可接受的范围内。</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综上所述，本项目环境风险是可防控的。</w:t>
            </w:r>
          </w:p>
          <w:p>
            <w:pPr>
              <w:keepNext w:val="0"/>
              <w:keepLines w:val="0"/>
              <w:suppressLineNumbers w:val="0"/>
              <w:spacing w:before="0" w:beforeAutospacing="0" w:after="0" w:afterAutospacing="0"/>
              <w:ind w:left="0" w:right="0" w:firstLine="482"/>
              <w:jc w:val="center"/>
              <w:rPr>
                <w:rFonts w:hint="default"/>
                <w:b/>
                <w:kern w:val="0"/>
                <w:szCs w:val="20"/>
                <w:u w:val="none"/>
              </w:rPr>
            </w:pPr>
            <w:r>
              <w:rPr>
                <w:rFonts w:hint="default"/>
                <w:b/>
                <w:u w:val="none"/>
              </w:rPr>
              <w:t>表</w:t>
            </w:r>
            <w:r>
              <w:rPr>
                <w:rFonts w:hint="eastAsia"/>
                <w:b/>
                <w:u w:val="none"/>
                <w:lang w:val="en-US" w:eastAsia="zh-CN"/>
              </w:rPr>
              <w:t>7.9</w:t>
            </w:r>
            <w:r>
              <w:rPr>
                <w:rFonts w:hint="default"/>
                <w:b/>
                <w:u w:val="none"/>
              </w:rPr>
              <w:t>-</w:t>
            </w:r>
            <w:r>
              <w:rPr>
                <w:rFonts w:hint="eastAsia"/>
                <w:b/>
                <w:u w:val="none"/>
                <w:lang w:val="en-US" w:eastAsia="zh-CN"/>
              </w:rPr>
              <w:t>5</w:t>
            </w:r>
            <w:r>
              <w:rPr>
                <w:rFonts w:hint="default"/>
                <w:b/>
                <w:kern w:val="0"/>
                <w:szCs w:val="20"/>
                <w:u w:val="none"/>
              </w:rPr>
              <w:t xml:space="preserve">  建设项目环境风险简单分析内容表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14"/>
              <w:gridCol w:w="1420"/>
              <w:gridCol w:w="1420"/>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建设项目名称</w:t>
                  </w:r>
                </w:p>
              </w:tc>
              <w:tc>
                <w:tcPr>
                  <w:tcW w:w="6996" w:type="dxa"/>
                  <w:gridSpan w:val="4"/>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年拆解回收利用10000辆废旧机动车项目</w:t>
                  </w:r>
                  <w:r>
                    <w:rPr>
                      <w:rFonts w:hint="default"/>
                      <w:u w:val="none"/>
                    </w:rPr>
                    <w:t>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建设地点</w:t>
                  </w:r>
                </w:p>
              </w:tc>
              <w:tc>
                <w:tcPr>
                  <w:tcW w:w="1314"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湖南省</w:t>
                  </w:r>
                </w:p>
              </w:tc>
              <w:tc>
                <w:tcPr>
                  <w:tcW w:w="142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岳阳市</w:t>
                  </w:r>
                </w:p>
              </w:tc>
              <w:tc>
                <w:tcPr>
                  <w:tcW w:w="142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湘阴县</w:t>
                  </w:r>
                </w:p>
              </w:tc>
              <w:tc>
                <w:tcPr>
                  <w:tcW w:w="2842"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文星镇板桥村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地理坐标</w:t>
                  </w:r>
                </w:p>
              </w:tc>
              <w:tc>
                <w:tcPr>
                  <w:tcW w:w="1314"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经度</w:t>
                  </w:r>
                </w:p>
              </w:tc>
              <w:tc>
                <w:tcPr>
                  <w:tcW w:w="142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112.93073595</w:t>
                  </w:r>
                </w:p>
              </w:tc>
              <w:tc>
                <w:tcPr>
                  <w:tcW w:w="1420"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纬度</w:t>
                  </w:r>
                </w:p>
              </w:tc>
              <w:tc>
                <w:tcPr>
                  <w:tcW w:w="2842"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28.69194762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主要危险物质及分布</w:t>
                  </w:r>
                </w:p>
              </w:tc>
              <w:tc>
                <w:tcPr>
                  <w:tcW w:w="6996" w:type="dxa"/>
                  <w:gridSpan w:val="4"/>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矿物油（液压油、润滑油）、废油（包括汽油、柴油、机油、变速箱油、制动液、废液压油、废润滑油等）、多氯联苯（电容器内）、硫酸（蓄电池内）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环境影响途径及危害后果（大气、地表水、地下水等）</w:t>
                  </w:r>
                </w:p>
              </w:tc>
              <w:tc>
                <w:tcPr>
                  <w:tcW w:w="6996" w:type="dxa"/>
                  <w:gridSpan w:val="4"/>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本项目位于湘阴县文星镇板桥村，不是环境敏感地区。正常生产时，废气主要为非甲烷总烃，为无组织排放。危险废物暂存于危废暂存间中。生活废水经化粪池处理后作农肥。做到分区防渗，防止污染地下水。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风险防范措施要求</w:t>
                  </w:r>
                </w:p>
              </w:tc>
              <w:tc>
                <w:tcPr>
                  <w:tcW w:w="6996" w:type="dxa"/>
                  <w:gridSpan w:val="4"/>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针对主要风险源，设立风险监控及应急监测系统，实现事故预警和快速应急监测、跟踪。应急物资应到位，工作人员等应进行安全培训后方可上岗。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填表说明（列出项目相关信息及评价说明）：本项目环境风险是可防控的。</w:t>
                  </w:r>
                </w:p>
              </w:tc>
            </w:tr>
          </w:tbl>
          <w:p>
            <w:pPr>
              <w:keepNext w:val="0"/>
              <w:keepLines w:val="0"/>
              <w:suppressLineNumbers w:val="0"/>
              <w:spacing w:before="0" w:beforeAutospacing="0" w:after="0" w:afterAutospacing="0"/>
              <w:ind w:left="0" w:right="0" w:firstLine="480"/>
              <w:rPr>
                <w:rFonts w:hint="default"/>
                <w:u w:val="none"/>
              </w:rPr>
            </w:pPr>
            <w:r>
              <w:rPr>
                <w:rFonts w:hint="default"/>
                <w:u w:val="none"/>
              </w:rPr>
              <w:t>2、建议</w:t>
            </w:r>
          </w:p>
          <w:p>
            <w:pPr>
              <w:keepNext w:val="0"/>
              <w:keepLines w:val="0"/>
              <w:suppressLineNumbers w:val="0"/>
              <w:spacing w:before="0" w:beforeAutospacing="0" w:after="0" w:afterAutospacing="0"/>
              <w:ind w:left="0" w:right="0" w:firstLine="480"/>
              <w:rPr>
                <w:rFonts w:hint="default"/>
                <w:u w:val="none"/>
              </w:rPr>
            </w:pPr>
            <w:r>
              <w:rPr>
                <w:rFonts w:hint="eastAsia" w:ascii="宋体" w:hAnsi="宋体" w:cs="宋体"/>
                <w:u w:val="none"/>
              </w:rPr>
              <w:t>①</w:t>
            </w:r>
            <w:r>
              <w:rPr>
                <w:rFonts w:hint="default"/>
                <w:u w:val="none"/>
              </w:rPr>
              <w:t xml:space="preserve"> 每年至少组织一次综合应急预案演练或者专项应急预案演练。</w:t>
            </w:r>
          </w:p>
          <w:p>
            <w:pPr>
              <w:keepNext w:val="0"/>
              <w:keepLines w:val="0"/>
              <w:suppressLineNumbers w:val="0"/>
              <w:spacing w:before="0" w:beforeAutospacing="0" w:after="0" w:afterAutospacing="0"/>
              <w:ind w:left="0" w:right="0" w:firstLine="480"/>
              <w:rPr>
                <w:rFonts w:hint="default"/>
                <w:u w:val="none"/>
              </w:rPr>
            </w:pPr>
            <w:r>
              <w:rPr>
                <w:rFonts w:hint="eastAsia" w:ascii="宋体" w:hAnsi="宋体" w:cs="宋体"/>
                <w:u w:val="none"/>
              </w:rPr>
              <w:t>②</w:t>
            </w:r>
            <w:r>
              <w:rPr>
                <w:rFonts w:hint="default"/>
                <w:u w:val="none"/>
              </w:rPr>
              <w:t xml:space="preserve"> 每半年至少组织一次现场处置方案演练。</w:t>
            </w:r>
          </w:p>
          <w:p>
            <w:pPr>
              <w:pStyle w:val="4"/>
              <w:suppressLineNumbers w:val="0"/>
              <w:bidi w:val="0"/>
              <w:spacing w:before="0" w:beforeAutospacing="0" w:after="0" w:afterAutospacing="0"/>
              <w:ind w:left="0" w:right="0"/>
              <w:rPr>
                <w:rFonts w:hint="default"/>
                <w:u w:val="none"/>
              </w:rPr>
            </w:pPr>
            <w:bookmarkStart w:id="282" w:name="_Toc28252"/>
            <w:bookmarkStart w:id="283" w:name="_Toc19728"/>
            <w:r>
              <w:rPr>
                <w:rFonts w:hint="eastAsia"/>
                <w:u w:val="none"/>
                <w:lang w:val="en-US" w:eastAsia="zh-CN"/>
              </w:rPr>
              <w:t>7.10</w:t>
            </w:r>
            <w:r>
              <w:rPr>
                <w:rFonts w:hint="default"/>
                <w:u w:val="none"/>
              </w:rPr>
              <w:t>环境可行性分析</w:t>
            </w:r>
            <w:bookmarkEnd w:id="282"/>
            <w:bookmarkEnd w:id="283"/>
          </w:p>
          <w:p>
            <w:pPr>
              <w:pStyle w:val="5"/>
              <w:suppressLineNumbers w:val="0"/>
              <w:bidi w:val="0"/>
              <w:spacing w:before="0" w:beforeAutospacing="0" w:after="0" w:afterAutospacing="0"/>
              <w:ind w:left="0" w:right="0"/>
              <w:rPr>
                <w:rFonts w:hint="default"/>
                <w:b/>
                <w:sz w:val="28"/>
                <w:szCs w:val="28"/>
                <w:u w:val="none"/>
              </w:rPr>
            </w:pPr>
            <w:bookmarkStart w:id="284" w:name="_Toc2712"/>
            <w:bookmarkStart w:id="285" w:name="_Toc385342560"/>
            <w:bookmarkStart w:id="286" w:name="_Toc392771561"/>
            <w:bookmarkStart w:id="287" w:name="_Toc356420512"/>
            <w:bookmarkStart w:id="288" w:name="_Toc29094"/>
            <w:r>
              <w:rPr>
                <w:rFonts w:hint="eastAsia"/>
                <w:u w:val="none"/>
                <w:lang w:val="en-US" w:eastAsia="zh-CN"/>
              </w:rPr>
              <w:t>7.10</w:t>
            </w:r>
            <w:r>
              <w:rPr>
                <w:rFonts w:hint="default"/>
                <w:b/>
                <w:sz w:val="28"/>
                <w:szCs w:val="28"/>
                <w:u w:val="none"/>
              </w:rPr>
              <w:t>.1选址合理性分析</w:t>
            </w:r>
            <w:bookmarkEnd w:id="284"/>
            <w:bookmarkEnd w:id="285"/>
            <w:bookmarkEnd w:id="286"/>
            <w:bookmarkEnd w:id="287"/>
            <w:bookmarkEnd w:id="288"/>
          </w:p>
          <w:p>
            <w:pPr>
              <w:keepNext w:val="0"/>
              <w:keepLines w:val="0"/>
              <w:suppressLineNumbers w:val="0"/>
              <w:spacing w:before="0" w:beforeAutospacing="0" w:after="0" w:afterAutospacing="0"/>
              <w:ind w:left="0" w:right="0" w:firstLine="480"/>
              <w:rPr>
                <w:rFonts w:hint="eastAsia"/>
                <w:u w:val="none"/>
                <w:lang w:eastAsia="zh-CN"/>
              </w:rPr>
            </w:pPr>
            <w:r>
              <w:rPr>
                <w:rFonts w:hint="default"/>
                <w:u w:val="none"/>
              </w:rPr>
              <w:t>本项目位于湖南省岳阳市湘阴县文星镇板桥村，</w:t>
            </w:r>
            <w:r>
              <w:rPr>
                <w:rFonts w:hint="eastAsia"/>
                <w:u w:val="none"/>
                <w:lang w:eastAsia="zh-CN"/>
              </w:rPr>
              <w:t>位于</w:t>
            </w:r>
            <w:r>
              <w:rPr>
                <w:rFonts w:hint="eastAsia"/>
                <w:u w:val="none"/>
                <w:lang w:val="zh-CN" w:eastAsia="zh-CN"/>
              </w:rPr>
              <w:t>湘阴县顽石再生科技有限公司内，租赁湘阴县顽石再生科技有限公司现有厂房进行建设</w:t>
            </w:r>
            <w:r>
              <w:rPr>
                <w:rFonts w:hint="eastAsia"/>
                <w:u w:val="none"/>
                <w:lang w:eastAsia="zh-CN"/>
              </w:rPr>
              <w:t>年拆解回收利用10000辆废旧机动车项目，项目用地</w:t>
            </w:r>
            <w:r>
              <w:rPr>
                <w:rFonts w:hint="eastAsia"/>
                <w:u w:val="none"/>
                <w:lang w:val="zh-CN" w:eastAsia="zh-CN"/>
              </w:rPr>
              <w:t>属于建设用地，</w:t>
            </w:r>
            <w:r>
              <w:rPr>
                <w:rFonts w:hint="default"/>
                <w:u w:val="none"/>
              </w:rPr>
              <w:t>年拆解能力为10000辆/年</w:t>
            </w:r>
            <w:r>
              <w:rPr>
                <w:rFonts w:hint="eastAsia"/>
                <w:u w:val="none"/>
                <w:lang w:val="zh-CN" w:eastAsia="zh-CN"/>
              </w:rPr>
              <w:t>。</w:t>
            </w:r>
            <w:r>
              <w:rPr>
                <w:rFonts w:hint="default"/>
                <w:u w:val="none"/>
              </w:rPr>
              <w:t>根据《国民经济行业分类》（GB/T 4754—2017），本项目属于C4210金属废料和碎屑加工处理</w:t>
            </w:r>
            <w:r>
              <w:rPr>
                <w:rFonts w:hint="eastAsia"/>
                <w:u w:val="none"/>
                <w:lang w:eastAsia="zh-CN"/>
              </w:rPr>
              <w:t>。</w:t>
            </w:r>
            <w:r>
              <w:rPr>
                <w:rFonts w:hint="default"/>
                <w:u w:val="none"/>
              </w:rPr>
              <w:t>根据《建设项目环境影响评价分类管理名录》（2018年），本项目属于“86废旧资源（含生物质）加工、再生利用”中“废电子电器产品、废电池、废汽车、废电机、废五金、废塑料（除分拣清洗工艺的）、废油、废船、废轮胎等加工、再生利用”。项目</w:t>
            </w:r>
            <w:r>
              <w:rPr>
                <w:rFonts w:hint="eastAsia"/>
                <w:u w:val="none"/>
                <w:lang w:eastAsia="zh-CN"/>
              </w:rPr>
              <w:t>东</w:t>
            </w:r>
            <w:r>
              <w:rPr>
                <w:rFonts w:hint="default"/>
                <w:u w:val="none"/>
              </w:rPr>
              <w:t>北侧及西侧有少部分居民，南侧及东侧为</w:t>
            </w:r>
            <w:r>
              <w:rPr>
                <w:rFonts w:hint="eastAsia"/>
                <w:u w:val="none"/>
                <w:lang w:val="zh-CN" w:eastAsia="zh-CN"/>
              </w:rPr>
              <w:t>湘阴县顽石再生科技有限公司生产厂房</w:t>
            </w:r>
            <w:r>
              <w:rPr>
                <w:rFonts w:hint="default"/>
                <w:u w:val="none"/>
              </w:rPr>
              <w:t>。项目仅对机动车进行拆解，无破碎加工等其他工艺，建成后对环境敏感点影响不大。</w:t>
            </w:r>
          </w:p>
          <w:p>
            <w:pPr>
              <w:keepNext w:val="0"/>
              <w:keepLines w:val="0"/>
              <w:suppressLineNumbers w:val="0"/>
              <w:bidi w:val="0"/>
              <w:spacing w:before="0" w:beforeAutospacing="0" w:after="0" w:afterAutospacing="0"/>
              <w:ind w:left="0" w:right="0"/>
              <w:rPr>
                <w:rFonts w:hint="default"/>
                <w:u w:val="none"/>
              </w:rPr>
            </w:pPr>
            <w:r>
              <w:rPr>
                <w:rFonts w:hint="eastAsia"/>
                <w:u w:val="none"/>
                <w:lang w:eastAsia="zh-CN"/>
              </w:rPr>
              <w:t>本项目</w:t>
            </w:r>
            <w:r>
              <w:rPr>
                <w:rFonts w:hint="default"/>
                <w:u w:val="none"/>
              </w:rPr>
              <w:t>不在湘阴县生态红线保护范围内，</w:t>
            </w:r>
            <w:r>
              <w:rPr>
                <w:rFonts w:hint="eastAsia"/>
                <w:u w:val="none"/>
                <w:lang w:eastAsia="zh-CN"/>
              </w:rPr>
              <w:t>不属于环境准入负面清单中的类别，</w:t>
            </w:r>
            <w:r>
              <w:rPr>
                <w:rFonts w:hint="eastAsia"/>
                <w:u w:val="none"/>
                <w:lang w:val="zh-CN" w:eastAsia="zh-CN"/>
              </w:rPr>
              <w:t>根据</w:t>
            </w:r>
            <w:r>
              <w:rPr>
                <w:rFonts w:hint="eastAsia"/>
                <w:u w:val="none"/>
              </w:rPr>
              <w:t>《湘阴县县城总体规划》（2000—2020）（2016年修编）</w:t>
            </w:r>
            <w:r>
              <w:rPr>
                <w:rFonts w:hint="eastAsia"/>
                <w:u w:val="none"/>
                <w:lang w:val="zh-CN" w:eastAsia="zh-CN"/>
              </w:rPr>
              <w:t>，本项目选址</w:t>
            </w:r>
            <w:r>
              <w:rPr>
                <w:rFonts w:hint="default"/>
                <w:u w:val="none"/>
              </w:rPr>
              <w:t>符合湘阴县规划用地要求。</w:t>
            </w:r>
          </w:p>
          <w:p>
            <w:pPr>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综上所述，本项目选址合理。</w:t>
            </w: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289" w:name="_Toc313659605"/>
            <w:bookmarkStart w:id="290" w:name="_Toc313716664"/>
            <w:bookmarkStart w:id="291" w:name="_Toc313659750"/>
            <w:bookmarkStart w:id="292" w:name="_Toc392771562"/>
            <w:bookmarkStart w:id="293" w:name="_Toc23759"/>
            <w:bookmarkStart w:id="294" w:name="_Toc313716433"/>
            <w:bookmarkStart w:id="295" w:name="_Toc313716579"/>
            <w:bookmarkStart w:id="296" w:name="_Toc9941"/>
            <w:r>
              <w:rPr>
                <w:rFonts w:hint="eastAsia"/>
                <w:u w:val="none"/>
                <w:lang w:val="en-US" w:eastAsia="zh-CN"/>
              </w:rPr>
              <w:t>7.10</w:t>
            </w:r>
            <w:r>
              <w:rPr>
                <w:rFonts w:hint="default" w:ascii="Times New Roman" w:hAnsi="Times New Roman" w:cs="Times New Roman"/>
                <w:color w:val="auto"/>
                <w:u w:val="none"/>
              </w:rPr>
              <w:t>.2 产业政策符合性分析</w:t>
            </w:r>
            <w:bookmarkEnd w:id="289"/>
            <w:bookmarkEnd w:id="290"/>
            <w:bookmarkEnd w:id="291"/>
            <w:bookmarkEnd w:id="292"/>
            <w:bookmarkEnd w:id="293"/>
            <w:bookmarkEnd w:id="294"/>
            <w:bookmarkEnd w:id="295"/>
            <w:bookmarkEnd w:id="296"/>
          </w:p>
          <w:p>
            <w:pPr>
              <w:keepNext w:val="0"/>
              <w:keepLines w:val="0"/>
              <w:suppressLineNumbers w:val="0"/>
              <w:spacing w:before="0" w:beforeAutospacing="0" w:after="0" w:afterAutospacing="0"/>
              <w:ind w:left="0" w:right="0" w:firstLine="480"/>
              <w:rPr>
                <w:rFonts w:hint="default"/>
                <w:u w:val="none"/>
              </w:rPr>
            </w:pPr>
            <w:r>
              <w:rPr>
                <w:rFonts w:hint="default"/>
                <w:u w:val="none"/>
              </w:rPr>
              <w:t>本项目为</w:t>
            </w:r>
            <w:r>
              <w:rPr>
                <w:rFonts w:hint="eastAsia"/>
                <w:u w:val="none"/>
                <w:lang w:eastAsia="zh-CN"/>
              </w:rPr>
              <w:t>年拆解回收利用10000辆废旧机动车项目</w:t>
            </w:r>
            <w:r>
              <w:rPr>
                <w:rFonts w:hint="default"/>
                <w:u w:val="none"/>
              </w:rPr>
              <w:t>，年拆解10000辆报废机动车，</w:t>
            </w:r>
            <w:r>
              <w:rPr>
                <w:rFonts w:hint="eastAsia" w:ascii="Times New Roman" w:hAnsi="Times New Roman" w:eastAsia="宋体" w:cs="Times New Roman"/>
                <w:color w:val="000000"/>
                <w:kern w:val="2"/>
                <w:sz w:val="24"/>
                <w:szCs w:val="24"/>
                <w:u w:val="none"/>
                <w:lang w:val="zh-CN" w:eastAsia="zh-CN" w:bidi="ar"/>
              </w:rPr>
              <w:t>根据《产业结构调整指导目录》（</w:t>
            </w:r>
            <w:r>
              <w:rPr>
                <w:rFonts w:hint="default" w:ascii="Times New Roman" w:hAnsi="Times New Roman" w:eastAsia="宋体" w:cs="Times New Roman"/>
                <w:color w:val="000000"/>
                <w:kern w:val="2"/>
                <w:sz w:val="24"/>
                <w:szCs w:val="24"/>
                <w:u w:val="none"/>
                <w:lang w:val="zh-CN" w:eastAsia="zh-CN" w:bidi="ar"/>
              </w:rPr>
              <w:t>201</w:t>
            </w:r>
            <w:r>
              <w:rPr>
                <w:rFonts w:hint="default" w:ascii="Times New Roman" w:hAnsi="Times New Roman" w:eastAsia="宋体" w:cs="Times New Roman"/>
                <w:color w:val="000000"/>
                <w:kern w:val="2"/>
                <w:sz w:val="24"/>
                <w:szCs w:val="24"/>
                <w:u w:val="none"/>
                <w:lang w:val="en-US" w:eastAsia="zh-CN" w:bidi="ar"/>
              </w:rPr>
              <w:t>9</w:t>
            </w:r>
            <w:r>
              <w:rPr>
                <w:rFonts w:hint="eastAsia" w:ascii="Times New Roman" w:hAnsi="Times New Roman" w:eastAsia="宋体" w:cs="Times New Roman"/>
                <w:color w:val="000000"/>
                <w:kern w:val="2"/>
                <w:sz w:val="24"/>
                <w:szCs w:val="24"/>
                <w:u w:val="none"/>
                <w:lang w:val="zh-CN" w:eastAsia="zh-CN" w:bidi="ar"/>
              </w:rPr>
              <w:t>年本）的规定，本项目为废旧汽车回收拆解及资源化利用项目，属于鼓励类“区域性废旧汽车、废旧电器电子产品、废旧船舶、废钢铁、废旧木材等资源循环利用基地建设”。因此，本项目建设符合国家产业政策。</w:t>
            </w:r>
          </w:p>
          <w:p>
            <w:pPr>
              <w:pStyle w:val="5"/>
              <w:suppressLineNumbers w:val="0"/>
              <w:bidi w:val="0"/>
              <w:spacing w:before="0" w:beforeAutospacing="0" w:after="0" w:afterAutospacing="0"/>
              <w:ind w:left="0" w:right="0"/>
              <w:rPr>
                <w:rFonts w:hint="eastAsia" w:ascii="Times New Roman" w:hAnsi="Times New Roman" w:cs="Times New Roman" w:eastAsiaTheme="majorEastAsia"/>
                <w:color w:val="auto"/>
                <w:u w:val="none"/>
                <w:lang w:eastAsia="zh-CN"/>
              </w:rPr>
            </w:pPr>
            <w:bookmarkStart w:id="297" w:name="_Toc313659606"/>
            <w:bookmarkStart w:id="298" w:name="_Toc313716580"/>
            <w:bookmarkStart w:id="299" w:name="_Toc313716434"/>
            <w:bookmarkStart w:id="300" w:name="_Toc313716665"/>
            <w:bookmarkStart w:id="301" w:name="_Toc392771563"/>
            <w:bookmarkStart w:id="302" w:name="_Toc313659751"/>
            <w:bookmarkStart w:id="303" w:name="_Toc8535"/>
            <w:bookmarkStart w:id="304" w:name="_Toc27555"/>
            <w:r>
              <w:rPr>
                <w:rFonts w:hint="eastAsia"/>
                <w:u w:val="none"/>
                <w:lang w:val="en-US" w:eastAsia="zh-CN"/>
              </w:rPr>
              <w:t>7.10</w:t>
            </w:r>
            <w:r>
              <w:rPr>
                <w:rFonts w:hint="default" w:ascii="Times New Roman" w:hAnsi="Times New Roman" w:cs="Times New Roman"/>
                <w:color w:val="auto"/>
                <w:u w:val="none"/>
              </w:rPr>
              <w:t xml:space="preserve">.3 </w:t>
            </w:r>
            <w:r>
              <w:rPr>
                <w:rFonts w:hint="eastAsia" w:ascii="Times New Roman" w:hAnsi="Times New Roman" w:cs="Times New Roman"/>
                <w:color w:val="auto"/>
                <w:u w:val="none"/>
              </w:rPr>
              <w:t>项目平面布局的合理性</w:t>
            </w:r>
            <w:r>
              <w:rPr>
                <w:rFonts w:hint="default" w:ascii="Times New Roman" w:hAnsi="Times New Roman" w:cs="Times New Roman"/>
                <w:color w:val="auto"/>
                <w:u w:val="none"/>
              </w:rPr>
              <w:t>分析</w:t>
            </w:r>
            <w:bookmarkEnd w:id="297"/>
            <w:bookmarkEnd w:id="298"/>
            <w:bookmarkEnd w:id="299"/>
            <w:bookmarkEnd w:id="300"/>
            <w:bookmarkEnd w:id="301"/>
            <w:bookmarkEnd w:id="302"/>
            <w:r>
              <w:rPr>
                <w:rFonts w:hint="eastAsia" w:ascii="Times New Roman" w:hAnsi="Times New Roman" w:cs="Times New Roman"/>
                <w:color w:val="auto"/>
                <w:u w:val="none"/>
                <w:lang w:eastAsia="zh-CN"/>
              </w:rPr>
              <w:t>及优化建议</w:t>
            </w:r>
            <w:bookmarkEnd w:id="303"/>
            <w:bookmarkEnd w:id="304"/>
          </w:p>
          <w:p>
            <w:pPr>
              <w:keepNext w:val="0"/>
              <w:keepLines w:val="0"/>
              <w:suppressLineNumbers w:val="0"/>
              <w:spacing w:before="0" w:beforeAutospacing="0" w:after="0" w:afterAutospacing="0"/>
              <w:ind w:left="0" w:right="0" w:firstLine="480"/>
              <w:rPr>
                <w:rFonts w:hint="default"/>
                <w:u w:val="none"/>
              </w:rPr>
            </w:pPr>
            <w:r>
              <w:rPr>
                <w:rFonts w:hint="eastAsia"/>
                <w:u w:val="none"/>
                <w:lang w:eastAsia="zh-CN"/>
              </w:rPr>
              <w:t>本项目</w:t>
            </w:r>
            <w:r>
              <w:rPr>
                <w:rFonts w:hint="eastAsia"/>
                <w:u w:val="none"/>
                <w:lang w:val="zh-CN" w:eastAsia="zh-CN"/>
              </w:rPr>
              <w:t>租赁湘阴县顽石再生科技有限公司现有厂房，厂房位于湘阴县顽石再生科技有限公司厂区东北角。拆解过程中噪声源相对湘阴县顽石再生科技有限公司的其他生产厂房及生产设施来说，噪声相对较小。将高噪声设备设置在拆解车间，车间位于厂房中部，拆解车间进行密闭，可有效隔离噪声污染。</w:t>
            </w:r>
            <w:r>
              <w:rPr>
                <w:rFonts w:hint="default"/>
                <w:u w:val="none"/>
              </w:rPr>
              <w:t>项目管理区位于厂区北部，未拆解的报废机动车贮存区位于管理区南侧，可有效隔离拆解作业区对管理区的噪声干扰，拆解作业区位于厂区中部，高噪声设备均设置在拆解作业区中，远离厂界，产品、半成品贮存区位于拆解作业区的南侧，危废暂存区位于厂区南部。项目功能分区明确，总平面布置能保证人流物流畅通，并有利于减少项目噪声和废气对周围敏感目标的影响，因此项目平面布置合理。</w:t>
            </w:r>
          </w:p>
          <w:p>
            <w:pPr>
              <w:keepNext w:val="0"/>
              <w:keepLines w:val="0"/>
              <w:suppressLineNumbers w:val="0"/>
              <w:spacing w:before="0" w:beforeAutospacing="0" w:after="0" w:afterAutospacing="0"/>
              <w:ind w:left="0" w:right="0" w:firstLine="480"/>
              <w:rPr>
                <w:rFonts w:hint="eastAsia" w:cs="Times New Roman"/>
                <w:kern w:val="2"/>
                <w:sz w:val="24"/>
                <w:szCs w:val="24"/>
                <w:u w:val="none"/>
                <w:lang w:val="en-US" w:eastAsia="zh-CN" w:bidi="ar"/>
              </w:rPr>
            </w:pPr>
            <w:r>
              <w:rPr>
                <w:rFonts w:hint="eastAsia" w:ascii="Times New Roman" w:hAnsi="Times New Roman" w:eastAsia="宋体" w:cs="Times New Roman"/>
                <w:kern w:val="2"/>
                <w:sz w:val="24"/>
                <w:szCs w:val="24"/>
                <w:u w:val="none"/>
                <w:lang w:val="en-US" w:eastAsia="zh-CN" w:bidi="ar"/>
              </w:rPr>
              <w:t>优化建议</w:t>
            </w:r>
            <w:r>
              <w:rPr>
                <w:rFonts w:hint="eastAsia" w:cs="Times New Roman"/>
                <w:kern w:val="2"/>
                <w:sz w:val="24"/>
                <w:szCs w:val="24"/>
                <w:u w:val="none"/>
                <w:lang w:val="en-US" w:eastAsia="zh-CN" w:bidi="ar"/>
              </w:rPr>
              <w:t>：</w:t>
            </w:r>
          </w:p>
          <w:p>
            <w:pPr>
              <w:keepNext w:val="0"/>
              <w:keepLines w:val="0"/>
              <w:numPr>
                <w:ilvl w:val="0"/>
                <w:numId w:val="5"/>
              </w:numPr>
              <w:suppressLineNumbers w:val="0"/>
              <w:spacing w:before="0" w:beforeAutospacing="0" w:after="0" w:afterAutospacing="0"/>
              <w:ind w:left="0" w:right="0" w:firstLine="480"/>
              <w:rPr>
                <w:rFonts w:hint="eastAsia" w:cs="Times New Roman"/>
                <w:kern w:val="2"/>
                <w:sz w:val="24"/>
                <w:szCs w:val="24"/>
                <w:u w:val="none"/>
                <w:lang w:val="en-US" w:eastAsia="zh-CN" w:bidi="ar"/>
              </w:rPr>
            </w:pPr>
            <w:r>
              <w:rPr>
                <w:rFonts w:hint="eastAsia" w:cs="Times New Roman"/>
                <w:kern w:val="2"/>
                <w:sz w:val="24"/>
                <w:szCs w:val="24"/>
                <w:u w:val="none"/>
                <w:lang w:val="en-US" w:eastAsia="zh-CN" w:bidi="ar"/>
              </w:rPr>
              <w:t>根据厂区及厂房所在地理位置的具体特征，依照厂房按照南北方向完成平面布置。</w:t>
            </w:r>
          </w:p>
          <w:p>
            <w:pPr>
              <w:keepNext w:val="0"/>
              <w:keepLines w:val="0"/>
              <w:numPr>
                <w:ilvl w:val="0"/>
                <w:numId w:val="5"/>
              </w:numPr>
              <w:suppressLineNumbers w:val="0"/>
              <w:spacing w:before="0" w:beforeAutospacing="0" w:after="0" w:afterAutospacing="0"/>
              <w:ind w:left="0" w:right="0" w:firstLine="480"/>
              <w:rPr>
                <w:rFonts w:hint="default"/>
                <w:u w:val="none"/>
              </w:rPr>
            </w:pPr>
            <w:r>
              <w:rPr>
                <w:rFonts w:hint="eastAsia" w:cs="Times New Roman"/>
                <w:kern w:val="2"/>
                <w:sz w:val="24"/>
                <w:szCs w:val="24"/>
                <w:u w:val="none"/>
                <w:lang w:val="en-US" w:eastAsia="zh-CN" w:bidi="ar"/>
              </w:rPr>
              <w:t>车流方向及人流方向进行分区。</w:t>
            </w:r>
          </w:p>
          <w:p>
            <w:pPr>
              <w:keepNext w:val="0"/>
              <w:keepLines w:val="0"/>
              <w:numPr>
                <w:ilvl w:val="0"/>
                <w:numId w:val="5"/>
              </w:numPr>
              <w:suppressLineNumbers w:val="0"/>
              <w:spacing w:before="0" w:beforeAutospacing="0" w:after="0" w:afterAutospacing="0"/>
              <w:ind w:left="0" w:right="0" w:firstLine="480"/>
              <w:rPr>
                <w:rFonts w:hint="default"/>
                <w:u w:val="none"/>
              </w:rPr>
            </w:pPr>
            <w:r>
              <w:rPr>
                <w:rFonts w:hint="eastAsia" w:cs="Times New Roman"/>
                <w:kern w:val="2"/>
                <w:sz w:val="24"/>
                <w:szCs w:val="24"/>
                <w:u w:val="none"/>
                <w:lang w:val="en-US" w:eastAsia="zh-CN" w:bidi="ar"/>
              </w:rPr>
              <w:t>车间内设备布置要合理，依据高噪声设备布置在车间中部及车辆拆解生产线的原则进行布置生产设备。</w:t>
            </w: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305" w:name="_Toc21093"/>
            <w:bookmarkStart w:id="306" w:name="_Toc18584"/>
            <w:r>
              <w:rPr>
                <w:rFonts w:hint="eastAsia"/>
                <w:u w:val="none"/>
                <w:lang w:val="en-US" w:eastAsia="zh-CN"/>
              </w:rPr>
              <w:t>7.10</w:t>
            </w:r>
            <w:r>
              <w:rPr>
                <w:rFonts w:hint="default" w:ascii="Times New Roman" w:hAnsi="Times New Roman" w:cs="Times New Roman"/>
                <w:color w:val="auto"/>
                <w:u w:val="none"/>
              </w:rPr>
              <w:t>.4“三线一单”的符合性分析</w:t>
            </w:r>
            <w:bookmarkEnd w:id="305"/>
            <w:bookmarkEnd w:id="306"/>
          </w:p>
          <w:p>
            <w:pPr>
              <w:keepNext w:val="0"/>
              <w:keepLines w:val="0"/>
              <w:suppressLineNumbers w:val="0"/>
              <w:spacing w:before="0" w:beforeAutospacing="0" w:after="0" w:afterAutospacing="0"/>
              <w:ind w:left="0" w:right="0" w:firstLine="480"/>
              <w:rPr>
                <w:rFonts w:hint="default"/>
                <w:u w:val="single" w:color="auto"/>
              </w:rPr>
            </w:pPr>
            <w:r>
              <w:rPr>
                <w:rFonts w:hint="default"/>
                <w:u w:val="single" w:color="auto"/>
              </w:rPr>
              <w:t>结合《“十三五”环境影响评价改革实施方案》（环保部，2016.07.15）文件“三线一单”要求</w:t>
            </w:r>
            <w:r>
              <w:rPr>
                <w:rFonts w:hint="eastAsia"/>
                <w:color w:val="auto"/>
                <w:u w:val="single" w:color="auto"/>
                <w:lang w:eastAsia="zh-CN"/>
              </w:rPr>
              <w:t>及《湖南省“三线一单”生态环境总体管控要求暨省级以上产业园区生态环境准入清单》</w:t>
            </w:r>
            <w:r>
              <w:rPr>
                <w:rFonts w:hint="default"/>
                <w:u w:val="single" w:color="auto"/>
              </w:rPr>
              <w:t>说明生态保护红线、环境质量底线、资源利用上线和环境准入负面清单。生态保护红线图见附图6。</w:t>
            </w:r>
          </w:p>
          <w:p>
            <w:pPr>
              <w:keepNext w:val="0"/>
              <w:keepLines w:val="0"/>
              <w:suppressLineNumbers w:val="0"/>
              <w:spacing w:before="163" w:beforeLines="50" w:beforeAutospacing="0" w:after="0" w:afterAutospacing="0"/>
              <w:ind w:left="0" w:right="0" w:firstLine="0" w:firstLineChars="0"/>
              <w:jc w:val="center"/>
              <w:rPr>
                <w:rFonts w:hint="default"/>
                <w:b/>
                <w:bCs/>
                <w:iCs/>
                <w:sz w:val="24"/>
                <w:u w:val="none"/>
              </w:rPr>
            </w:pPr>
            <w:r>
              <w:rPr>
                <w:rFonts w:hint="default"/>
                <w:b/>
                <w:bCs/>
                <w:iCs/>
                <w:sz w:val="24"/>
                <w:u w:val="none"/>
              </w:rPr>
              <w:t>表</w:t>
            </w:r>
            <w:r>
              <w:rPr>
                <w:rFonts w:hint="eastAsia"/>
                <w:b/>
                <w:bCs/>
                <w:iCs/>
                <w:sz w:val="24"/>
                <w:u w:val="none"/>
                <w:lang w:val="en-US" w:eastAsia="zh-CN"/>
              </w:rPr>
              <w:t>7.10</w:t>
            </w:r>
            <w:r>
              <w:rPr>
                <w:rFonts w:hint="default"/>
                <w:b/>
                <w:bCs/>
                <w:iCs/>
                <w:sz w:val="24"/>
                <w:u w:val="none"/>
              </w:rPr>
              <w:t>-1  “三线一单”的符合性分析</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内容</w:t>
                  </w:r>
                </w:p>
              </w:tc>
              <w:tc>
                <w:tcPr>
                  <w:tcW w:w="6996" w:type="dxa"/>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生态保护红线</w:t>
                  </w:r>
                </w:p>
              </w:tc>
              <w:tc>
                <w:tcPr>
                  <w:tcW w:w="699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项目选址位于湖南省岳阳市湘阴县文星镇板桥村，不在拟生态保护红线规划一级及二级管控区内。生态保护红线图见附图3。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环境质量底线</w:t>
                  </w:r>
                </w:p>
              </w:tc>
              <w:tc>
                <w:tcPr>
                  <w:tcW w:w="699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本项目区大气环境为不达标区，但是环境空气质量正逐步改善之中。地表水环境、地下水环境、声环境、土壤环境质量均能满足相应标准要求。本项目排放的各项污染物经相应措施处理后对周围环境很小，环境风险可控，不会改变区域环境功能，因此本项目的建设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资源利用上线</w:t>
                  </w:r>
                </w:p>
              </w:tc>
              <w:tc>
                <w:tcPr>
                  <w:tcW w:w="699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本项目营运过程中不可避免会消耗一定量的电源、水资源，但本项目资源能源消耗量相对区域资源利用总量较少，符合资源利用上限要求。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环境准入负面清单</w:t>
                  </w:r>
                </w:p>
              </w:tc>
              <w:tc>
                <w:tcPr>
                  <w:tcW w:w="6996"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本项目为</w:t>
                  </w:r>
                  <w:r>
                    <w:rPr>
                      <w:rFonts w:hint="eastAsia"/>
                      <w:u w:val="single"/>
                      <w:lang w:eastAsia="zh-CN"/>
                    </w:rPr>
                    <w:t>年拆解回收利用10000辆废旧机动车项目</w:t>
                  </w:r>
                  <w:r>
                    <w:rPr>
                      <w:rFonts w:hint="default"/>
                      <w:u w:val="single"/>
                    </w:rPr>
                    <w:t>，项目建成后，形成10000辆/年的报废机动车拆解能力。</w:t>
                  </w:r>
                  <w:r>
                    <w:rPr>
                      <w:rFonts w:hint="eastAsia"/>
                      <w:u w:val="single"/>
                      <w:lang w:eastAsia="zh-CN"/>
                    </w:rPr>
                    <w:t>本项目不属于</w:t>
                  </w:r>
                  <w:r>
                    <w:rPr>
                      <w:rFonts w:hint="default"/>
                      <w:u w:val="single"/>
                    </w:rPr>
                    <w:t>环境准入负面清单</w:t>
                  </w:r>
                  <w:r>
                    <w:rPr>
                      <w:rFonts w:hint="eastAsia"/>
                      <w:u w:val="single"/>
                      <w:lang w:eastAsia="zh-CN"/>
                    </w:rPr>
                    <w:t>中的类别</w:t>
                  </w:r>
                  <w:r>
                    <w:rPr>
                      <w:rFonts w:hint="default"/>
                      <w:u w:val="single"/>
                    </w:rPr>
                    <w:t>，符合国家产业政策。</w:t>
                  </w:r>
                </w:p>
              </w:tc>
            </w:tr>
          </w:tbl>
          <w:p>
            <w:pPr>
              <w:pStyle w:val="5"/>
              <w:suppressLineNumbers w:val="0"/>
              <w:bidi w:val="0"/>
              <w:spacing w:before="0" w:beforeAutospacing="0" w:after="0" w:afterAutospacing="0"/>
              <w:ind w:left="0" w:right="0"/>
              <w:rPr>
                <w:rFonts w:hint="default"/>
                <w:u w:val="none"/>
                <w:lang w:val="en-US"/>
              </w:rPr>
            </w:pPr>
            <w:bookmarkStart w:id="307" w:name="_Toc29372"/>
            <w:bookmarkStart w:id="308" w:name="_Toc383"/>
            <w:bookmarkStart w:id="309" w:name="_Toc26190"/>
            <w:r>
              <w:rPr>
                <w:rFonts w:hint="eastAsia"/>
                <w:u w:val="none"/>
                <w:lang w:val="en-US" w:eastAsia="zh-CN"/>
              </w:rPr>
              <w:t>7.10</w:t>
            </w:r>
            <w:r>
              <w:rPr>
                <w:rFonts w:hint="eastAsia" w:eastAsia="宋体"/>
                <w:u w:val="none"/>
                <w:lang w:val="en-US" w:eastAsia="zh-CN"/>
              </w:rPr>
              <w:t>.5</w:t>
            </w:r>
            <w:r>
              <w:rPr>
                <w:rFonts w:hint="eastAsia" w:ascii="Times New Roman" w:hAnsi="Times New Roman" w:eastAsia="宋体" w:cs="宋体"/>
                <w:u w:val="none"/>
                <w:lang w:eastAsia="zh-CN"/>
              </w:rPr>
              <w:t>与行业规范相符性分析</w:t>
            </w:r>
            <w:bookmarkEnd w:id="307"/>
            <w:bookmarkEnd w:id="308"/>
            <w:bookmarkEnd w:id="309"/>
          </w:p>
          <w:p>
            <w:pPr>
              <w:pStyle w:val="6"/>
              <w:suppressLineNumbers w:val="0"/>
              <w:bidi w:val="0"/>
              <w:spacing w:before="0" w:beforeAutospacing="0" w:after="0" w:afterAutospacing="0"/>
              <w:ind w:left="0" w:right="0"/>
              <w:rPr>
                <w:rFonts w:hint="eastAsia"/>
                <w:u w:val="none"/>
              </w:rPr>
            </w:pPr>
            <w:bookmarkStart w:id="310" w:name="_Toc10467"/>
            <w:r>
              <w:rPr>
                <w:rFonts w:hint="eastAsia"/>
                <w:u w:val="none"/>
                <w:lang w:val="en-US" w:eastAsia="zh-CN"/>
              </w:rPr>
              <w:t>7.10</w:t>
            </w:r>
            <w:r>
              <w:rPr>
                <w:rFonts w:hint="eastAsia"/>
                <w:u w:val="none"/>
              </w:rPr>
              <w:t>.5</w:t>
            </w:r>
            <w:r>
              <w:rPr>
                <w:rFonts w:hint="eastAsia"/>
                <w:u w:val="none"/>
                <w:lang w:val="en-US" w:eastAsia="zh-CN"/>
              </w:rPr>
              <w:t>.1</w:t>
            </w:r>
            <w:r>
              <w:rPr>
                <w:rFonts w:hint="eastAsia"/>
                <w:u w:val="none"/>
              </w:rPr>
              <w:t>与《报废机动车拆解环境保护技术规范》（HJ 348－2007）的相符性分析</w:t>
            </w:r>
            <w:bookmarkEnd w:id="310"/>
          </w:p>
          <w:p>
            <w:pPr>
              <w:keepNext w:val="0"/>
              <w:keepLines w:val="0"/>
              <w:suppressLineNumbers w:val="0"/>
              <w:spacing w:before="0" w:beforeAutospacing="0" w:after="0" w:afterAutospacing="0"/>
              <w:ind w:left="0" w:right="0"/>
              <w:jc w:val="left"/>
              <w:rPr>
                <w:rFonts w:hint="eastAsia" w:eastAsia="宋体"/>
                <w:b/>
                <w:bCs/>
                <w:u w:val="none"/>
                <w:lang w:eastAsia="zh-CN"/>
              </w:rPr>
            </w:pPr>
            <w:r>
              <w:rPr>
                <w:rFonts w:hint="default"/>
                <w:u w:val="none"/>
              </w:rPr>
              <w:t>本项目年拆解能力为10000辆，仅对机动车进行拆解回收，无破碎、加工等其他工艺</w:t>
            </w:r>
            <w:r>
              <w:rPr>
                <w:rFonts w:hint="eastAsia"/>
                <w:u w:val="none"/>
                <w:lang w:eastAsia="zh-CN"/>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529"/>
              <w:gridCol w:w="3393"/>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9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sz w:val="21"/>
                      <w:szCs w:val="21"/>
                      <w:u w:val="none"/>
                      <w:lang w:eastAsia="zh-CN"/>
                    </w:rPr>
                  </w:pPr>
                  <w:r>
                    <w:rPr>
                      <w:rFonts w:hint="default" w:ascii="Times New Roman" w:hAnsi="Times New Roman" w:cs="Times New Roman"/>
                      <w:b/>
                      <w:bCs/>
                      <w:sz w:val="21"/>
                      <w:szCs w:val="21"/>
                      <w:u w:val="none"/>
                      <w:lang w:eastAsia="zh-CN"/>
                    </w:rPr>
                    <w:t>序号</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HJ 348－2007</w:t>
                  </w:r>
                  <w:r>
                    <w:rPr>
                      <w:rFonts w:hint="default" w:ascii="Times New Roman" w:hAnsi="Times New Roman" w:eastAsia="宋体" w:cs="Times New Roman"/>
                      <w:b/>
                      <w:bCs/>
                      <w:kern w:val="2"/>
                      <w:sz w:val="21"/>
                      <w:szCs w:val="21"/>
                      <w:u w:val="none"/>
                      <w:lang w:val="en-US" w:eastAsia="zh-CN" w:bidi="ar"/>
                    </w:rPr>
                    <w:t>有关规定</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sz w:val="21"/>
                      <w:szCs w:val="21"/>
                      <w:u w:val="none"/>
                      <w:lang w:eastAsia="zh-CN"/>
                    </w:rPr>
                  </w:pPr>
                  <w:r>
                    <w:rPr>
                      <w:rFonts w:hint="default" w:ascii="Times New Roman" w:hAnsi="Times New Roman" w:cs="Times New Roman"/>
                      <w:b/>
                      <w:bCs/>
                      <w:sz w:val="21"/>
                      <w:szCs w:val="21"/>
                      <w:u w:val="none"/>
                      <w:lang w:eastAsia="zh-CN"/>
                    </w:rPr>
                    <w:t>本项目</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b/>
                      <w:bCs/>
                      <w:kern w:val="2"/>
                      <w:sz w:val="21"/>
                      <w:szCs w:val="21"/>
                      <w:u w:val="none"/>
                      <w:lang w:val="en-US" w:eastAsia="zh-CN" w:bidi="ar-SA"/>
                    </w:rPr>
                  </w:pPr>
                  <w:r>
                    <w:rPr>
                      <w:rFonts w:hint="eastAsia" w:ascii="Times New Roman" w:hAnsi="Times New Roman" w:eastAsia="宋体" w:cs="Times New Roman"/>
                      <w:b/>
                      <w:bCs/>
                      <w:kern w:val="2"/>
                      <w:sz w:val="21"/>
                      <w:szCs w:val="21"/>
                      <w:u w:val="none"/>
                      <w:lang w:val="en-US" w:eastAsia="zh-CN" w:bidi="ar-S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sz w:val="21"/>
                      <w:szCs w:val="21"/>
                      <w:u w:val="none"/>
                      <w:lang w:val="en-US" w:eastAsia="zh-CN"/>
                    </w:rPr>
                  </w:pPr>
                </w:p>
              </w:tc>
              <w:tc>
                <w:tcPr>
                  <w:tcW w:w="4172" w:type="pct"/>
                  <w:gridSpan w:val="2"/>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b/>
                      <w:bCs/>
                      <w:sz w:val="21"/>
                      <w:szCs w:val="21"/>
                      <w:u w:val="none"/>
                    </w:rPr>
                    <w:t>4报废机动车拆解、破碎环境保护基本要求</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4.1 报废机动车拆解、破碎企业的建设与运行应以环境无害化方式进行，不能产生二次污染。</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本项目</w:t>
                  </w:r>
                  <w:r>
                    <w:rPr>
                      <w:rFonts w:hint="default" w:ascii="Times New Roman" w:hAnsi="Times New Roman" w:cs="Times New Roman"/>
                      <w:sz w:val="21"/>
                      <w:szCs w:val="21"/>
                      <w:u w:val="none"/>
                    </w:rPr>
                    <w:t>的建设与运行应以环境无害化方式进行</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不产生二次污染</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4.2 报废机动车的拆解、破碎应以材料回收为主要目的，应最大限度保证拆解、破碎产物的循环利用。</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本项目</w:t>
                  </w:r>
                  <w:r>
                    <w:rPr>
                      <w:rFonts w:hint="default" w:ascii="Times New Roman" w:hAnsi="Times New Roman" w:cs="Times New Roman"/>
                      <w:sz w:val="21"/>
                      <w:szCs w:val="21"/>
                      <w:u w:val="none"/>
                    </w:rPr>
                    <w:t>以材料回收为主要目的，最大限度保证拆解、破碎产物的循环利用。</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4.3 报废机动车拆解产生的废液化气罐、废安全气囊、废蓄电池、含多氯联苯的废电容器、废尾气净化催化剂、废油液（包括汽油、柴油、机油、润滑剂、液压油、制动液、防冻剂等，下同）、废空调制冷剂等属于危险废物，应按照危险废物的有关规定进行管理和处置。</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废安全气囊</w:t>
                  </w:r>
                  <w:r>
                    <w:rPr>
                      <w:rFonts w:hint="default" w:ascii="Times New Roman" w:hAnsi="Times New Roman" w:cs="Times New Roman"/>
                      <w:sz w:val="21"/>
                      <w:szCs w:val="21"/>
                      <w:u w:val="none"/>
                      <w:lang w:eastAsia="zh-CN"/>
                    </w:rPr>
                    <w:t>回收；</w:t>
                  </w:r>
                  <w:r>
                    <w:rPr>
                      <w:rFonts w:hint="default" w:ascii="Times New Roman" w:hAnsi="Times New Roman" w:cs="Times New Roman"/>
                      <w:sz w:val="21"/>
                      <w:szCs w:val="21"/>
                      <w:u w:val="none"/>
                    </w:rPr>
                    <w:t>废蓄电池、废油液 、废制冷剂均使用专用密封容器收集，各类危废分区存放</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废蓄电池、废液化气罐、废油液、废油箱/电容器、废润滑油、废油桶定期交由有回收、处置资质单位进行回收处置</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废尾气净化装置、废制冷剂、废滤清器、含汞开关、线路板定期交由有相应处理资质的单位进行处置。</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p>
              </w:tc>
              <w:tc>
                <w:tcPr>
                  <w:tcW w:w="4172" w:type="pct"/>
                  <w:gridSpan w:val="2"/>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b/>
                      <w:bCs/>
                      <w:sz w:val="21"/>
                      <w:szCs w:val="21"/>
                      <w:u w:val="none"/>
                    </w:rPr>
                    <w:t>5  拆解、破碎企业建设环境保护要求</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5.1 新建拆解、破碎企业应经过环评审批，选址合理，不得建在城市居民区、商业区及其他环境敏感区内；原有拆解、破碎企业如果在这一区域内，应按照当地规划和环境保护行政主管部门要求限期搬迁。</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本项目不</w:t>
                  </w:r>
                  <w:r>
                    <w:rPr>
                      <w:rFonts w:hint="default" w:ascii="Times New Roman" w:hAnsi="Times New Roman" w:cs="Times New Roman"/>
                      <w:sz w:val="21"/>
                      <w:szCs w:val="21"/>
                      <w:u w:val="none"/>
                    </w:rPr>
                    <w:t>在城市居民区、商业区及其他环境敏感区内</w:t>
                  </w:r>
                </w:p>
              </w:tc>
              <w:tc>
                <w:tcPr>
                  <w:tcW w:w="43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5.2 拆解、破碎企业应建有封闭的围墙并设有门，禁止无关人员进入。</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本项目位于湘阴县顽石再生科技有限公司厂区内，湘阴县顽石再生科技有限公司有围墙，并设有门，禁止无关人员进入。</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6</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5.3 拆解、破碎企业内的道路应采取硬化措施，并确保在其运营期间无破损。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湘阴县顽石再生科技有限公司</w:t>
                  </w:r>
                  <w:r>
                    <w:rPr>
                      <w:rFonts w:hint="default" w:ascii="Times New Roman" w:hAnsi="Times New Roman" w:cs="Times New Roman"/>
                      <w:sz w:val="21"/>
                      <w:szCs w:val="21"/>
                      <w:u w:val="none"/>
                    </w:rPr>
                    <w:t>内的道路</w:t>
                  </w:r>
                  <w:r>
                    <w:rPr>
                      <w:rFonts w:hint="default" w:ascii="Times New Roman" w:hAnsi="Times New Roman" w:cs="Times New Roman"/>
                      <w:sz w:val="21"/>
                      <w:szCs w:val="21"/>
                      <w:u w:val="none"/>
                      <w:lang w:eastAsia="zh-CN"/>
                    </w:rPr>
                    <w:t>已</w:t>
                  </w:r>
                  <w:r>
                    <w:rPr>
                      <w:rFonts w:hint="default" w:ascii="Times New Roman" w:hAnsi="Times New Roman" w:cs="Times New Roman"/>
                      <w:sz w:val="21"/>
                      <w:szCs w:val="21"/>
                      <w:u w:val="none"/>
                    </w:rPr>
                    <w:t>采取硬化措施，在运营期间无破损</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5.4 拆解企业的厂区应划分为不同的功能区，包括管理区；未拆解的报废机动车贮存区；拆解作业区；产品（半成品）贮存区；污染控制区（即各类废物的收集、贮存和处理区，下同）。</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本项目所在车间已</w:t>
                  </w:r>
                  <w:r>
                    <w:rPr>
                      <w:rFonts w:hint="default" w:ascii="Times New Roman" w:hAnsi="Times New Roman" w:cs="Times New Roman"/>
                      <w:sz w:val="21"/>
                      <w:szCs w:val="21"/>
                      <w:u w:val="none"/>
                    </w:rPr>
                    <w:t>划分为不同的功能区，包括管理区；未拆解的报废机动车贮存区；拆解作业区；产品（半成品）贮存区；污染控制区</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5.5 拆解企业厂区内各功能区的设计和建设应满足以下要求：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（1）各功能区的大小和分区应适合企业的设计拆解能力；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（2）各功能区应有明确的界线和明显的标识；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（3）未拆解的报废机动车的贮存区、拆解作业区、产品（半成品）贮存区、污染控制区应具有防渗地面和油水收集设施；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（4）拆解作业区、产品（半成品）贮存区、污染控制区应设有防雨、防风设施。</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w:t>
                  </w:r>
                  <w:r>
                    <w:rPr>
                      <w:rFonts w:hint="default" w:ascii="Times New Roman" w:hAnsi="Times New Roman" w:cs="Times New Roman"/>
                      <w:sz w:val="21"/>
                      <w:szCs w:val="21"/>
                      <w:u w:val="none"/>
                      <w:lang w:eastAsia="zh-CN"/>
                    </w:rPr>
                    <w:t>本项目</w:t>
                  </w:r>
                  <w:r>
                    <w:rPr>
                      <w:rFonts w:hint="default" w:ascii="Times New Roman" w:hAnsi="Times New Roman" w:cs="Times New Roman"/>
                      <w:sz w:val="21"/>
                      <w:szCs w:val="21"/>
                      <w:u w:val="none"/>
                    </w:rPr>
                    <w:t>各功能区的大小和分区适合企业的设计拆解能力；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（2）各功能区应有明确的界线和明显的标识；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（3）未拆解的报废机动车的贮存区、拆解作业区、产品（半成品）贮存区、污染控制区</w:t>
                  </w:r>
                  <w:r>
                    <w:rPr>
                      <w:rFonts w:hint="default" w:ascii="Times New Roman" w:hAnsi="Times New Roman" w:cs="Times New Roman"/>
                      <w:sz w:val="21"/>
                      <w:szCs w:val="21"/>
                      <w:u w:val="none"/>
                      <w:lang w:eastAsia="zh-CN"/>
                    </w:rPr>
                    <w:t>要求在施工期做好</w:t>
                  </w:r>
                  <w:r>
                    <w:rPr>
                      <w:rFonts w:hint="default" w:ascii="Times New Roman" w:hAnsi="Times New Roman" w:cs="Times New Roman"/>
                      <w:sz w:val="21"/>
                      <w:szCs w:val="21"/>
                      <w:u w:val="none"/>
                    </w:rPr>
                    <w:t>防渗地面和油水收集设施；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（4）拆解作业区、产品（半成品）贮存区、污染控制区应设有防雨、防风设施。</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9</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5.8 拆解、破碎企业应实行清污分流，在厂区内（除管理区外）收集的雨水、清洗水和其他非生活废水应设置专门的收集设施和污水处理设施。</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eastAsia" w:cs="Times New Roman"/>
                      <w:sz w:val="21"/>
                      <w:szCs w:val="21"/>
                      <w:u w:val="none"/>
                      <w:lang w:eastAsia="zh-CN"/>
                    </w:rPr>
                    <w:t>本项目</w:t>
                  </w:r>
                  <w:r>
                    <w:rPr>
                      <w:rFonts w:hint="default" w:ascii="Times New Roman" w:hAnsi="Times New Roman" w:cs="Times New Roman"/>
                      <w:sz w:val="21"/>
                      <w:szCs w:val="21"/>
                      <w:u w:val="none"/>
                    </w:rPr>
                    <w:t>实行清污分流</w:t>
                  </w:r>
                  <w:r>
                    <w:rPr>
                      <w:rFonts w:hint="eastAsia" w:cs="Times New Roman"/>
                      <w:sz w:val="21"/>
                      <w:szCs w:val="21"/>
                      <w:u w:val="none"/>
                      <w:lang w:eastAsia="zh-CN"/>
                    </w:rPr>
                    <w:t>、</w:t>
                  </w:r>
                  <w:r>
                    <w:rPr>
                      <w:rFonts w:hint="eastAsia" w:cs="Times New Roman"/>
                      <w:sz w:val="21"/>
                      <w:szCs w:val="21"/>
                      <w:u w:val="none"/>
                    </w:rPr>
                    <w:t>雨污分流</w:t>
                  </w:r>
                  <w:r>
                    <w:rPr>
                      <w:rFonts w:hint="eastAsia" w:cs="Times New Roman"/>
                      <w:sz w:val="21"/>
                      <w:szCs w:val="21"/>
                      <w:u w:val="none"/>
                      <w:lang w:eastAsia="zh-CN"/>
                    </w:rPr>
                    <w:t>，</w:t>
                  </w:r>
                  <w:r>
                    <w:rPr>
                      <w:rFonts w:hint="default"/>
                      <w:sz w:val="21"/>
                      <w:szCs w:val="21"/>
                      <w:u w:val="none"/>
                    </w:rPr>
                    <w:t>生活废水经化粪池处理后作农肥</w:t>
                  </w:r>
                  <w:r>
                    <w:rPr>
                      <w:rFonts w:hint="eastAsia"/>
                      <w:sz w:val="21"/>
                      <w:szCs w:val="21"/>
                      <w:u w:val="none"/>
                      <w:lang w:eastAsia="zh-CN"/>
                    </w:rPr>
                    <w:t>，初期雨水、</w:t>
                  </w:r>
                  <w:r>
                    <w:rPr>
                      <w:rFonts w:hint="default" w:ascii="Times New Roman" w:hAnsi="Times New Roman" w:cs="Times New Roman"/>
                      <w:sz w:val="21"/>
                      <w:szCs w:val="21"/>
                      <w:u w:val="none"/>
                    </w:rPr>
                    <w:t>清洗水</w:t>
                  </w:r>
                  <w:r>
                    <w:rPr>
                      <w:rFonts w:hint="eastAsia"/>
                      <w:sz w:val="21"/>
                      <w:szCs w:val="21"/>
                      <w:u w:val="none"/>
                      <w:lang w:eastAsia="zh-CN"/>
                    </w:rPr>
                    <w:t>依托湘阴县顽石再生科技有限公司的初期雨水收集处理措施。</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10</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5.9 拆解和破碎企业应有符合相关要求的消防设施，并有足够的疏散通道。</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eastAsia"/>
                      <w:sz w:val="21"/>
                      <w:szCs w:val="21"/>
                      <w:u w:val="none"/>
                      <w:lang w:eastAsia="zh-CN"/>
                    </w:rPr>
                    <w:t>依托湘阴县顽石再生科技有限公司</w:t>
                  </w:r>
                  <w:r>
                    <w:rPr>
                      <w:rFonts w:hint="default" w:ascii="Times New Roman" w:hAnsi="Times New Roman" w:cs="Times New Roman"/>
                      <w:sz w:val="21"/>
                      <w:szCs w:val="21"/>
                      <w:u w:val="none"/>
                    </w:rPr>
                    <w:t>的消防设施，</w:t>
                  </w:r>
                  <w:r>
                    <w:rPr>
                      <w:rFonts w:hint="eastAsia" w:cs="Times New Roman"/>
                      <w:sz w:val="21"/>
                      <w:szCs w:val="21"/>
                      <w:u w:val="none"/>
                      <w:lang w:eastAsia="zh-CN"/>
                    </w:rPr>
                    <w:t>厂区</w:t>
                  </w:r>
                  <w:r>
                    <w:rPr>
                      <w:rFonts w:hint="default" w:ascii="Times New Roman" w:hAnsi="Times New Roman" w:cs="Times New Roman"/>
                      <w:sz w:val="21"/>
                      <w:szCs w:val="21"/>
                      <w:u w:val="none"/>
                    </w:rPr>
                    <w:t>有足够的疏散通道</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11</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5.10 拆解和破碎企业应有完备的污染防治机制和处理环境污染事故的应急预案。</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有完备的污染防治机制</w:t>
                  </w:r>
                  <w:r>
                    <w:rPr>
                      <w:rFonts w:hint="eastAsia" w:cs="Times New Roman"/>
                      <w:sz w:val="21"/>
                      <w:szCs w:val="21"/>
                      <w:u w:val="none"/>
                      <w:lang w:eastAsia="zh-CN"/>
                    </w:rPr>
                    <w:t>，</w:t>
                  </w:r>
                  <w:r>
                    <w:rPr>
                      <w:rFonts w:hint="default" w:ascii="Times New Roman" w:hAnsi="Times New Roman" w:cs="Times New Roman"/>
                      <w:sz w:val="21"/>
                      <w:szCs w:val="21"/>
                      <w:u w:val="none"/>
                    </w:rPr>
                    <w:t>处理环境污染事故的应急预案</w:t>
                  </w:r>
                  <w:r>
                    <w:rPr>
                      <w:rFonts w:hint="eastAsia" w:cs="Times New Roman"/>
                      <w:sz w:val="21"/>
                      <w:szCs w:val="21"/>
                      <w:u w:val="none"/>
                      <w:lang w:eastAsia="zh-CN"/>
                    </w:rPr>
                    <w:t>待环评完成后办理备案。</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p>
              </w:tc>
              <w:tc>
                <w:tcPr>
                  <w:tcW w:w="4172" w:type="pct"/>
                  <w:gridSpan w:val="2"/>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b/>
                      <w:bCs/>
                      <w:sz w:val="21"/>
                      <w:szCs w:val="21"/>
                      <w:u w:val="none"/>
                    </w:rPr>
                    <w:t>6 拆解、破碎企业运行环境保护要求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b/>
                      <w:bCs/>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12</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 拆解、破碎企业应向汽车生产企业要求获得《汽车拆解指导手册》及相关技术信息。</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根据</w:t>
                  </w:r>
                  <w:r>
                    <w:rPr>
                      <w:rFonts w:hint="default" w:ascii="Times New Roman" w:hAnsi="Times New Roman" w:cs="Times New Roman"/>
                      <w:sz w:val="21"/>
                      <w:szCs w:val="21"/>
                      <w:u w:val="none"/>
                    </w:rPr>
                    <w:t>《报废汽车拆解指导手册编制规范》（GB/T33460-2016）</w:t>
                  </w:r>
                  <w:r>
                    <w:rPr>
                      <w:rFonts w:hint="eastAsia" w:ascii="Times New Roman" w:hAnsi="Times New Roman" w:cs="Times New Roman"/>
                      <w:sz w:val="21"/>
                      <w:szCs w:val="21"/>
                      <w:u w:val="none"/>
                      <w:lang w:eastAsia="zh-CN"/>
                    </w:rPr>
                    <w:t>制定</w:t>
                  </w:r>
                  <w:r>
                    <w:rPr>
                      <w:rFonts w:hint="default" w:ascii="Times New Roman" w:hAnsi="Times New Roman" w:cs="Times New Roman"/>
                      <w:sz w:val="21"/>
                      <w:szCs w:val="21"/>
                      <w:u w:val="none"/>
                    </w:rPr>
                    <w:t>《汽车拆解指导手册》</w:t>
                  </w:r>
                  <w:r>
                    <w:rPr>
                      <w:rFonts w:hint="eastAsia" w:cs="Times New Roman"/>
                      <w:sz w:val="21"/>
                      <w:szCs w:val="21"/>
                      <w:u w:val="none"/>
                      <w:lang w:eastAsia="zh-CN"/>
                    </w:rPr>
                    <w:t>，本项目拥有汽车拆解专业技术人员</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13</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6.2 拆解、破碎企业应采用对环境污染程度最低的方式拆解、破碎报废机动车。鼓励采用固体废物产生量少、资源回收利用率高的拆解、破碎工艺。</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本项目采用新型机械设备，</w:t>
                  </w:r>
                  <w:r>
                    <w:rPr>
                      <w:rFonts w:hint="default" w:ascii="Times New Roman" w:hAnsi="Times New Roman" w:cs="Times New Roman"/>
                      <w:sz w:val="21"/>
                      <w:szCs w:val="21"/>
                      <w:u w:val="none"/>
                    </w:rPr>
                    <w:t>对环境污染程度</w:t>
                  </w:r>
                  <w:r>
                    <w:rPr>
                      <w:rFonts w:hint="eastAsia" w:cs="Times New Roman"/>
                      <w:sz w:val="21"/>
                      <w:szCs w:val="21"/>
                      <w:u w:val="none"/>
                      <w:lang w:eastAsia="zh-CN"/>
                    </w:rPr>
                    <w:t>较</w:t>
                  </w:r>
                  <w:r>
                    <w:rPr>
                      <w:rFonts w:hint="default" w:ascii="Times New Roman" w:hAnsi="Times New Roman" w:cs="Times New Roman"/>
                      <w:sz w:val="21"/>
                      <w:szCs w:val="21"/>
                      <w:u w:val="none"/>
                    </w:rPr>
                    <w:t>低</w:t>
                  </w:r>
                  <w:r>
                    <w:rPr>
                      <w:rFonts w:hint="eastAsia" w:cs="Times New Roman"/>
                      <w:sz w:val="21"/>
                      <w:szCs w:val="21"/>
                      <w:u w:val="none"/>
                      <w:lang w:eastAsia="zh-CN"/>
                    </w:rPr>
                    <w:t>，</w:t>
                  </w:r>
                  <w:r>
                    <w:rPr>
                      <w:rFonts w:hint="default" w:ascii="Times New Roman" w:hAnsi="Times New Roman" w:cs="Times New Roman"/>
                      <w:sz w:val="21"/>
                      <w:szCs w:val="21"/>
                      <w:u w:val="none"/>
                    </w:rPr>
                    <w:t>采用固体废物产生量少、资源回收利用率高的拆解工艺</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14</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6.3 应在报废机动车进入拆解企业后检查是否有废油液的泄漏。如发现有废油液的泄漏应立即采取有效的收集措施。</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在报废机动车进入</w:t>
                  </w:r>
                  <w:r>
                    <w:rPr>
                      <w:rFonts w:hint="eastAsia" w:ascii="宋体" w:hAnsi="宋体" w:eastAsia="宋体"/>
                      <w:color w:val="000000"/>
                      <w:sz w:val="24"/>
                      <w:u w:val="none"/>
                      <w:lang w:val="zh-CN"/>
                    </w:rPr>
                    <w:t>未拆解的报废机动车贮存区后</w:t>
                  </w:r>
                  <w:r>
                    <w:rPr>
                      <w:rFonts w:hint="default" w:ascii="Times New Roman" w:hAnsi="Times New Roman" w:cs="Times New Roman"/>
                      <w:sz w:val="21"/>
                      <w:szCs w:val="21"/>
                      <w:u w:val="none"/>
                    </w:rPr>
                    <w:t>检查是否有废油液的泄漏。如发现有废油液的泄漏</w:t>
                  </w:r>
                  <w:r>
                    <w:rPr>
                      <w:rFonts w:hint="eastAsia" w:cs="Times New Roman"/>
                      <w:sz w:val="21"/>
                      <w:szCs w:val="21"/>
                      <w:u w:val="none"/>
                      <w:lang w:eastAsia="zh-CN"/>
                    </w:rPr>
                    <w:t>，立即将泄漏油液进行收集。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应立即采取有效的收集措施</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15</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6.4 报废机动车在进行拆解作业之前不得侧放、倒放。</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报废机动车在进行拆解作业之前不得侧放、倒放</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16</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6.5 禁止露天拆解、破碎报废机动车。</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本项目在厂房内拆解作业区进行拆解</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17</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6.6 报废机动车应依照下列顺序进行拆解：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（1）拆除蓄电池；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（2）拆除液化气罐；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（3）拆除安全气囊；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（4）拆除含多氯联苯的废电容器和尾气净化催化剂；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（5）排除残留的各种废油液；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（6）拆除空调器；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（7）拆除各种电子电器部件，包括仪表盘、音响、车载电台电话、电子导航设备、电动机和发电机、电线电缆以及其他电子电器；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（8）拆除其他零部件。</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本项目拆除顺序符合要求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18</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6.7 在完成第 6.6 条各项拆解作业后，应按照资源最大化的原则拆解报废机动车的其余部分。</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eastAsia" w:cs="Times New Roman"/>
                      <w:sz w:val="21"/>
                      <w:szCs w:val="21"/>
                      <w:u w:val="none"/>
                      <w:lang w:eastAsia="zh-CN"/>
                    </w:rPr>
                    <w:t>本项目</w:t>
                  </w:r>
                  <w:r>
                    <w:rPr>
                      <w:rFonts w:hint="default" w:ascii="Times New Roman" w:hAnsi="Times New Roman" w:cs="Times New Roman"/>
                      <w:sz w:val="21"/>
                      <w:szCs w:val="21"/>
                      <w:u w:val="none"/>
                    </w:rPr>
                    <w:t>按照资源最大化的原则拆解报废机动车的其余部分</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19</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6.8 禁止在未完成第 6.6 条各项拆解作业前对报废机动车进行破碎处理或者直接进行熔炼处理。</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本项目仅进行拆解，无破碎及其他加工工艺过程</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6.9 拆解企业在拆解作业过程中拆除下来的第 4.3 条中所列的各种危险废物，应由具有《危险废物经营许可证》并可以处置该类废物的单位进行处理处置，并严格执行危险废物转移联单制度。</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eastAsia" w:cs="Times New Roman"/>
                      <w:sz w:val="21"/>
                      <w:szCs w:val="21"/>
                      <w:u w:val="none"/>
                      <w:lang w:eastAsia="zh-CN"/>
                    </w:rPr>
                    <w:t>本项目</w:t>
                  </w:r>
                  <w:r>
                    <w:rPr>
                      <w:rFonts w:hint="default" w:ascii="Times New Roman" w:hAnsi="Times New Roman" w:cs="Times New Roman"/>
                      <w:sz w:val="21"/>
                      <w:szCs w:val="21"/>
                      <w:u w:val="none"/>
                    </w:rPr>
                    <w:t>拆解作业过程中拆除下来的第 4.3 条中所列的各种危险废物</w:t>
                  </w:r>
                  <w:r>
                    <w:rPr>
                      <w:rFonts w:hint="eastAsia" w:cs="Times New Roman"/>
                      <w:sz w:val="21"/>
                      <w:szCs w:val="21"/>
                      <w:u w:val="none"/>
                      <w:lang w:eastAsia="zh-CN"/>
                    </w:rPr>
                    <w:t>，</w:t>
                  </w:r>
                  <w:r>
                    <w:rPr>
                      <w:rFonts w:hint="default" w:ascii="Times New Roman" w:hAnsi="Times New Roman" w:cs="Times New Roman"/>
                      <w:sz w:val="21"/>
                      <w:szCs w:val="21"/>
                      <w:u w:val="none"/>
                    </w:rPr>
                    <w:t>由具有《危险废物经营许可证》并可以处置该类废物的单位进行处理处置，并严格执行危险废物转移联单制度。</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21</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6.10 报废机动车中的废制冷剂应用专用工具拆除并收集在密闭容器中，并按照第 6.9条规定进行处理，不得向大气排放。</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cs="Times New Roman"/>
                      <w:sz w:val="21"/>
                      <w:szCs w:val="21"/>
                      <w:u w:val="none"/>
                      <w:lang w:eastAsia="zh-CN"/>
                    </w:rPr>
                    <w:t>本项目</w:t>
                  </w:r>
                  <w:r>
                    <w:rPr>
                      <w:rFonts w:hint="default" w:ascii="Times New Roman" w:hAnsi="Times New Roman" w:cs="Times New Roman"/>
                      <w:sz w:val="21"/>
                      <w:szCs w:val="21"/>
                      <w:u w:val="none"/>
                    </w:rPr>
                    <w:t>报废机动车中的废制冷剂</w:t>
                  </w:r>
                  <w:r>
                    <w:rPr>
                      <w:rFonts w:hint="eastAsia" w:cs="Times New Roman"/>
                      <w:sz w:val="21"/>
                      <w:szCs w:val="21"/>
                      <w:u w:val="none"/>
                      <w:lang w:eastAsia="zh-CN"/>
                    </w:rPr>
                    <w:t>使</w:t>
                  </w:r>
                  <w:r>
                    <w:rPr>
                      <w:rFonts w:hint="default" w:ascii="Times New Roman" w:hAnsi="Times New Roman" w:cs="Times New Roman"/>
                      <w:sz w:val="21"/>
                      <w:szCs w:val="21"/>
                      <w:u w:val="none"/>
                    </w:rPr>
                    <w:t>用专用工具拆除并收集在密闭容器中</w:t>
                  </w:r>
                  <w:r>
                    <w:rPr>
                      <w:rFonts w:hint="eastAsia" w:cs="Times New Roman"/>
                      <w:sz w:val="21"/>
                      <w:szCs w:val="21"/>
                      <w:u w:val="none"/>
                      <w:lang w:eastAsia="zh-CN"/>
                    </w:rPr>
                    <w:t>，暂存于危废暂存间，定期由有资质单位进行处理处置</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22</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6.11 禁止在未获得相应资质的报废机动车拆解、破碎企业内拆解废蓄电池和含多氯联苯的废电容器，禁止将蓄电池内的液态废物倾倒出来。应将废蓄电池和含多氯联苯的废电容器贮存在耐酸容器中或者具有耐酸地面的专用区域内，并按照第 6.9 条规定进行处理。</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本项目不拆解</w:t>
                  </w:r>
                  <w:r>
                    <w:rPr>
                      <w:rFonts w:hint="default" w:ascii="Times New Roman" w:hAnsi="Times New Roman" w:cs="Times New Roman"/>
                      <w:sz w:val="21"/>
                      <w:szCs w:val="21"/>
                      <w:u w:val="none"/>
                    </w:rPr>
                    <w:t>废蓄电池和含多氯联苯的废电容器</w:t>
                  </w:r>
                  <w:r>
                    <w:rPr>
                      <w:rFonts w:hint="eastAsia" w:cs="Times New Roman"/>
                      <w:sz w:val="21"/>
                      <w:szCs w:val="21"/>
                      <w:u w:val="none"/>
                      <w:lang w:eastAsia="zh-CN"/>
                    </w:rPr>
                    <w:t>，机动车拆解下来的</w:t>
                  </w:r>
                  <w:r>
                    <w:rPr>
                      <w:rFonts w:hint="default" w:ascii="Times New Roman" w:hAnsi="Times New Roman" w:cs="Times New Roman"/>
                      <w:sz w:val="21"/>
                      <w:szCs w:val="21"/>
                      <w:u w:val="none"/>
                    </w:rPr>
                    <w:t>废蓄电池和含多氯联苯的废电容器</w:t>
                  </w:r>
                  <w:r>
                    <w:rPr>
                      <w:rFonts w:hint="eastAsia" w:cs="Times New Roman"/>
                      <w:sz w:val="21"/>
                      <w:szCs w:val="21"/>
                      <w:u w:val="none"/>
                      <w:lang w:eastAsia="zh-CN"/>
                    </w:rPr>
                    <w:t>分类收集后暂存于危废暂存间，定期交由有资质单位进行处理处置</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23</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6.12 拆解、破碎企业产生的各种危险废物在厂区内的贮存时间不得超过一年。拆解过程产生的危险废物应按照类别分别放置在专门的收集容器和贮存设施内，有危险废物识别标志、标明具体物质名称，并设置危险废物警示标志。液态废物应在不同的专用容器中分别贮存。</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本项目</w:t>
                  </w:r>
                  <w:r>
                    <w:rPr>
                      <w:rFonts w:hint="default" w:ascii="Times New Roman" w:hAnsi="Times New Roman" w:cs="Times New Roman"/>
                      <w:sz w:val="21"/>
                      <w:szCs w:val="21"/>
                      <w:u w:val="none"/>
                    </w:rPr>
                    <w:t>拆解</w:t>
                  </w:r>
                  <w:r>
                    <w:rPr>
                      <w:rFonts w:hint="eastAsia" w:cs="Times New Roman"/>
                      <w:sz w:val="21"/>
                      <w:szCs w:val="21"/>
                      <w:u w:val="none"/>
                      <w:lang w:eastAsia="zh-CN"/>
                    </w:rPr>
                    <w:t>过程</w:t>
                  </w:r>
                  <w:r>
                    <w:rPr>
                      <w:rFonts w:hint="default" w:ascii="Times New Roman" w:hAnsi="Times New Roman" w:cs="Times New Roman"/>
                      <w:sz w:val="21"/>
                      <w:szCs w:val="21"/>
                      <w:u w:val="none"/>
                    </w:rPr>
                    <w:t>产生的各种危险废物在厂区内的贮存时间不超过一年。拆解过程产生的危险废物按照类别分别放置在专门的收集容器和贮存设施内，有危险废物识别标志、标明具体物质名称，并设置危险废物警示标志。液态废物在不同的专用容器中分别贮存。</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24</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6.13 拆除的各种废弃电子电器部件，应交由具有资质的处置单位进行处理处置。</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 xml:space="preserve"> </w:t>
                  </w:r>
                  <w:r>
                    <w:rPr>
                      <w:rFonts w:hint="eastAsia" w:cs="Times New Roman"/>
                      <w:sz w:val="21"/>
                      <w:szCs w:val="21"/>
                      <w:u w:val="none"/>
                      <w:lang w:eastAsia="zh-CN"/>
                    </w:rPr>
                    <w:t>本项目</w:t>
                  </w:r>
                  <w:r>
                    <w:rPr>
                      <w:rFonts w:hint="default" w:ascii="Times New Roman" w:hAnsi="Times New Roman" w:cs="Times New Roman"/>
                      <w:sz w:val="21"/>
                      <w:szCs w:val="21"/>
                      <w:u w:val="none"/>
                    </w:rPr>
                    <w:t>拆除的各种废弃电子电器部件，交由具有资质的处置单位进行处理处置。</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cs="Times New Roman"/>
                      <w:sz w:val="21"/>
                      <w:szCs w:val="21"/>
                      <w:u w:val="none"/>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25</w:t>
                  </w:r>
                </w:p>
              </w:tc>
              <w:tc>
                <w:tcPr>
                  <w:tcW w:w="2127"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6.14 在拆解、破碎过程中产生的不可回收利用的工业固体废物应在符合国家标准建设、运行的处理处置设施进行处置。</w:t>
                  </w:r>
                </w:p>
              </w:tc>
              <w:tc>
                <w:tcPr>
                  <w:tcW w:w="2045" w:type="pc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auto"/>
                    <w:rPr>
                      <w:rFonts w:hint="default" w:ascii="Times New Roman" w:hAnsi="Times New Roman" w:cs="Times New Roman"/>
                      <w:sz w:val="21"/>
                      <w:szCs w:val="21"/>
                      <w:u w:val="none"/>
                    </w:rPr>
                  </w:pPr>
                  <w:r>
                    <w:rPr>
                      <w:rFonts w:hint="eastAsia" w:cs="Times New Roman"/>
                      <w:sz w:val="21"/>
                      <w:szCs w:val="21"/>
                      <w:u w:val="none"/>
                      <w:lang w:eastAsia="zh-CN"/>
                    </w:rPr>
                    <w:t>本项目</w:t>
                  </w:r>
                  <w:r>
                    <w:rPr>
                      <w:rFonts w:hint="default" w:ascii="Times New Roman" w:hAnsi="Times New Roman" w:cs="Times New Roman"/>
                      <w:sz w:val="21"/>
                      <w:szCs w:val="21"/>
                      <w:u w:val="none"/>
                    </w:rPr>
                    <w:t>在拆解过程中产生的不可回收利用的工业固体废物在符合国家标准建设、运行的处理处置设施进行处置。</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cs="Times New Roman"/>
                      <w:sz w:val="21"/>
                      <w:szCs w:val="21"/>
                      <w:u w:val="none"/>
                      <w:lang w:eastAsia="zh-CN"/>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2</w:t>
                  </w:r>
                  <w:r>
                    <w:rPr>
                      <w:rFonts w:hint="default" w:ascii="Times New Roman" w:hAnsi="Times New Roman" w:eastAsia="宋体" w:cs="Times New Roman"/>
                      <w:kern w:val="2"/>
                      <w:sz w:val="21"/>
                      <w:szCs w:val="21"/>
                      <w:u w:val="none"/>
                      <w:lang w:val="en-US" w:eastAsia="zh-CN" w:bidi="ar-SA"/>
                    </w:rPr>
                    <w:t>6</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6.15 禁止采用露天焚烧或简易焚烧的方式处理报废机动车拆解、破碎过程中产生的废电线电缆、废轮胎和其他废物。</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禁止采用露天焚烧或简易焚烧的方式处理报废机动车拆解、破碎过程中产生的废电线电缆、废轮胎和其他废物。</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2</w:t>
                  </w:r>
                  <w:r>
                    <w:rPr>
                      <w:rFonts w:hint="default" w:ascii="Times New Roman" w:hAnsi="Times New Roman" w:eastAsia="宋体" w:cs="Times New Roman"/>
                      <w:kern w:val="2"/>
                      <w:sz w:val="21"/>
                      <w:szCs w:val="21"/>
                      <w:u w:val="none"/>
                      <w:lang w:val="en-US" w:eastAsia="zh-CN" w:bidi="ar-SA"/>
                    </w:rPr>
                    <w:t>7</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6.16 拆解得到的可回收利用的零部件、再生材料与不可回收利用的废物应按种类分别收集在不同的专用容器或固定区域，并设立明显的区分标识</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拆解得到的可回收利用的零部件、再生材料与不可回收利用的废物按种类分别收集在不同的专用容器或固定区域，并设立明显的区分标识</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2</w:t>
                  </w:r>
                  <w:r>
                    <w:rPr>
                      <w:rFonts w:hint="default" w:ascii="Times New Roman" w:hAnsi="Times New Roman" w:eastAsia="宋体" w:cs="Times New Roman"/>
                      <w:kern w:val="2"/>
                      <w:sz w:val="21"/>
                      <w:szCs w:val="21"/>
                      <w:u w:val="none"/>
                      <w:lang w:val="en-US" w:eastAsia="zh-CN" w:bidi="ar-SA"/>
                    </w:rPr>
                    <w:t>8</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6.17 拆解得到的轮胎和塑料部件的贮存区域应具消防设施，并尽量避免大量堆放。</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拆解得到的轮胎和塑料部件的贮存区域</w:t>
                  </w:r>
                  <w:r>
                    <w:rPr>
                      <w:rFonts w:hint="eastAsia" w:ascii="Times New Roman" w:hAnsi="Times New Roman" w:eastAsia="宋体" w:cs="Times New Roman"/>
                      <w:kern w:val="2"/>
                      <w:sz w:val="21"/>
                      <w:szCs w:val="21"/>
                      <w:u w:val="none"/>
                      <w:lang w:val="en-US" w:eastAsia="zh-CN" w:bidi="ar-SA"/>
                    </w:rPr>
                    <w:t>配备</w:t>
                  </w:r>
                  <w:r>
                    <w:rPr>
                      <w:rFonts w:hint="default" w:ascii="Times New Roman" w:hAnsi="Times New Roman" w:eastAsia="宋体" w:cs="Times New Roman"/>
                      <w:kern w:val="2"/>
                      <w:sz w:val="21"/>
                      <w:szCs w:val="21"/>
                      <w:u w:val="none"/>
                      <w:lang w:val="en-US" w:eastAsia="zh-CN" w:bidi="ar-SA"/>
                    </w:rPr>
                    <w:t>消防设施，并尽量避免大量堆放。</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2</w:t>
                  </w:r>
                  <w:r>
                    <w:rPr>
                      <w:rFonts w:hint="default" w:ascii="Times New Roman" w:hAnsi="Times New Roman" w:eastAsia="宋体" w:cs="Times New Roman"/>
                      <w:kern w:val="2"/>
                      <w:sz w:val="21"/>
                      <w:szCs w:val="21"/>
                      <w:u w:val="none"/>
                      <w:lang w:val="en-US" w:eastAsia="zh-CN" w:bidi="ar-SA"/>
                    </w:rPr>
                    <w:t>9</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6.18 拆解、破碎企业厂区收集的雨水、清洗水和其他非生活废水等应通过收集管道（井）收集后进入污水处理设施进行处理，并达到排放标准后方可排放。</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的</w:t>
                  </w:r>
                  <w:r>
                    <w:rPr>
                      <w:rFonts w:hint="eastAsia" w:ascii="Times New Roman" w:hAnsi="Times New Roman" w:eastAsia="宋体" w:cs="Times New Roman"/>
                      <w:kern w:val="2"/>
                      <w:sz w:val="21"/>
                      <w:szCs w:val="21"/>
                      <w:u w:val="none"/>
                      <w:lang w:val="en-US" w:eastAsia="zh-CN" w:bidi="ar-SA"/>
                    </w:rPr>
                    <w:t>初期</w:t>
                  </w:r>
                  <w:r>
                    <w:rPr>
                      <w:rFonts w:hint="default" w:ascii="Times New Roman" w:hAnsi="Times New Roman" w:eastAsia="宋体" w:cs="Times New Roman"/>
                      <w:kern w:val="2"/>
                      <w:sz w:val="21"/>
                      <w:szCs w:val="21"/>
                      <w:u w:val="none"/>
                      <w:lang w:val="en-US" w:eastAsia="zh-CN" w:bidi="ar-SA"/>
                    </w:rPr>
                    <w:t>雨水、清洗水</w:t>
                  </w:r>
                  <w:r>
                    <w:rPr>
                      <w:rFonts w:hint="eastAsia" w:ascii="Times New Roman" w:hAnsi="Times New Roman" w:eastAsia="宋体" w:cs="Times New Roman"/>
                      <w:kern w:val="2"/>
                      <w:sz w:val="21"/>
                      <w:szCs w:val="21"/>
                      <w:u w:val="none"/>
                      <w:lang w:val="en-US" w:eastAsia="zh-CN" w:bidi="ar-SA"/>
                    </w:rPr>
                    <w:t>依托湘阴县顽石再生科技有限公司的现有隔油池+三级沉淀池处理后由湘阴县顽石再生科技有限公司进行利用， 无生产废水排放。</w:t>
                  </w:r>
                  <w:r>
                    <w:rPr>
                      <w:rFonts w:hint="default" w:ascii="Times New Roman" w:hAnsi="Times New Roman" w:eastAsia="宋体" w:cs="Times New Roman"/>
                      <w:kern w:val="2"/>
                      <w:sz w:val="21"/>
                      <w:szCs w:val="21"/>
                      <w:u w:val="none"/>
                      <w:lang w:val="en-US" w:eastAsia="zh-CN" w:bidi="ar-SA"/>
                    </w:rPr>
                    <w:t>生活废水</w:t>
                  </w:r>
                  <w:r>
                    <w:rPr>
                      <w:rFonts w:hint="eastAsia" w:ascii="Times New Roman" w:hAnsi="Times New Roman" w:eastAsia="宋体" w:cs="Times New Roman"/>
                      <w:kern w:val="2"/>
                      <w:sz w:val="21"/>
                      <w:szCs w:val="21"/>
                      <w:u w:val="none"/>
                      <w:lang w:val="en-US" w:eastAsia="zh-CN" w:bidi="ar-SA"/>
                    </w:rPr>
                    <w:t>经化粪池处理后做农肥。</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30</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6.19 拆解、破碎企业应采取隔音降噪措施。</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采取隔音降噪措施</w:t>
                  </w:r>
                  <w:r>
                    <w:rPr>
                      <w:rFonts w:hint="eastAsia" w:ascii="Times New Roman" w:hAnsi="Times New Roman" w:eastAsia="宋体" w:cs="Times New Roman"/>
                      <w:kern w:val="2"/>
                      <w:sz w:val="21"/>
                      <w:szCs w:val="21"/>
                      <w:u w:val="none"/>
                      <w:lang w:val="en-US" w:eastAsia="zh-CN" w:bidi="ar-SA"/>
                    </w:rPr>
                    <w:t>，使厂界噪声达标</w:t>
                  </w:r>
                  <w:r>
                    <w:rPr>
                      <w:rFonts w:hint="default" w:ascii="Times New Roman" w:hAnsi="Times New Roman" w:eastAsia="宋体" w:cs="Times New Roman"/>
                      <w:kern w:val="2"/>
                      <w:sz w:val="21"/>
                      <w:szCs w:val="21"/>
                      <w:u w:val="none"/>
                      <w:lang w:val="en-US" w:eastAsia="zh-CN" w:bidi="ar-SA"/>
                    </w:rPr>
                    <w:t>。</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31</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6.20 拆解、破碎企业应按照环境保护措施验收的要求对污染物排放进行日常监测；应建立报废机动车拆解、破碎经营情况记录制度，如实记载每批报废机动车的来源、类型、重量（数量），收集（接收）、拆解、破碎、 贮存、处置的时间，运输单位的名称和联系方式，拆解、破碎得到的产品和不可回收利用的废物的数量和去向等。监测报告和经营情况记录应至少保存三年。</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本项目建成投产后，进行组织环保验收。</w:t>
                  </w:r>
                  <w:r>
                    <w:rPr>
                      <w:rFonts w:hint="default" w:ascii="Times New Roman" w:hAnsi="Times New Roman" w:eastAsia="宋体" w:cs="Times New Roman"/>
                      <w:kern w:val="2"/>
                      <w:sz w:val="21"/>
                      <w:szCs w:val="21"/>
                      <w:u w:val="none"/>
                      <w:lang w:val="en-US" w:eastAsia="zh-CN" w:bidi="ar-SA"/>
                    </w:rPr>
                    <w:t>建立报废机动车拆解、破碎经营情况记录制度，如实记载每批报废机动车的来源、类型、重量（数量），收集（接收）、拆解、破碎、 贮存、处置的时间，运输单位的名称和联系方式，拆解、破碎得到的产品和不可回收利用的废物的数量和去向等。监测报告和经营情况记录至少保存三年。</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p>
              </w:tc>
              <w:tc>
                <w:tcPr>
                  <w:tcW w:w="4172" w:type="pct"/>
                  <w:gridSpan w:val="2"/>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b/>
                      <w:bCs/>
                      <w:kern w:val="2"/>
                      <w:sz w:val="21"/>
                      <w:szCs w:val="21"/>
                      <w:u w:val="none"/>
                      <w:lang w:val="en-US" w:eastAsia="zh-CN" w:bidi="ar-SA"/>
                    </w:rPr>
                    <w:t>7污染控制要求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default" w:ascii="Times New Roman" w:hAnsi="Times New Roman" w:eastAsia="宋体" w:cs="Times New Roman"/>
                      <w:b/>
                      <w:bCs/>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32</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7.1 拆解、破碎过程不得对空气、土壤、地表水和地下水造成污染。</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本项目废气主要为废油液抽取废气、制冷剂抽取废气，成分主要为非甲烷总烃，经过类比分析，本项目对环境空气不会造成污染。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的</w:t>
                  </w:r>
                  <w:r>
                    <w:rPr>
                      <w:rFonts w:hint="eastAsia" w:ascii="Times New Roman" w:hAnsi="Times New Roman" w:eastAsia="宋体" w:cs="Times New Roman"/>
                      <w:kern w:val="2"/>
                      <w:sz w:val="21"/>
                      <w:szCs w:val="21"/>
                      <w:u w:val="none"/>
                      <w:lang w:val="en-US" w:eastAsia="zh-CN" w:bidi="ar-SA"/>
                    </w:rPr>
                    <w:t>初期</w:t>
                  </w:r>
                  <w:r>
                    <w:rPr>
                      <w:rFonts w:hint="default" w:ascii="Times New Roman" w:hAnsi="Times New Roman" w:eastAsia="宋体" w:cs="Times New Roman"/>
                      <w:kern w:val="2"/>
                      <w:sz w:val="21"/>
                      <w:szCs w:val="21"/>
                      <w:u w:val="none"/>
                      <w:lang w:val="en-US" w:eastAsia="zh-CN" w:bidi="ar-SA"/>
                    </w:rPr>
                    <w:t>雨水、清洗水</w:t>
                  </w:r>
                  <w:r>
                    <w:rPr>
                      <w:rFonts w:hint="eastAsia" w:ascii="Times New Roman" w:hAnsi="Times New Roman" w:eastAsia="宋体" w:cs="Times New Roman"/>
                      <w:kern w:val="2"/>
                      <w:sz w:val="21"/>
                      <w:szCs w:val="21"/>
                      <w:u w:val="none"/>
                      <w:lang w:val="en-US" w:eastAsia="zh-CN" w:bidi="ar-SA"/>
                    </w:rPr>
                    <w:t>依托湘阴县顽石再生科技有限公司的现有隔油池+三级沉淀池处理后由湘阴县顽石再生科技有限公司进行利用， 无生产废水排放。</w:t>
                  </w:r>
                  <w:r>
                    <w:rPr>
                      <w:rFonts w:hint="default" w:ascii="Times New Roman" w:hAnsi="Times New Roman" w:eastAsia="宋体" w:cs="Times New Roman"/>
                      <w:kern w:val="2"/>
                      <w:sz w:val="21"/>
                      <w:szCs w:val="21"/>
                      <w:u w:val="none"/>
                      <w:lang w:val="en-US" w:eastAsia="zh-CN" w:bidi="ar-SA"/>
                    </w:rPr>
                    <w:t>生活废水</w:t>
                  </w:r>
                  <w:r>
                    <w:rPr>
                      <w:rFonts w:hint="eastAsia" w:ascii="Times New Roman" w:hAnsi="Times New Roman" w:eastAsia="宋体" w:cs="Times New Roman"/>
                      <w:kern w:val="2"/>
                      <w:sz w:val="21"/>
                      <w:szCs w:val="21"/>
                      <w:u w:val="none"/>
                      <w:lang w:val="en-US" w:eastAsia="zh-CN" w:bidi="ar-SA"/>
                    </w:rPr>
                    <w:t>经化粪池处理后做农肥。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本项目对未拆解的报废机动车的贮存区、拆解作业区、产品（半成品）贮存区、危险废物暂存间采用土工布、HDPE膜等进行防渗，并做好油水收集设施。不会对</w:t>
                  </w:r>
                  <w:r>
                    <w:rPr>
                      <w:rFonts w:hint="default" w:ascii="Times New Roman" w:hAnsi="Times New Roman" w:eastAsia="宋体" w:cs="Times New Roman"/>
                      <w:kern w:val="2"/>
                      <w:sz w:val="21"/>
                      <w:szCs w:val="21"/>
                      <w:u w:val="none"/>
                      <w:lang w:val="en-US" w:eastAsia="zh-CN" w:bidi="ar-SA"/>
                    </w:rPr>
                    <w:t>土壤和地下水造成污染</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33</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7.2 拆解、破碎企业的污水经处理后直接排入水体的水质应满足 GB 8978 中的 1998 年1 月 1 日起建设（包括改、扩建）的单位的水污染物的一级排放标准要求；经处理后排入城市管网的水质应满足 GB 8978 中的 1998 年 1 月 1 日起建设（包括改、扩建）的单位的水污染物的三级排放标准要求。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的</w:t>
                  </w:r>
                  <w:r>
                    <w:rPr>
                      <w:rFonts w:hint="eastAsia" w:ascii="Times New Roman" w:hAnsi="Times New Roman" w:eastAsia="宋体" w:cs="Times New Roman"/>
                      <w:kern w:val="2"/>
                      <w:sz w:val="21"/>
                      <w:szCs w:val="21"/>
                      <w:u w:val="none"/>
                      <w:lang w:val="en-US" w:eastAsia="zh-CN" w:bidi="ar-SA"/>
                    </w:rPr>
                    <w:t>初期</w:t>
                  </w:r>
                  <w:r>
                    <w:rPr>
                      <w:rFonts w:hint="default" w:ascii="Times New Roman" w:hAnsi="Times New Roman" w:eastAsia="宋体" w:cs="Times New Roman"/>
                      <w:kern w:val="2"/>
                      <w:sz w:val="21"/>
                      <w:szCs w:val="21"/>
                      <w:u w:val="none"/>
                      <w:lang w:val="en-US" w:eastAsia="zh-CN" w:bidi="ar-SA"/>
                    </w:rPr>
                    <w:t>雨水、清洗水</w:t>
                  </w:r>
                  <w:r>
                    <w:rPr>
                      <w:rFonts w:hint="eastAsia" w:ascii="Times New Roman" w:hAnsi="Times New Roman" w:eastAsia="宋体" w:cs="Times New Roman"/>
                      <w:kern w:val="2"/>
                      <w:sz w:val="21"/>
                      <w:szCs w:val="21"/>
                      <w:u w:val="none"/>
                      <w:lang w:val="en-US" w:eastAsia="zh-CN" w:bidi="ar-SA"/>
                    </w:rPr>
                    <w:t>依托湘阴县顽石再生科技有限公司的现有隔油池+三级沉淀池处理后由湘阴县顽石再生科技有限公司进行利用， 无生产废水排放。</w:t>
                  </w:r>
                  <w:r>
                    <w:rPr>
                      <w:rFonts w:hint="default" w:ascii="Times New Roman" w:hAnsi="Times New Roman" w:eastAsia="宋体" w:cs="Times New Roman"/>
                      <w:kern w:val="2"/>
                      <w:sz w:val="21"/>
                      <w:szCs w:val="21"/>
                      <w:u w:val="none"/>
                      <w:lang w:val="en-US" w:eastAsia="zh-CN" w:bidi="ar-SA"/>
                    </w:rPr>
                    <w:t>生活废水</w:t>
                  </w:r>
                  <w:r>
                    <w:rPr>
                      <w:rFonts w:hint="eastAsia" w:ascii="Times New Roman" w:hAnsi="Times New Roman" w:eastAsia="宋体" w:cs="Times New Roman"/>
                      <w:kern w:val="2"/>
                      <w:sz w:val="21"/>
                      <w:szCs w:val="21"/>
                      <w:u w:val="none"/>
                      <w:lang w:val="en-US" w:eastAsia="zh-CN" w:bidi="ar-SA"/>
                    </w:rPr>
                    <w:t>经化粪池处理后做农肥。</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34</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7.3 拆解、破碎过程中产生的危险废物的贮存应满足 GB 18597 的要求。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产生的危险废物的贮存满足 GB 18597 的要求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35</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7.4 拆解、破碎企业产生的工业固体废物的贮存、填埋设施应满足 GB18599 的要求，焚烧设施应满足 GB 18484 的要求。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产生的工业固体废物的贮存设施满足 GB18599 的要求</w:t>
                  </w:r>
                  <w:r>
                    <w:rPr>
                      <w:rFonts w:hint="eastAsia" w:ascii="Times New Roman" w:hAnsi="Times New Roman" w:eastAsia="宋体" w:cs="Times New Roman"/>
                      <w:kern w:val="2"/>
                      <w:sz w:val="21"/>
                      <w:szCs w:val="21"/>
                      <w:u w:val="none"/>
                      <w:lang w:val="en-US" w:eastAsia="zh-CN" w:bidi="ar-SA"/>
                    </w:rPr>
                    <w:t>，本项目无填埋设施，无焚烧设施</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36</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7.5 拆解、破碎企业产生的危险废物焚烧设施应满足 GB18484 的要求，填埋设施应满足 GB 18598 的要求。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本项目无填埋设施，无焚烧设施</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37</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7.6 拆解、破碎企业除满足第 7.4、7.5 条规定外，其他烟气排放设施排放的废气应满足GB 16297 中新污染源大气污染物最高允许排放浓度的要求。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本项目排放</w:t>
                  </w:r>
                  <w:r>
                    <w:rPr>
                      <w:rFonts w:hint="default" w:ascii="Times New Roman" w:hAnsi="Times New Roman" w:eastAsia="宋体" w:cs="Times New Roman"/>
                      <w:kern w:val="2"/>
                      <w:sz w:val="21"/>
                      <w:szCs w:val="21"/>
                      <w:u w:val="none"/>
                      <w:lang w:val="en-US" w:eastAsia="zh-CN" w:bidi="ar-SA"/>
                    </w:rPr>
                    <w:t>废气满足GB 16297 中新污染源大气污染物最高允许排放浓度的要求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38</w:t>
                  </w:r>
                </w:p>
              </w:tc>
              <w:tc>
                <w:tcPr>
                  <w:tcW w:w="2127"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7.8 拆解、破碎企业的厂界噪声应满足 GB 12348 中的Ⅱ类标准要求。</w:t>
                  </w:r>
                </w:p>
              </w:tc>
              <w:tc>
                <w:tcPr>
                  <w:tcW w:w="2045"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420" w:firstLineChars="200"/>
                    <w:jc w:val="left"/>
                    <w:textAlignment w:val="bottom"/>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w:t>
                  </w:r>
                  <w:r>
                    <w:rPr>
                      <w:rFonts w:hint="default" w:ascii="Times New Roman" w:hAnsi="Times New Roman" w:eastAsia="宋体" w:cs="Times New Roman"/>
                      <w:kern w:val="2"/>
                      <w:sz w:val="21"/>
                      <w:szCs w:val="21"/>
                      <w:u w:val="none"/>
                      <w:lang w:val="en-US" w:eastAsia="zh-CN" w:bidi="ar-SA"/>
                    </w:rPr>
                    <w:t>厂界噪声应满足 GB 12348 中的Ⅱ类标准要求</w:t>
                  </w:r>
                </w:p>
              </w:tc>
              <w:tc>
                <w:tcPr>
                  <w:tcW w:w="435" w:type="pct"/>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bl>
          <w:p>
            <w:pPr>
              <w:pStyle w:val="20"/>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napToGrid/>
                <w:kern w:val="2"/>
                <w:sz w:val="24"/>
                <w:szCs w:val="22"/>
                <w:u w:val="none"/>
                <w:lang w:val="en-US" w:eastAsia="zh-CN" w:bidi="ar"/>
              </w:rPr>
            </w:pPr>
            <w:r>
              <w:rPr>
                <w:rFonts w:hint="eastAsia" w:ascii="Times New Roman" w:hAnsi="Times New Roman" w:eastAsia="宋体" w:cs="Times New Roman"/>
                <w:snapToGrid/>
                <w:kern w:val="2"/>
                <w:sz w:val="24"/>
                <w:szCs w:val="22"/>
                <w:u w:val="none"/>
                <w:lang w:val="en-US" w:eastAsia="zh-CN" w:bidi="ar"/>
              </w:rPr>
              <w:t>综上所述，评价认为在严格落实工程设计及评价要求的各种污染防治及管理措施后，项目符合《报废机动车拆解环保技术规范》（</w:t>
            </w:r>
            <w:r>
              <w:rPr>
                <w:rFonts w:hint="default" w:ascii="Times New Roman" w:hAnsi="Times New Roman" w:eastAsia="宋体" w:cs="Times New Roman"/>
                <w:snapToGrid/>
                <w:kern w:val="2"/>
                <w:sz w:val="24"/>
                <w:szCs w:val="22"/>
                <w:u w:val="none"/>
                <w:lang w:val="en-US" w:eastAsia="zh-CN" w:bidi="ar"/>
              </w:rPr>
              <w:t>HJ348-2007</w:t>
            </w:r>
            <w:r>
              <w:rPr>
                <w:rFonts w:hint="eastAsia" w:ascii="Times New Roman" w:hAnsi="Times New Roman" w:eastAsia="宋体" w:cs="Times New Roman"/>
                <w:snapToGrid/>
                <w:kern w:val="2"/>
                <w:sz w:val="24"/>
                <w:szCs w:val="22"/>
                <w:u w:val="none"/>
                <w:lang w:val="en-US" w:eastAsia="zh-CN" w:bidi="ar"/>
              </w:rPr>
              <w:t>）中有关建设及运行的环保要求。</w:t>
            </w:r>
          </w:p>
          <w:p>
            <w:pPr>
              <w:pStyle w:val="20"/>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napToGrid/>
                <w:kern w:val="2"/>
                <w:sz w:val="24"/>
                <w:szCs w:val="22"/>
                <w:u w:val="none"/>
                <w:lang w:val="en-US" w:eastAsia="zh-CN" w:bidi="ar"/>
              </w:rPr>
            </w:pPr>
          </w:p>
          <w:p>
            <w:pPr>
              <w:pStyle w:val="6"/>
              <w:suppressLineNumbers w:val="0"/>
              <w:bidi w:val="0"/>
              <w:spacing w:before="0" w:beforeAutospacing="0" w:after="0" w:afterAutospacing="0"/>
              <w:ind w:left="0" w:right="0"/>
              <w:rPr>
                <w:rFonts w:hint="eastAsia"/>
                <w:u w:val="single"/>
              </w:rPr>
            </w:pPr>
            <w:bookmarkStart w:id="311" w:name="_Toc27604"/>
            <w:r>
              <w:rPr>
                <w:rFonts w:hint="eastAsia"/>
                <w:u w:val="single"/>
                <w:lang w:val="en-US" w:eastAsia="zh-CN"/>
              </w:rPr>
              <w:t>7.10</w:t>
            </w:r>
            <w:r>
              <w:rPr>
                <w:rFonts w:hint="eastAsia"/>
                <w:u w:val="single"/>
              </w:rPr>
              <w:t>.</w:t>
            </w:r>
            <w:r>
              <w:rPr>
                <w:rFonts w:hint="eastAsia"/>
                <w:u w:val="single"/>
                <w:lang w:val="en-US" w:eastAsia="zh-CN"/>
              </w:rPr>
              <w:t>5.2</w:t>
            </w:r>
            <w:r>
              <w:rPr>
                <w:rFonts w:hint="eastAsia"/>
                <w:u w:val="single"/>
              </w:rPr>
              <w:t>与《报废机动车回收拆解企业技术规范》(GB22128-2019)的相符性分析</w:t>
            </w:r>
            <w:bookmarkEnd w:id="311"/>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452"/>
              <w:gridCol w:w="332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序号</w:t>
                  </w:r>
                </w:p>
              </w:tc>
              <w:tc>
                <w:tcPr>
                  <w:tcW w:w="2081"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GB22128 要求</w:t>
                  </w:r>
                </w:p>
              </w:tc>
              <w:tc>
                <w:tcPr>
                  <w:tcW w:w="2003"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本项目</w:t>
                  </w:r>
                </w:p>
              </w:tc>
              <w:tc>
                <w:tcPr>
                  <w:tcW w:w="4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b w:val="0"/>
                      <w:bCs w:val="0"/>
                      <w:kern w:val="2"/>
                      <w:sz w:val="21"/>
                      <w:szCs w:val="21"/>
                      <w:u w:val="single"/>
                      <w:lang w:val="en-US" w:eastAsia="zh-CN" w:bidi="ar-SA"/>
                    </w:rPr>
                  </w:pPr>
                  <w:r>
                    <w:rPr>
                      <w:rFonts w:hint="eastAsia" w:cs="Times New Roman"/>
                      <w:b w:val="0"/>
                      <w:bCs w:val="0"/>
                      <w:kern w:val="2"/>
                      <w:sz w:val="21"/>
                      <w:szCs w:val="21"/>
                      <w:u w:val="single"/>
                      <w:lang w:val="en-US" w:eastAsia="zh-CN" w:bidi="ar-SA"/>
                    </w:rPr>
                    <w:t>1</w:t>
                  </w:r>
                </w:p>
              </w:tc>
              <w:tc>
                <w:tcPr>
                  <w:tcW w:w="2081"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4.2.1企业建设项目选址应满足如下要求：a）符合所在地城市总体规划或国土空间规划；b）符合GB 50187、HJ 348的选址要求，不得建在城市居民区、商业区、饮用水水源保护区及其他环境敏感区内，旦避开受环境威胁的地带、地段和地区；c）项目所在地有工业园区或再生利用园区的应建设在园区内。</w:t>
                  </w:r>
                </w:p>
              </w:tc>
              <w:tc>
                <w:tcPr>
                  <w:tcW w:w="2003"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根据《湘阴县县城总体规划》（2000—2020）（2016年修编），本项目选址符合湘阴县规划用地要求。</w:t>
                  </w:r>
                  <w:r>
                    <w:rPr>
                      <w:rFonts w:hint="eastAsia" w:cs="Times New Roman"/>
                      <w:b w:val="0"/>
                      <w:bCs w:val="0"/>
                      <w:kern w:val="2"/>
                      <w:sz w:val="21"/>
                      <w:szCs w:val="21"/>
                      <w:u w:val="single"/>
                      <w:lang w:val="en-US" w:eastAsia="zh-CN" w:bidi="ar-SA"/>
                    </w:rPr>
                    <w:t>厂区</w:t>
                  </w:r>
                  <w:r>
                    <w:rPr>
                      <w:rFonts w:hint="eastAsia" w:ascii="Times New Roman" w:hAnsi="Times New Roman" w:eastAsia="宋体" w:cs="Times New Roman"/>
                      <w:b w:val="0"/>
                      <w:bCs w:val="0"/>
                      <w:kern w:val="2"/>
                      <w:sz w:val="21"/>
                      <w:szCs w:val="21"/>
                      <w:u w:val="single"/>
                      <w:lang w:val="en-US" w:eastAsia="zh-CN" w:bidi="ar-SA"/>
                    </w:rPr>
                    <w:t>总平面设计</w:t>
                  </w:r>
                  <w:r>
                    <w:rPr>
                      <w:rFonts w:hint="eastAsia" w:cs="Times New Roman"/>
                      <w:b w:val="0"/>
                      <w:bCs w:val="0"/>
                      <w:kern w:val="2"/>
                      <w:sz w:val="21"/>
                      <w:szCs w:val="21"/>
                      <w:u w:val="single"/>
                      <w:lang w:val="en-US" w:eastAsia="zh-CN" w:bidi="ar-SA"/>
                    </w:rPr>
                    <w:t>符合</w:t>
                  </w:r>
                  <w:r>
                    <w:rPr>
                      <w:rFonts w:hint="eastAsia" w:ascii="Times New Roman" w:hAnsi="Times New Roman" w:eastAsia="宋体" w:cs="Times New Roman"/>
                      <w:b w:val="0"/>
                      <w:bCs w:val="0"/>
                      <w:kern w:val="2"/>
                      <w:sz w:val="21"/>
                      <w:szCs w:val="21"/>
                      <w:u w:val="single"/>
                      <w:lang w:val="en-US" w:eastAsia="zh-CN" w:bidi="ar-SA"/>
                    </w:rPr>
                    <w:t>GB 50187</w:t>
                  </w:r>
                  <w:r>
                    <w:rPr>
                      <w:rFonts w:hint="eastAsia" w:cs="Times New Roman"/>
                      <w:b w:val="0"/>
                      <w:bCs w:val="0"/>
                      <w:kern w:val="2"/>
                      <w:sz w:val="21"/>
                      <w:szCs w:val="21"/>
                      <w:u w:val="single"/>
                      <w:lang w:val="en-US" w:eastAsia="zh-CN" w:bidi="ar-SA"/>
                    </w:rPr>
                    <w:t>要求，</w:t>
                  </w:r>
                  <w:r>
                    <w:rPr>
                      <w:rFonts w:hint="eastAsia" w:ascii="Times New Roman" w:hAnsi="Times New Roman" w:eastAsia="宋体" w:cs="Times New Roman"/>
                      <w:b w:val="0"/>
                      <w:bCs w:val="0"/>
                      <w:kern w:val="2"/>
                      <w:sz w:val="21"/>
                      <w:szCs w:val="21"/>
                      <w:u w:val="single"/>
                      <w:lang w:val="en-US" w:eastAsia="zh-CN" w:bidi="ar-SA"/>
                    </w:rPr>
                    <w:t>HJ 348</w:t>
                  </w:r>
                  <w:r>
                    <w:rPr>
                      <w:rFonts w:hint="eastAsia" w:cs="Times New Roman"/>
                      <w:b w:val="0"/>
                      <w:bCs w:val="0"/>
                      <w:kern w:val="2"/>
                      <w:sz w:val="21"/>
                      <w:szCs w:val="21"/>
                      <w:u w:val="single"/>
                      <w:lang w:val="en-US" w:eastAsia="zh-CN" w:bidi="ar-SA"/>
                    </w:rPr>
                    <w:t>的要求见“7.10.5.1”章节，选址</w:t>
                  </w:r>
                  <w:r>
                    <w:rPr>
                      <w:rFonts w:hint="eastAsia" w:ascii="Times New Roman" w:hAnsi="Times New Roman" w:eastAsia="宋体" w:cs="Times New Roman"/>
                      <w:b w:val="0"/>
                      <w:bCs w:val="0"/>
                      <w:kern w:val="2"/>
                      <w:sz w:val="21"/>
                      <w:szCs w:val="21"/>
                      <w:u w:val="single"/>
                      <w:lang w:val="en-US" w:eastAsia="zh-CN" w:bidi="ar-SA"/>
                    </w:rPr>
                    <w:t>不在城市居民区、商业区、饮用水水源保护区及其他环境敏感区内</w:t>
                  </w:r>
                  <w:r>
                    <w:rPr>
                      <w:rFonts w:hint="eastAsia" w:cs="Times New Roman"/>
                      <w:b w:val="0"/>
                      <w:bCs w:val="0"/>
                      <w:kern w:val="2"/>
                      <w:sz w:val="21"/>
                      <w:szCs w:val="21"/>
                      <w:u w:val="single"/>
                      <w:lang w:val="en-US" w:eastAsia="zh-CN" w:bidi="ar-SA"/>
                    </w:rPr>
                    <w:t>，</w:t>
                  </w:r>
                  <w:r>
                    <w:rPr>
                      <w:rFonts w:hint="eastAsia" w:ascii="Times New Roman" w:hAnsi="Times New Roman" w:eastAsia="宋体" w:cs="Times New Roman"/>
                      <w:b w:val="0"/>
                      <w:bCs w:val="0"/>
                      <w:kern w:val="2"/>
                      <w:sz w:val="21"/>
                      <w:szCs w:val="21"/>
                      <w:u w:val="single"/>
                      <w:lang w:val="en-US" w:eastAsia="zh-CN" w:bidi="ar-SA"/>
                    </w:rPr>
                    <w:t>旦避开受环境威胁的地带、地段和地区</w:t>
                  </w:r>
                  <w:r>
                    <w:rPr>
                      <w:rFonts w:hint="eastAsia" w:cs="Times New Roman"/>
                      <w:b w:val="0"/>
                      <w:bCs w:val="0"/>
                      <w:kern w:val="2"/>
                      <w:sz w:val="21"/>
                      <w:szCs w:val="21"/>
                      <w:u w:val="single"/>
                      <w:lang w:val="en-US" w:eastAsia="zh-CN" w:bidi="ar-SA"/>
                    </w:rPr>
                    <w:t>。湘阴县文星镇没有建设工业园区，租赁湘阴县顽石再生科技有限公司现有厂房进行建设本项目。</w:t>
                  </w:r>
                </w:p>
              </w:tc>
              <w:tc>
                <w:tcPr>
                  <w:tcW w:w="4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b w:val="0"/>
                      <w:bCs w:val="0"/>
                      <w:kern w:val="2"/>
                      <w:sz w:val="21"/>
                      <w:szCs w:val="21"/>
                      <w:u w:val="single"/>
                      <w:lang w:val="en-US" w:eastAsia="zh-CN" w:bidi="ar-SA"/>
                    </w:rPr>
                  </w:pPr>
                  <w:r>
                    <w:rPr>
                      <w:rFonts w:hint="eastAsia" w:cs="Times New Roman"/>
                      <w:b w:val="0"/>
                      <w:bCs w:val="0"/>
                      <w:kern w:val="2"/>
                      <w:sz w:val="21"/>
                      <w:szCs w:val="21"/>
                      <w:u w:val="single"/>
                      <w:lang w:val="en-US" w:eastAsia="zh-CN" w:bidi="ar-SA"/>
                    </w:rPr>
                    <w:t>2</w:t>
                  </w:r>
                </w:p>
              </w:tc>
              <w:tc>
                <w:tcPr>
                  <w:tcW w:w="2081"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4.7环保要求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 xml:space="preserve">4.7.1 报废机动车拆解过程应满足HJ 348中所规定的清污分流、污水达标排放等环境保护和污染控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制的相关要求。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 xml:space="preserve">4.7.2 应实施满足危险废物规范化管理要求的环境管理制度,其中对列入《国家危险废物名录》的危险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废物应严格按照有关规定进行管理。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left"/>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4.7.3 应满足GB 12348中所规定的2类声环境功能区工业企业厂界环境噪声排放限值要求。</w:t>
                  </w:r>
                </w:p>
              </w:tc>
              <w:tc>
                <w:tcPr>
                  <w:tcW w:w="2003"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HJ 348</w:t>
                  </w:r>
                  <w:r>
                    <w:rPr>
                      <w:rFonts w:hint="eastAsia" w:cs="Times New Roman"/>
                      <w:b w:val="0"/>
                      <w:bCs w:val="0"/>
                      <w:kern w:val="2"/>
                      <w:sz w:val="21"/>
                      <w:szCs w:val="21"/>
                      <w:u w:val="single"/>
                      <w:lang w:val="en-US" w:eastAsia="zh-CN" w:bidi="ar-SA"/>
                    </w:rPr>
                    <w:t>的要求见“7.10.5.1”章节。严格按照</w:t>
                  </w:r>
                  <w:r>
                    <w:rPr>
                      <w:rFonts w:hint="eastAsia" w:ascii="Times New Roman" w:hAnsi="Times New Roman" w:eastAsia="宋体" w:cs="Times New Roman"/>
                      <w:b w:val="0"/>
                      <w:bCs w:val="0"/>
                      <w:kern w:val="2"/>
                      <w:sz w:val="21"/>
                      <w:szCs w:val="21"/>
                      <w:u w:val="single"/>
                      <w:lang w:val="en-US" w:eastAsia="zh-CN" w:bidi="ar-SA"/>
                    </w:rPr>
                    <w:t xml:space="preserve">危险废物规范化管理要求的环境管理制度,对列入《国家危险废物名录》的危险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废物严格按照有关规定进行管理。满足GB 12348中所规定的2类声环境功能区工业企业厂界环境噪声排放限值要求</w:t>
                  </w:r>
                </w:p>
              </w:tc>
              <w:tc>
                <w:tcPr>
                  <w:tcW w:w="4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default" w:ascii="Times New Roman" w:hAnsi="Times New Roman" w:eastAsia="宋体" w:cs="Times New Roman"/>
                      <w:b w:val="0"/>
                      <w:bCs w:val="0"/>
                      <w:kern w:val="2"/>
                      <w:sz w:val="21"/>
                      <w:szCs w:val="21"/>
                      <w:u w:val="single"/>
                      <w:lang w:val="en-US" w:eastAsia="zh-CN" w:bidi="ar-SA"/>
                    </w:rPr>
                  </w:pPr>
                  <w:r>
                    <w:rPr>
                      <w:rFonts w:hint="eastAsia" w:cs="Times New Roman"/>
                      <w:b w:val="0"/>
                      <w:bCs w:val="0"/>
                      <w:kern w:val="2"/>
                      <w:sz w:val="21"/>
                      <w:szCs w:val="21"/>
                      <w:u w:val="single"/>
                      <w:lang w:val="en-US" w:eastAsia="zh-CN" w:bidi="ar-SA"/>
                    </w:rPr>
                    <w:t>3</w:t>
                  </w:r>
                </w:p>
              </w:tc>
              <w:tc>
                <w:tcPr>
                  <w:tcW w:w="2081"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6.2固体废物贮存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6.2.1 固体废物的贮存设施建设应符合GB 18599.GB 18597.HJ 2025的要求。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 xml:space="preserve">6.2.2 一般工业固体废物贮存设施及包装物应按GB 15562.2进行标识，危险废物贮存设施及包装物的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标志应符合GB 18597的要求。所有固体废物避免混合、混放。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6.2.3 妥善处置固体废物，不应非法转移、倾倒、利用和处置。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6.2.4 不同类型的制冷剂应分别回收，使用专门容器单独存放。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6.2.5 废弃电器、铅酸蓄电池贮存场地不得有明火。</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6.2.6 容器和装置要防漏和防止洒溅，未引爆安全气囊的贮存装置应防爆，并对其进行日常性检查。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6.2.7 对拆解后的所有固体废物分类贮存和标识。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6.2.8 报废机动车主要固体废物的贮存方法可参见表B.1</w:t>
                  </w:r>
                </w:p>
              </w:tc>
              <w:tc>
                <w:tcPr>
                  <w:tcW w:w="2003" w:type="pct"/>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 xml:space="preserve">固体废物的贮存设施建设符合GB 18599.GB 18597.HJ 2025的要求。 一般工业固体废物贮存设施及包装物按GB 15562.2进行标识，危险废物贮存设施及包装物的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val="0"/>
                      <w:bCs w:val="0"/>
                      <w:kern w:val="2"/>
                      <w:sz w:val="21"/>
                      <w:szCs w:val="21"/>
                      <w:u w:val="single"/>
                      <w:lang w:val="en-US" w:eastAsia="zh-CN" w:bidi="ar-SA"/>
                    </w:rPr>
                  </w:pPr>
                  <w:r>
                    <w:rPr>
                      <w:rFonts w:hint="eastAsia" w:ascii="Times New Roman" w:hAnsi="Times New Roman" w:eastAsia="宋体" w:cs="Times New Roman"/>
                      <w:b w:val="0"/>
                      <w:bCs w:val="0"/>
                      <w:kern w:val="2"/>
                      <w:sz w:val="21"/>
                      <w:szCs w:val="21"/>
                      <w:u w:val="single"/>
                      <w:lang w:val="en-US" w:eastAsia="zh-CN" w:bidi="ar-SA"/>
                    </w:rPr>
                    <w:t>标志符合GB 18597的要求。所有固体废物</w:t>
                  </w:r>
                  <w:r>
                    <w:rPr>
                      <w:rFonts w:hint="eastAsia" w:cs="Times New Roman"/>
                      <w:b w:val="0"/>
                      <w:bCs w:val="0"/>
                      <w:kern w:val="2"/>
                      <w:sz w:val="21"/>
                      <w:szCs w:val="21"/>
                      <w:u w:val="single"/>
                      <w:lang w:val="en-US" w:eastAsia="zh-CN" w:bidi="ar-SA"/>
                    </w:rPr>
                    <w:t>分类收集、存放</w:t>
                  </w:r>
                  <w:r>
                    <w:rPr>
                      <w:rFonts w:hint="eastAsia" w:ascii="Times New Roman" w:hAnsi="Times New Roman" w:eastAsia="宋体" w:cs="Times New Roman"/>
                      <w:b w:val="0"/>
                      <w:bCs w:val="0"/>
                      <w:kern w:val="2"/>
                      <w:sz w:val="21"/>
                      <w:szCs w:val="21"/>
                      <w:u w:val="single"/>
                      <w:lang w:val="en-US" w:eastAsia="zh-CN" w:bidi="ar-SA"/>
                    </w:rPr>
                    <w:t>。妥善处置固体废物，不非法转移、倾倒、利用和处置。不同类型的制冷剂分别回收，使用专门容器单独存放。废弃电器、铅酸蓄电池贮存场地不得有明火。容器和装置要防漏和防止洒溅，未引爆安全气囊的贮存装置应防爆，并对其进行日常性检查。对拆解后的所有固体废物分类贮存和标识。报废机动车主要固体废物的贮存方法可参见GB22128表B.1</w:t>
                  </w:r>
                </w:p>
              </w:tc>
              <w:tc>
                <w:tcPr>
                  <w:tcW w:w="4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single"/>
                      <w:lang w:val="en-US" w:eastAsia="zh-CN" w:bidi="ar-SA"/>
                    </w:rPr>
                  </w:pPr>
                  <w:r>
                    <w:rPr>
                      <w:rFonts w:hint="eastAsia" w:cs="Times New Roman"/>
                      <w:kern w:val="2"/>
                      <w:sz w:val="21"/>
                      <w:szCs w:val="21"/>
                      <w:u w:val="none"/>
                      <w:lang w:val="en-US" w:eastAsia="zh-CN" w:bidi="ar-SA"/>
                    </w:rPr>
                    <w:t>相符</w:t>
                  </w:r>
                </w:p>
              </w:tc>
            </w:tr>
          </w:tbl>
          <w:p>
            <w:pPr>
              <w:keepNext w:val="0"/>
              <w:keepLines w:val="0"/>
              <w:suppressLineNumbers w:val="0"/>
              <w:spacing w:before="0" w:beforeAutospacing="0" w:after="0" w:afterAutospacing="0"/>
              <w:ind w:left="0" w:right="0" w:firstLine="480"/>
              <w:rPr>
                <w:rFonts w:hint="eastAsia"/>
                <w:u w:val="none"/>
              </w:rPr>
            </w:pPr>
          </w:p>
          <w:p>
            <w:pPr>
              <w:pStyle w:val="6"/>
              <w:suppressLineNumbers w:val="0"/>
              <w:bidi w:val="0"/>
              <w:spacing w:before="0" w:beforeAutospacing="0" w:after="0" w:afterAutospacing="0"/>
              <w:ind w:left="0" w:right="0"/>
              <w:rPr>
                <w:rFonts w:hint="eastAsia"/>
                <w:u w:val="none"/>
              </w:rPr>
            </w:pPr>
            <w:bookmarkStart w:id="312" w:name="_Toc12800"/>
            <w:r>
              <w:rPr>
                <w:rFonts w:hint="eastAsia"/>
                <w:u w:val="none"/>
                <w:lang w:val="en-US" w:eastAsia="zh-CN"/>
              </w:rPr>
              <w:t>7.10.5.3与《报废机动车回收管理办法》（国务院令第</w:t>
            </w:r>
            <w:r>
              <w:rPr>
                <w:rFonts w:hint="default"/>
                <w:u w:val="none"/>
                <w:lang w:val="en-US" w:eastAsia="zh-CN"/>
              </w:rPr>
              <w:t>715</w:t>
            </w:r>
            <w:r>
              <w:rPr>
                <w:rFonts w:hint="eastAsia"/>
                <w:u w:val="none"/>
                <w:lang w:val="en-US" w:eastAsia="zh-CN"/>
              </w:rPr>
              <w:t>号）的相符性</w:t>
            </w:r>
            <w:bookmarkEnd w:id="31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506"/>
              <w:gridCol w:w="3194"/>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20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none"/>
                      <w:lang w:val="en-US" w:eastAsia="zh-CN" w:bidi="ar-SA"/>
                    </w:rPr>
                  </w:pPr>
                  <w:r>
                    <w:rPr>
                      <w:rFonts w:hint="eastAsia" w:ascii="Times New Roman" w:hAnsi="Times New Roman" w:eastAsia="宋体" w:cs="Times New Roman"/>
                      <w:b/>
                      <w:bCs/>
                      <w:kern w:val="2"/>
                      <w:sz w:val="21"/>
                      <w:szCs w:val="21"/>
                      <w:u w:val="none"/>
                      <w:lang w:val="en-US" w:eastAsia="zh-CN" w:bidi="ar-SA"/>
                    </w:rPr>
                    <w:t>序号</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default" w:ascii="Times New Roman" w:hAnsi="Times New Roman" w:eastAsia="宋体" w:cs="Times New Roman"/>
                      <w:b/>
                      <w:bCs/>
                      <w:kern w:val="2"/>
                      <w:sz w:val="21"/>
                      <w:szCs w:val="21"/>
                      <w:u w:val="none"/>
                      <w:lang w:val="en-US" w:eastAsia="zh-CN" w:bidi="ar-SA"/>
                    </w:rPr>
                  </w:pPr>
                  <w:r>
                    <w:rPr>
                      <w:rFonts w:hint="eastAsia" w:ascii="Times New Roman" w:hAnsi="Times New Roman" w:eastAsia="宋体" w:cs="Times New Roman"/>
                      <w:b/>
                      <w:bCs/>
                      <w:kern w:val="2"/>
                      <w:sz w:val="21"/>
                      <w:szCs w:val="21"/>
                      <w:u w:val="none"/>
                      <w:lang w:val="en-US" w:eastAsia="zh-CN" w:bidi="ar-SA"/>
                    </w:rPr>
                    <w:t>国务院令第</w:t>
                  </w:r>
                  <w:r>
                    <w:rPr>
                      <w:rFonts w:hint="default" w:ascii="Times New Roman" w:hAnsi="Times New Roman" w:eastAsia="宋体" w:cs="Times New Roman"/>
                      <w:b/>
                      <w:bCs/>
                      <w:kern w:val="2"/>
                      <w:sz w:val="21"/>
                      <w:szCs w:val="21"/>
                      <w:u w:val="none"/>
                      <w:lang w:val="en-US" w:eastAsia="zh-CN" w:bidi="ar-SA"/>
                    </w:rPr>
                    <w:t>715</w:t>
                  </w:r>
                  <w:r>
                    <w:rPr>
                      <w:rFonts w:hint="eastAsia" w:ascii="Times New Roman" w:hAnsi="Times New Roman" w:eastAsia="宋体" w:cs="Times New Roman"/>
                      <w:b/>
                      <w:bCs/>
                      <w:kern w:val="2"/>
                      <w:sz w:val="21"/>
                      <w:szCs w:val="21"/>
                      <w:u w:val="none"/>
                      <w:lang w:val="en-US" w:eastAsia="zh-CN" w:bidi="ar-SA"/>
                    </w:rPr>
                    <w:t>号 要求</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none"/>
                      <w:lang w:val="en-US" w:eastAsia="zh-CN" w:bidi="ar-SA"/>
                    </w:rPr>
                  </w:pPr>
                  <w:r>
                    <w:rPr>
                      <w:rFonts w:hint="eastAsia" w:ascii="Times New Roman" w:hAnsi="Times New Roman" w:eastAsia="宋体" w:cs="Times New Roman"/>
                      <w:b/>
                      <w:bCs/>
                      <w:kern w:val="2"/>
                      <w:sz w:val="21"/>
                      <w:szCs w:val="21"/>
                      <w:u w:val="none"/>
                      <w:lang w:val="en-US" w:eastAsia="zh-CN" w:bidi="ar-SA"/>
                    </w:rPr>
                    <w:t>本项目</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b/>
                      <w:bCs/>
                      <w:kern w:val="2"/>
                      <w:sz w:val="21"/>
                      <w:szCs w:val="21"/>
                      <w:u w:val="none"/>
                      <w:lang w:val="en-US" w:eastAsia="zh-CN" w:bidi="ar-SA"/>
                    </w:rPr>
                  </w:pPr>
                  <w:r>
                    <w:rPr>
                      <w:rFonts w:hint="eastAsia" w:ascii="Times New Roman" w:hAnsi="Times New Roman" w:eastAsia="宋体" w:cs="Times New Roman"/>
                      <w:b/>
                      <w:bCs/>
                      <w:kern w:val="2"/>
                      <w:sz w:val="21"/>
                      <w:szCs w:val="21"/>
                      <w:u w:val="none"/>
                      <w:lang w:val="en-US" w:eastAsia="zh-CN" w:bidi="ar-S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1</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第五条 国家对报废机动车回收企业实行资质认定制度。未经资质认定，任何单位或者个人不得从事报废机动车回收活动。</w:t>
                  </w:r>
                  <w:r>
                    <w:rPr>
                      <w:rFonts w:hint="eastAsia" w:cs="Times New Roman"/>
                      <w:kern w:val="2"/>
                      <w:sz w:val="21"/>
                      <w:szCs w:val="21"/>
                      <w:u w:val="none"/>
                      <w:lang w:val="en-US" w:eastAsia="zh-CN" w:bidi="ar-SA"/>
                    </w:rPr>
                    <w:t xml:space="preserve">   </w:t>
                  </w:r>
                  <w:r>
                    <w:rPr>
                      <w:rFonts w:hint="eastAsia" w:ascii="Times New Roman" w:hAnsi="Times New Roman" w:eastAsia="宋体" w:cs="Times New Roman"/>
                      <w:kern w:val="2"/>
                      <w:sz w:val="21"/>
                      <w:szCs w:val="21"/>
                      <w:u w:val="none"/>
                      <w:lang w:val="en-US" w:eastAsia="zh-CN" w:bidi="ar-SA"/>
                    </w:rPr>
                    <w:t>国家鼓励机动车生产企业从事报废机动车回收活动。机动车生产企业按照国家有关规定承担生产者责任。</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待项目建成后，到有关部门进行资质认定制度</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leftChars="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2</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第六条 取得报废机动车回收资质认定，应当具备下列条件：（一）具有企业法人资格；（二）具有符合环境保护等有关法律、法规和强制性标准要求的存储、拆解场地，拆解设备、设施以及拆解操作规范；（三）具有与报废机动车拆解活动相适应的专业技术人员。</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本项目具有企业法人资格；具有符合环境保护等有关法律、法规和强制性标准要求的存储、拆解场地，拆解设备、设施以及拆解操作规范；具有与报废机动车拆解活动相适应的专业技术人员。</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3</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第十一条 回收的报废机动车必须按照有关规定予以拆解；其中，回收的报废大型客车、货车等营运车辆和校车，应当在公安机关的监督下解体。</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本项目回收的报废机动车严格按照有关规定予以拆解；其中，回收的报废大型客车、货车等营运车辆和校车，在公安机关的监督下解体。</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4</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第十二条 拆解的报废机动车“五大总成”具备再制造条件的，可以按照国家有关规定出售给具有再制造能力的企业经过再制造予以循环利用；不具备再制造条件的，应当作为废金属，交售给钢铁企业作为冶炼原料。</w:t>
                  </w:r>
                  <w:r>
                    <w:rPr>
                      <w:rFonts w:hint="eastAsia" w:cs="Times New Roman"/>
                      <w:kern w:val="2"/>
                      <w:sz w:val="21"/>
                      <w:szCs w:val="21"/>
                      <w:u w:val="none"/>
                      <w:lang w:val="en-US" w:eastAsia="zh-CN" w:bidi="ar-SA"/>
                    </w:rPr>
                    <w:t xml:space="preserve">    </w:t>
                  </w:r>
                  <w:r>
                    <w:rPr>
                      <w:rFonts w:hint="eastAsia" w:ascii="Times New Roman" w:hAnsi="Times New Roman" w:eastAsia="宋体" w:cs="Times New Roman"/>
                      <w:kern w:val="2"/>
                      <w:sz w:val="21"/>
                      <w:szCs w:val="21"/>
                      <w:u w:val="none"/>
                      <w:lang w:val="en-US" w:eastAsia="zh-CN" w:bidi="ar-SA"/>
                    </w:rPr>
                    <w:t>拆解的报废机动车“五大总成”以外的零部件符合保障人身和财产安全等强制性国家标准，能够继续使用的，可以出售，但应当标明“报废机动车回用件”。</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拆解的报废机动车“五大总成”具备再制造条件的，按照国家有关规定出售给具有再制造能力的企业经过再制造予以循环利用；不具备再制造条件的，作为废金属，交售给钢铁企业作为冶炼原料。拆解的报废机动车“五大总成”以外的零部件符合保障人身和财产安全等强制性国家标准，能够继续使用的，予以出售，并标明“报废机动车回用件”。</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5</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第十四条 拆解报废机动车，应当遵守环境保护法律、法规和强制性标准，采取有效措施保护环境，不得造成环境污染。</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本项目严格遵守环境保护法律、法规和强制性标准，采取有效措施保护环境，不造成环境污染。</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20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6</w:t>
                  </w:r>
                </w:p>
              </w:tc>
              <w:tc>
                <w:tcPr>
                  <w:tcW w:w="3609"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第十五条 禁止任何单位或者个人利用报废机动车“五大总成”和其他零部件拼装机动车，禁止拼装的机动车交易。</w:t>
                  </w:r>
                  <w:r>
                    <w:rPr>
                      <w:rFonts w:hint="eastAsia" w:cs="Times New Roman"/>
                      <w:kern w:val="2"/>
                      <w:sz w:val="21"/>
                      <w:szCs w:val="21"/>
                      <w:u w:val="none"/>
                      <w:lang w:val="en-US" w:eastAsia="zh-CN" w:bidi="ar-SA"/>
                    </w:rPr>
                    <w:t xml:space="preserve">    </w:t>
                  </w:r>
                  <w:r>
                    <w:rPr>
                      <w:rFonts w:hint="eastAsia" w:ascii="Times New Roman" w:hAnsi="Times New Roman" w:eastAsia="宋体" w:cs="Times New Roman"/>
                      <w:kern w:val="2"/>
                      <w:sz w:val="21"/>
                      <w:szCs w:val="21"/>
                      <w:u w:val="none"/>
                      <w:lang w:val="en-US" w:eastAsia="zh-CN" w:bidi="ar-SA"/>
                    </w:rPr>
                    <w:t>除机动车所有人将报废机动车依法交售给报废机动车回收企业外，禁止报废机动车整车交易。</w:t>
                  </w:r>
                </w:p>
              </w:tc>
              <w:tc>
                <w:tcPr>
                  <w:tcW w:w="3285"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420" w:firstLineChars="200"/>
                    <w:jc w:val="left"/>
                    <w:textAlignment w:val="bottom"/>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kern w:val="2"/>
                      <w:sz w:val="21"/>
                      <w:szCs w:val="21"/>
                      <w:u w:val="none"/>
                      <w:lang w:val="en-US" w:eastAsia="zh-CN" w:bidi="ar-SA"/>
                    </w:rPr>
                    <w:t>本项目仅对报废机动车进行拆解，无拼装，无拼装机动车交易，无报废机动车整车交易</w:t>
                  </w:r>
                </w:p>
              </w:tc>
              <w:tc>
                <w:tcPr>
                  <w:tcW w:w="964" w:type="dxa"/>
                </w:tcPr>
                <w:p>
                  <w:pPr>
                    <w:keepNext w:val="0"/>
                    <w:keepLines w:val="0"/>
                    <w:pageBreakBefore w:val="0"/>
                    <w:widowControl/>
                    <w:suppressLineNumbers w:val="0"/>
                    <w:kinsoku/>
                    <w:wordWrap/>
                    <w:overflowPunct/>
                    <w:topLinePunct w:val="0"/>
                    <w:autoSpaceDE/>
                    <w:autoSpaceDN/>
                    <w:bidi w:val="0"/>
                    <w:adjustRightInd w:val="0"/>
                    <w:snapToGrid w:val="0"/>
                    <w:spacing w:before="164" w:beforeLines="50" w:beforeAutospacing="0" w:after="164" w:afterLines="50" w:afterAutospacing="0" w:line="0" w:lineRule="atLeast"/>
                    <w:ind w:left="0" w:right="0" w:firstLine="0" w:firstLineChars="0"/>
                    <w:jc w:val="center"/>
                    <w:textAlignment w:val="bottom"/>
                    <w:rPr>
                      <w:rFonts w:hint="eastAsia"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相符</w:t>
                  </w:r>
                </w:p>
              </w:tc>
            </w:tr>
          </w:tbl>
          <w:p>
            <w:pPr>
              <w:pStyle w:val="4"/>
              <w:suppressLineNumbers w:val="0"/>
              <w:bidi w:val="0"/>
              <w:spacing w:before="0" w:beforeAutospacing="0" w:after="0" w:afterAutospacing="0"/>
              <w:ind w:left="0" w:right="0"/>
              <w:rPr>
                <w:rFonts w:hint="default"/>
                <w:u w:val="none"/>
              </w:rPr>
            </w:pPr>
            <w:bookmarkStart w:id="313" w:name="_Toc8150"/>
            <w:bookmarkStart w:id="314" w:name="_Toc535229815"/>
            <w:bookmarkStart w:id="315" w:name="_Toc2905"/>
            <w:r>
              <w:rPr>
                <w:rFonts w:hint="eastAsia"/>
                <w:u w:val="none"/>
                <w:lang w:val="en-US" w:eastAsia="zh-CN"/>
              </w:rPr>
              <w:t>7.11</w:t>
            </w:r>
            <w:r>
              <w:rPr>
                <w:rFonts w:hint="default"/>
                <w:u w:val="none"/>
              </w:rPr>
              <w:t>环境监控与环境管理计划</w:t>
            </w:r>
            <w:bookmarkEnd w:id="313"/>
            <w:bookmarkEnd w:id="314"/>
            <w:bookmarkEnd w:id="315"/>
          </w:p>
          <w:p>
            <w:pPr>
              <w:keepNext w:val="0"/>
              <w:keepLines w:val="0"/>
              <w:suppressLineNumbers w:val="0"/>
              <w:spacing w:before="0" w:beforeAutospacing="0" w:after="0" w:afterAutospacing="0"/>
              <w:ind w:left="0" w:right="0" w:firstLine="480"/>
              <w:rPr>
                <w:rFonts w:hint="default"/>
                <w:u w:val="none"/>
              </w:rPr>
            </w:pPr>
            <w:r>
              <w:rPr>
                <w:rFonts w:hint="default"/>
                <w:u w:val="none"/>
              </w:rPr>
              <w:t>根据前述环境影响分析和评价，项目在运营期均会对周围环境产生一定的影响，因此建设单位应加强项目试生产后的环境保护管理及环境监控，以便及时了解项目排放的污染物对环境造成影响的情况，并及时采取相应措施，消除不利因素，尽量减轻项目对环境的污染，使各项环保措施落实到实处，以尽可能降低项目对环境的影响。</w:t>
            </w:r>
          </w:p>
          <w:p>
            <w:pPr>
              <w:pStyle w:val="5"/>
              <w:suppressLineNumbers w:val="0"/>
              <w:bidi w:val="0"/>
              <w:spacing w:before="0" w:beforeAutospacing="0" w:after="0" w:afterAutospacing="0"/>
              <w:ind w:left="0" w:right="0"/>
              <w:rPr>
                <w:rFonts w:hint="default" w:ascii="Times New Roman" w:hAnsi="Times New Roman" w:cs="Times New Roman"/>
                <w:color w:val="auto"/>
                <w:u w:val="single"/>
              </w:rPr>
            </w:pPr>
            <w:bookmarkStart w:id="316" w:name="_Toc535229816"/>
            <w:bookmarkStart w:id="317" w:name="_Toc12044"/>
            <w:bookmarkStart w:id="318" w:name="_Toc3553"/>
            <w:r>
              <w:rPr>
                <w:rFonts w:hint="eastAsia"/>
                <w:u w:val="single"/>
                <w:lang w:val="en-US" w:eastAsia="zh-CN"/>
              </w:rPr>
              <w:t>7.11.</w:t>
            </w:r>
            <w:r>
              <w:rPr>
                <w:rFonts w:hint="default" w:ascii="Times New Roman" w:hAnsi="Times New Roman" w:cs="Times New Roman"/>
                <w:color w:val="auto"/>
                <w:u w:val="single"/>
              </w:rPr>
              <w:t>1环境管理</w:t>
            </w:r>
            <w:bookmarkEnd w:id="316"/>
            <w:bookmarkEnd w:id="317"/>
            <w:bookmarkEnd w:id="318"/>
            <w:r>
              <w:rPr>
                <w:rFonts w:hint="eastAsia" w:ascii="Times New Roman" w:hAnsi="Times New Roman" w:cs="Times New Roman"/>
                <w:color w:val="auto"/>
                <w:u w:val="single"/>
              </w:rPr>
              <w:t>及持续改善计划</w:t>
            </w:r>
          </w:p>
          <w:p>
            <w:pPr>
              <w:keepNext w:val="0"/>
              <w:keepLines w:val="0"/>
              <w:suppressLineNumbers w:val="0"/>
              <w:bidi w:val="0"/>
              <w:spacing w:before="0" w:beforeAutospacing="0" w:after="0" w:afterAutospacing="0"/>
              <w:ind w:left="0" w:right="0"/>
              <w:rPr>
                <w:rFonts w:hint="eastAsia"/>
                <w:u w:val="single"/>
                <w:lang w:val="en-GB" w:eastAsia="zh-CN"/>
              </w:rPr>
            </w:pPr>
            <w:r>
              <w:rPr>
                <w:rFonts w:hint="eastAsia"/>
                <w:u w:val="single"/>
                <w:lang w:val="en-GB" w:eastAsia="zh-CN"/>
              </w:rPr>
              <w:t>环境管理是以环境科学理论为基础，运用经济、法律、技术、行政、教育等手段对经济、社会发展过程中施加给环境的污染和破坏影响进行调节控制，实现经济、社会和环境效益的和谐统一。本评价依据国家对报废机动车拆解环境技术规范的要求，结合本项目的实际环境问题，提出建成后改项目的环境管理和监测计划，供各级生态环境管理部门对该项目进行环境管理时参考，并做为企业环境保护管理工作的依据。</w:t>
            </w:r>
          </w:p>
          <w:p>
            <w:pPr>
              <w:pStyle w:val="6"/>
              <w:suppressLineNumbers w:val="0"/>
              <w:bidi w:val="0"/>
              <w:spacing w:before="0" w:beforeAutospacing="0" w:after="0" w:afterAutospacing="0"/>
              <w:ind w:left="0" w:right="0"/>
              <w:rPr>
                <w:rFonts w:hint="eastAsia" w:eastAsia="宋体"/>
                <w:u w:val="single"/>
                <w:lang w:eastAsia="zh-CN"/>
              </w:rPr>
            </w:pPr>
            <w:bookmarkStart w:id="319" w:name="_Toc28814"/>
            <w:bookmarkStart w:id="320" w:name="_Toc20187"/>
            <w:bookmarkStart w:id="321" w:name="_Toc9872"/>
            <w:bookmarkStart w:id="322" w:name="_Toc7377"/>
            <w:bookmarkStart w:id="323" w:name="_Toc4401676"/>
            <w:bookmarkStart w:id="324" w:name="_Toc23691"/>
            <w:bookmarkStart w:id="325" w:name="_Toc19004"/>
            <w:r>
              <w:rPr>
                <w:rFonts w:hint="eastAsia"/>
                <w:u w:val="single"/>
                <w:lang w:val="en-US" w:eastAsia="zh-CN"/>
              </w:rPr>
              <w:t>7.11</w:t>
            </w:r>
            <w:r>
              <w:rPr>
                <w:rFonts w:hint="default" w:ascii="Times New Roman" w:hAnsi="Times New Roman" w:cs="Times New Roman"/>
                <w:u w:val="single"/>
              </w:rPr>
              <w:t>.1.1</w:t>
            </w:r>
            <w:bookmarkEnd w:id="319"/>
            <w:bookmarkEnd w:id="320"/>
            <w:bookmarkEnd w:id="321"/>
            <w:bookmarkEnd w:id="322"/>
            <w:bookmarkEnd w:id="323"/>
            <w:bookmarkEnd w:id="324"/>
            <w:r>
              <w:rPr>
                <w:rFonts w:hint="eastAsia"/>
                <w:u w:val="single"/>
                <w:lang w:eastAsia="zh-CN"/>
              </w:rPr>
              <w:t>环境管理组织机构</w:t>
            </w:r>
            <w:bookmarkEnd w:id="32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bookmarkStart w:id="326" w:name="_Toc20312"/>
            <w:bookmarkEnd w:id="326"/>
            <w:bookmarkStart w:id="327" w:name="_Toc13020"/>
            <w:bookmarkEnd w:id="327"/>
            <w:bookmarkStart w:id="328" w:name="_Toc29787"/>
            <w:bookmarkEnd w:id="328"/>
            <w:bookmarkStart w:id="329" w:name="_Toc11786"/>
            <w:bookmarkEnd w:id="329"/>
            <w:bookmarkStart w:id="330" w:name="_Toc10401"/>
            <w:bookmarkEnd w:id="330"/>
            <w:r>
              <w:rPr>
                <w:rFonts w:hint="default" w:ascii="Times New Roman" w:hAnsi="Times New Roman" w:eastAsia="宋体" w:cs="Times New Roman"/>
                <w:sz w:val="24"/>
                <w:szCs w:val="24"/>
                <w:u w:val="single"/>
              </w:rPr>
              <w:t>建议公司加强环保管理，将环境保护工作纳入正常生产管理之中，根据公司的实际情况应增设环保科室，具体负责全公司的环保管理工作，配备专职环保管理干部，负责与环保管理部门联系，监督、检查环保设施的运行情况和环保制度的执行情况，不断提高公司的环保管理水平。环保机构的主要职责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（1）贯彻执行国家与地方制定的有关环境保护法律与政策，协调生产建设与保护环境的关系，处理生产中发生的环境问题，制定可操作的环保管理制度；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（2）建立各污染源档案和环保设施的运行记录，尤其是危险废物的档案记录；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（3）负责监督检查环保设施的运行状况、治理效果、存在问题。安排落实环保设施的日常维持和维修；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（4）做好应急事故处理的准备，制定环境风险事故应急预案；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（5）作好环境保护的宣传和环保技能培训工作，提高工作人员的环保意识和业务素质。</w:t>
            </w:r>
          </w:p>
          <w:p>
            <w:pPr>
              <w:pStyle w:val="6"/>
              <w:suppressLineNumbers w:val="0"/>
              <w:bidi w:val="0"/>
              <w:spacing w:before="0" w:beforeAutospacing="0" w:after="0" w:afterAutospacing="0"/>
              <w:ind w:left="0" w:right="0"/>
              <w:rPr>
                <w:rFonts w:hint="eastAsia"/>
                <w:u w:val="single"/>
                <w:lang w:eastAsia="zh-CN"/>
              </w:rPr>
            </w:pPr>
            <w:bookmarkStart w:id="331" w:name="_Toc4401677"/>
            <w:bookmarkStart w:id="332" w:name="_Toc30825"/>
            <w:r>
              <w:rPr>
                <w:rFonts w:hint="eastAsia"/>
                <w:u w:val="single"/>
                <w:lang w:val="en-US" w:eastAsia="zh-CN"/>
              </w:rPr>
              <w:t>7.11</w:t>
            </w:r>
            <w:r>
              <w:rPr>
                <w:rFonts w:hint="default" w:ascii="Times New Roman" w:hAnsi="Times New Roman" w:cs="Times New Roman"/>
                <w:u w:val="single"/>
              </w:rPr>
              <w:t>.1.</w:t>
            </w:r>
            <w:r>
              <w:rPr>
                <w:rFonts w:hint="eastAsia" w:ascii="Times New Roman" w:hAnsi="Times New Roman" w:cs="Times New Roman"/>
                <w:u w:val="single"/>
              </w:rPr>
              <w:t>2</w:t>
            </w:r>
            <w:bookmarkEnd w:id="331"/>
            <w:r>
              <w:rPr>
                <w:rFonts w:hint="eastAsia"/>
                <w:u w:val="single"/>
                <w:lang w:eastAsia="zh-CN"/>
              </w:rPr>
              <w:t>环境管理规章制度</w:t>
            </w:r>
            <w:bookmarkEnd w:id="332"/>
          </w:p>
          <w:p>
            <w:pPr>
              <w:keepNext w:val="0"/>
              <w:keepLines w:val="0"/>
              <w:numPr>
                <w:ilvl w:val="0"/>
                <w:numId w:val="6"/>
              </w:numPr>
              <w:suppressLineNumbers w:val="0"/>
              <w:spacing w:before="0" w:beforeAutospacing="0" w:after="0" w:afterAutospacing="0"/>
              <w:ind w:left="0" w:right="0"/>
              <w:rPr>
                <w:rFonts w:hint="eastAsia"/>
                <w:u w:val="single"/>
                <w:lang w:eastAsia="zh-CN"/>
              </w:rPr>
            </w:pPr>
            <w:r>
              <w:rPr>
                <w:rFonts w:hint="eastAsia"/>
                <w:u w:val="single"/>
                <w:lang w:eastAsia="zh-CN"/>
              </w:rPr>
              <w:t>贯彻执行“三同时”制度</w:t>
            </w:r>
          </w:p>
          <w:p>
            <w:pPr>
              <w:keepNext w:val="0"/>
              <w:keepLines w:val="0"/>
              <w:suppressLineNumbers w:val="0"/>
              <w:bidi w:val="0"/>
              <w:spacing w:before="0" w:beforeAutospacing="0" w:after="0" w:afterAutospacing="0"/>
              <w:ind w:left="0" w:right="0"/>
              <w:rPr>
                <w:rFonts w:hint="eastAsia" w:eastAsia="宋体"/>
                <w:u w:val="single"/>
                <w:lang w:eastAsia="zh-CN"/>
              </w:rPr>
            </w:pPr>
            <w:r>
              <w:rPr>
                <w:rFonts w:hint="eastAsia"/>
                <w:u w:val="single"/>
                <w:lang w:eastAsia="zh-CN"/>
              </w:rPr>
              <w:t>项目建设过程中必须认真贯彻执行“三同时”制度。设计单位必须将本报告所确定的环境保护设施与主体工程同时设计，工程建设单位必须保证防治污染及其他公害的设施与主体工程项目同时施工、同时投入运行，工程竣工后，应提交有环保内容高德竣工验收报告或专项竣工验收报告，经生态环境主管部门验收合格后，方可投入运行。</w:t>
            </w:r>
          </w:p>
          <w:p>
            <w:pPr>
              <w:keepNext w:val="0"/>
              <w:keepLines w:val="0"/>
              <w:numPr>
                <w:ilvl w:val="0"/>
                <w:numId w:val="6"/>
              </w:numPr>
              <w:suppressLineNumbers w:val="0"/>
              <w:spacing w:before="0" w:beforeAutospacing="0" w:after="0" w:afterAutospacing="0"/>
              <w:ind w:left="0" w:right="0"/>
              <w:rPr>
                <w:rFonts w:hint="eastAsia"/>
                <w:u w:val="single"/>
                <w:lang w:eastAsia="zh-CN"/>
              </w:rPr>
            </w:pPr>
            <w:r>
              <w:rPr>
                <w:rFonts w:hint="eastAsia"/>
                <w:u w:val="single"/>
                <w:lang w:eastAsia="zh-CN"/>
              </w:rPr>
              <w:t>执行排污申报登记</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按照国家和地方环境保护规定，企业应及时向地方环境保护主管部门申报登记污染物排放情况，经环保部门批准后，方可按分配的指标排放。</w:t>
            </w:r>
          </w:p>
          <w:p>
            <w:pPr>
              <w:keepNext w:val="0"/>
              <w:keepLines w:val="0"/>
              <w:numPr>
                <w:ilvl w:val="0"/>
                <w:numId w:val="6"/>
              </w:numPr>
              <w:suppressLineNumbers w:val="0"/>
              <w:bidi w:val="0"/>
              <w:spacing w:before="0" w:beforeAutospacing="0" w:after="0" w:afterAutospacing="0"/>
              <w:ind w:left="0" w:right="0"/>
              <w:rPr>
                <w:rFonts w:hint="eastAsia"/>
                <w:u w:val="single"/>
                <w:lang w:eastAsia="zh-CN"/>
              </w:rPr>
            </w:pPr>
            <w:r>
              <w:rPr>
                <w:rFonts w:hint="eastAsia"/>
                <w:u w:val="single"/>
                <w:lang w:eastAsia="zh-CN"/>
              </w:rPr>
              <w:t>环境设施运行管理制度</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应建立环保设施定期检查制度和污染治理措施岗位责任制，实行污染治理岗位运行记录制度，以确保污染治理设施稳定高效运行。当污染治理设施发生故障时，应及时组织抢修，并根据实际情况采取相应措施（包括减产和停止生产），防止污染事故的发生。</w:t>
            </w:r>
          </w:p>
          <w:p>
            <w:pPr>
              <w:keepNext w:val="0"/>
              <w:keepLines w:val="0"/>
              <w:numPr>
                <w:ilvl w:val="0"/>
                <w:numId w:val="6"/>
              </w:numPr>
              <w:suppressLineNumbers w:val="0"/>
              <w:spacing w:before="0" w:beforeAutospacing="0" w:after="0" w:afterAutospacing="0"/>
              <w:ind w:left="0" w:right="0"/>
              <w:rPr>
                <w:rFonts w:hint="eastAsia"/>
                <w:u w:val="single"/>
                <w:lang w:eastAsia="zh-CN"/>
              </w:rPr>
            </w:pPr>
            <w:r>
              <w:rPr>
                <w:rFonts w:hint="eastAsia"/>
                <w:u w:val="single"/>
                <w:lang w:eastAsia="zh-CN"/>
              </w:rPr>
              <w:t>建立企业环保档案</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企业应对处理装置等进行定期监测，建立污染源档案，发现污染物非正常排放时，应分析原因并及时采取相应措施，以控制污染影响的范围和程度。按照《报废机动车拆解环境保护技术规范》（</w:t>
            </w:r>
            <w:r>
              <w:rPr>
                <w:rFonts w:hint="eastAsia"/>
                <w:u w:val="single"/>
                <w:lang w:val="en-US" w:eastAsia="zh-CN"/>
              </w:rPr>
              <w:t>HJ348-2007</w:t>
            </w:r>
            <w:r>
              <w:rPr>
                <w:rFonts w:hint="eastAsia"/>
                <w:u w:val="single"/>
                <w:lang w:eastAsia="zh-CN"/>
              </w:rPr>
              <w:t>）要求，建立报废车辆拆解记录制度，如实及摘每批报废车辆的来源、类型、重量（数量）、收集、拆解、贮存、处置的时间，运输单位的名称和联系方式，拆解得到的产品和不可回用利用废物的数量和去向等。</w:t>
            </w:r>
          </w:p>
          <w:p>
            <w:pPr>
              <w:keepNext w:val="0"/>
              <w:keepLines w:val="0"/>
              <w:numPr>
                <w:ilvl w:val="0"/>
                <w:numId w:val="6"/>
              </w:numPr>
              <w:suppressLineNumbers w:val="0"/>
              <w:spacing w:before="0" w:beforeAutospacing="0" w:after="0" w:afterAutospacing="0"/>
              <w:ind w:left="0" w:right="0"/>
              <w:rPr>
                <w:rFonts w:hint="eastAsia"/>
                <w:u w:val="single"/>
                <w:lang w:eastAsia="zh-CN"/>
              </w:rPr>
            </w:pPr>
            <w:r>
              <w:rPr>
                <w:rFonts w:hint="eastAsia"/>
                <w:u w:val="single"/>
                <w:lang w:eastAsia="zh-CN"/>
              </w:rPr>
              <w:t>危险废物管理制度</w:t>
            </w:r>
          </w:p>
          <w:p>
            <w:pPr>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应设置危险废物专用场地对危险废物进行管理，加强管理，危险废物储存点不得放置其他物品，应配备相关的消防器材和危险废物标志，同时，应保持储存点场地的清洁。危险废物堆放整洁，跟踪记录危险废物再生产单位内部运转的整个流程，与生产记录相结合，建立危险废物台账，如实记载产生危险废物的种类、数量、利用、贮存、处置、流向等信息。制定危险废物事故报告制度及环境保护岗位责任制，如出现危险废物事故应及时上报，报告有关确切数据、事故发生的原因、过程及采取的应急措施、处理事故的措施、过程和结果，事故潜在或间接的危险、社会影响、处理后的遗留问题、参加处理工作的有关部门和工作内容、出具有关危害与损失的证明文件等详细情况。组织制定、修订并完善本企业职业安全卫生管理制度和安全技术规程、各项环境保护制度，编制安全（环保）技术设施计划，并监督检查执行情况，确保环境保护责任到人。</w:t>
            </w:r>
          </w:p>
          <w:p>
            <w:pPr>
              <w:pStyle w:val="6"/>
              <w:suppressLineNumbers w:val="0"/>
              <w:bidi w:val="0"/>
              <w:spacing w:before="0" w:beforeAutospacing="0" w:after="0" w:afterAutospacing="0"/>
              <w:ind w:left="0" w:right="0"/>
              <w:rPr>
                <w:rFonts w:hint="eastAsia"/>
                <w:u w:val="single"/>
                <w:lang w:val="en-US" w:eastAsia="zh-CN"/>
              </w:rPr>
            </w:pPr>
            <w:bookmarkStart w:id="333" w:name="_Toc8217"/>
            <w:r>
              <w:rPr>
                <w:rFonts w:hint="eastAsia"/>
                <w:u w:val="single"/>
                <w:lang w:val="en-US" w:eastAsia="zh-CN"/>
              </w:rPr>
              <w:t>7.11.1.3环境管理计划</w:t>
            </w:r>
            <w:bookmarkEnd w:id="333"/>
          </w:p>
          <w:p>
            <w:pPr>
              <w:keepNext w:val="0"/>
              <w:keepLines w:val="0"/>
              <w:suppressLineNumbers w:val="0"/>
              <w:spacing w:before="0" w:beforeAutospacing="0" w:after="0" w:afterAutospacing="0"/>
              <w:ind w:left="0" w:right="0"/>
              <w:rPr>
                <w:rFonts w:hint="eastAsia"/>
                <w:u w:val="single"/>
                <w:lang w:val="en-US" w:eastAsia="zh-CN"/>
              </w:rPr>
            </w:pPr>
            <w:r>
              <w:rPr>
                <w:rFonts w:hint="eastAsia"/>
                <w:u w:val="single"/>
                <w:lang w:val="en-US" w:eastAsia="zh-CN"/>
              </w:rPr>
              <w:t>环境管理计划要从项目建设全过程急性，如设计阶段污染防范、施工阶段污染防治、运营后环保设施环境管理、信息反馈和群众监督等各方面形成网络管理，使环境管理工作贯穿于生产的全过程中。本项目环境管理工作计划见下表。</w:t>
            </w:r>
          </w:p>
          <w:p>
            <w:pPr>
              <w:keepNext w:val="0"/>
              <w:keepLines w:val="0"/>
              <w:suppressLineNumbers w:val="0"/>
              <w:bidi w:val="0"/>
              <w:spacing w:before="0" w:beforeAutospacing="0" w:after="0" w:afterAutospacing="0"/>
              <w:ind w:left="0" w:right="0"/>
              <w:jc w:val="center"/>
              <w:rPr>
                <w:rFonts w:hint="eastAsia"/>
                <w:b/>
                <w:bCs/>
                <w:u w:val="single"/>
                <w:lang w:val="en-US" w:eastAsia="zh-CN"/>
              </w:rPr>
            </w:pPr>
          </w:p>
          <w:p>
            <w:pPr>
              <w:keepNext w:val="0"/>
              <w:keepLines w:val="0"/>
              <w:suppressLineNumbers w:val="0"/>
              <w:bidi w:val="0"/>
              <w:spacing w:before="0" w:beforeAutospacing="0" w:after="0" w:afterAutospacing="0"/>
              <w:ind w:left="0" w:right="0"/>
              <w:jc w:val="center"/>
              <w:rPr>
                <w:rFonts w:hint="eastAsia"/>
                <w:b/>
                <w:bCs/>
                <w:u w:val="single"/>
                <w:lang w:val="en-US" w:eastAsia="zh-CN"/>
              </w:rPr>
            </w:pPr>
            <w:r>
              <w:rPr>
                <w:rFonts w:hint="eastAsia"/>
                <w:b/>
                <w:bCs/>
                <w:u w:val="single"/>
                <w:lang w:val="en-US" w:eastAsia="zh-CN"/>
              </w:rPr>
              <w:t>表7.11-1 环境管理工作计划一览表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6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项目</w:t>
                  </w:r>
                </w:p>
              </w:tc>
              <w:tc>
                <w:tcPr>
                  <w:tcW w:w="3814"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环境管理工作内容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企业环境管理总要求</w:t>
                  </w:r>
                </w:p>
              </w:tc>
              <w:tc>
                <w:tcPr>
                  <w:tcW w:w="3814"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根据国家建设项目环境保护管理规定，认真落实各项环保手续。</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正式投产前，履行“三同时”手续。</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生产中，定期请当地生态环境部门督查、检查，协助主管部门做好环境管理工作，对不达标装置及时整改。</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做好环境监测工作。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生产运营阶段</w:t>
                  </w:r>
                </w:p>
              </w:tc>
              <w:tc>
                <w:tcPr>
                  <w:tcW w:w="3814"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保证环保设施正常运行，主动接受环保部门督查，备有事故应急措施。</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（1）主管副经理全面负责环保工作。</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环保科室负责厂内环保设施的管理和维护。</w:t>
                  </w:r>
                </w:p>
                <w:p>
                  <w:pPr>
                    <w:pStyle w:val="49"/>
                    <w:keepNext w:val="0"/>
                    <w:keepLines w:val="0"/>
                    <w:suppressLineNumbers w:val="0"/>
                    <w:bidi w:val="0"/>
                    <w:spacing w:before="0" w:beforeAutospacing="0" w:after="0" w:afterAutospacing="0"/>
                    <w:ind w:left="0" w:right="0"/>
                    <w:jc w:val="left"/>
                    <w:rPr>
                      <w:rFonts w:hint="default"/>
                      <w:u w:val="single"/>
                      <w:lang w:val="en-US" w:eastAsia="zh-CN"/>
                    </w:rPr>
                  </w:pPr>
                  <w:r>
                    <w:rPr>
                      <w:rFonts w:hint="eastAsia"/>
                      <w:u w:val="single"/>
                      <w:lang w:val="en-US" w:eastAsia="zh-CN"/>
                    </w:rPr>
                    <w:t>对废水的处理，应建立环保设施档案。</w:t>
                  </w:r>
                </w:p>
                <w:p>
                  <w:pPr>
                    <w:pStyle w:val="49"/>
                    <w:keepNext w:val="0"/>
                    <w:keepLines w:val="0"/>
                    <w:suppressLineNumbers w:val="0"/>
                    <w:bidi w:val="0"/>
                    <w:spacing w:before="0" w:beforeAutospacing="0" w:after="0" w:afterAutospacing="0"/>
                    <w:ind w:left="0" w:right="0"/>
                    <w:jc w:val="left"/>
                    <w:rPr>
                      <w:rFonts w:hint="default"/>
                      <w:u w:val="single"/>
                      <w:lang w:val="en-US" w:eastAsia="zh-CN"/>
                    </w:rPr>
                  </w:pPr>
                  <w:r>
                    <w:rPr>
                      <w:rFonts w:hint="eastAsia"/>
                      <w:u w:val="single"/>
                      <w:lang w:val="en-US" w:eastAsia="zh-CN"/>
                    </w:rPr>
                    <w:t>定期组织污染源监测和厂区环境监测。</w:t>
                  </w:r>
                </w:p>
                <w:p>
                  <w:pPr>
                    <w:pStyle w:val="49"/>
                    <w:keepNext w:val="0"/>
                    <w:keepLines w:val="0"/>
                    <w:suppressLineNumbers w:val="0"/>
                    <w:bidi w:val="0"/>
                    <w:spacing w:before="0" w:beforeAutospacing="0" w:after="0" w:afterAutospacing="0"/>
                    <w:ind w:left="0" w:right="0"/>
                    <w:jc w:val="left"/>
                    <w:rPr>
                      <w:rFonts w:hint="default"/>
                      <w:u w:val="single"/>
                      <w:lang w:val="en-US" w:eastAsia="zh-CN"/>
                    </w:rPr>
                  </w:pPr>
                  <w:r>
                    <w:rPr>
                      <w:rFonts w:hint="eastAsia"/>
                      <w:u w:val="single"/>
                      <w:lang w:val="en-US" w:eastAsia="zh-CN"/>
                    </w:rPr>
                    <w:t>事故应急方案合理，应急设备设齐全、完好。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信息反馈和群众监督</w:t>
                  </w:r>
                </w:p>
              </w:tc>
              <w:tc>
                <w:tcPr>
                  <w:tcW w:w="3814" w:type="pct"/>
                  <w:tcBorders>
                    <w:tl2br w:val="nil"/>
                    <w:tr2bl w:val="nil"/>
                  </w:tcBorders>
                  <w:noWrap w:val="0"/>
                  <w:vAlign w:val="top"/>
                </w:tcPr>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反馈监测数据，加强群众监督，改进污染治理工作。</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建立奖惩制度，保证环保设施正常运转。</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归纳整理监测数据。</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收集附近村民意见。</w:t>
                  </w:r>
                </w:p>
                <w:p>
                  <w:pPr>
                    <w:pStyle w:val="49"/>
                    <w:keepNext w:val="0"/>
                    <w:keepLines w:val="0"/>
                    <w:suppressLineNumbers w:val="0"/>
                    <w:bidi w:val="0"/>
                    <w:spacing w:before="0" w:beforeAutospacing="0" w:after="0" w:afterAutospacing="0"/>
                    <w:ind w:left="0" w:right="0"/>
                    <w:jc w:val="left"/>
                    <w:rPr>
                      <w:rFonts w:hint="eastAsia"/>
                      <w:u w:val="single"/>
                      <w:lang w:val="en-US" w:eastAsia="zh-CN"/>
                    </w:rPr>
                  </w:pPr>
                  <w:r>
                    <w:rPr>
                      <w:rFonts w:hint="eastAsia"/>
                      <w:u w:val="single"/>
                      <w:lang w:val="en-US" w:eastAsia="zh-CN"/>
                    </w:rPr>
                    <w:t>配合环保部门的检查和验收。</w:t>
                  </w:r>
                </w:p>
              </w:tc>
            </w:tr>
          </w:tbl>
          <w:p>
            <w:pPr>
              <w:pStyle w:val="6"/>
              <w:suppressLineNumbers w:val="0"/>
              <w:bidi w:val="0"/>
              <w:spacing w:before="0" w:beforeAutospacing="0" w:after="0" w:afterAutospacing="0"/>
              <w:ind w:left="0" w:right="0"/>
              <w:rPr>
                <w:rFonts w:hint="eastAsia"/>
                <w:u w:val="single"/>
                <w:lang w:val="en-US" w:eastAsia="zh-CN"/>
              </w:rPr>
            </w:pPr>
            <w:bookmarkStart w:id="334" w:name="_Toc15890"/>
            <w:r>
              <w:rPr>
                <w:rFonts w:hint="eastAsia"/>
                <w:u w:val="single"/>
                <w:lang w:val="en-US" w:eastAsia="zh-CN"/>
              </w:rPr>
              <w:t>7.11.1.4规范化管理</w:t>
            </w:r>
            <w:bookmarkEnd w:id="334"/>
            <w:r>
              <w:rPr>
                <w:rFonts w:hint="eastAsia"/>
                <w:u w:val="single"/>
                <w:lang w:val="en-US" w:eastAsia="zh-CN"/>
              </w:rPr>
              <w:t>措施</w:t>
            </w:r>
          </w:p>
          <w:p>
            <w:pPr>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（1）本项目应完成废水、废气、噪声排放源、一般固体废物堆放场和危险废物堆放场的规范化建设，其投资应纳入生产设备之中。</w:t>
            </w:r>
            <w:r>
              <w:rPr>
                <w:rFonts w:hint="default"/>
                <w:u w:val="single"/>
              </w:rPr>
              <w:t>根据《环境保护图形标志—排放口（源）》（GB15562.1-1995）标准要求</w:t>
            </w:r>
            <w:r>
              <w:rPr>
                <w:rFonts w:hint="eastAsia"/>
                <w:u w:val="single"/>
                <w:lang w:eastAsia="zh-CN"/>
              </w:rPr>
              <w:t>，对</w:t>
            </w:r>
            <w:r>
              <w:rPr>
                <w:rFonts w:hint="eastAsia"/>
                <w:u w:val="single"/>
                <w:lang w:val="en-US" w:eastAsia="zh-CN"/>
              </w:rPr>
              <w:t>各污染源排放口设置专项图标，标志牌应设在与之功能相应的醒目处，并保持清晰、完整。</w:t>
            </w:r>
          </w:p>
          <w:p>
            <w:pPr>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（2）在废水、噪声排放源、一般固体废物堆放场和危险废物堆放场设立或挂上标志牌，标志牌应注明污染物名称以警示周围群众。</w:t>
            </w:r>
          </w:p>
          <w:p>
            <w:pPr>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（4）建设单位应如实填写《中华人民共和国规范化排污口登记证》的有关内容，由环保主管部门签发登记证。建设单位应把有关排污情况及污染防治措施的运行情况建档管理，并报主管部门备案。</w:t>
            </w:r>
          </w:p>
          <w:p>
            <w:pPr>
              <w:keepNext w:val="0"/>
              <w:keepLines w:val="0"/>
              <w:suppressLineNumbers w:val="0"/>
              <w:bidi w:val="0"/>
              <w:spacing w:before="0" w:beforeAutospacing="0" w:after="0" w:afterAutospacing="0"/>
              <w:ind w:left="0" w:right="0"/>
              <w:jc w:val="center"/>
              <w:rPr>
                <w:rFonts w:hint="default"/>
                <w:b/>
                <w:bCs/>
                <w:u w:val="none"/>
              </w:rPr>
            </w:pPr>
            <w:r>
              <w:rPr>
                <w:rFonts w:hint="eastAsia"/>
                <w:b/>
                <w:bCs/>
                <w:u w:val="none"/>
                <w:lang w:val="en-US" w:eastAsia="zh-CN"/>
              </w:rPr>
              <w:t>表7.11-2</w:t>
            </w:r>
            <w:r>
              <w:rPr>
                <w:rFonts w:hint="default"/>
                <w:b/>
                <w:bCs/>
                <w:u w:val="none"/>
              </w:rPr>
              <w:t xml:space="preserve"> 排放口图形标志</w:t>
            </w:r>
          </w:p>
          <w:tbl>
            <w:tblPr>
              <w:tblStyle w:val="23"/>
              <w:tblW w:w="81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4"/>
              <w:gridCol w:w="2475"/>
              <w:gridCol w:w="2400"/>
              <w:gridCol w:w="21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1204" w:type="dxa"/>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排放口</w:t>
                  </w:r>
                </w:p>
              </w:tc>
              <w:tc>
                <w:tcPr>
                  <w:tcW w:w="2475" w:type="dxa"/>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噪声源</w:t>
                  </w:r>
                </w:p>
              </w:tc>
              <w:tc>
                <w:tcPr>
                  <w:tcW w:w="2400" w:type="dxa"/>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固体废物堆放场</w:t>
                  </w:r>
                </w:p>
              </w:tc>
              <w:tc>
                <w:tcPr>
                  <w:tcW w:w="2119" w:type="dxa"/>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危险废物堆场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2" w:hRule="atLeast"/>
                <w:jc w:val="center"/>
              </w:trPr>
              <w:tc>
                <w:tcPr>
                  <w:tcW w:w="1204" w:type="dxa"/>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图形符号</w:t>
                  </w:r>
                </w:p>
              </w:tc>
              <w:tc>
                <w:tcPr>
                  <w:tcW w:w="2475" w:type="dxa"/>
                  <w:noWrap w:val="0"/>
                  <w:vAlign w:val="top"/>
                </w:tcPr>
                <w:p>
                  <w:pPr>
                    <w:pStyle w:val="53"/>
                    <w:keepNext w:val="0"/>
                    <w:keepLines w:val="0"/>
                    <w:suppressLineNumbers w:val="0"/>
                    <w:bidi w:val="0"/>
                    <w:spacing w:beforeAutospacing="0" w:afterAutospacing="0"/>
                    <w:ind w:left="0" w:right="0"/>
                    <w:jc w:val="center"/>
                    <w:rPr>
                      <w:rFonts w:hint="default"/>
                      <w:sz w:val="21"/>
                      <w:szCs w:val="21"/>
                      <w:u w:val="none"/>
                      <w:lang w:val="en-US" w:eastAsia="zh-CN"/>
                    </w:rPr>
                  </w:pPr>
                  <w:r>
                    <w:rPr>
                      <w:rFonts w:hint="default"/>
                      <w:sz w:val="21"/>
                      <w:szCs w:val="21"/>
                      <w:u w:val="none"/>
                      <w:lang w:val="en-US" w:eastAsia="zh-CN"/>
                    </w:rPr>
                    <w:drawing>
                      <wp:inline distT="0" distB="0" distL="114300" distR="114300">
                        <wp:extent cx="907415" cy="869315"/>
                        <wp:effectExtent l="0" t="0" r="6985" b="6985"/>
                        <wp:docPr id="45" name="图片 19" descr="20071070041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2007107004120_2"/>
                                <pic:cNvPicPr>
                                  <a:picLocks noChangeAspect="1"/>
                                </pic:cNvPicPr>
                              </pic:nvPicPr>
                              <pic:blipFill>
                                <a:blip r:embed="rId50"/>
                                <a:srcRect l="25571" t="71022" r="52080"/>
                                <a:stretch>
                                  <a:fillRect/>
                                </a:stretch>
                              </pic:blipFill>
                              <pic:spPr>
                                <a:xfrm>
                                  <a:off x="0" y="0"/>
                                  <a:ext cx="907415" cy="869315"/>
                                </a:xfrm>
                                <a:prstGeom prst="rect">
                                  <a:avLst/>
                                </a:prstGeom>
                                <a:noFill/>
                                <a:ln>
                                  <a:noFill/>
                                </a:ln>
                              </pic:spPr>
                            </pic:pic>
                          </a:graphicData>
                        </a:graphic>
                      </wp:inline>
                    </w:drawing>
                  </w:r>
                </w:p>
              </w:tc>
              <w:tc>
                <w:tcPr>
                  <w:tcW w:w="2400" w:type="dxa"/>
                  <w:noWrap w:val="0"/>
                  <w:vAlign w:val="top"/>
                </w:tcPr>
                <w:p>
                  <w:pPr>
                    <w:pStyle w:val="53"/>
                    <w:keepNext w:val="0"/>
                    <w:keepLines w:val="0"/>
                    <w:suppressLineNumbers w:val="0"/>
                    <w:bidi w:val="0"/>
                    <w:spacing w:beforeAutospacing="0" w:afterAutospacing="0"/>
                    <w:ind w:left="0" w:right="0"/>
                    <w:jc w:val="center"/>
                    <w:rPr>
                      <w:rFonts w:hint="default"/>
                      <w:sz w:val="21"/>
                      <w:szCs w:val="21"/>
                      <w:u w:val="none"/>
                      <w:lang w:val="en-US" w:eastAsia="zh-CN"/>
                    </w:rPr>
                  </w:pPr>
                  <w:r>
                    <w:rPr>
                      <w:rFonts w:hint="default"/>
                      <w:sz w:val="21"/>
                      <w:szCs w:val="21"/>
                      <w:u w:val="none"/>
                      <w:lang w:val="en-US" w:eastAsia="zh-CN"/>
                    </w:rPr>
                    <w:drawing>
                      <wp:inline distT="0" distB="0" distL="114300" distR="114300">
                        <wp:extent cx="907415" cy="869315"/>
                        <wp:effectExtent l="0" t="0" r="6985" b="6985"/>
                        <wp:docPr id="47" name="图片 21" descr="20071070041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2007107004120_2"/>
                                <pic:cNvPicPr>
                                  <a:picLocks noChangeAspect="1"/>
                                </pic:cNvPicPr>
                              </pic:nvPicPr>
                              <pic:blipFill>
                                <a:blip r:embed="rId50"/>
                                <a:srcRect l="77650" t="71022"/>
                                <a:stretch>
                                  <a:fillRect/>
                                </a:stretch>
                              </pic:blipFill>
                              <pic:spPr>
                                <a:xfrm>
                                  <a:off x="0" y="0"/>
                                  <a:ext cx="907415" cy="869315"/>
                                </a:xfrm>
                                <a:prstGeom prst="rect">
                                  <a:avLst/>
                                </a:prstGeom>
                                <a:noFill/>
                                <a:ln>
                                  <a:noFill/>
                                </a:ln>
                              </pic:spPr>
                            </pic:pic>
                          </a:graphicData>
                        </a:graphic>
                      </wp:inline>
                    </w:drawing>
                  </w:r>
                </w:p>
              </w:tc>
              <w:tc>
                <w:tcPr>
                  <w:tcW w:w="2119" w:type="dxa"/>
                  <w:noWrap w:val="0"/>
                  <w:vAlign w:val="center"/>
                </w:tcPr>
                <w:p>
                  <w:pPr>
                    <w:pStyle w:val="53"/>
                    <w:keepNext w:val="0"/>
                    <w:keepLines w:val="0"/>
                    <w:suppressLineNumbers w:val="0"/>
                    <w:bidi w:val="0"/>
                    <w:spacing w:beforeAutospacing="0" w:afterAutospacing="0"/>
                    <w:ind w:left="0" w:right="0"/>
                    <w:jc w:val="center"/>
                    <w:rPr>
                      <w:rFonts w:hint="default"/>
                      <w:sz w:val="21"/>
                      <w:szCs w:val="21"/>
                      <w:u w:val="none"/>
                      <w:lang w:val="en-US" w:eastAsia="zh-CN"/>
                    </w:rPr>
                  </w:pPr>
                  <w:r>
                    <w:rPr>
                      <w:rFonts w:hint="default"/>
                      <w:sz w:val="21"/>
                      <w:szCs w:val="21"/>
                      <w:u w:val="none"/>
                      <w:lang w:val="en-US" w:eastAsia="zh-CN"/>
                    </w:rPr>
                    <w:drawing>
                      <wp:inline distT="0" distB="0" distL="114300" distR="114300">
                        <wp:extent cx="575945" cy="777875"/>
                        <wp:effectExtent l="0" t="0" r="14605" b="3175"/>
                        <wp:docPr id="48" name="图片 22" descr="t01f35f134f91c9f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t01f35f134f91c9f038"/>
                                <pic:cNvPicPr>
                                  <a:picLocks noChangeAspect="1"/>
                                </pic:cNvPicPr>
                              </pic:nvPicPr>
                              <pic:blipFill>
                                <a:blip r:embed="rId51"/>
                                <a:srcRect l="4796" t="7195" r="3596"/>
                                <a:stretch>
                                  <a:fillRect/>
                                </a:stretch>
                              </pic:blipFill>
                              <pic:spPr>
                                <a:xfrm>
                                  <a:off x="0" y="0"/>
                                  <a:ext cx="575945" cy="7778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1204" w:type="dxa"/>
                  <w:noWrap w:val="0"/>
                  <w:vAlign w:val="top"/>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背景颜色</w:t>
                  </w:r>
                </w:p>
              </w:tc>
              <w:tc>
                <w:tcPr>
                  <w:tcW w:w="4875" w:type="dxa"/>
                  <w:gridSpan w:val="2"/>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绿色</w:t>
                  </w:r>
                </w:p>
              </w:tc>
              <w:tc>
                <w:tcPr>
                  <w:tcW w:w="2119" w:type="dxa"/>
                  <w:noWrap w:val="0"/>
                  <w:vAlign w:val="top"/>
                </w:tcPr>
                <w:p>
                  <w:pPr>
                    <w:pStyle w:val="53"/>
                    <w:keepNext w:val="0"/>
                    <w:keepLines w:val="0"/>
                    <w:suppressLineNumbers w:val="0"/>
                    <w:bidi w:val="0"/>
                    <w:spacing w:beforeAutospacing="0" w:afterAutospacing="0"/>
                    <w:ind w:left="0" w:right="0"/>
                    <w:rPr>
                      <w:rFonts w:hint="default"/>
                      <w:sz w:val="21"/>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204" w:type="dxa"/>
                  <w:noWrap w:val="0"/>
                  <w:vAlign w:val="top"/>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图形颜色</w:t>
                  </w:r>
                </w:p>
              </w:tc>
              <w:tc>
                <w:tcPr>
                  <w:tcW w:w="4875" w:type="dxa"/>
                  <w:gridSpan w:val="2"/>
                  <w:noWrap w:val="0"/>
                  <w:vAlign w:val="center"/>
                </w:tcPr>
                <w:p>
                  <w:pPr>
                    <w:pStyle w:val="53"/>
                    <w:keepNext w:val="0"/>
                    <w:keepLines w:val="0"/>
                    <w:suppressLineNumbers w:val="0"/>
                    <w:bidi w:val="0"/>
                    <w:spacing w:beforeAutospacing="0" w:afterAutospacing="0"/>
                    <w:ind w:left="0" w:right="0"/>
                    <w:rPr>
                      <w:rFonts w:hint="default"/>
                      <w:sz w:val="21"/>
                      <w:szCs w:val="21"/>
                      <w:u w:val="none"/>
                      <w:lang w:val="en-US" w:eastAsia="zh-CN"/>
                    </w:rPr>
                  </w:pPr>
                  <w:r>
                    <w:rPr>
                      <w:rFonts w:hint="default"/>
                      <w:sz w:val="21"/>
                      <w:szCs w:val="21"/>
                      <w:u w:val="none"/>
                      <w:lang w:val="en-US" w:eastAsia="zh-CN"/>
                    </w:rPr>
                    <w:t>白色</w:t>
                  </w:r>
                </w:p>
              </w:tc>
              <w:tc>
                <w:tcPr>
                  <w:tcW w:w="2119" w:type="dxa"/>
                  <w:noWrap w:val="0"/>
                  <w:vAlign w:val="top"/>
                </w:tcPr>
                <w:p>
                  <w:pPr>
                    <w:pStyle w:val="53"/>
                    <w:keepNext w:val="0"/>
                    <w:keepLines w:val="0"/>
                    <w:suppressLineNumbers w:val="0"/>
                    <w:bidi w:val="0"/>
                    <w:spacing w:beforeAutospacing="0" w:afterAutospacing="0"/>
                    <w:ind w:left="0" w:right="0"/>
                    <w:rPr>
                      <w:rFonts w:hint="default"/>
                      <w:sz w:val="21"/>
                      <w:szCs w:val="21"/>
                      <w:u w:val="none"/>
                      <w:lang w:val="en-US" w:eastAsia="zh-CN"/>
                    </w:rPr>
                  </w:pPr>
                </w:p>
              </w:tc>
            </w:tr>
          </w:tbl>
          <w:p>
            <w:pPr>
              <w:keepNext w:val="0"/>
              <w:keepLines w:val="0"/>
              <w:suppressLineNumbers w:val="0"/>
              <w:spacing w:before="0" w:beforeAutospacing="0" w:after="0" w:afterAutospacing="0"/>
              <w:ind w:left="0" w:right="0" w:firstLine="480"/>
              <w:rPr>
                <w:rFonts w:hint="default"/>
                <w:u w:val="none"/>
              </w:rPr>
            </w:pPr>
          </w:p>
          <w:p>
            <w:pPr>
              <w:pStyle w:val="5"/>
              <w:suppressLineNumbers w:val="0"/>
              <w:bidi w:val="0"/>
              <w:spacing w:before="0" w:beforeAutospacing="0" w:after="0" w:afterAutospacing="0"/>
              <w:ind w:left="0" w:right="0"/>
              <w:rPr>
                <w:rFonts w:hint="default" w:ascii="Times New Roman" w:hAnsi="Times New Roman" w:cs="Times New Roman"/>
                <w:color w:val="auto"/>
                <w:u w:val="none"/>
              </w:rPr>
            </w:pPr>
            <w:bookmarkStart w:id="335" w:name="_Toc535229817"/>
            <w:bookmarkStart w:id="336" w:name="_Toc25079"/>
            <w:bookmarkStart w:id="337" w:name="_Toc11457"/>
            <w:r>
              <w:rPr>
                <w:rFonts w:hint="eastAsia"/>
                <w:u w:val="none"/>
                <w:lang w:val="en-US" w:eastAsia="zh-CN"/>
              </w:rPr>
              <w:t>7.11</w:t>
            </w:r>
            <w:r>
              <w:rPr>
                <w:rFonts w:hint="default" w:ascii="Times New Roman" w:hAnsi="Times New Roman" w:cs="Times New Roman"/>
                <w:color w:val="auto"/>
                <w:u w:val="none"/>
              </w:rPr>
              <w:t>.2环境监测</w:t>
            </w:r>
            <w:bookmarkEnd w:id="335"/>
            <w:bookmarkEnd w:id="336"/>
            <w:bookmarkEnd w:id="337"/>
          </w:p>
          <w:p>
            <w:pPr>
              <w:keepNext w:val="0"/>
              <w:keepLines w:val="0"/>
              <w:suppressLineNumbers w:val="0"/>
              <w:bidi w:val="0"/>
              <w:spacing w:before="0" w:beforeAutospacing="0" w:after="0" w:afterAutospacing="0"/>
              <w:ind w:left="0" w:right="0"/>
              <w:rPr>
                <w:rFonts w:hint="default"/>
                <w:u w:val="none"/>
              </w:rPr>
            </w:pPr>
            <w:r>
              <w:rPr>
                <w:rFonts w:hint="default"/>
                <w:u w:val="none"/>
              </w:rPr>
              <w:t>环境监测是环境管理的基础，并为企业制定污染防治对策和规划提供依据。根据项目污染物排放的实际情况和就近方便的原则，该项目具体监测工作建议委托有资质的环境监测机构完成。主要任务如下：</w:t>
            </w:r>
          </w:p>
          <w:p>
            <w:pPr>
              <w:keepNext w:val="0"/>
              <w:keepLines w:val="0"/>
              <w:suppressLineNumbers w:val="0"/>
              <w:bidi w:val="0"/>
              <w:spacing w:before="0" w:beforeAutospacing="0" w:after="0" w:afterAutospacing="0"/>
              <w:ind w:left="0" w:right="0"/>
              <w:rPr>
                <w:rFonts w:hint="default"/>
                <w:u w:val="none"/>
              </w:rPr>
            </w:pPr>
            <w:r>
              <w:rPr>
                <w:rFonts w:hint="default"/>
                <w:u w:val="none"/>
              </w:rPr>
              <w:t>①定期监测建设项目排放的污染物是否符合国家所规定的排放标准；</w:t>
            </w:r>
          </w:p>
          <w:p>
            <w:pPr>
              <w:keepNext w:val="0"/>
              <w:keepLines w:val="0"/>
              <w:suppressLineNumbers w:val="0"/>
              <w:bidi w:val="0"/>
              <w:spacing w:before="0" w:beforeAutospacing="0" w:after="0" w:afterAutospacing="0"/>
              <w:ind w:left="0" w:right="0"/>
              <w:rPr>
                <w:rFonts w:hint="default"/>
                <w:u w:val="none"/>
              </w:rPr>
            </w:pPr>
            <w:r>
              <w:rPr>
                <w:rFonts w:hint="default"/>
                <w:u w:val="none"/>
              </w:rPr>
              <w:t>②分析所排污染物的变化规律，为制定污染控制措施提供依据；</w:t>
            </w:r>
          </w:p>
          <w:p>
            <w:pPr>
              <w:keepNext w:val="0"/>
              <w:keepLines w:val="0"/>
              <w:suppressLineNumbers w:val="0"/>
              <w:bidi w:val="0"/>
              <w:spacing w:before="0" w:beforeAutospacing="0" w:after="0" w:afterAutospacing="0"/>
              <w:ind w:left="0" w:right="0"/>
              <w:rPr>
                <w:rFonts w:hint="default"/>
                <w:u w:val="none"/>
              </w:rPr>
            </w:pPr>
            <w:r>
              <w:rPr>
                <w:rFonts w:hint="default"/>
                <w:u w:val="none"/>
              </w:rPr>
              <w:t>③负责污染事故的监测及报告；</w:t>
            </w:r>
          </w:p>
          <w:p>
            <w:pPr>
              <w:keepNext w:val="0"/>
              <w:keepLines w:val="0"/>
              <w:suppressLineNumbers w:val="0"/>
              <w:bidi w:val="0"/>
              <w:spacing w:before="0" w:beforeAutospacing="0" w:after="0" w:afterAutospacing="0"/>
              <w:ind w:left="0" w:right="0"/>
              <w:rPr>
                <w:rFonts w:hint="default"/>
                <w:u w:val="none"/>
              </w:rPr>
            </w:pPr>
            <w:r>
              <w:rPr>
                <w:rFonts w:hint="eastAsia"/>
                <w:u w:val="none"/>
              </w:rPr>
              <w:t>④</w:t>
            </w:r>
            <w:r>
              <w:rPr>
                <w:rFonts w:hint="default"/>
                <w:u w:val="none"/>
              </w:rPr>
              <w:t>环境监测对象主要有两个方面，即污染源监测和企业环境质量监测。</w:t>
            </w:r>
          </w:p>
          <w:p>
            <w:pPr>
              <w:keepNext w:val="0"/>
              <w:keepLines w:val="0"/>
              <w:suppressLineNumbers w:val="0"/>
              <w:bidi w:val="0"/>
              <w:spacing w:before="0" w:beforeAutospacing="0" w:after="0" w:afterAutospacing="0"/>
              <w:ind w:left="0" w:right="0"/>
              <w:rPr>
                <w:rFonts w:hint="default"/>
                <w:u w:val="none"/>
              </w:rPr>
            </w:pPr>
            <w:r>
              <w:rPr>
                <w:rFonts w:hint="eastAsia"/>
                <w:u w:val="none"/>
                <w:lang w:eastAsia="zh-CN"/>
              </w:rPr>
              <w:t>⑤</w:t>
            </w:r>
            <w:r>
              <w:rPr>
                <w:rFonts w:hint="default"/>
                <w:u w:val="none"/>
              </w:rPr>
              <w:t>根据《排污许可证申请与核发技术规范废弃资源加工工业》（HJ 1034—2019）制定环境监测计划。生活废水不进行监测。</w:t>
            </w:r>
          </w:p>
          <w:p>
            <w:pPr>
              <w:pStyle w:val="50"/>
              <w:keepNext w:val="0"/>
              <w:keepLines w:val="0"/>
              <w:suppressLineNumbers w:val="0"/>
              <w:bidi w:val="0"/>
              <w:spacing w:beforeAutospacing="0" w:after="0" w:afterAutospacing="0"/>
              <w:ind w:left="0" w:right="0"/>
              <w:rPr>
                <w:rFonts w:hint="default"/>
                <w:u w:val="none"/>
              </w:rPr>
            </w:pPr>
            <w:r>
              <w:rPr>
                <w:rFonts w:hint="eastAsia"/>
                <w:u w:val="none"/>
                <w:lang w:val="en-US" w:eastAsia="zh-CN"/>
              </w:rPr>
              <w:t>表7.11-3</w:t>
            </w:r>
            <w:r>
              <w:rPr>
                <w:rFonts w:hint="default"/>
                <w:u w:val="none"/>
              </w:rPr>
              <w:t xml:space="preserve">  环境监测计划一览表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1855"/>
              <w:gridCol w:w="1565"/>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监测点位</w:t>
                  </w:r>
                </w:p>
              </w:tc>
              <w:tc>
                <w:tcPr>
                  <w:tcW w:w="1118"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监测指标</w:t>
                  </w:r>
                </w:p>
              </w:tc>
              <w:tc>
                <w:tcPr>
                  <w:tcW w:w="94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监测频次</w:t>
                  </w:r>
                </w:p>
              </w:tc>
              <w:tc>
                <w:tcPr>
                  <w:tcW w:w="1734"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03" w:type="pct"/>
                  <w:vMerge w:val="restar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废气</w:t>
                  </w:r>
                  <w:r>
                    <w:rPr>
                      <w:rFonts w:hint="eastAsia"/>
                      <w:u w:val="none"/>
                      <w:lang w:val="en-US" w:eastAsia="zh-CN"/>
                    </w:rPr>
                    <w:t>-</w:t>
                  </w:r>
                  <w:r>
                    <w:rPr>
                      <w:rFonts w:hint="eastAsia"/>
                      <w:u w:val="none"/>
                      <w:lang w:eastAsia="zh-CN"/>
                    </w:rPr>
                    <w:t>无组织排放</w:t>
                  </w:r>
                </w:p>
              </w:tc>
              <w:tc>
                <w:tcPr>
                  <w:tcW w:w="1118"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eastAsia"/>
                      <w:u w:val="none"/>
                      <w:lang w:eastAsia="zh-CN"/>
                    </w:rPr>
                    <w:t>颗粒物</w:t>
                  </w:r>
                  <w:r>
                    <w:rPr>
                      <w:rFonts w:hint="eastAsia"/>
                      <w:u w:val="none"/>
                      <w:lang w:val="en-US" w:eastAsia="zh-CN"/>
                    </w:rPr>
                    <w:t>（厂界）</w:t>
                  </w:r>
                </w:p>
              </w:tc>
              <w:tc>
                <w:tcPr>
                  <w:tcW w:w="94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lang w:val="en-US" w:eastAsia="zh-CN"/>
                    </w:rPr>
                    <w:t>1年1次</w:t>
                  </w:r>
                </w:p>
              </w:tc>
              <w:tc>
                <w:tcPr>
                  <w:tcW w:w="1734"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03" w:type="pct"/>
                  <w:vMerge w:val="continue"/>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8"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NMHC（厂内）</w:t>
                  </w:r>
                </w:p>
              </w:tc>
              <w:tc>
                <w:tcPr>
                  <w:tcW w:w="94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1年1次</w:t>
                  </w:r>
                </w:p>
              </w:tc>
              <w:tc>
                <w:tcPr>
                  <w:tcW w:w="1734"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rPr>
                    <w:t>《</w:t>
                  </w:r>
                  <w:r>
                    <w:rPr>
                      <w:rFonts w:hint="eastAsia"/>
                      <w:u w:val="none"/>
                      <w:lang w:eastAsia="zh-CN"/>
                    </w:rPr>
                    <w:t>挥发性有机物无组织排放控制标准》（</w:t>
                  </w:r>
                  <w:r>
                    <w:rPr>
                      <w:rFonts w:hint="eastAsia"/>
                      <w:u w:val="none"/>
                      <w:lang w:val="en-US" w:eastAsia="zh-CN"/>
                    </w:rPr>
                    <w:t>GB37822-2019</w:t>
                  </w:r>
                  <w:r>
                    <w:rPr>
                      <w:rFonts w:hint="eastAsia"/>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四周厂界外1m处</w:t>
                  </w:r>
                </w:p>
              </w:tc>
              <w:tc>
                <w:tcPr>
                  <w:tcW w:w="1118"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rPr>
                  </w:pPr>
                  <w:r>
                    <w:rPr>
                      <w:rFonts w:hint="eastAsia"/>
                      <w:u w:val="none"/>
                    </w:rPr>
                    <w:t>等效声级</w:t>
                  </w:r>
                </w:p>
              </w:tc>
              <w:tc>
                <w:tcPr>
                  <w:tcW w:w="943"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1年1次</w:t>
                  </w:r>
                </w:p>
              </w:tc>
              <w:tc>
                <w:tcPr>
                  <w:tcW w:w="1734" w:type="pct"/>
                  <w:tcBorders>
                    <w:tl2br w:val="nil"/>
                    <w:tr2bl w:val="nil"/>
                  </w:tcBorders>
                  <w:noWrap w:val="0"/>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《工业企业厂界环境噪声排放标准》（GB12348-2008）</w:t>
                  </w:r>
                  <w:r>
                    <w:rPr>
                      <w:rFonts w:hint="eastAsia"/>
                      <w:u w:val="none"/>
                      <w:lang w:val="en-US" w:eastAsia="zh-CN"/>
                    </w:rPr>
                    <w:t>2</w:t>
                  </w:r>
                  <w:r>
                    <w:rPr>
                      <w:rFonts w:hint="eastAsia"/>
                      <w:u w:val="none"/>
                    </w:rPr>
                    <w:t>类标准</w:t>
                  </w:r>
                </w:p>
              </w:tc>
            </w:tr>
          </w:tbl>
          <w:p>
            <w:pPr>
              <w:pStyle w:val="5"/>
              <w:suppressLineNumbers w:val="0"/>
              <w:bidi w:val="0"/>
              <w:spacing w:before="0" w:beforeAutospacing="0" w:after="0" w:afterAutospacing="0"/>
              <w:ind w:left="0" w:right="0"/>
              <w:rPr>
                <w:rFonts w:hint="eastAsia"/>
                <w:u w:val="none"/>
                <w:lang w:val="en-US" w:eastAsia="zh-CN"/>
              </w:rPr>
            </w:pPr>
            <w:bookmarkStart w:id="338" w:name="_Toc1543"/>
            <w:bookmarkStart w:id="339" w:name="_Toc10859"/>
          </w:p>
          <w:p>
            <w:pPr>
              <w:pStyle w:val="5"/>
              <w:suppressLineNumbers w:val="0"/>
              <w:bidi w:val="0"/>
              <w:spacing w:before="0" w:beforeAutospacing="0" w:after="0" w:afterAutospacing="0"/>
              <w:ind w:left="0" w:right="0"/>
              <w:rPr>
                <w:rFonts w:hint="eastAsia" w:cs="Times New Roman"/>
                <w:color w:val="auto"/>
                <w:u w:val="none"/>
                <w:lang w:val="en-US" w:eastAsia="zh-CN"/>
              </w:rPr>
            </w:pPr>
            <w:r>
              <w:rPr>
                <w:rFonts w:hint="eastAsia"/>
                <w:u w:val="none"/>
                <w:lang w:val="en-US" w:eastAsia="zh-CN"/>
              </w:rPr>
              <w:t>7.11</w:t>
            </w:r>
            <w:r>
              <w:rPr>
                <w:rFonts w:hint="default" w:ascii="Times New Roman" w:hAnsi="Times New Roman" w:cs="Times New Roman"/>
                <w:color w:val="auto"/>
                <w:u w:val="none"/>
              </w:rPr>
              <w:t>.</w:t>
            </w:r>
            <w:r>
              <w:rPr>
                <w:rFonts w:hint="eastAsia" w:cs="Times New Roman"/>
                <w:color w:val="auto"/>
                <w:u w:val="none"/>
                <w:lang w:val="en-US" w:eastAsia="zh-CN"/>
              </w:rPr>
              <w:t>3环保投资</w:t>
            </w:r>
          </w:p>
          <w:p>
            <w:pPr>
              <w:pStyle w:val="55"/>
              <w:keepNext w:val="0"/>
              <w:keepLines w:val="0"/>
              <w:suppressLineNumbers w:val="0"/>
              <w:spacing w:before="163" w:beforeLines="50" w:beforeAutospacing="0" w:after="0" w:afterAutospacing="0"/>
              <w:ind w:left="0" w:right="0" w:firstLine="0" w:firstLineChars="0"/>
              <w:jc w:val="center"/>
              <w:rPr>
                <w:rFonts w:hint="default"/>
                <w:b/>
                <w:bCs/>
                <w:iCs/>
                <w:sz w:val="24"/>
                <w:u w:val="single"/>
              </w:rPr>
            </w:pPr>
            <w:r>
              <w:rPr>
                <w:rFonts w:hint="eastAsia"/>
                <w:b/>
                <w:bCs/>
                <w:u w:val="single"/>
                <w:lang w:val="en-US" w:eastAsia="zh-CN"/>
              </w:rPr>
              <w:t>表7.11-4</w:t>
            </w:r>
            <w:r>
              <w:rPr>
                <w:rFonts w:hint="default"/>
                <w:b/>
                <w:bCs/>
                <w:iCs/>
                <w:sz w:val="24"/>
                <w:u w:val="single"/>
              </w:rPr>
              <w:t xml:space="preserve">  项目环保设施投资一览表</w:t>
            </w:r>
          </w:p>
          <w:tbl>
            <w:tblPr>
              <w:tblStyle w:val="51"/>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845"/>
              <w:gridCol w:w="2531"/>
              <w:gridCol w:w="2484"/>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类别</w:t>
                  </w:r>
                </w:p>
              </w:tc>
              <w:tc>
                <w:tcPr>
                  <w:tcW w:w="18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项目</w:t>
                  </w:r>
                </w:p>
              </w:tc>
              <w:tc>
                <w:tcPr>
                  <w:tcW w:w="2531" w:type="dxa"/>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污染物</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治理措施</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投资</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废气</w:t>
                  </w:r>
                </w:p>
              </w:tc>
              <w:tc>
                <w:tcPr>
                  <w:tcW w:w="1845"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无组织废气</w:t>
                  </w:r>
                </w:p>
              </w:tc>
              <w:tc>
                <w:tcPr>
                  <w:tcW w:w="2531" w:type="dxa"/>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非甲烷总烃</w:t>
                  </w:r>
                </w:p>
              </w:tc>
              <w:tc>
                <w:tcPr>
                  <w:tcW w:w="2484"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密闭抽取废油液等</w:t>
                  </w:r>
                </w:p>
              </w:tc>
              <w:tc>
                <w:tcPr>
                  <w:tcW w:w="1040"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颗粒物</w:t>
                  </w:r>
                </w:p>
              </w:tc>
              <w:tc>
                <w:tcPr>
                  <w:tcW w:w="2484"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无组织排放</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废水</w:t>
                  </w:r>
                </w:p>
              </w:tc>
              <w:tc>
                <w:tcPr>
                  <w:tcW w:w="18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生活废水</w:t>
                  </w:r>
                </w:p>
              </w:tc>
              <w:tc>
                <w:tcPr>
                  <w:tcW w:w="2531" w:type="dxa"/>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氨氮（NH3-N）、化学需氧量、五日生化需氧量、悬浮物、动植物油</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化粪池</w:t>
                  </w:r>
                </w:p>
              </w:tc>
              <w:tc>
                <w:tcPr>
                  <w:tcW w:w="1040" w:type="dxa"/>
                  <w:vMerge w:val="restart"/>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r>
                    <w:rPr>
                      <w:rFonts w:hint="default"/>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车间清洗废水、车辆清洗废水</w:t>
                  </w:r>
                </w:p>
              </w:tc>
              <w:tc>
                <w:tcPr>
                  <w:tcW w:w="2531" w:type="dxa"/>
                </w:tcPr>
                <w:p>
                  <w:pPr>
                    <w:pStyle w:val="49"/>
                    <w:keepNext w:val="0"/>
                    <w:keepLines w:val="0"/>
                    <w:suppressLineNumbers w:val="0"/>
                    <w:bidi w:val="0"/>
                    <w:spacing w:before="0" w:beforeAutospacing="0" w:after="0" w:afterAutospacing="0"/>
                    <w:ind w:left="0" w:right="0"/>
                    <w:rPr>
                      <w:rFonts w:hint="eastAsia"/>
                      <w:u w:val="single"/>
                      <w:lang w:eastAsia="zh-CN"/>
                    </w:rPr>
                  </w:pPr>
                  <w:r>
                    <w:rPr>
                      <w:rFonts w:hint="default"/>
                      <w:u w:val="single"/>
                    </w:rPr>
                    <w:t>氨氮（NH3-N）、化学需氧量、悬浮物、</w:t>
                  </w:r>
                  <w:r>
                    <w:rPr>
                      <w:rFonts w:hint="eastAsia"/>
                      <w:u w:val="single"/>
                      <w:lang w:eastAsia="zh-CN"/>
                    </w:rPr>
                    <w:t>石油类</w:t>
                  </w:r>
                </w:p>
              </w:tc>
              <w:tc>
                <w:tcPr>
                  <w:tcW w:w="2484"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eastAsia"/>
                      <w:u w:val="single"/>
                      <w:lang w:eastAsia="zh-CN"/>
                    </w:rPr>
                    <w:t>车间地面冲洗废水、报废车辆清洗废水、初期雨水经依托湘阴县顽石再生科技有限公司隔油池+三级沉淀池处理后由《湘阴县顽石再生科技有限公司利用建筑垃圾等废弃资源年产</w:t>
                  </w:r>
                  <w:r>
                    <w:rPr>
                      <w:rFonts w:hint="eastAsia"/>
                      <w:u w:val="single"/>
                      <w:lang w:val="en-US" w:eastAsia="zh-CN"/>
                    </w:rPr>
                    <w:t>30万吨预拌砂浆项目</w:t>
                  </w:r>
                  <w:r>
                    <w:rPr>
                      <w:rFonts w:hint="eastAsia"/>
                      <w:u w:val="single"/>
                      <w:lang w:eastAsia="zh-CN"/>
                    </w:rPr>
                    <w:t>》</w:t>
                  </w:r>
                  <w:r>
                    <w:rPr>
                      <w:rFonts w:hint="eastAsia"/>
                      <w:u w:val="single"/>
                    </w:rPr>
                    <w:t>进行制砖用，不排放</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Align w:val="center"/>
                </w:tcPr>
                <w:p>
                  <w:pPr>
                    <w:pStyle w:val="49"/>
                    <w:keepNext w:val="0"/>
                    <w:keepLines w:val="0"/>
                    <w:suppressLineNumbers w:val="0"/>
                    <w:bidi w:val="0"/>
                    <w:spacing w:before="0" w:beforeAutospacing="0" w:after="0" w:afterAutospacing="0"/>
                    <w:ind w:left="0" w:right="0"/>
                    <w:rPr>
                      <w:rFonts w:hint="eastAsia"/>
                      <w:u w:val="single"/>
                      <w:lang w:eastAsia="zh-CN"/>
                    </w:rPr>
                  </w:pPr>
                  <w:r>
                    <w:rPr>
                      <w:rFonts w:hint="eastAsia"/>
                      <w:u w:val="single"/>
                      <w:lang w:eastAsia="zh-CN"/>
                    </w:rPr>
                    <w:t>初期雨水</w:t>
                  </w:r>
                </w:p>
              </w:tc>
              <w:tc>
                <w:tcPr>
                  <w:tcW w:w="2531" w:type="dxa"/>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氨氮（NH3-N）、化学需氧量、悬浮物、</w:t>
                  </w:r>
                  <w:r>
                    <w:rPr>
                      <w:rFonts w:hint="eastAsia"/>
                      <w:u w:val="single"/>
                      <w:lang w:eastAsia="zh-CN"/>
                    </w:rPr>
                    <w:t>石油类</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eastAsia"/>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固体</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废物</w:t>
                  </w:r>
                </w:p>
              </w:tc>
              <w:tc>
                <w:tcPr>
                  <w:tcW w:w="1845"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危险废物</w:t>
                  </w: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废蓄电池</w:t>
                  </w:r>
                </w:p>
              </w:tc>
              <w:tc>
                <w:tcPr>
                  <w:tcW w:w="2484"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危废暂存间暂存（</w:t>
                  </w:r>
                  <w:r>
                    <w:rPr>
                      <w:rFonts w:hint="eastAsia"/>
                      <w:u w:val="single"/>
                      <w:lang w:val="en-US" w:eastAsia="zh-CN"/>
                    </w:rPr>
                    <w:t>1</w:t>
                  </w:r>
                  <w:r>
                    <w:rPr>
                      <w:rFonts w:hint="default"/>
                      <w:u w:val="single"/>
                    </w:rPr>
                    <w:t>00㎡），有资质单位处理</w:t>
                  </w:r>
                </w:p>
              </w:tc>
              <w:tc>
                <w:tcPr>
                  <w:tcW w:w="1040"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废液化气罐</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废尾气净化装置</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废机油</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废制动油</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废变速箱油</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废液压油（机动车）</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废防冻液</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废汽、柴油</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废制冷剂</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废油箱</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废滤清器</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含汞开关、线路板</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电容器</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废润滑油</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（汽车拆卸过程）</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废液压油</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（汽车拆卸过程）</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废油桶</w:t>
                  </w:r>
                </w:p>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（汽车拆卸过程）</w:t>
                  </w:r>
                </w:p>
              </w:tc>
              <w:tc>
                <w:tcPr>
                  <w:tcW w:w="2484"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一般固废</w:t>
                  </w: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不可再利用材料</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一般固废暂存间暂存（</w:t>
                  </w:r>
                  <w:r>
                    <w:rPr>
                      <w:rFonts w:hint="eastAsia"/>
                      <w:u w:val="single"/>
                      <w:lang w:val="en-US" w:eastAsia="zh-CN"/>
                    </w:rPr>
                    <w:t>5</w:t>
                  </w:r>
                  <w:r>
                    <w:rPr>
                      <w:rFonts w:hint="default"/>
                      <w:u w:val="single"/>
                    </w:rPr>
                    <w:t>0㎡），外售</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含油手套及抹布</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环卫部门统一处理</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18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生活垃圾</w:t>
                  </w:r>
                </w:p>
              </w:tc>
              <w:tc>
                <w:tcPr>
                  <w:tcW w:w="2531"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生活垃圾</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环卫部门统一处理</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噪声</w:t>
                  </w:r>
                </w:p>
              </w:tc>
              <w:tc>
                <w:tcPr>
                  <w:tcW w:w="1845"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噪声</w:t>
                  </w:r>
                </w:p>
              </w:tc>
              <w:tc>
                <w:tcPr>
                  <w:tcW w:w="2531" w:type="dxa"/>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噪声</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隔声、减振、消声等措施</w:t>
                  </w:r>
                </w:p>
              </w:tc>
              <w:tc>
                <w:tcPr>
                  <w:tcW w:w="1040" w:type="dxa"/>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其他</w:t>
                  </w:r>
                </w:p>
              </w:tc>
              <w:tc>
                <w:tcPr>
                  <w:tcW w:w="4376" w:type="dxa"/>
                  <w:gridSpan w:val="2"/>
                  <w:vMerge w:val="restart"/>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防渗处理</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重点防渗区： 未拆解的报废机动车的贮存区、拆解作业区、产品（半成品）贮存区、危险废物暂存间</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4376" w:type="dxa"/>
                  <w:gridSpan w:val="2"/>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一般防渗区：一般固废暂存间</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4376" w:type="dxa"/>
                  <w:gridSpan w:val="2"/>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简单防渗区：厂区道路、办公区、绿化带等</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4376"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风险监控</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针对主要风险源，设立风险监控及应急系统</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49"/>
                    <w:keepNext w:val="0"/>
                    <w:keepLines w:val="0"/>
                    <w:suppressLineNumbers w:val="0"/>
                    <w:bidi w:val="0"/>
                    <w:spacing w:before="0" w:beforeAutospacing="0" w:after="0" w:afterAutospacing="0"/>
                    <w:ind w:left="0" w:right="0"/>
                    <w:rPr>
                      <w:rFonts w:hint="default"/>
                      <w:u w:val="single"/>
                    </w:rPr>
                  </w:pPr>
                </w:p>
              </w:tc>
              <w:tc>
                <w:tcPr>
                  <w:tcW w:w="4376" w:type="dxa"/>
                  <w:gridSpan w:val="2"/>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风险管理</w:t>
                  </w:r>
                </w:p>
              </w:tc>
              <w:tc>
                <w:tcPr>
                  <w:tcW w:w="2484"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安全培训</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6" w:type="dxa"/>
                  <w:gridSpan w:val="4"/>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合计</w:t>
                  </w:r>
                </w:p>
              </w:tc>
              <w:tc>
                <w:tcPr>
                  <w:tcW w:w="1040" w:type="dxa"/>
                  <w:vAlign w:val="center"/>
                </w:tcPr>
                <w:p>
                  <w:pPr>
                    <w:pStyle w:val="49"/>
                    <w:keepNext w:val="0"/>
                    <w:keepLines w:val="0"/>
                    <w:suppressLineNumbers w:val="0"/>
                    <w:bidi w:val="0"/>
                    <w:spacing w:before="0" w:beforeAutospacing="0" w:after="0" w:afterAutospacing="0"/>
                    <w:ind w:left="0" w:right="0"/>
                    <w:rPr>
                      <w:rFonts w:hint="default"/>
                      <w:u w:val="single"/>
                    </w:rPr>
                  </w:pPr>
                  <w:r>
                    <w:rPr>
                      <w:rFonts w:hint="default"/>
                      <w:u w:val="single"/>
                    </w:rPr>
                    <w:t>129</w:t>
                  </w:r>
                </w:p>
              </w:tc>
            </w:tr>
          </w:tbl>
          <w:p>
            <w:pPr>
              <w:pStyle w:val="5"/>
              <w:suppressLineNumbers w:val="0"/>
              <w:bidi w:val="0"/>
              <w:spacing w:before="0" w:beforeAutospacing="0" w:after="0" w:afterAutospacing="0"/>
              <w:ind w:left="0" w:right="0"/>
              <w:rPr>
                <w:rFonts w:hint="default" w:ascii="Times New Roman" w:hAnsi="Times New Roman" w:cs="Times New Roman"/>
                <w:color w:val="auto"/>
                <w:u w:val="none"/>
              </w:rPr>
            </w:pPr>
            <w:r>
              <w:rPr>
                <w:rFonts w:hint="eastAsia" w:cs="Times New Roman"/>
                <w:color w:val="auto"/>
                <w:u w:val="none"/>
                <w:lang w:val="en-US" w:eastAsia="zh-CN"/>
              </w:rPr>
              <w:t>7.11.4</w:t>
            </w:r>
            <w:r>
              <w:rPr>
                <w:rFonts w:hint="default" w:ascii="Times New Roman" w:hAnsi="Times New Roman" w:cs="Times New Roman"/>
                <w:color w:val="auto"/>
                <w:u w:val="none"/>
              </w:rPr>
              <w:t>“三同时”环境保护设施竣工验收一览方案</w:t>
            </w:r>
            <w:bookmarkEnd w:id="338"/>
            <w:bookmarkEnd w:id="339"/>
          </w:p>
          <w:p>
            <w:pPr>
              <w:keepNext w:val="0"/>
              <w:keepLines w:val="0"/>
              <w:suppressLineNumbers w:val="0"/>
              <w:spacing w:before="0" w:beforeAutospacing="0" w:after="0" w:afterAutospacing="0"/>
              <w:ind w:left="0" w:right="0" w:firstLine="480"/>
              <w:rPr>
                <w:rFonts w:hint="default"/>
                <w:u w:val="none"/>
              </w:rPr>
            </w:pPr>
            <w:r>
              <w:rPr>
                <w:rFonts w:hint="default"/>
                <w:u w:val="none"/>
              </w:rPr>
              <w:t>根据《建设项目环境保护设施竣工验收管理规定》，工程试运行前，建设单位应会同施工单位、设计单位检查其环境保护设施是否符合“三同时”要求，建设单位要确保建设项目的环境保护设施和主体工程同时投入试运行。根据本工程建设特点，环评提出如下环境保护设施竣工验收方案，主要内容如下：</w:t>
            </w:r>
          </w:p>
          <w:p>
            <w:pPr>
              <w:keepNext w:val="0"/>
              <w:keepLines w:val="0"/>
              <w:suppressLineNumbers w:val="0"/>
              <w:spacing w:before="0" w:beforeAutospacing="0" w:after="0" w:afterAutospacing="0" w:line="240" w:lineRule="auto"/>
              <w:ind w:left="0" w:right="0" w:firstLine="0" w:firstLineChars="0"/>
              <w:jc w:val="center"/>
              <w:rPr>
                <w:rFonts w:hint="default"/>
                <w:b/>
                <w:kern w:val="0"/>
                <w:sz w:val="21"/>
                <w:szCs w:val="21"/>
                <w:u w:val="none"/>
              </w:rPr>
            </w:pPr>
            <w:r>
              <w:rPr>
                <w:rFonts w:hint="eastAsia"/>
                <w:b/>
                <w:bCs/>
                <w:u w:val="none"/>
                <w:lang w:val="en-US" w:eastAsia="zh-CN"/>
              </w:rPr>
              <w:t>表7.11-5</w:t>
            </w:r>
            <w:r>
              <w:rPr>
                <w:rFonts w:hint="default"/>
                <w:b/>
                <w:kern w:val="0"/>
                <w:sz w:val="21"/>
                <w:szCs w:val="21"/>
                <w:u w:val="none"/>
              </w:rPr>
              <w:t xml:space="preserve">  环境保护竣工验收一览表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021"/>
              <w:gridCol w:w="1488"/>
              <w:gridCol w:w="1400"/>
              <w:gridCol w:w="904"/>
              <w:gridCol w:w="949"/>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类型</w:t>
                  </w:r>
                </w:p>
              </w:tc>
              <w:tc>
                <w:tcPr>
                  <w:tcW w:w="61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污染源</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主要污染因子</w:t>
                  </w:r>
                </w:p>
              </w:tc>
              <w:tc>
                <w:tcPr>
                  <w:tcW w:w="84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环保措施</w:t>
                  </w: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排放方式</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排放去向</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废气</w:t>
                  </w:r>
                </w:p>
              </w:tc>
              <w:tc>
                <w:tcPr>
                  <w:tcW w:w="616"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无组织排放废气</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非甲烷总烃</w:t>
                  </w:r>
                </w:p>
              </w:tc>
              <w:tc>
                <w:tcPr>
                  <w:tcW w:w="844"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val="en-US" w:eastAsia="zh-CN"/>
                    </w:rPr>
                    <w:t>/</w:t>
                  </w: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无组织排放</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空气</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w:t>
                  </w:r>
                  <w:r>
                    <w:rPr>
                      <w:rFonts w:hint="eastAsia"/>
                      <w:u w:val="none"/>
                      <w:lang w:eastAsia="zh-CN"/>
                    </w:rPr>
                    <w:t>挥发性有机物无组织排放控制标准》（</w:t>
                  </w:r>
                  <w:r>
                    <w:rPr>
                      <w:rFonts w:hint="eastAsia"/>
                      <w:u w:val="none"/>
                      <w:lang w:val="en-US" w:eastAsia="zh-CN"/>
                    </w:rPr>
                    <w:t>GB37822-2019</w:t>
                  </w:r>
                  <w:r>
                    <w:rPr>
                      <w:rFonts w:hint="eastAsia"/>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3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16"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颗粒物</w:t>
                  </w:r>
                  <w:r>
                    <w:rPr>
                      <w:rFonts w:hint="eastAsia"/>
                      <w:u w:val="none"/>
                      <w:lang w:val="en-US" w:eastAsia="zh-CN"/>
                    </w:rPr>
                    <w:t>（厂界）</w:t>
                  </w:r>
                </w:p>
              </w:tc>
              <w:tc>
                <w:tcPr>
                  <w:tcW w:w="844" w:type="pct"/>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移动式除尘器</w:t>
                  </w: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无组织排放</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空气</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32"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废水</w:t>
                  </w:r>
                </w:p>
              </w:tc>
              <w:tc>
                <w:tcPr>
                  <w:tcW w:w="616"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生活污水</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pH、COD、氨氮、SS、动植物油等</w:t>
                  </w:r>
                </w:p>
              </w:tc>
              <w:tc>
                <w:tcPr>
                  <w:tcW w:w="844" w:type="pct"/>
                  <w:vAlign w:val="center"/>
                </w:tcPr>
                <w:p>
                  <w:pPr>
                    <w:pStyle w:val="49"/>
                    <w:keepNext w:val="0"/>
                    <w:keepLines w:val="0"/>
                    <w:suppressLineNumbers w:val="0"/>
                    <w:bidi w:val="0"/>
                    <w:spacing w:before="0" w:beforeAutospacing="0" w:after="0" w:afterAutospacing="0"/>
                    <w:ind w:left="0" w:right="0"/>
                    <w:rPr>
                      <w:rFonts w:hint="eastAsia"/>
                      <w:u w:val="none"/>
                      <w:lang w:val="en-US" w:eastAsia="zh-CN"/>
                    </w:rPr>
                  </w:pPr>
                  <w:r>
                    <w:rPr>
                      <w:rFonts w:hint="default"/>
                      <w:u w:val="none"/>
                    </w:rPr>
                    <w:t>化粪池</w:t>
                  </w:r>
                  <w:r>
                    <w:rPr>
                      <w:rFonts w:hint="eastAsia"/>
                      <w:u w:val="none"/>
                      <w:lang w:eastAsia="zh-CN"/>
                    </w:rPr>
                    <w:t>处理后作农肥</w:t>
                  </w: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不排放</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不排放</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3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16"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初期雨水</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pH、COD、氨氮、SS</w:t>
                  </w:r>
                </w:p>
              </w:tc>
              <w:tc>
                <w:tcPr>
                  <w:tcW w:w="844" w:type="pct"/>
                  <w:vMerge w:val="restar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依托湘阴县顽石再生科技有限公司隔油池</w:t>
                  </w:r>
                  <w:r>
                    <w:rPr>
                      <w:rFonts w:hint="eastAsia"/>
                      <w:u w:val="none"/>
                      <w:lang w:val="en-US" w:eastAsia="zh-CN"/>
                    </w:rPr>
                    <w:t>+</w:t>
                  </w:r>
                  <w:r>
                    <w:rPr>
                      <w:rFonts w:hint="eastAsia"/>
                      <w:u w:val="none"/>
                      <w:lang w:eastAsia="zh-CN"/>
                    </w:rPr>
                    <w:t>三级沉淀池处理后再利用</w:t>
                  </w: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不排放</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不排放</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3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616" w:type="pct"/>
                  <w:vAlign w:val="center"/>
                </w:tcPr>
                <w:p>
                  <w:pPr>
                    <w:pStyle w:val="49"/>
                    <w:keepNext w:val="0"/>
                    <w:keepLines w:val="0"/>
                    <w:suppressLineNumbers w:val="0"/>
                    <w:bidi w:val="0"/>
                    <w:spacing w:before="0" w:beforeAutospacing="0" w:after="0" w:afterAutospacing="0"/>
                    <w:ind w:left="0" w:right="0"/>
                    <w:rPr>
                      <w:rFonts w:hint="eastAsia"/>
                      <w:u w:val="none"/>
                      <w:lang w:eastAsia="zh-CN"/>
                    </w:rPr>
                  </w:pPr>
                  <w:r>
                    <w:rPr>
                      <w:rFonts w:hint="eastAsia"/>
                      <w:u w:val="none"/>
                      <w:lang w:eastAsia="zh-CN"/>
                    </w:rPr>
                    <w:t>车间地面清洗废水、车辆清洗废水</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pH、COD、氨氮、SS</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545"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不排放</w:t>
                  </w:r>
                </w:p>
              </w:tc>
              <w:tc>
                <w:tcPr>
                  <w:tcW w:w="571" w:type="pct"/>
                  <w:vAlign w:val="center"/>
                </w:tcPr>
                <w:p>
                  <w:pPr>
                    <w:pStyle w:val="49"/>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不排放</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固体废物类型</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名称</w:t>
                  </w:r>
                </w:p>
              </w:tc>
              <w:tc>
                <w:tcPr>
                  <w:tcW w:w="84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暂存或贮存场所</w:t>
                  </w:r>
                </w:p>
              </w:tc>
              <w:tc>
                <w:tcPr>
                  <w:tcW w:w="1117"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处理处置方式</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危险废物</w:t>
                  </w: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废蓄电池</w:t>
                  </w:r>
                </w:p>
              </w:tc>
              <w:tc>
                <w:tcPr>
                  <w:tcW w:w="844"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厂内危废暂存间（</w:t>
                  </w:r>
                  <w:r>
                    <w:rPr>
                      <w:rFonts w:hint="eastAsia"/>
                      <w:u w:val="none"/>
                      <w:lang w:val="en-US" w:eastAsia="zh-CN"/>
                    </w:rPr>
                    <w:t>1</w:t>
                  </w:r>
                  <w:r>
                    <w:rPr>
                      <w:rFonts w:hint="default"/>
                      <w:u w:val="none"/>
                    </w:rPr>
                    <w:t>00㎡）暂存</w:t>
                  </w:r>
                </w:p>
              </w:tc>
              <w:tc>
                <w:tcPr>
                  <w:tcW w:w="1117"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有资质的公司处理</w:t>
                  </w:r>
                </w:p>
              </w:tc>
              <w:tc>
                <w:tcPr>
                  <w:tcW w:w="1192" w:type="pct"/>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废液化气罐</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废尾气净化装置</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废机油</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废制动油</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废变速箱油</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废液压油（机动车）</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废防冻液</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废汽、柴油</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废制冷剂</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废油箱</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废滤清器</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含汞开关、线路板</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电容器</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废润滑油</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（汽车拆卸过程）</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废液压油（汽车拆卸过程）</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废油桶</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（汽车拆卸过程）</w:t>
                  </w:r>
                </w:p>
              </w:tc>
              <w:tc>
                <w:tcPr>
                  <w:tcW w:w="844"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17"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restar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一般废物</w:t>
                  </w:r>
                </w:p>
              </w:tc>
              <w:tc>
                <w:tcPr>
                  <w:tcW w:w="89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不可再利用材料</w:t>
                  </w:r>
                </w:p>
              </w:tc>
              <w:tc>
                <w:tcPr>
                  <w:tcW w:w="84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一般固废暂存间（</w:t>
                  </w:r>
                  <w:r>
                    <w:rPr>
                      <w:rFonts w:hint="eastAsia"/>
                      <w:u w:val="none"/>
                      <w:lang w:val="en-US" w:eastAsia="zh-CN"/>
                    </w:rPr>
                    <w:t>5</w:t>
                  </w:r>
                  <w:r>
                    <w:rPr>
                      <w:rFonts w:hint="default"/>
                      <w:u w:val="none"/>
                    </w:rPr>
                    <w:t>0㎡）暂存</w:t>
                  </w:r>
                </w:p>
              </w:tc>
              <w:tc>
                <w:tcPr>
                  <w:tcW w:w="1117"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暂存后，</w:t>
                  </w:r>
                  <w:r>
                    <w:rPr>
                      <w:rFonts w:hint="default"/>
                      <w:u w:val="none"/>
                    </w:rPr>
                    <w:t>环卫部门清运处置</w:t>
                  </w: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含油手套及抹布</w:t>
                  </w:r>
                </w:p>
              </w:tc>
              <w:tc>
                <w:tcPr>
                  <w:tcW w:w="84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垃圾桶暂存</w:t>
                  </w:r>
                </w:p>
              </w:tc>
              <w:tc>
                <w:tcPr>
                  <w:tcW w:w="1117"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日产日清，</w:t>
                  </w:r>
                  <w:r>
                    <w:rPr>
                      <w:rFonts w:hint="default"/>
                      <w:u w:val="none"/>
                    </w:rPr>
                    <w:t>环卫部门清运处置</w:t>
                  </w: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c>
                <w:tcPr>
                  <w:tcW w:w="897"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生活垃圾</w:t>
                  </w:r>
                </w:p>
              </w:tc>
              <w:tc>
                <w:tcPr>
                  <w:tcW w:w="844"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垃圾桶暂存</w:t>
                  </w:r>
                </w:p>
              </w:tc>
              <w:tc>
                <w:tcPr>
                  <w:tcW w:w="1117"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eastAsia"/>
                      <w:u w:val="none"/>
                      <w:lang w:eastAsia="zh-CN"/>
                    </w:rPr>
                    <w:t>日产日清，</w:t>
                  </w:r>
                  <w:r>
                    <w:rPr>
                      <w:rFonts w:hint="default"/>
                      <w:u w:val="none"/>
                    </w:rPr>
                    <w:t>环卫部门清运处置</w:t>
                  </w:r>
                </w:p>
              </w:tc>
              <w:tc>
                <w:tcPr>
                  <w:tcW w:w="1192" w:type="pct"/>
                  <w:vMerge w:val="continue"/>
                  <w:vAlign w:val="center"/>
                </w:tcPr>
                <w:p>
                  <w:pPr>
                    <w:pStyle w:val="49"/>
                    <w:keepNext w:val="0"/>
                    <w:keepLines w:val="0"/>
                    <w:suppressLineNumbers w:val="0"/>
                    <w:bidi w:val="0"/>
                    <w:spacing w:before="0" w:beforeAutospacing="0" w:after="0" w:afterAutospacing="0"/>
                    <w:ind w:left="0" w:right="0"/>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噪声防治措施</w:t>
                  </w:r>
                </w:p>
              </w:tc>
              <w:tc>
                <w:tcPr>
                  <w:tcW w:w="2858" w:type="pct"/>
                  <w:gridSpan w:val="4"/>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消声、隔声装置、减震措施、距离衰减</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生态环境保护措施</w:t>
                  </w:r>
                </w:p>
              </w:tc>
              <w:tc>
                <w:tcPr>
                  <w:tcW w:w="2858" w:type="pct"/>
                  <w:gridSpan w:val="4"/>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绿化、水土保持措施</w:t>
                  </w:r>
                </w:p>
              </w:tc>
              <w:tc>
                <w:tcPr>
                  <w:tcW w:w="1192" w:type="pct"/>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8" w:type="pct"/>
                  <w:gridSpan w:val="2"/>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环境风险源及防范措施</w:t>
                  </w:r>
                </w:p>
              </w:tc>
              <w:tc>
                <w:tcPr>
                  <w:tcW w:w="4051" w:type="pct"/>
                  <w:gridSpan w:val="5"/>
                  <w:vAlign w:val="center"/>
                </w:tcPr>
                <w:p>
                  <w:pPr>
                    <w:pStyle w:val="49"/>
                    <w:keepNext w:val="0"/>
                    <w:keepLines w:val="0"/>
                    <w:suppressLineNumbers w:val="0"/>
                    <w:bidi w:val="0"/>
                    <w:spacing w:before="0" w:beforeAutospacing="0" w:after="0" w:afterAutospacing="0"/>
                    <w:ind w:left="0" w:right="0"/>
                    <w:rPr>
                      <w:rFonts w:hint="default"/>
                      <w:u w:val="none"/>
                    </w:rPr>
                  </w:pPr>
                  <w:r>
                    <w:rPr>
                      <w:rFonts w:hint="default"/>
                      <w:u w:val="none"/>
                    </w:rPr>
                    <w:t>做到分区防渗及地面硬化处理</w:t>
                  </w:r>
                  <w:r>
                    <w:rPr>
                      <w:rFonts w:hint="eastAsia"/>
                      <w:u w:val="none"/>
                      <w:lang w:eastAsia="zh-CN"/>
                    </w:rPr>
                    <w:t>，①重点防渗区：未拆解的报废机动车的贮存区、拆解作业区、产品（半成品）贮存区、危险废物暂存间应具有防渗地面。防渗层渗透系数≤10-7cm/s。②一般防渗区：一般固废暂存间。③简单防渗区：厂区道路、办公区</w:t>
                  </w:r>
                  <w:r>
                    <w:rPr>
                      <w:rFonts w:hint="default"/>
                      <w:u w:val="none"/>
                    </w:rPr>
                    <w:t>。</w:t>
                  </w:r>
                </w:p>
                <w:p>
                  <w:pPr>
                    <w:pStyle w:val="49"/>
                    <w:keepNext w:val="0"/>
                    <w:keepLines w:val="0"/>
                    <w:suppressLineNumbers w:val="0"/>
                    <w:bidi w:val="0"/>
                    <w:spacing w:before="0" w:beforeAutospacing="0" w:after="0" w:afterAutospacing="0"/>
                    <w:ind w:left="0" w:right="0"/>
                    <w:rPr>
                      <w:rFonts w:hint="default"/>
                      <w:u w:val="none"/>
                    </w:rPr>
                  </w:pPr>
                  <w:r>
                    <w:rPr>
                      <w:rFonts w:hint="default"/>
                      <w:u w:val="none"/>
                    </w:rPr>
                    <w:t>针对主要风险源，设立风险监控及应急系统。定期进行安全培训及安全事故演练。</w:t>
                  </w:r>
                </w:p>
              </w:tc>
            </w:tr>
          </w:tbl>
          <w:p>
            <w:pPr>
              <w:keepNext w:val="0"/>
              <w:keepLines w:val="0"/>
              <w:suppressLineNumbers w:val="0"/>
              <w:spacing w:before="0" w:beforeAutospacing="0" w:after="0" w:afterAutospacing="0"/>
              <w:ind w:left="0" w:right="0" w:firstLine="0" w:firstLineChars="0"/>
              <w:rPr>
                <w:rFonts w:hint="default"/>
                <w:u w:val="none"/>
              </w:rPr>
            </w:pPr>
          </w:p>
        </w:tc>
      </w:tr>
    </w:tbl>
    <w:p>
      <w:pPr>
        <w:widowControl/>
        <w:ind w:firstLine="0" w:firstLineChars="0"/>
        <w:jc w:val="left"/>
        <w:rPr>
          <w:b/>
          <w:bCs/>
          <w:kern w:val="44"/>
          <w:szCs w:val="44"/>
          <w:u w:val="none"/>
        </w:rPr>
      </w:pPr>
      <w:r>
        <w:rPr>
          <w:u w:val="none"/>
        </w:rPr>
        <w:br w:type="page"/>
      </w:r>
    </w:p>
    <w:p>
      <w:pPr>
        <w:pStyle w:val="3"/>
        <w:spacing w:before="0" w:after="0" w:line="360" w:lineRule="auto"/>
        <w:ind w:firstLine="643"/>
        <w:jc w:val="left"/>
        <w:rPr>
          <w:sz w:val="32"/>
          <w:u w:val="none"/>
        </w:rPr>
      </w:pPr>
      <w:bookmarkStart w:id="340" w:name="_Toc31106"/>
      <w:r>
        <w:rPr>
          <w:rFonts w:hint="eastAsia"/>
          <w:sz w:val="32"/>
          <w:u w:val="none"/>
        </w:rPr>
        <w:t>八、项目拟采取的防治措施及预期治理效果</w:t>
      </w:r>
      <w:bookmarkEnd w:id="340"/>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270"/>
        <w:gridCol w:w="2378"/>
        <w:gridCol w:w="1548"/>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内容</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类型</w:t>
            </w:r>
          </w:p>
        </w:tc>
        <w:tc>
          <w:tcPr>
            <w:tcW w:w="745"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排放源</w:t>
            </w:r>
          </w:p>
        </w:tc>
        <w:tc>
          <w:tcPr>
            <w:tcW w:w="1395"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污染物名称</w:t>
            </w:r>
          </w:p>
        </w:tc>
        <w:tc>
          <w:tcPr>
            <w:tcW w:w="90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防治措施</w:t>
            </w:r>
          </w:p>
        </w:tc>
        <w:tc>
          <w:tcPr>
            <w:tcW w:w="161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3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大</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气</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污</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染</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物</w:t>
            </w: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废油液抽取废气</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非甲烷总烃</w:t>
            </w:r>
          </w:p>
        </w:tc>
        <w:tc>
          <w:tcPr>
            <w:tcW w:w="908"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强制通风</w:t>
            </w:r>
          </w:p>
        </w:tc>
        <w:tc>
          <w:tcPr>
            <w:tcW w:w="1618" w:type="pct"/>
            <w:vMerge w:val="restar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u w:val="none"/>
              </w:rPr>
            </w:pPr>
            <w:r>
              <w:rPr>
                <w:rFonts w:hint="default" w:ascii="Times New Roman" w:hAnsi="Times New Roman" w:eastAsia="宋体" w:cs="Times New Roman"/>
                <w:u w:val="none"/>
              </w:rPr>
              <w:t>本项目运营期汽车拆解过程中</w:t>
            </w:r>
            <w:r>
              <w:rPr>
                <w:rFonts w:hint="eastAsia" w:ascii="Times New Roman" w:hAnsi="Times New Roman" w:eastAsia="宋体" w:cs="Times New Roman"/>
                <w:u w:val="none"/>
                <w:lang w:val="en-US" w:eastAsia="zh-CN"/>
              </w:rPr>
              <w:t>，</w:t>
            </w:r>
            <w:r>
              <w:rPr>
                <w:rFonts w:hint="default" w:ascii="Times New Roman" w:hAnsi="Times New Roman" w:eastAsia="宋体" w:cs="Times New Roman"/>
                <w:u w:val="none"/>
              </w:rPr>
              <w:t>无组织排放的非甲烷总烃执行</w:t>
            </w:r>
            <w:r>
              <w:rPr>
                <w:rFonts w:hint="eastAsia" w:ascii="Times New Roman" w:hAnsi="Times New Roman" w:eastAsia="宋体" w:cs="Times New Roman"/>
                <w:u w:val="none"/>
              </w:rPr>
              <w:t>《</w:t>
            </w:r>
            <w:r>
              <w:rPr>
                <w:rFonts w:hint="eastAsia" w:ascii="Times New Roman" w:hAnsi="Times New Roman" w:eastAsia="宋体" w:cs="Times New Roman"/>
                <w:u w:val="none"/>
                <w:lang w:eastAsia="zh-CN"/>
              </w:rPr>
              <w:t>挥发性有机物无组织排放控制标准》（</w:t>
            </w:r>
            <w:r>
              <w:rPr>
                <w:rFonts w:hint="eastAsia" w:ascii="Times New Roman" w:hAnsi="Times New Roman" w:eastAsia="宋体" w:cs="Times New Roman"/>
                <w:u w:val="none"/>
                <w:lang w:val="en-US" w:eastAsia="zh-CN"/>
              </w:rPr>
              <w:t>GB37822-2019</w:t>
            </w:r>
            <w:r>
              <w:rPr>
                <w:rFonts w:hint="eastAsia" w:ascii="Times New Roman" w:hAnsi="Times New Roman" w:eastAsia="宋体" w:cs="Times New Roman"/>
                <w:u w:val="none"/>
                <w:lang w:eastAsia="zh-CN"/>
              </w:rPr>
              <w:t>）附录</w:t>
            </w:r>
            <w:r>
              <w:rPr>
                <w:rFonts w:hint="eastAsia" w:ascii="Times New Roman" w:hAnsi="Times New Roman" w:eastAsia="宋体" w:cs="Times New Roman"/>
                <w:u w:val="none"/>
                <w:lang w:val="en-US" w:eastAsia="zh-CN"/>
              </w:rPr>
              <w:t>A中的标准。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制冷剂抽取废气</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非甲烷总烃</w:t>
            </w:r>
          </w:p>
        </w:tc>
        <w:tc>
          <w:tcPr>
            <w:tcW w:w="908"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强制通风</w:t>
            </w:r>
          </w:p>
        </w:tc>
        <w:tc>
          <w:tcPr>
            <w:tcW w:w="1618" w:type="pct"/>
            <w:vMerge w:val="continue"/>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汽车拆解过程中产生的剪切粉尘</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颗粒物</w:t>
            </w:r>
          </w:p>
        </w:tc>
        <w:tc>
          <w:tcPr>
            <w:tcW w:w="908"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移动式除尘器</w:t>
            </w:r>
          </w:p>
        </w:tc>
        <w:tc>
          <w:tcPr>
            <w:tcW w:w="1618"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u w:val="none"/>
              </w:rPr>
            </w:pPr>
            <w:r>
              <w:rPr>
                <w:rFonts w:hint="eastAsia" w:ascii="Times New Roman" w:hAnsi="Times New Roman" w:eastAsia="宋体" w:cs="Times New Roman"/>
                <w:u w:val="none"/>
                <w:lang w:eastAsia="zh-CN"/>
              </w:rPr>
              <w:t>厂界颗粒物执行</w:t>
            </w:r>
            <w:r>
              <w:rPr>
                <w:rFonts w:hint="default" w:ascii="Times New Roman" w:hAnsi="Times New Roman" w:eastAsia="宋体" w:cs="Times New Roman"/>
                <w:u w:val="none"/>
              </w:rPr>
              <w:t>《大气污染物综合排放标准》（GB16297-1996）表2中的标准限值要求，</w:t>
            </w:r>
            <w:r>
              <w:rPr>
                <w:rFonts w:hint="eastAsia" w:ascii="Times New Roman" w:hAnsi="Times New Roman" w:eastAsia="宋体" w:cs="Times New Roman"/>
                <w:u w:val="none"/>
                <w:lang w:val="en-US" w:eastAsia="zh-CN"/>
              </w:rPr>
              <w:t>1</w:t>
            </w:r>
            <w:r>
              <w:rPr>
                <w:rFonts w:hint="default" w:ascii="Times New Roman" w:hAnsi="Times New Roman" w:eastAsia="宋体" w:cs="Times New Roman"/>
                <w:u w:val="none"/>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3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水</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污</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染</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eastAsia"/>
                <w:b/>
                <w:sz w:val="21"/>
                <w:szCs w:val="21"/>
                <w:u w:val="none"/>
              </w:rPr>
              <w:t>物</w:t>
            </w: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default"/>
                <w:u w:val="none"/>
              </w:rPr>
              <w:t>生活废水</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COD、氨氮、BOD5、SS等</w:t>
            </w:r>
          </w:p>
        </w:tc>
        <w:tc>
          <w:tcPr>
            <w:tcW w:w="908"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化粪池处理后做农肥，不排放</w:t>
            </w:r>
          </w:p>
        </w:tc>
        <w:tc>
          <w:tcPr>
            <w:tcW w:w="161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r>
              <w:rPr>
                <w:rFonts w:hint="default"/>
                <w:sz w:val="21"/>
                <w:szCs w:val="21"/>
                <w:u w:val="none"/>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车间清洗废水、车辆清洗废水</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default"/>
                <w:u w:val="none"/>
              </w:rPr>
              <w:t>COD、氨氮、</w:t>
            </w:r>
            <w:r>
              <w:rPr>
                <w:rFonts w:hint="eastAsia"/>
                <w:u w:val="none"/>
                <w:lang w:eastAsia="zh-CN"/>
              </w:rPr>
              <w:t>石油类</w:t>
            </w:r>
            <w:r>
              <w:rPr>
                <w:rFonts w:hint="default"/>
                <w:u w:val="none"/>
              </w:rPr>
              <w:t>、SS等</w:t>
            </w:r>
          </w:p>
        </w:tc>
        <w:tc>
          <w:tcPr>
            <w:tcW w:w="908" w:type="pct"/>
            <w:vMerge w:val="restar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由《湘阴县顽石再生科技有限公司利用建筑垃圾等废弃资源年产</w:t>
            </w:r>
            <w:r>
              <w:rPr>
                <w:rFonts w:hint="eastAsia"/>
                <w:u w:val="none"/>
                <w:lang w:val="en-US" w:eastAsia="zh-CN"/>
              </w:rPr>
              <w:t>30万吨预拌砂浆项目</w:t>
            </w:r>
            <w:r>
              <w:rPr>
                <w:rFonts w:hint="eastAsia"/>
                <w:u w:val="none"/>
                <w:lang w:eastAsia="zh-CN"/>
              </w:rPr>
              <w:t>》</w:t>
            </w:r>
            <w:r>
              <w:rPr>
                <w:rFonts w:hint="eastAsia"/>
                <w:u w:val="none"/>
              </w:rPr>
              <w:t>进行制砖用，不排放</w:t>
            </w:r>
          </w:p>
        </w:tc>
        <w:tc>
          <w:tcPr>
            <w:tcW w:w="16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eastAsia"/>
                <w:u w:val="none"/>
                <w:lang w:eastAsia="zh-CN"/>
              </w:rPr>
              <w:t>初期雨水</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u w:val="none"/>
                <w:lang w:val="en-US" w:eastAsia="zh-CN" w:bidi="ar-SA"/>
              </w:rPr>
            </w:pPr>
            <w:r>
              <w:rPr>
                <w:rFonts w:hint="default"/>
                <w:u w:val="none"/>
              </w:rPr>
              <w:t>COD、氨氮、</w:t>
            </w:r>
            <w:r>
              <w:rPr>
                <w:rFonts w:hint="eastAsia"/>
                <w:u w:val="none"/>
                <w:lang w:eastAsia="zh-CN"/>
              </w:rPr>
              <w:t>石油类</w:t>
            </w:r>
            <w:r>
              <w:rPr>
                <w:rFonts w:hint="default"/>
                <w:u w:val="none"/>
              </w:rPr>
              <w:t>、SS等</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sz w:val="21"/>
                <w:szCs w:val="21"/>
                <w:u w:val="none"/>
              </w:rPr>
            </w:pPr>
          </w:p>
        </w:tc>
        <w:tc>
          <w:tcPr>
            <w:tcW w:w="16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3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固</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体</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废</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物</w:t>
            </w: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废蓄电池</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内含硫酸，仅拆除，不进一步拆解</w:t>
            </w:r>
          </w:p>
        </w:tc>
        <w:tc>
          <w:tcPr>
            <w:tcW w:w="908" w:type="pct"/>
            <w:vMerge w:val="restar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分类收集存放，由有资质单位处理</w:t>
            </w:r>
          </w:p>
        </w:tc>
        <w:tc>
          <w:tcPr>
            <w:tcW w:w="1618" w:type="pct"/>
            <w:vMerge w:val="restart"/>
            <w:vAlign w:val="center"/>
          </w:tcPr>
          <w:p>
            <w:pPr>
              <w:pStyle w:val="49"/>
              <w:keepNext w:val="0"/>
              <w:keepLines w:val="0"/>
              <w:suppressLineNumbers w:val="0"/>
              <w:bidi w:val="0"/>
              <w:spacing w:before="0" w:beforeAutospacing="0" w:after="0" w:afterAutospacing="0"/>
              <w:ind w:left="0" w:right="0" w:firstLine="0" w:firstLineChars="0"/>
              <w:rPr>
                <w:rFonts w:hint="default"/>
                <w:sz w:val="21"/>
                <w:szCs w:val="21"/>
                <w:u w:val="none"/>
              </w:rPr>
            </w:pPr>
            <w:r>
              <w:rPr>
                <w:rFonts w:hint="default"/>
                <w:u w:val="none"/>
              </w:rPr>
              <w:t>分类收集存放，由有资质单位处理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废液化气罐</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含少量液化气，仅拆除，不进一步拆解</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废尾气净化装置</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主要产生于汽车排气管，含尾气净化剂，仅拆除，不进一步拆解</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u w:val="none"/>
              </w:rPr>
            </w:pPr>
          </w:p>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废机油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废机油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废制动油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废制动油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废变速箱油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废变速箱油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废防冻液</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废防冻液</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废汽、柴油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废汽、柴油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废制冷剂</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产生于汽车空调，含R12、R134a</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废油箱</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金属、石油类，仅拆除，不进一步清洗</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废滤清器</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金属、含油颗粒等，仅拆除，不进一步拆解</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含汞开关、线路板</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含汞开关、线路板</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pStyle w:val="2"/>
              <w:keepNext w:val="0"/>
              <w:keepLines w:val="0"/>
              <w:suppressLineNumbers w:val="0"/>
              <w:spacing w:before="0" w:beforeAutospacing="0" w:afterAutospacing="0"/>
              <w:ind w:left="0" w:right="0"/>
              <w:rPr>
                <w:rFonts w:hint="default"/>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电容器</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多氯联苯的废电容器，仅拆除，不进一步拆解</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废油桶</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废液压油桶、废润滑油桶</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废润滑油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润滑油更换时会产生废润滑油</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废液压油</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润滑液压剪，定时更换</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不可再利用材料</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主要为破损陶瓷和汽车内含有的泥沙等</w:t>
            </w:r>
          </w:p>
        </w:tc>
        <w:tc>
          <w:tcPr>
            <w:tcW w:w="908"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环卫部门统一处理</w:t>
            </w:r>
          </w:p>
        </w:tc>
        <w:tc>
          <w:tcPr>
            <w:tcW w:w="1618" w:type="pct"/>
            <w:vMerge w:val="restart"/>
            <w:shd w:val="clear" w:color="auto" w:fill="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含油手套及抹布</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拆解过程使用的手套、抹布等劳保用品</w:t>
            </w:r>
          </w:p>
        </w:tc>
        <w:tc>
          <w:tcPr>
            <w:tcW w:w="908" w:type="pct"/>
            <w:vMerge w:val="restar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环卫部门统一处理</w:t>
            </w:r>
          </w:p>
        </w:tc>
        <w:tc>
          <w:tcPr>
            <w:tcW w:w="1618" w:type="pct"/>
            <w:vMerge w:val="continue"/>
            <w:shd w:val="clear" w:color="auto" w:fill="auto"/>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p>
        </w:tc>
        <w:tc>
          <w:tcPr>
            <w:tcW w:w="74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生活垃圾</w:t>
            </w:r>
          </w:p>
        </w:tc>
        <w:tc>
          <w:tcPr>
            <w:tcW w:w="1395" w:type="pct"/>
            <w:vAlign w:val="center"/>
          </w:tcPr>
          <w:p>
            <w:pPr>
              <w:pStyle w:val="49"/>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u w:val="none"/>
                <w:lang w:val="en-US" w:eastAsia="zh-CN" w:bidi="ar-SA"/>
              </w:rPr>
            </w:pPr>
            <w:r>
              <w:rPr>
                <w:rFonts w:hint="default"/>
                <w:u w:val="none"/>
              </w:rPr>
              <w:t>生活垃圾</w:t>
            </w:r>
          </w:p>
        </w:tc>
        <w:tc>
          <w:tcPr>
            <w:tcW w:w="90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c>
          <w:tcPr>
            <w:tcW w:w="161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噪</w:t>
            </w:r>
          </w:p>
          <w:p>
            <w:pPr>
              <w:keepNext w:val="0"/>
              <w:keepLines w:val="0"/>
              <w:suppressLineNumbers w:val="0"/>
              <w:spacing w:before="0" w:beforeAutospacing="0" w:after="0" w:afterAutospacing="0" w:line="240" w:lineRule="auto"/>
              <w:ind w:left="0" w:right="0" w:firstLine="0" w:firstLineChars="0"/>
              <w:jc w:val="center"/>
              <w:rPr>
                <w:rFonts w:hint="default"/>
                <w:b/>
                <w:sz w:val="21"/>
                <w:szCs w:val="21"/>
                <w:u w:val="none"/>
              </w:rPr>
            </w:pPr>
            <w:r>
              <w:rPr>
                <w:rFonts w:hint="default"/>
                <w:b/>
                <w:sz w:val="21"/>
                <w:szCs w:val="21"/>
                <w:u w:val="none"/>
              </w:rPr>
              <w:t>声</w:t>
            </w:r>
          </w:p>
        </w:tc>
        <w:tc>
          <w:tcPr>
            <w:tcW w:w="4667" w:type="pct"/>
            <w:gridSpan w:val="4"/>
            <w:vAlign w:val="center"/>
          </w:tcPr>
          <w:p>
            <w:pPr>
              <w:keepNext w:val="0"/>
              <w:keepLines w:val="0"/>
              <w:suppressLineNumbers w:val="0"/>
              <w:spacing w:before="0" w:beforeAutospacing="0" w:after="0" w:afterAutospacing="0" w:line="240" w:lineRule="auto"/>
              <w:ind w:left="0" w:right="0" w:firstLine="0" w:firstLineChars="0"/>
              <w:jc w:val="left"/>
              <w:rPr>
                <w:rFonts w:hint="default"/>
                <w:sz w:val="21"/>
                <w:szCs w:val="21"/>
                <w:u w:val="none"/>
              </w:rPr>
            </w:pPr>
            <w:r>
              <w:rPr>
                <w:rFonts w:hint="eastAsia"/>
                <w:sz w:val="22"/>
                <w:szCs w:val="22"/>
                <w:u w:val="none"/>
              </w:rPr>
              <w:t>本项目营运期噪声主要来自</w:t>
            </w:r>
            <w:r>
              <w:rPr>
                <w:rFonts w:hint="default"/>
                <w:sz w:val="22"/>
                <w:szCs w:val="22"/>
                <w:u w:val="none"/>
              </w:rPr>
              <w:t>油液抽排系统</w:t>
            </w:r>
            <w:r>
              <w:rPr>
                <w:rFonts w:hint="eastAsia"/>
                <w:sz w:val="22"/>
                <w:szCs w:val="22"/>
                <w:u w:val="none"/>
                <w:lang w:eastAsia="zh-CN"/>
              </w:rPr>
              <w:t>、</w:t>
            </w:r>
            <w:r>
              <w:rPr>
                <w:rFonts w:hint="default"/>
                <w:sz w:val="22"/>
                <w:szCs w:val="22"/>
                <w:u w:val="none"/>
              </w:rPr>
              <w:t>氟利昂回收装置</w:t>
            </w:r>
            <w:r>
              <w:rPr>
                <w:rFonts w:hint="eastAsia"/>
                <w:sz w:val="22"/>
                <w:szCs w:val="22"/>
                <w:u w:val="none"/>
                <w:lang w:eastAsia="zh-CN"/>
              </w:rPr>
              <w:t>、</w:t>
            </w:r>
            <w:r>
              <w:rPr>
                <w:rFonts w:hint="default"/>
                <w:sz w:val="22"/>
                <w:szCs w:val="22"/>
                <w:u w:val="none"/>
              </w:rPr>
              <w:t>安全气囊引爆装置</w:t>
            </w:r>
            <w:r>
              <w:rPr>
                <w:rFonts w:hint="eastAsia"/>
                <w:sz w:val="22"/>
                <w:szCs w:val="22"/>
                <w:u w:val="none"/>
                <w:lang w:eastAsia="zh-CN"/>
              </w:rPr>
              <w:t>、</w:t>
            </w:r>
            <w:r>
              <w:rPr>
                <w:rFonts w:hint="default"/>
                <w:sz w:val="22"/>
                <w:szCs w:val="22"/>
                <w:u w:val="none"/>
              </w:rPr>
              <w:t>金属屑压块机</w:t>
            </w:r>
            <w:r>
              <w:rPr>
                <w:rFonts w:hint="eastAsia"/>
                <w:sz w:val="22"/>
                <w:szCs w:val="22"/>
                <w:u w:val="none"/>
              </w:rPr>
              <w:t>等设备运行噪声。</w:t>
            </w:r>
            <w:r>
              <w:rPr>
                <w:rFonts w:hint="eastAsia"/>
                <w:sz w:val="21"/>
                <w:szCs w:val="21"/>
                <w:u w:val="none"/>
              </w:rPr>
              <w:t>采用减振、隔声等措施有效防噪措施。周围声环境质量能达到《声环境质量标准》（GB3096-2008）中2类标准要求。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vAlign w:val="center"/>
          </w:tcPr>
          <w:p>
            <w:pPr>
              <w:keepNext w:val="0"/>
              <w:keepLines w:val="0"/>
              <w:suppressLineNumbers w:val="0"/>
              <w:spacing w:before="0" w:beforeAutospacing="0" w:after="0" w:afterAutospacing="0" w:line="240" w:lineRule="auto"/>
              <w:ind w:left="0" w:right="0" w:firstLine="0" w:firstLineChars="0"/>
              <w:rPr>
                <w:rFonts w:hint="default"/>
                <w:b/>
                <w:sz w:val="21"/>
                <w:szCs w:val="21"/>
                <w:u w:val="none"/>
              </w:rPr>
            </w:pPr>
            <w:r>
              <w:rPr>
                <w:rFonts w:hint="eastAsia"/>
                <w:b/>
                <w:sz w:val="21"/>
                <w:szCs w:val="21"/>
                <w:u w:val="none"/>
              </w:rPr>
              <w:t>生态保护措施及预期效果（</w:t>
            </w:r>
            <w:r>
              <w:rPr>
                <w:rFonts w:hint="default"/>
                <w:b/>
                <w:sz w:val="21"/>
                <w:szCs w:val="21"/>
                <w:u w:val="none"/>
              </w:rPr>
              <w:t>不够时可附另页</w:t>
            </w:r>
            <w:r>
              <w:rPr>
                <w:rFonts w:hint="eastAsia"/>
                <w:b/>
                <w:sz w:val="21"/>
                <w:szCs w:val="21"/>
                <w:u w:val="none"/>
              </w:rPr>
              <w:t>）</w:t>
            </w:r>
            <w:r>
              <w:rPr>
                <w:rFonts w:hint="default"/>
                <w:b/>
                <w:sz w:val="21"/>
                <w:szCs w:val="21"/>
                <w:u w:val="none"/>
              </w:rPr>
              <w:t>：</w:t>
            </w:r>
          </w:p>
          <w:p>
            <w:pPr>
              <w:keepNext w:val="0"/>
              <w:keepLines w:val="0"/>
              <w:suppressLineNumbers w:val="0"/>
              <w:spacing w:before="0" w:beforeAutospacing="0" w:after="0" w:afterAutospacing="0" w:line="240" w:lineRule="auto"/>
              <w:ind w:left="0" w:right="0" w:firstLine="0" w:firstLineChars="0"/>
              <w:rPr>
                <w:rFonts w:hint="default"/>
                <w:sz w:val="21"/>
                <w:szCs w:val="21"/>
                <w:u w:val="none"/>
              </w:rPr>
            </w:pPr>
            <w:r>
              <w:rPr>
                <w:rFonts w:hint="default" w:ascii="Times New Roman" w:hAnsi="Times New Roman" w:eastAsia="宋体" w:cs="Times New Roman"/>
                <w:kern w:val="2"/>
                <w:sz w:val="21"/>
                <w:szCs w:val="21"/>
                <w:u w:val="none"/>
              </w:rPr>
              <w:t>建设单位应做好厂区、厂界的绿化工作。厂界营造绿篱，绿化树种应选择速生、吸收污染物性能好、抗污能力强的</w:t>
            </w:r>
            <w:r>
              <w:rPr>
                <w:rFonts w:hint="eastAsia" w:ascii="Times New Roman" w:hAnsi="Times New Roman" w:eastAsia="宋体" w:cs="Times New Roman"/>
                <w:kern w:val="2"/>
                <w:sz w:val="21"/>
                <w:szCs w:val="21"/>
                <w:u w:val="none"/>
                <w:lang w:eastAsia="zh-CN"/>
              </w:rPr>
              <w:t>绿化</w:t>
            </w:r>
            <w:r>
              <w:rPr>
                <w:rFonts w:hint="default" w:ascii="Times New Roman" w:hAnsi="Times New Roman" w:eastAsia="宋体" w:cs="Times New Roman"/>
                <w:kern w:val="2"/>
                <w:sz w:val="21"/>
                <w:szCs w:val="21"/>
                <w:u w:val="none"/>
              </w:rPr>
              <w:t>。同时对车间周围可视情况不同，种植草皮或灌木等，美化厂区环境。</w:t>
            </w:r>
          </w:p>
        </w:tc>
      </w:tr>
    </w:tbl>
    <w:p>
      <w:pPr>
        <w:ind w:firstLine="480"/>
        <w:rPr>
          <w:u w:val="none"/>
        </w:rPr>
      </w:pPr>
    </w:p>
    <w:p>
      <w:pPr>
        <w:widowControl/>
        <w:ind w:firstLine="480"/>
        <w:jc w:val="left"/>
        <w:rPr>
          <w:u w:val="none"/>
        </w:rPr>
      </w:pPr>
      <w:r>
        <w:rPr>
          <w:u w:val="none"/>
        </w:rPr>
        <w:br w:type="page"/>
      </w:r>
    </w:p>
    <w:p>
      <w:pPr>
        <w:pStyle w:val="3"/>
        <w:spacing w:before="0" w:after="0" w:line="360" w:lineRule="auto"/>
        <w:ind w:firstLine="643"/>
        <w:jc w:val="left"/>
        <w:rPr>
          <w:sz w:val="32"/>
          <w:u w:val="none"/>
        </w:rPr>
      </w:pPr>
      <w:bookmarkStart w:id="341" w:name="_Toc28462"/>
      <w:r>
        <w:rPr>
          <w:rFonts w:hint="eastAsia"/>
          <w:sz w:val="32"/>
          <w:u w:val="none"/>
        </w:rPr>
        <w:t>九、结论与建议</w:t>
      </w:r>
      <w:bookmarkEnd w:id="341"/>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bookmarkStart w:id="342" w:name="_Hlk521880948"/>
            <w:r>
              <w:rPr>
                <w:rFonts w:hint="eastAsia"/>
                <w:b/>
                <w:u w:val="none"/>
                <w:lang w:val="en-US" w:eastAsia="zh-CN"/>
              </w:rPr>
              <w:t>9.1</w:t>
            </w:r>
            <w:r>
              <w:rPr>
                <w:rFonts w:hint="eastAsia"/>
                <w:b/>
                <w:u w:val="none"/>
              </w:rPr>
              <w:t>结论</w:t>
            </w:r>
          </w:p>
          <w:p>
            <w:pPr>
              <w:keepNext w:val="0"/>
              <w:keepLines w:val="0"/>
              <w:suppressLineNumbers w:val="0"/>
              <w:adjustRightInd w:val="0"/>
              <w:snapToGrid w:val="0"/>
              <w:spacing w:before="0" w:beforeAutospacing="0" w:after="0" w:afterAutospacing="0" w:line="360" w:lineRule="auto"/>
              <w:ind w:left="0" w:right="0" w:firstLine="482"/>
              <w:jc w:val="left"/>
              <w:rPr>
                <w:rFonts w:hint="eastAsia"/>
                <w:b/>
                <w:u w:val="none"/>
              </w:rPr>
            </w:pPr>
            <w:r>
              <w:rPr>
                <w:rFonts w:hint="eastAsia"/>
                <w:b/>
                <w:u w:val="none"/>
              </w:rPr>
              <w:t>1、项目概况</w:t>
            </w:r>
          </w:p>
          <w:p>
            <w:pPr>
              <w:keepNext w:val="0"/>
              <w:keepLines w:val="0"/>
              <w:suppressLineNumbers w:val="0"/>
              <w:spacing w:before="0" w:beforeAutospacing="0" w:after="0" w:afterAutospacing="0"/>
              <w:ind w:left="0" w:right="0" w:firstLine="480"/>
              <w:rPr>
                <w:rFonts w:hint="default"/>
                <w:u w:val="none"/>
              </w:rPr>
            </w:pPr>
            <w:r>
              <w:rPr>
                <w:rFonts w:hint="default"/>
                <w:u w:val="none"/>
              </w:rPr>
              <w:t>湖南博西雅再生资源有限公司</w:t>
            </w:r>
            <w:r>
              <w:rPr>
                <w:rFonts w:hint="eastAsia"/>
                <w:u w:val="none"/>
                <w:lang w:eastAsia="zh-CN"/>
              </w:rPr>
              <w:t>位于</w:t>
            </w:r>
            <w:r>
              <w:rPr>
                <w:rFonts w:hint="default"/>
                <w:u w:val="none"/>
              </w:rPr>
              <w:t>湖南省岳阳市湘阴县文星镇板桥村</w:t>
            </w:r>
            <w:r>
              <w:rPr>
                <w:rFonts w:hint="eastAsia"/>
                <w:u w:val="none"/>
                <w:lang w:eastAsia="zh-CN"/>
              </w:rPr>
              <w:t>，租赁湘阴县顽石再生科技有限公司现有厂房，进行建设年拆解回收利用10000辆废旧机动车项目</w:t>
            </w:r>
            <w:r>
              <w:rPr>
                <w:rFonts w:hint="default"/>
                <w:u w:val="none"/>
              </w:rPr>
              <w:t>，年拆解机动车</w:t>
            </w:r>
            <w:r>
              <w:rPr>
                <w:rFonts w:hint="eastAsia"/>
                <w:u w:val="none"/>
                <w:lang w:eastAsia="zh-CN"/>
              </w:rPr>
              <w:t>规模为</w:t>
            </w:r>
            <w:r>
              <w:rPr>
                <w:rFonts w:hint="default"/>
                <w:u w:val="none"/>
              </w:rPr>
              <w:t>10000辆，</w:t>
            </w:r>
            <w:r>
              <w:rPr>
                <w:rFonts w:hint="default"/>
                <w:szCs w:val="28"/>
                <w:u w:val="none"/>
              </w:rPr>
              <w:t>项目占地</w:t>
            </w:r>
            <w:r>
              <w:rPr>
                <w:rFonts w:hint="eastAsia"/>
                <w:szCs w:val="28"/>
                <w:u w:val="none"/>
                <w:lang w:eastAsia="zh-CN"/>
              </w:rPr>
              <w:t>面积</w:t>
            </w:r>
            <w:r>
              <w:rPr>
                <w:rFonts w:hint="default"/>
                <w:szCs w:val="28"/>
                <w:u w:val="none"/>
              </w:rPr>
              <w:t>3325平方米，</w:t>
            </w:r>
            <w:r>
              <w:rPr>
                <w:rFonts w:hint="default"/>
                <w:u w:val="none"/>
              </w:rPr>
              <w:t>采用先进设备对机动车进行拆解，得到拆解产品。</w:t>
            </w:r>
          </w:p>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r>
              <w:rPr>
                <w:rFonts w:hint="eastAsia"/>
                <w:b/>
                <w:u w:val="none"/>
              </w:rPr>
              <w:t>2、环境质量现状结论</w:t>
            </w:r>
          </w:p>
          <w:p>
            <w:pPr>
              <w:pStyle w:val="4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根据环境空气达标区判定，评价区域内</w:t>
            </w:r>
            <w:r>
              <w:rPr>
                <w:rFonts w:hint="eastAsia" w:ascii="Times New Roman" w:hAnsi="Times New Roman" w:cs="Times New Roman"/>
                <w:sz w:val="24"/>
                <w:szCs w:val="24"/>
                <w:u w:val="none"/>
                <w:lang w:eastAsia="zh-CN"/>
              </w:rPr>
              <w:t>PM</w:t>
            </w:r>
            <w:r>
              <w:rPr>
                <w:rFonts w:hint="eastAsia" w:ascii="Times New Roman" w:hAnsi="Times New Roman" w:cs="Times New Roman"/>
                <w:sz w:val="24"/>
                <w:szCs w:val="24"/>
                <w:u w:val="none"/>
                <w:vertAlign w:val="subscript"/>
                <w:lang w:eastAsia="zh-CN"/>
              </w:rPr>
              <w:t>2.5</w:t>
            </w:r>
            <w:r>
              <w:rPr>
                <w:rFonts w:hint="default" w:ascii="Times New Roman" w:hAnsi="Times New Roman" w:cs="Times New Roman"/>
                <w:sz w:val="24"/>
                <w:szCs w:val="24"/>
                <w:u w:val="none"/>
              </w:rPr>
              <w:t>、PM</w:t>
            </w:r>
            <w:r>
              <w:rPr>
                <w:rFonts w:hint="default" w:ascii="Times New Roman" w:hAnsi="Times New Roman" w:cs="Times New Roman"/>
                <w:sz w:val="24"/>
                <w:szCs w:val="24"/>
                <w:u w:val="none"/>
                <w:vertAlign w:val="subscript"/>
              </w:rPr>
              <w:t>10</w:t>
            </w:r>
            <w:r>
              <w:rPr>
                <w:rFonts w:hint="default" w:ascii="Times New Roman" w:hAnsi="Times New Roman" w:cs="Times New Roman"/>
                <w:sz w:val="24"/>
                <w:szCs w:val="24"/>
                <w:u w:val="none"/>
              </w:rPr>
              <w:t>有超标，O</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年均浓度有超标，项目所在区域为不达标区。</w:t>
            </w:r>
          </w:p>
          <w:p>
            <w:pPr>
              <w:pStyle w:val="4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根据地表水环境监测及评价结果，测量断面水质满足《地表水环境质量标准》（GB3838-2002）中</w:t>
            </w:r>
            <w:r>
              <w:rPr>
                <w:rFonts w:hint="eastAsia" w:ascii="宋体" w:hAnsi="宋体" w:eastAsia="宋体" w:cs="宋体"/>
                <w:sz w:val="24"/>
                <w:szCs w:val="24"/>
                <w:u w:val="none"/>
              </w:rPr>
              <w:t>Ⅲ</w:t>
            </w:r>
            <w:r>
              <w:rPr>
                <w:rFonts w:hint="default" w:ascii="Times New Roman" w:hAnsi="Times New Roman" w:cs="Times New Roman"/>
                <w:sz w:val="24"/>
                <w:szCs w:val="24"/>
                <w:u w:val="none"/>
              </w:rPr>
              <w:t>类水质标准，地表水环境质量良好。</w:t>
            </w:r>
          </w:p>
          <w:p>
            <w:pPr>
              <w:pStyle w:val="4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根据地下水环境监测及评价结果，区域地下水满足《地下水质量标准》(GB/T14848-2017)的</w:t>
            </w:r>
            <w:r>
              <w:rPr>
                <w:rFonts w:hint="eastAsia" w:ascii="宋体" w:hAnsi="宋体" w:eastAsia="宋体" w:cs="宋体"/>
                <w:sz w:val="24"/>
                <w:szCs w:val="24"/>
                <w:u w:val="none"/>
              </w:rPr>
              <w:t>Ⅲ</w:t>
            </w:r>
            <w:r>
              <w:rPr>
                <w:rFonts w:hint="default" w:ascii="Times New Roman" w:hAnsi="Times New Roman" w:cs="Times New Roman"/>
                <w:sz w:val="24"/>
                <w:szCs w:val="24"/>
                <w:u w:val="none"/>
              </w:rPr>
              <w:t>类标准。</w:t>
            </w:r>
          </w:p>
          <w:p>
            <w:pPr>
              <w:pStyle w:val="4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cs="Times New Roman"/>
                <w:bCs/>
                <w:sz w:val="24"/>
                <w:szCs w:val="24"/>
                <w:u w:val="none"/>
              </w:rPr>
            </w:pPr>
            <w:r>
              <w:rPr>
                <w:rFonts w:hint="default" w:ascii="Times New Roman" w:hAnsi="Times New Roman" w:cs="Times New Roman"/>
                <w:sz w:val="24"/>
                <w:szCs w:val="24"/>
                <w:u w:val="none"/>
              </w:rPr>
              <w:t>根据声环境监测结果，项目所在区域满足</w:t>
            </w:r>
            <w:r>
              <w:rPr>
                <w:rFonts w:hint="default" w:ascii="Times New Roman" w:hAnsi="Times New Roman" w:cs="Times New Roman"/>
                <w:bCs/>
                <w:sz w:val="24"/>
                <w:szCs w:val="24"/>
                <w:u w:val="none"/>
              </w:rPr>
              <w:t>《声环境质量标准》（GB3096-2008）中的2类区标准，声环境质量良好。</w:t>
            </w:r>
          </w:p>
          <w:p>
            <w:pPr>
              <w:pStyle w:val="4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480" w:firstLineChars="200"/>
              <w:textAlignment w:val="auto"/>
              <w:rPr>
                <w:rFonts w:hint="default" w:ascii="Times New Roman" w:hAnsi="Times New Roman" w:cs="Times New Roman"/>
                <w:bCs/>
                <w:sz w:val="24"/>
                <w:szCs w:val="24"/>
                <w:u w:val="none"/>
              </w:rPr>
            </w:pPr>
            <w:r>
              <w:rPr>
                <w:rFonts w:hint="default" w:ascii="Times New Roman" w:hAnsi="Times New Roman" w:cs="Times New Roman"/>
                <w:sz w:val="24"/>
                <w:szCs w:val="24"/>
                <w:u w:val="none"/>
              </w:rPr>
              <w:t>根据土壤环境监测结果，项目所在区域满足</w:t>
            </w:r>
            <w:r>
              <w:rPr>
                <w:rFonts w:hint="default" w:ascii="Times New Roman" w:hAnsi="Times New Roman" w:cs="Times New Roman"/>
                <w:bCs/>
                <w:sz w:val="24"/>
                <w:szCs w:val="24"/>
                <w:u w:val="none"/>
              </w:rPr>
              <w:t>《土壤环境质量 建设用地土壤污染风险管控标准（试行）》（GB36600-2018）表1中第二类用地中的筛选值，土壤环境质量良好。</w:t>
            </w:r>
          </w:p>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r>
              <w:rPr>
                <w:rFonts w:hint="eastAsia"/>
                <w:b/>
                <w:u w:val="none"/>
              </w:rPr>
              <w:t>3、项目污染防治措施</w:t>
            </w:r>
          </w:p>
          <w:p>
            <w:pPr>
              <w:keepNext w:val="0"/>
              <w:keepLines w:val="0"/>
              <w:suppressLineNumbers w:val="0"/>
              <w:spacing w:before="0" w:beforeAutospacing="0" w:after="0" w:afterAutospacing="0"/>
              <w:ind w:left="0" w:right="0" w:firstLine="480"/>
              <w:rPr>
                <w:rFonts w:hint="eastAsia" w:ascii="宋体" w:hAnsi="宋体" w:eastAsia="宋体" w:cs="宋体"/>
                <w:u w:val="none"/>
                <w:lang w:eastAsia="zh-CN"/>
              </w:rPr>
            </w:pPr>
            <w:r>
              <w:rPr>
                <w:rFonts w:hint="eastAsia" w:ascii="宋体" w:hAnsi="宋体" w:cs="宋体"/>
                <w:u w:val="none"/>
              </w:rPr>
              <w:t>①</w:t>
            </w:r>
            <w:r>
              <w:rPr>
                <w:rFonts w:hint="eastAsia" w:ascii="宋体" w:hAnsi="宋体" w:cs="宋体"/>
                <w:u w:val="none"/>
                <w:lang w:eastAsia="zh-CN"/>
              </w:rPr>
              <w:t>废气</w:t>
            </w:r>
          </w:p>
          <w:p>
            <w:pPr>
              <w:keepNext w:val="0"/>
              <w:keepLines w:val="0"/>
              <w:suppressLineNumbers w:val="0"/>
              <w:spacing w:before="0" w:beforeAutospacing="0" w:after="0" w:afterAutospacing="0"/>
              <w:ind w:left="0" w:right="0" w:firstLine="480"/>
              <w:rPr>
                <w:rFonts w:hint="default"/>
                <w:u w:val="none"/>
              </w:rPr>
            </w:pPr>
            <w:r>
              <w:rPr>
                <w:rFonts w:hint="default"/>
                <w:u w:val="none"/>
              </w:rPr>
              <w:t>正常生产时，本项目小车及摩托车采用油液排放系统和燃油排放凿孔设备对报废车辆进行封闭式抽取，货车及客车采用大车油液抽排设备对报废车辆进行封闭式抽取</w:t>
            </w:r>
            <w:r>
              <w:rPr>
                <w:rFonts w:hint="default"/>
                <w:color w:val="000000" w:themeColor="text1"/>
                <w:u w:val="none"/>
                <w14:textFill>
                  <w14:solidFill>
                    <w14:schemeClr w14:val="tx1"/>
                  </w14:solidFill>
                </w14:textFill>
              </w:rPr>
              <w:t>。</w:t>
            </w:r>
            <w:r>
              <w:rPr>
                <w:rFonts w:hint="default"/>
                <w:u w:val="none"/>
              </w:rPr>
              <w:t>使用</w:t>
            </w:r>
            <w:r>
              <w:rPr>
                <w:rFonts w:hint="eastAsia"/>
                <w:u w:val="none"/>
                <w:lang w:eastAsia="zh-CN"/>
              </w:rPr>
              <w:t>专门的</w:t>
            </w:r>
            <w:r>
              <w:rPr>
                <w:rFonts w:hint="default"/>
                <w:u w:val="none"/>
              </w:rPr>
              <w:t>氟利昂回收装置</w:t>
            </w:r>
            <w:r>
              <w:rPr>
                <w:rFonts w:hint="eastAsia"/>
                <w:u w:val="none"/>
                <w:lang w:eastAsia="zh-CN"/>
              </w:rPr>
              <w:t>进行回收。</w:t>
            </w:r>
            <w:r>
              <w:rPr>
                <w:rFonts w:hint="eastAsia" w:ascii="Times New Roman" w:hAnsi="Times New Roman" w:cs="Times New Roman"/>
                <w:color w:val="auto"/>
                <w:kern w:val="0"/>
                <w:sz w:val="24"/>
                <w:szCs w:val="24"/>
                <w:highlight w:val="none"/>
                <w:u w:val="none"/>
                <w:lang w:val="en-US" w:eastAsia="zh-CN" w:bidi="ar-SA"/>
              </w:rPr>
              <w:t>剪切粉尘通过粉尘自重降落在密闭车间内，人工进行清扫</w:t>
            </w:r>
            <w:r>
              <w:rPr>
                <w:rFonts w:hint="eastAsia" w:cs="Times New Roman"/>
                <w:color w:val="auto"/>
                <w:kern w:val="0"/>
                <w:sz w:val="24"/>
                <w:szCs w:val="24"/>
                <w:highlight w:val="none"/>
                <w:u w:val="none"/>
                <w:lang w:val="en-US" w:eastAsia="zh-CN" w:bidi="ar-SA"/>
              </w:rPr>
              <w:t>。</w:t>
            </w:r>
            <w:r>
              <w:rPr>
                <w:rFonts w:hint="default"/>
                <w:u w:val="none"/>
              </w:rPr>
              <w:t>无组织排放的非甲烷总烃</w:t>
            </w:r>
            <w:r>
              <w:rPr>
                <w:rFonts w:hint="eastAsia"/>
                <w:u w:val="none"/>
                <w:lang w:eastAsia="zh-CN"/>
              </w:rPr>
              <w:t>达到</w:t>
            </w:r>
            <w:r>
              <w:rPr>
                <w:rFonts w:hint="eastAsia"/>
                <w:u w:val="none"/>
              </w:rPr>
              <w:t>《</w:t>
            </w:r>
            <w:r>
              <w:rPr>
                <w:rFonts w:hint="eastAsia"/>
                <w:u w:val="none"/>
                <w:lang w:eastAsia="zh-CN"/>
              </w:rPr>
              <w:t>挥发性有机物无组织排放控制标准》（</w:t>
            </w:r>
            <w:r>
              <w:rPr>
                <w:rFonts w:hint="eastAsia"/>
                <w:u w:val="none"/>
                <w:lang w:val="en-US" w:eastAsia="zh-CN"/>
              </w:rPr>
              <w:t>GB37822-2019</w:t>
            </w:r>
            <w:r>
              <w:rPr>
                <w:rFonts w:hint="eastAsia"/>
                <w:u w:val="none"/>
                <w:lang w:eastAsia="zh-CN"/>
              </w:rPr>
              <w:t>）附录</w:t>
            </w:r>
            <w:r>
              <w:rPr>
                <w:rFonts w:hint="eastAsia"/>
                <w:u w:val="none"/>
                <w:lang w:val="en-US" w:eastAsia="zh-CN"/>
              </w:rPr>
              <w:t>A中的标准</w:t>
            </w:r>
            <w:r>
              <w:rPr>
                <w:rFonts w:hint="default"/>
                <w:u w:val="none"/>
              </w:rPr>
              <w:t>限值要求</w:t>
            </w:r>
            <w:r>
              <w:rPr>
                <w:rFonts w:hint="eastAsia"/>
                <w:u w:val="none"/>
                <w:lang w:eastAsia="zh-CN"/>
              </w:rPr>
              <w:t>，颗粒物达到</w:t>
            </w:r>
            <w:r>
              <w:rPr>
                <w:rFonts w:hint="default"/>
                <w:u w:val="none"/>
              </w:rPr>
              <w:t>《大气污染物综合排放标准》（GB16297-1996）表2中的标准限值要求</w:t>
            </w:r>
            <w:r>
              <w:rPr>
                <w:rFonts w:hint="default"/>
                <w:color w:val="000000"/>
                <w:sz w:val="21"/>
                <w:szCs w:val="21"/>
                <w:u w:val="none"/>
              </w:rPr>
              <w:t>。</w:t>
            </w:r>
          </w:p>
          <w:p>
            <w:pPr>
              <w:keepNext w:val="0"/>
              <w:keepLines w:val="0"/>
              <w:suppressLineNumbers w:val="0"/>
              <w:spacing w:before="0" w:beforeAutospacing="0" w:after="0" w:afterAutospacing="0"/>
              <w:ind w:left="0" w:right="0" w:firstLine="480"/>
              <w:rPr>
                <w:rFonts w:hint="eastAsia" w:ascii="宋体" w:hAnsi="宋体" w:eastAsia="宋体" w:cs="宋体"/>
                <w:u w:val="none"/>
                <w:lang w:eastAsia="zh-CN"/>
              </w:rPr>
            </w:pPr>
            <w:r>
              <w:rPr>
                <w:rFonts w:hint="eastAsia" w:ascii="宋体" w:hAnsi="宋体" w:cs="宋体"/>
                <w:u w:val="none"/>
              </w:rPr>
              <w:t>②</w:t>
            </w:r>
            <w:r>
              <w:rPr>
                <w:rFonts w:hint="eastAsia" w:ascii="宋体" w:hAnsi="宋体" w:cs="宋体"/>
                <w:u w:val="none"/>
                <w:lang w:eastAsia="zh-CN"/>
              </w:rPr>
              <w:t>废水</w:t>
            </w:r>
          </w:p>
          <w:p>
            <w:pPr>
              <w:keepNext w:val="0"/>
              <w:keepLines w:val="0"/>
              <w:suppressLineNumbers w:val="0"/>
              <w:spacing w:before="0" w:beforeAutospacing="0" w:after="0" w:afterAutospacing="0"/>
              <w:ind w:left="0" w:right="0" w:firstLine="480"/>
              <w:rPr>
                <w:rFonts w:hint="eastAsia"/>
                <w:u w:val="none"/>
                <w:lang w:eastAsia="zh-CN"/>
              </w:rPr>
            </w:pPr>
            <w:r>
              <w:rPr>
                <w:rFonts w:hint="default"/>
                <w:u w:val="none"/>
              </w:rPr>
              <w:t>本项目产生的生活废水经化粪池处理后做农肥，不排放。</w:t>
            </w:r>
            <w:r>
              <w:rPr>
                <w:rFonts w:hint="eastAsia"/>
                <w:u w:val="none"/>
                <w:lang w:eastAsia="zh-CN"/>
              </w:rPr>
              <w:t>车间地面冲洗废水、报废车辆清洗废水、初期雨水经依托湘阴县顽石再生科技有限公司隔油池</w:t>
            </w:r>
            <w:r>
              <w:rPr>
                <w:rFonts w:hint="eastAsia"/>
                <w:u w:val="none"/>
                <w:lang w:val="en-US" w:eastAsia="zh-CN"/>
              </w:rPr>
              <w:t>+</w:t>
            </w:r>
            <w:r>
              <w:rPr>
                <w:rFonts w:hint="eastAsia"/>
                <w:u w:val="none"/>
                <w:lang w:eastAsia="zh-CN"/>
              </w:rPr>
              <w:t>三级沉淀池处理后由</w:t>
            </w:r>
            <w:r>
              <w:rPr>
                <w:rStyle w:val="29"/>
                <w:rFonts w:hint="eastAsia"/>
                <w:bCs w:val="0"/>
                <w:iCs w:val="0"/>
                <w:snapToGrid/>
                <w:color w:val="auto"/>
                <w:u w:val="none"/>
                <w:lang w:eastAsia="zh-CN"/>
              </w:rPr>
              <w:t>《</w:t>
            </w:r>
            <w:r>
              <w:rPr>
                <w:rFonts w:hint="eastAsia"/>
                <w:u w:val="none"/>
                <w:lang w:eastAsia="zh-CN"/>
              </w:rPr>
              <w:t>湘阴县顽石再生科技有限公司利用建筑垃圾等废弃资源年产</w:t>
            </w:r>
            <w:r>
              <w:rPr>
                <w:rFonts w:hint="eastAsia"/>
                <w:u w:val="none"/>
                <w:lang w:val="en-US" w:eastAsia="zh-CN"/>
              </w:rPr>
              <w:t>30万吨预拌砂浆项目</w:t>
            </w:r>
            <w:r>
              <w:rPr>
                <w:rStyle w:val="29"/>
                <w:rFonts w:hint="eastAsia"/>
                <w:bCs w:val="0"/>
                <w:iCs w:val="0"/>
                <w:snapToGrid/>
                <w:color w:val="auto"/>
                <w:u w:val="none"/>
                <w:lang w:eastAsia="zh-CN"/>
              </w:rPr>
              <w:t>》</w:t>
            </w:r>
            <w:r>
              <w:rPr>
                <w:rFonts w:hint="eastAsia"/>
                <w:u w:val="none"/>
              </w:rPr>
              <w:t>进行制砖用，不排放</w:t>
            </w:r>
            <w:r>
              <w:rPr>
                <w:rFonts w:hint="eastAsia"/>
                <w:u w:val="none"/>
                <w:lang w:eastAsia="zh-CN"/>
              </w:rPr>
              <w:t>。</w:t>
            </w:r>
          </w:p>
          <w:p>
            <w:pPr>
              <w:keepNext w:val="0"/>
              <w:keepLines w:val="0"/>
              <w:suppressLineNumbers w:val="0"/>
              <w:spacing w:before="0" w:beforeAutospacing="0" w:after="0" w:afterAutospacing="0"/>
              <w:ind w:left="0" w:right="0" w:firstLine="480"/>
              <w:rPr>
                <w:rFonts w:hint="eastAsia" w:ascii="宋体" w:hAnsi="宋体" w:cs="宋体"/>
                <w:u w:val="none"/>
                <w:lang w:eastAsia="zh-CN"/>
              </w:rPr>
            </w:pPr>
            <w:r>
              <w:rPr>
                <w:rFonts w:hint="eastAsia" w:ascii="宋体" w:hAnsi="宋体" w:cs="宋体"/>
                <w:u w:val="none"/>
                <w:lang w:eastAsia="zh-CN"/>
              </w:rPr>
              <w:t>③噪声</w:t>
            </w:r>
          </w:p>
          <w:p>
            <w:pPr>
              <w:keepNext w:val="0"/>
              <w:keepLines w:val="0"/>
              <w:suppressLineNumbers w:val="0"/>
              <w:spacing w:before="0" w:beforeAutospacing="0" w:after="0" w:afterAutospacing="0"/>
              <w:ind w:left="0" w:right="0" w:firstLine="480"/>
              <w:rPr>
                <w:rFonts w:hint="default"/>
                <w:u w:val="none"/>
              </w:rPr>
            </w:pPr>
            <w:r>
              <w:rPr>
                <w:rFonts w:hint="default"/>
                <w:u w:val="none"/>
              </w:rPr>
              <w:t>项目的设备噪声通过减震</w:t>
            </w:r>
            <w:r>
              <w:rPr>
                <w:rFonts w:hint="eastAsia"/>
                <w:u w:val="none"/>
                <w:lang w:eastAsia="zh-CN"/>
              </w:rPr>
              <w:t>、</w:t>
            </w:r>
            <w:r>
              <w:rPr>
                <w:rFonts w:hint="default"/>
                <w:u w:val="none"/>
              </w:rPr>
              <w:t>隔声等措施控制</w:t>
            </w:r>
            <w:r>
              <w:rPr>
                <w:rFonts w:hint="eastAsia"/>
                <w:u w:val="none"/>
                <w:lang w:eastAsia="zh-CN"/>
              </w:rPr>
              <w:t>，使厂界噪声达到</w:t>
            </w:r>
            <w:r>
              <w:rPr>
                <w:rFonts w:hint="default"/>
                <w:u w:val="none"/>
              </w:rPr>
              <w:t>《工业企业厂界环境噪声排放标准》（GB12348-2008）中的2类标准。</w:t>
            </w:r>
          </w:p>
          <w:p>
            <w:pPr>
              <w:keepNext w:val="0"/>
              <w:keepLines w:val="0"/>
              <w:suppressLineNumbers w:val="0"/>
              <w:spacing w:before="0" w:beforeAutospacing="0" w:after="0" w:afterAutospacing="0"/>
              <w:ind w:left="0" w:right="0" w:firstLine="480"/>
              <w:rPr>
                <w:rFonts w:hint="eastAsia" w:ascii="宋体" w:hAnsi="宋体" w:eastAsia="宋体" w:cs="宋体"/>
                <w:u w:val="none"/>
                <w:lang w:eastAsia="zh-CN"/>
              </w:rPr>
            </w:pPr>
            <w:r>
              <w:rPr>
                <w:rFonts w:hint="eastAsia" w:ascii="宋体" w:hAnsi="宋体" w:cs="宋体"/>
                <w:u w:val="none"/>
              </w:rPr>
              <w:t>④</w:t>
            </w:r>
            <w:r>
              <w:rPr>
                <w:rFonts w:hint="eastAsia" w:ascii="宋体" w:hAnsi="宋体" w:cs="宋体"/>
                <w:u w:val="none"/>
                <w:lang w:eastAsia="zh-CN"/>
              </w:rPr>
              <w:t>固体废物</w:t>
            </w:r>
          </w:p>
          <w:p>
            <w:pPr>
              <w:keepNext w:val="0"/>
              <w:keepLines w:val="0"/>
              <w:suppressLineNumbers w:val="0"/>
              <w:spacing w:before="0" w:beforeAutospacing="0" w:after="0" w:afterAutospacing="0"/>
              <w:ind w:left="0" w:right="0" w:firstLine="480"/>
              <w:rPr>
                <w:rFonts w:hint="default"/>
                <w:color w:val="000000" w:themeColor="text1"/>
                <w:szCs w:val="28"/>
                <w:u w:val="none"/>
                <w14:textFill>
                  <w14:solidFill>
                    <w14:schemeClr w14:val="tx1"/>
                  </w14:solidFill>
                </w14:textFill>
              </w:rPr>
            </w:pPr>
            <w:r>
              <w:rPr>
                <w:rFonts w:hint="default"/>
                <w:color w:val="000000" w:themeColor="text1"/>
                <w:szCs w:val="28"/>
                <w:u w:val="none"/>
                <w14:textFill>
                  <w14:solidFill>
                    <w14:schemeClr w14:val="tx1"/>
                  </w14:solidFill>
                </w14:textFill>
              </w:rPr>
              <w:t>一般工业固体废物包括不可再利用材料，主要为破损陶瓷和汽车内含有的泥沙等，收集暂存后由</w:t>
            </w:r>
            <w:r>
              <w:rPr>
                <w:rFonts w:hint="eastAsia"/>
                <w:color w:val="000000" w:themeColor="text1"/>
                <w:szCs w:val="28"/>
                <w:u w:val="none"/>
                <w14:textFill>
                  <w14:solidFill>
                    <w14:schemeClr w14:val="tx1"/>
                  </w14:solidFill>
                </w14:textFill>
              </w:rPr>
              <w:t>环卫部门统一处理</w:t>
            </w:r>
            <w:r>
              <w:rPr>
                <w:rFonts w:hint="default"/>
                <w:color w:val="000000" w:themeColor="text1"/>
                <w:szCs w:val="28"/>
                <w:u w:val="none"/>
                <w14:textFill>
                  <w14:solidFill>
                    <w14:schemeClr w14:val="tx1"/>
                  </w14:solidFill>
                </w14:textFill>
              </w:rPr>
              <w:t>。生活垃圾包括含油手套及抹布生活垃圾，生活垃圾经环卫部门统一处理。危险废物有废蓄电池、废液化气罐、废尾气净化装置、废机油、废制动油、废变速箱油、废液压油、废防冻液、废汽油、废柴油、废制冷剂、废油箱、废滤清器、含汞开关、线路板、电容器、废油桶、废润滑油、废液压油，分类收集后由有资质单位进行处置。</w:t>
            </w:r>
            <w:r>
              <w:rPr>
                <w:rFonts w:hint="default"/>
                <w:u w:val="none"/>
              </w:rPr>
              <w:t>危险固废执行《危险废物贮存污染控制标准》（GB18597-2001）及2013年修改单和《危险废物收集贮存运输技术规范》（HJ2025-2012）相关标准，</w:t>
            </w:r>
            <w:r>
              <w:rPr>
                <w:rFonts w:hint="default"/>
                <w:color w:val="000000" w:themeColor="text1"/>
                <w:u w:val="none"/>
                <w14:textFill>
                  <w14:solidFill>
                    <w14:schemeClr w14:val="tx1"/>
                  </w14:solidFill>
                </w14:textFill>
              </w:rPr>
              <w:t>一般固废执行《一般工业固体废物贮存、处置场污染控制标准（2013 年修订）》（GB18599-2001）</w:t>
            </w:r>
            <w:r>
              <w:rPr>
                <w:rFonts w:hint="default"/>
                <w:u w:val="none"/>
              </w:rPr>
              <w:t>。</w:t>
            </w:r>
          </w:p>
          <w:p>
            <w:pPr>
              <w:keepNext w:val="0"/>
              <w:keepLines w:val="0"/>
              <w:suppressLineNumbers w:val="0"/>
              <w:spacing w:before="0" w:beforeAutospacing="0" w:after="0" w:afterAutospacing="0"/>
              <w:ind w:left="0" w:right="0"/>
              <w:rPr>
                <w:rFonts w:hint="eastAsia" w:ascii="宋体" w:hAnsi="宋体" w:cs="宋体"/>
                <w:u w:val="none"/>
                <w:lang w:eastAsia="zh-CN"/>
              </w:rPr>
            </w:pPr>
            <w:r>
              <w:rPr>
                <w:rFonts w:hint="eastAsia" w:ascii="宋体" w:hAnsi="宋体" w:cs="宋体"/>
                <w:u w:val="none"/>
                <w:lang w:eastAsia="zh-CN"/>
              </w:rPr>
              <w:t>⑤地下水防治措施</w:t>
            </w:r>
          </w:p>
          <w:p>
            <w:pPr>
              <w:keepNext w:val="0"/>
              <w:keepLines w:val="0"/>
              <w:suppressLineNumbers w:val="0"/>
              <w:adjustRightInd w:val="0"/>
              <w:snapToGrid w:val="0"/>
              <w:spacing w:before="0" w:beforeAutospacing="0" w:after="0" w:afterAutospacing="0" w:line="360" w:lineRule="auto"/>
              <w:ind w:left="0" w:right="0" w:firstLine="482"/>
              <w:jc w:val="left"/>
              <w:rPr>
                <w:rFonts w:hint="default" w:cs="Times New Roman"/>
                <w:u w:val="none"/>
              </w:rPr>
            </w:pPr>
            <w:r>
              <w:rPr>
                <w:rFonts w:hint="default" w:cs="Times New Roman"/>
                <w:u w:val="none"/>
              </w:rPr>
              <w:t>重点防渗区：根据《报废机动车拆解环境保护技术规范》，未拆解的报废机动车的贮存区、拆解作业区、产品（半成品）贮存区、危险废物暂存间应具有防渗地面。可采用土工布、HDPE膜等进行防渗。通过上述措施可使重点污染区各单元防渗层渗透系数≤10</w:t>
            </w:r>
            <w:r>
              <w:rPr>
                <w:rFonts w:hint="default" w:cs="Times New Roman"/>
                <w:u w:val="none"/>
                <w:vertAlign w:val="superscript"/>
              </w:rPr>
              <w:t>-7</w:t>
            </w:r>
            <w:r>
              <w:rPr>
                <w:rFonts w:hint="default" w:cs="Times New Roman"/>
                <w:u w:val="none"/>
              </w:rPr>
              <w:t>cm/s。一般防渗区：一般固废暂存间。简单防渗区：厂区道路、办公区、绿化带等，对于非污染防治区主要是指没有污染物泄漏的区域或部位，不会对地下水环境造成污染。</w:t>
            </w:r>
          </w:p>
          <w:p>
            <w:pPr>
              <w:keepNext w:val="0"/>
              <w:keepLines w:val="0"/>
              <w:suppressLineNumbers w:val="0"/>
              <w:adjustRightInd w:val="0"/>
              <w:snapToGrid w:val="0"/>
              <w:spacing w:before="0" w:beforeAutospacing="0" w:after="0" w:afterAutospacing="0" w:line="360" w:lineRule="auto"/>
              <w:ind w:left="0" w:right="0" w:firstLine="482"/>
              <w:jc w:val="left"/>
              <w:rPr>
                <w:rFonts w:hint="eastAsia"/>
                <w:b/>
                <w:u w:val="none"/>
              </w:rPr>
            </w:pPr>
          </w:p>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r>
              <w:rPr>
                <w:rFonts w:hint="eastAsia"/>
                <w:b/>
                <w:u w:val="none"/>
              </w:rPr>
              <w:t>4、营运期环境影响评价分析结论</w:t>
            </w:r>
          </w:p>
          <w:p>
            <w:pPr>
              <w:keepNext w:val="0"/>
              <w:keepLines w:val="0"/>
              <w:numPr>
                <w:ilvl w:val="0"/>
                <w:numId w:val="8"/>
              </w:numPr>
              <w:suppressLineNumbers w:val="0"/>
              <w:spacing w:before="0" w:beforeAutospacing="0" w:after="0" w:afterAutospacing="0"/>
              <w:ind w:left="0" w:leftChars="0" w:right="0" w:firstLine="480" w:firstLineChars="200"/>
              <w:rPr>
                <w:rFonts w:hint="default"/>
                <w:u w:val="none"/>
              </w:rPr>
            </w:pPr>
            <w:r>
              <w:rPr>
                <w:rFonts w:hint="default"/>
                <w:u w:val="none"/>
              </w:rPr>
              <w:t>环境空气影响预测</w:t>
            </w:r>
          </w:p>
          <w:p>
            <w:pPr>
              <w:keepNext w:val="0"/>
              <w:keepLines w:val="0"/>
              <w:suppressLineNumbers w:val="0"/>
              <w:spacing w:before="0" w:beforeAutospacing="0" w:after="0" w:afterAutospacing="0"/>
              <w:ind w:left="0" w:right="0" w:firstLine="480"/>
              <w:rPr>
                <w:rFonts w:hint="default"/>
                <w:kern w:val="0"/>
                <w:szCs w:val="20"/>
                <w:u w:val="none"/>
              </w:rPr>
            </w:pPr>
            <w:r>
              <w:rPr>
                <w:rFonts w:hint="default"/>
                <w:bCs/>
                <w:color w:val="000000" w:themeColor="text1"/>
                <w:u w:val="none"/>
                <w14:textFill>
                  <w14:solidFill>
                    <w14:schemeClr w14:val="tx1"/>
                  </w14:solidFill>
                </w14:textFill>
              </w:rPr>
              <w:t>经过估算模式计</w:t>
            </w:r>
            <w:r>
              <w:rPr>
                <w:rFonts w:hint="default"/>
                <w:bCs/>
                <w:u w:val="none"/>
              </w:rPr>
              <w:t>算，无组织排放的TVOC的最大落地浓度为</w:t>
            </w:r>
            <w:r>
              <w:rPr>
                <w:rFonts w:hint="eastAsia"/>
                <w:lang w:val="en-US" w:eastAsia="zh-CN"/>
              </w:rPr>
              <w:t>1.591221</w:t>
            </w:r>
            <w:r>
              <w:rPr>
                <w:rFonts w:hint="default" w:eastAsia="等线"/>
                <w:sz w:val="21"/>
                <w:szCs w:val="21"/>
                <w:u w:val="none"/>
              </w:rPr>
              <w:t>u</w:t>
            </w:r>
            <w:r>
              <w:rPr>
                <w:rFonts w:hint="default"/>
                <w:bCs/>
                <w:u w:val="none"/>
              </w:rPr>
              <w:t>g/m³，占标率</w:t>
            </w:r>
            <w:r>
              <w:rPr>
                <w:rFonts w:hint="default"/>
                <w:u w:val="none"/>
                <w:lang w:val="en-US" w:eastAsia="zh-CN"/>
              </w:rPr>
              <w:t>0.1</w:t>
            </w:r>
            <w:r>
              <w:rPr>
                <w:rFonts w:hint="eastAsia"/>
                <w:u w:val="none"/>
                <w:lang w:val="en-US" w:eastAsia="zh-CN"/>
              </w:rPr>
              <w:t>2</w:t>
            </w:r>
            <w:r>
              <w:rPr>
                <w:rFonts w:hint="default"/>
                <w:bCs/>
                <w:u w:val="none"/>
              </w:rPr>
              <w:t>%</w:t>
            </w:r>
            <w:r>
              <w:rPr>
                <w:rFonts w:hint="eastAsia"/>
                <w:bCs/>
                <w:u w:val="none"/>
                <w:lang w:eastAsia="zh-CN"/>
              </w:rPr>
              <w:t>，</w:t>
            </w:r>
            <w:r>
              <w:rPr>
                <w:rFonts w:hint="default"/>
                <w:bCs/>
                <w:u w:val="none"/>
              </w:rPr>
              <w:t>未超过《环境影响评价技术导则大气环境》（HJ 2.2—2018）附录D中TVOC的限值要求。</w:t>
            </w:r>
            <w:r>
              <w:rPr>
                <w:rFonts w:hint="eastAsia"/>
                <w:bCs/>
                <w:u w:val="none"/>
                <w:lang w:val="en-US" w:eastAsia="zh-CN"/>
              </w:rPr>
              <w:t>TSP</w:t>
            </w:r>
            <w:r>
              <w:rPr>
                <w:rFonts w:hint="default"/>
                <w:bCs/>
                <w:u w:val="none"/>
              </w:rPr>
              <w:t>的最大落地浓度</w:t>
            </w:r>
            <w:r>
              <w:rPr>
                <w:rFonts w:hint="eastAsia"/>
                <w:lang w:val="en-US" w:eastAsia="zh-CN"/>
              </w:rPr>
              <w:t>1.3885</w:t>
            </w:r>
            <w:r>
              <w:rPr>
                <w:rFonts w:hint="default" w:eastAsia="等线"/>
                <w:sz w:val="21"/>
                <w:szCs w:val="21"/>
                <w:u w:val="none"/>
              </w:rPr>
              <w:t>u</w:t>
            </w:r>
            <w:r>
              <w:rPr>
                <w:rFonts w:hint="default"/>
                <w:bCs/>
                <w:u w:val="none"/>
              </w:rPr>
              <w:t>g/m³，占标率</w:t>
            </w:r>
            <w:r>
              <w:rPr>
                <w:rFonts w:hint="eastAsia"/>
                <w:u w:val="none"/>
                <w:lang w:val="en-US" w:eastAsia="zh-CN"/>
              </w:rPr>
              <w:t>0.15</w:t>
            </w:r>
            <w:r>
              <w:rPr>
                <w:rFonts w:hint="default"/>
                <w:bCs/>
                <w:u w:val="none"/>
              </w:rPr>
              <w:t>%</w:t>
            </w:r>
            <w:r>
              <w:rPr>
                <w:rFonts w:hint="eastAsia"/>
                <w:bCs/>
                <w:u w:val="none"/>
                <w:lang w:eastAsia="zh-CN"/>
              </w:rPr>
              <w:t>，</w:t>
            </w:r>
            <w:r>
              <w:rPr>
                <w:rFonts w:hint="default"/>
                <w:bCs/>
                <w:u w:val="none"/>
              </w:rPr>
              <w:t>未超过《</w:t>
            </w:r>
            <w:r>
              <w:rPr>
                <w:rFonts w:hint="eastAsia"/>
                <w:bCs/>
                <w:u w:val="none"/>
                <w:lang w:eastAsia="zh-CN"/>
              </w:rPr>
              <w:t>环境空气质量标准</w:t>
            </w:r>
            <w:r>
              <w:rPr>
                <w:rFonts w:hint="default"/>
                <w:bCs/>
                <w:u w:val="none"/>
              </w:rPr>
              <w:t>》（</w:t>
            </w:r>
            <w:r>
              <w:rPr>
                <w:rFonts w:hint="eastAsia"/>
                <w:bCs/>
                <w:u w:val="none"/>
                <w:lang w:val="en-US" w:eastAsia="zh-CN"/>
              </w:rPr>
              <w:t>GB3095-2012</w:t>
            </w:r>
            <w:r>
              <w:rPr>
                <w:rFonts w:hint="default"/>
                <w:bCs/>
                <w:u w:val="none"/>
              </w:rPr>
              <w:t>）</w:t>
            </w:r>
            <w:r>
              <w:rPr>
                <w:rFonts w:hint="eastAsia"/>
                <w:bCs/>
                <w:u w:val="none"/>
                <w:lang w:eastAsia="zh-CN"/>
              </w:rPr>
              <w:t>表</w:t>
            </w:r>
            <w:r>
              <w:rPr>
                <w:rFonts w:hint="eastAsia"/>
                <w:bCs/>
                <w:u w:val="none"/>
                <w:lang w:val="en-US" w:eastAsia="zh-CN"/>
              </w:rPr>
              <w:t>2</w:t>
            </w:r>
            <w:r>
              <w:rPr>
                <w:rFonts w:hint="default"/>
                <w:bCs/>
                <w:u w:val="none"/>
              </w:rPr>
              <w:t>中T</w:t>
            </w:r>
            <w:r>
              <w:rPr>
                <w:rFonts w:hint="eastAsia"/>
                <w:bCs/>
                <w:u w:val="none"/>
                <w:lang w:val="en-US" w:eastAsia="zh-CN"/>
              </w:rPr>
              <w:t>SP</w:t>
            </w:r>
            <w:r>
              <w:rPr>
                <w:rFonts w:hint="default"/>
                <w:bCs/>
                <w:u w:val="none"/>
              </w:rPr>
              <w:t>的限值要求。</w:t>
            </w:r>
          </w:p>
          <w:p>
            <w:pPr>
              <w:keepNext w:val="0"/>
              <w:keepLines w:val="0"/>
              <w:numPr>
                <w:ilvl w:val="0"/>
                <w:numId w:val="8"/>
              </w:numPr>
              <w:suppressLineNumbers w:val="0"/>
              <w:spacing w:before="0" w:beforeAutospacing="0" w:after="0" w:afterAutospacing="0"/>
              <w:ind w:left="0" w:leftChars="0" w:right="0" w:firstLine="480" w:firstLineChars="200"/>
              <w:rPr>
                <w:rFonts w:hint="default"/>
                <w:u w:val="none"/>
              </w:rPr>
            </w:pPr>
            <w:r>
              <w:rPr>
                <w:rFonts w:hint="default" w:ascii="Times New Roman" w:hAnsi="Times New Roman" w:eastAsia="宋体" w:cs="Times New Roman"/>
                <w:u w:val="none"/>
              </w:rPr>
              <w:t>地表水</w:t>
            </w:r>
            <w:r>
              <w:rPr>
                <w:rFonts w:hint="default"/>
                <w:u w:val="none"/>
              </w:rPr>
              <w:t>环境影响预测</w:t>
            </w:r>
          </w:p>
          <w:p>
            <w:pPr>
              <w:keepNext w:val="0"/>
              <w:keepLines w:val="0"/>
              <w:suppressLineNumbers w:val="0"/>
              <w:spacing w:before="0" w:beforeAutospacing="0" w:after="0" w:afterAutospacing="0"/>
              <w:ind w:left="0" w:right="0" w:firstLine="480" w:firstLineChars="0"/>
              <w:rPr>
                <w:rFonts w:hint="default"/>
                <w:u w:val="none"/>
              </w:rPr>
            </w:pPr>
            <w:r>
              <w:rPr>
                <w:rFonts w:hint="default"/>
                <w:u w:val="none"/>
              </w:rPr>
              <w:t>生活废水经化粪池处理后做农肥，不排放。</w:t>
            </w:r>
            <w:r>
              <w:rPr>
                <w:rFonts w:hint="eastAsia"/>
                <w:u w:val="none"/>
                <w:lang w:eastAsia="zh-CN"/>
              </w:rPr>
              <w:t>车间地面冲洗废水、报废车辆清洗废水、初期雨水经依托湘阴县顽石再生科技有限公司隔油池</w:t>
            </w:r>
            <w:r>
              <w:rPr>
                <w:rFonts w:hint="eastAsia"/>
                <w:u w:val="none"/>
                <w:lang w:val="en-US" w:eastAsia="zh-CN"/>
              </w:rPr>
              <w:t>+</w:t>
            </w:r>
            <w:r>
              <w:rPr>
                <w:rFonts w:hint="eastAsia"/>
                <w:u w:val="none"/>
                <w:lang w:eastAsia="zh-CN"/>
              </w:rPr>
              <w:t>三级沉淀池处理后由</w:t>
            </w:r>
            <w:r>
              <w:rPr>
                <w:rStyle w:val="29"/>
                <w:rFonts w:hint="eastAsia"/>
                <w:bCs w:val="0"/>
                <w:iCs w:val="0"/>
                <w:snapToGrid/>
                <w:color w:val="auto"/>
                <w:u w:val="none"/>
                <w:lang w:eastAsia="zh-CN"/>
              </w:rPr>
              <w:t>《</w:t>
            </w:r>
            <w:r>
              <w:rPr>
                <w:rFonts w:hint="eastAsia"/>
                <w:u w:val="none"/>
                <w:lang w:eastAsia="zh-CN"/>
              </w:rPr>
              <w:t>湘阴县顽石再生科技有限公司利用建筑垃圾等废弃资源年产</w:t>
            </w:r>
            <w:r>
              <w:rPr>
                <w:rFonts w:hint="eastAsia"/>
                <w:u w:val="none"/>
                <w:lang w:val="en-US" w:eastAsia="zh-CN"/>
              </w:rPr>
              <w:t>30万吨预拌砂浆项目</w:t>
            </w:r>
            <w:r>
              <w:rPr>
                <w:rStyle w:val="29"/>
                <w:rFonts w:hint="eastAsia"/>
                <w:bCs w:val="0"/>
                <w:iCs w:val="0"/>
                <w:snapToGrid/>
                <w:color w:val="auto"/>
                <w:u w:val="none"/>
                <w:lang w:eastAsia="zh-CN"/>
              </w:rPr>
              <w:t>》</w:t>
            </w:r>
            <w:r>
              <w:rPr>
                <w:rFonts w:hint="eastAsia"/>
                <w:u w:val="none"/>
              </w:rPr>
              <w:t>进行制砖用，不排放</w:t>
            </w:r>
            <w:r>
              <w:rPr>
                <w:rFonts w:hint="eastAsia"/>
                <w:u w:val="none"/>
                <w:lang w:eastAsia="zh-CN"/>
              </w:rPr>
              <w:t>。</w:t>
            </w:r>
            <w:r>
              <w:rPr>
                <w:rFonts w:hint="default"/>
                <w:u w:val="none"/>
              </w:rPr>
              <w:t>根据《环境影响评价技术导则地表水环境》（HJ 2.3—2018），不进行地表水评价。</w:t>
            </w:r>
          </w:p>
          <w:p>
            <w:pPr>
              <w:keepNext w:val="0"/>
              <w:keepLines w:val="0"/>
              <w:numPr>
                <w:ilvl w:val="0"/>
                <w:numId w:val="8"/>
              </w:numPr>
              <w:suppressLineNumbers w:val="0"/>
              <w:spacing w:before="0" w:beforeAutospacing="0" w:after="0" w:afterAutospacing="0"/>
              <w:ind w:left="0" w:leftChars="0" w:right="0" w:firstLine="480" w:firstLineChars="200"/>
              <w:rPr>
                <w:rFonts w:hint="default"/>
                <w:u w:val="none"/>
              </w:rPr>
            </w:pPr>
            <w:r>
              <w:rPr>
                <w:rFonts w:hint="default"/>
                <w:u w:val="none"/>
              </w:rPr>
              <w:t>声环境</w:t>
            </w:r>
            <w:r>
              <w:rPr>
                <w:rFonts w:hint="default" w:ascii="Times New Roman" w:hAnsi="Times New Roman" w:eastAsia="宋体" w:cs="Times New Roman"/>
                <w:u w:val="none"/>
              </w:rPr>
              <w:t>影响</w:t>
            </w:r>
            <w:r>
              <w:rPr>
                <w:rFonts w:hint="default"/>
                <w:u w:val="none"/>
              </w:rPr>
              <w:t>预测</w:t>
            </w:r>
          </w:p>
          <w:p>
            <w:pPr>
              <w:keepNext w:val="0"/>
              <w:keepLines w:val="0"/>
              <w:suppressLineNumbers w:val="0"/>
              <w:spacing w:before="0" w:beforeAutospacing="0" w:after="0" w:afterAutospacing="0"/>
              <w:ind w:left="0" w:right="0" w:firstLine="480"/>
              <w:rPr>
                <w:rFonts w:hint="default"/>
                <w:u w:val="none"/>
              </w:rPr>
            </w:pPr>
            <w:r>
              <w:rPr>
                <w:rFonts w:hint="default"/>
                <w:u w:val="none"/>
              </w:rPr>
              <w:t>经隔声、减振及距离衰减后各噪声源厂界噪声排放满足《工业企业厂界环境噪声排放标准》（GB12348-2008）中的2类标准要求，噪声达标排放；与现状监测值叠加分析后，厂界噪声可满足</w:t>
            </w:r>
            <w:r>
              <w:rPr>
                <w:rFonts w:hint="default"/>
                <w:bCs/>
                <w:u w:val="none"/>
              </w:rPr>
              <w:t>《声环境质量标准》（GB3096-2008）中的2类区标准，项目运营期对周围声环境影响较小。</w:t>
            </w:r>
          </w:p>
          <w:p>
            <w:pPr>
              <w:keepNext w:val="0"/>
              <w:keepLines w:val="0"/>
              <w:numPr>
                <w:ilvl w:val="0"/>
                <w:numId w:val="8"/>
              </w:numPr>
              <w:suppressLineNumbers w:val="0"/>
              <w:spacing w:before="0" w:beforeAutospacing="0" w:after="0" w:afterAutospacing="0"/>
              <w:ind w:left="0" w:leftChars="0" w:right="0" w:firstLine="480" w:firstLineChars="200"/>
              <w:rPr>
                <w:rFonts w:hint="default"/>
                <w:u w:val="none"/>
              </w:rPr>
            </w:pPr>
            <w:r>
              <w:rPr>
                <w:rFonts w:hint="default"/>
                <w:u w:val="none"/>
              </w:rPr>
              <w:t>固体</w:t>
            </w:r>
            <w:r>
              <w:rPr>
                <w:rFonts w:hint="default" w:ascii="Times New Roman" w:hAnsi="Times New Roman" w:eastAsia="宋体" w:cs="Times New Roman"/>
                <w:u w:val="none"/>
              </w:rPr>
              <w:t>废弃物</w:t>
            </w:r>
            <w:r>
              <w:rPr>
                <w:rFonts w:hint="default"/>
                <w:u w:val="none"/>
              </w:rPr>
              <w:t>影响分析结论</w:t>
            </w:r>
          </w:p>
          <w:p>
            <w:pPr>
              <w:keepNext w:val="0"/>
              <w:keepLines w:val="0"/>
              <w:suppressLineNumbers w:val="0"/>
              <w:spacing w:before="0" w:beforeAutospacing="0" w:after="0" w:afterAutospacing="0"/>
              <w:ind w:left="0" w:right="0" w:firstLine="480"/>
              <w:rPr>
                <w:rFonts w:hint="default"/>
                <w:u w:val="none"/>
              </w:rPr>
            </w:pPr>
            <w:r>
              <w:rPr>
                <w:rFonts w:hint="default"/>
                <w:u w:val="none"/>
              </w:rPr>
              <w:t>经工程分析可知，本项目固体废弃物均能得到有效的处理处置，不直接对外排放，不会对周边环境产生明显影响。</w:t>
            </w:r>
          </w:p>
          <w:p>
            <w:pPr>
              <w:keepNext w:val="0"/>
              <w:keepLines w:val="0"/>
              <w:numPr>
                <w:ilvl w:val="0"/>
                <w:numId w:val="8"/>
              </w:numPr>
              <w:suppressLineNumbers w:val="0"/>
              <w:spacing w:before="0" w:beforeAutospacing="0" w:after="0" w:afterAutospacing="0"/>
              <w:ind w:left="0" w:leftChars="0" w:right="0" w:firstLine="480" w:firstLineChars="200"/>
              <w:rPr>
                <w:rFonts w:hint="default"/>
                <w:u w:val="none"/>
              </w:rPr>
            </w:pPr>
            <w:r>
              <w:rPr>
                <w:rFonts w:hint="default"/>
                <w:u w:val="none"/>
              </w:rPr>
              <w:t>环境风险预测及影响分析</w:t>
            </w:r>
          </w:p>
          <w:p>
            <w:pPr>
              <w:keepNext w:val="0"/>
              <w:keepLines w:val="0"/>
              <w:suppressLineNumbers w:val="0"/>
              <w:adjustRightInd w:val="0"/>
              <w:snapToGrid w:val="0"/>
              <w:spacing w:before="0" w:beforeAutospacing="0" w:after="0" w:afterAutospacing="0" w:line="360" w:lineRule="auto"/>
              <w:ind w:left="0" w:right="0" w:firstLine="480"/>
              <w:jc w:val="left"/>
              <w:rPr>
                <w:rFonts w:hint="default"/>
                <w:u w:val="none"/>
              </w:rPr>
            </w:pPr>
            <w:r>
              <w:rPr>
                <w:rFonts w:hint="default"/>
                <w:kern w:val="0"/>
                <w:szCs w:val="20"/>
                <w:u w:val="none"/>
              </w:rPr>
              <w:t>本项目主要物质风险源为矿物油（液压油、润滑油）、废油（包括汽油、柴油、机油、变速箱油、制动液、废液压油、废润滑油等）、多氯联苯（电容器内）、硫酸（蓄电池内）。由于物质储量和用量较小，不存在重大危险源。项目在生产、储存、运输等过程中存在泄漏、燃烧、爆炸等事故风险。为了防范事故和减少危害，企业应根据实际情况制定相应事故的应急预案。在采取严格的防范、应急与减缓措施后，本项目的事故率、损失和环境影响在可接受的范围内。</w:t>
            </w:r>
          </w:p>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r>
              <w:rPr>
                <w:rFonts w:hint="eastAsia"/>
                <w:b/>
                <w:u w:val="none"/>
              </w:rPr>
              <w:t>5、国家产业政策相符性</w:t>
            </w:r>
          </w:p>
          <w:p>
            <w:pPr>
              <w:keepNext w:val="0"/>
              <w:keepLines w:val="0"/>
              <w:suppressLineNumbers w:val="0"/>
              <w:spacing w:before="0" w:beforeAutospacing="0" w:after="0" w:afterAutospacing="0"/>
              <w:ind w:left="0" w:right="0" w:firstLine="480"/>
              <w:rPr>
                <w:rFonts w:hint="default"/>
                <w:u w:val="none"/>
              </w:rPr>
            </w:pPr>
            <w:r>
              <w:rPr>
                <w:rFonts w:hint="default"/>
                <w:u w:val="none"/>
              </w:rPr>
              <w:t>本项目为</w:t>
            </w:r>
            <w:r>
              <w:rPr>
                <w:rFonts w:hint="eastAsia"/>
                <w:u w:val="none"/>
                <w:lang w:eastAsia="zh-CN"/>
              </w:rPr>
              <w:t>年拆解回收利用10000辆废旧机动车项目</w:t>
            </w:r>
            <w:r>
              <w:rPr>
                <w:rFonts w:hint="default"/>
                <w:u w:val="none"/>
              </w:rPr>
              <w:t>，年拆解10000辆报废机动车，</w:t>
            </w:r>
            <w:r>
              <w:rPr>
                <w:rFonts w:hint="eastAsia" w:ascii="Times New Roman" w:hAnsi="Times New Roman" w:eastAsia="宋体" w:cs="Times New Roman"/>
                <w:color w:val="000000"/>
                <w:kern w:val="2"/>
                <w:sz w:val="24"/>
                <w:szCs w:val="24"/>
                <w:u w:val="none"/>
                <w:lang w:val="zh-CN" w:eastAsia="zh-CN" w:bidi="ar"/>
              </w:rPr>
              <w:t>根据《产业结构调整指导目录》（</w:t>
            </w:r>
            <w:r>
              <w:rPr>
                <w:rFonts w:hint="default" w:ascii="Times New Roman" w:hAnsi="Times New Roman" w:eastAsia="宋体" w:cs="Times New Roman"/>
                <w:color w:val="000000"/>
                <w:kern w:val="2"/>
                <w:sz w:val="24"/>
                <w:szCs w:val="24"/>
                <w:u w:val="none"/>
                <w:lang w:val="zh-CN" w:eastAsia="zh-CN" w:bidi="ar"/>
              </w:rPr>
              <w:t>201</w:t>
            </w:r>
            <w:r>
              <w:rPr>
                <w:rFonts w:hint="default" w:ascii="Times New Roman" w:hAnsi="Times New Roman" w:eastAsia="宋体" w:cs="Times New Roman"/>
                <w:color w:val="000000"/>
                <w:kern w:val="2"/>
                <w:sz w:val="24"/>
                <w:szCs w:val="24"/>
                <w:u w:val="none"/>
                <w:lang w:val="en-US" w:eastAsia="zh-CN" w:bidi="ar"/>
              </w:rPr>
              <w:t>9</w:t>
            </w:r>
            <w:r>
              <w:rPr>
                <w:rFonts w:hint="eastAsia" w:ascii="Times New Roman" w:hAnsi="Times New Roman" w:eastAsia="宋体" w:cs="Times New Roman"/>
                <w:color w:val="000000"/>
                <w:kern w:val="2"/>
                <w:sz w:val="24"/>
                <w:szCs w:val="24"/>
                <w:u w:val="none"/>
                <w:lang w:val="zh-CN" w:eastAsia="zh-CN" w:bidi="ar"/>
              </w:rPr>
              <w:t>年本）的规定，本项目为废旧汽车回收拆解及资源化利用项目，属于鼓励类“区域性废旧汽车、废旧电器电子产品、废旧船舶、废钢铁、废旧木材等资源循环利用基地建设”。因此，本项目建设符合国家产业政策。</w:t>
            </w:r>
          </w:p>
          <w:p>
            <w:pPr>
              <w:keepNext w:val="0"/>
              <w:keepLines w:val="0"/>
              <w:suppressLineNumbers w:val="0"/>
              <w:adjustRightInd w:val="0"/>
              <w:snapToGrid w:val="0"/>
              <w:spacing w:before="0" w:beforeAutospacing="0" w:after="0" w:afterAutospacing="0" w:line="360" w:lineRule="auto"/>
              <w:ind w:left="0" w:right="0" w:firstLine="480"/>
              <w:jc w:val="left"/>
              <w:rPr>
                <w:rFonts w:hint="default"/>
                <w:u w:val="none"/>
              </w:rPr>
            </w:pPr>
          </w:p>
          <w:p>
            <w:pPr>
              <w:keepNext w:val="0"/>
              <w:keepLines w:val="0"/>
              <w:suppressLineNumbers w:val="0"/>
              <w:adjustRightInd w:val="0"/>
              <w:snapToGrid w:val="0"/>
              <w:spacing w:before="0" w:beforeAutospacing="0" w:after="0" w:afterAutospacing="0" w:line="360" w:lineRule="auto"/>
              <w:ind w:left="0" w:right="0" w:firstLine="482"/>
              <w:jc w:val="left"/>
              <w:rPr>
                <w:rFonts w:hint="default"/>
                <w:b/>
                <w:u w:val="none"/>
              </w:rPr>
            </w:pPr>
            <w:r>
              <w:rPr>
                <w:rFonts w:hint="eastAsia"/>
                <w:b/>
                <w:u w:val="none"/>
                <w:lang w:val="en-US" w:eastAsia="zh-CN"/>
              </w:rPr>
              <w:t>9.2</w:t>
            </w:r>
            <w:r>
              <w:rPr>
                <w:rFonts w:hint="eastAsia"/>
                <w:b/>
                <w:u w:val="none"/>
              </w:rPr>
              <w:t>建议</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1、加强运营期的环保设施、环保措施的运营管理。切实记录危险废物转移联单。</w:t>
            </w:r>
          </w:p>
          <w:p>
            <w:pPr>
              <w:keepNext w:val="0"/>
              <w:keepLines w:val="0"/>
              <w:suppressLineNumbers w:val="0"/>
              <w:spacing w:before="0" w:beforeAutospacing="0" w:after="0" w:afterAutospacing="0"/>
              <w:ind w:left="0" w:right="0" w:firstLine="480"/>
              <w:rPr>
                <w:rFonts w:hint="default"/>
                <w:kern w:val="0"/>
                <w:szCs w:val="20"/>
                <w:u w:val="none"/>
              </w:rPr>
            </w:pPr>
            <w:r>
              <w:rPr>
                <w:rFonts w:hint="default"/>
                <w:kern w:val="0"/>
                <w:szCs w:val="20"/>
                <w:u w:val="none"/>
              </w:rPr>
              <w:t>2、危险废物转移联单纸质版至少保存3年，电子版至少保存5年。</w:t>
            </w:r>
          </w:p>
          <w:p>
            <w:pPr>
              <w:keepNext w:val="0"/>
              <w:keepLines w:val="0"/>
              <w:suppressLineNumbers w:val="0"/>
              <w:adjustRightInd w:val="0"/>
              <w:snapToGrid w:val="0"/>
              <w:spacing w:before="0" w:beforeAutospacing="0" w:after="0" w:afterAutospacing="0" w:line="360" w:lineRule="auto"/>
              <w:ind w:left="0" w:right="0" w:firstLine="480"/>
              <w:jc w:val="left"/>
              <w:rPr>
                <w:rFonts w:hint="default"/>
                <w:u w:val="none"/>
              </w:rPr>
            </w:pPr>
          </w:p>
        </w:tc>
      </w:tr>
      <w:bookmarkEnd w:id="342"/>
    </w:tbl>
    <w:p>
      <w:pPr>
        <w:widowControl/>
        <w:ind w:firstLine="0" w:firstLineChars="0"/>
        <w:jc w:val="left"/>
        <w:rPr>
          <w:u w:val="none"/>
        </w:rPr>
      </w:pPr>
    </w:p>
    <w:sectPr>
      <w:pgSz w:w="11906" w:h="16838"/>
      <w:pgMar w:top="1440" w:right="1800" w:bottom="1440" w:left="1800" w:header="851" w:footer="992" w:gutter="0"/>
      <w:pgNumType w:fmt="decimal"/>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80"/>
    <w:family w:val="auto"/>
    <w:pitch w:val="default"/>
    <w:sig w:usb0="00000000" w:usb1="00000000" w:usb2="00000000" w:usb3="00000000" w:csb0="00020000" w:csb1="00000000"/>
  </w:font>
  <w:font w:name="等线">
    <w:altName w:val="宋体"/>
    <w:panose1 w:val="00000000000000000000"/>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firstLine="360"/>
      <w:rPr>
        <w:rStyle w:val="26"/>
      </w:rPr>
    </w:pPr>
    <w:r>
      <w:fldChar w:fldCharType="begin"/>
    </w:r>
    <w:r>
      <w:rPr>
        <w:rStyle w:val="26"/>
      </w:rPr>
      <w:instrText xml:space="preserve">PAGE  </w:instrText>
    </w:r>
    <w:r>
      <w:fldChar w:fldCharType="separate"/>
    </w:r>
    <w:r>
      <w:rPr>
        <w:rStyle w:val="26"/>
      </w:rPr>
      <w:t>36</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spacing w:line="0" w:lineRule="auto"/>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FABB0F"/>
    <w:multiLevelType w:val="singleLevel"/>
    <w:tmpl w:val="84FABB0F"/>
    <w:lvl w:ilvl="0" w:tentative="0">
      <w:start w:val="3"/>
      <w:numFmt w:val="decimal"/>
      <w:suff w:val="nothing"/>
      <w:lvlText w:val="%1、"/>
      <w:lvlJc w:val="left"/>
    </w:lvl>
  </w:abstractNum>
  <w:abstractNum w:abstractNumId="1">
    <w:nsid w:val="AF7427D2"/>
    <w:multiLevelType w:val="singleLevel"/>
    <w:tmpl w:val="AF7427D2"/>
    <w:lvl w:ilvl="0" w:tentative="0">
      <w:start w:val="1"/>
      <w:numFmt w:val="decimal"/>
      <w:suff w:val="nothing"/>
      <w:lvlText w:val="（%1）"/>
      <w:lvlJc w:val="left"/>
    </w:lvl>
  </w:abstractNum>
  <w:abstractNum w:abstractNumId="2">
    <w:nsid w:val="B517A637"/>
    <w:multiLevelType w:val="singleLevel"/>
    <w:tmpl w:val="B517A637"/>
    <w:lvl w:ilvl="0" w:tentative="0">
      <w:start w:val="1"/>
      <w:numFmt w:val="decimal"/>
      <w:suff w:val="nothing"/>
      <w:lvlText w:val="（%1）"/>
      <w:lvlJc w:val="left"/>
    </w:lvl>
  </w:abstractNum>
  <w:abstractNum w:abstractNumId="3">
    <w:nsid w:val="BE105FAB"/>
    <w:multiLevelType w:val="singleLevel"/>
    <w:tmpl w:val="BE105FAB"/>
    <w:lvl w:ilvl="0" w:tentative="0">
      <w:start w:val="1"/>
      <w:numFmt w:val="chineseCounting"/>
      <w:suff w:val="nothing"/>
      <w:lvlText w:val="（%1）"/>
      <w:lvlJc w:val="left"/>
      <w:pPr>
        <w:ind w:left="0" w:firstLine="420"/>
      </w:pPr>
      <w:rPr>
        <w:rFonts w:hint="eastAsia"/>
      </w:rPr>
    </w:lvl>
  </w:abstractNum>
  <w:abstractNum w:abstractNumId="4">
    <w:nsid w:val="D42FB037"/>
    <w:multiLevelType w:val="singleLevel"/>
    <w:tmpl w:val="D42FB037"/>
    <w:lvl w:ilvl="0" w:tentative="0">
      <w:start w:val="1"/>
      <w:numFmt w:val="decimalEnclosedCircleChinese"/>
      <w:suff w:val="nothing"/>
      <w:lvlText w:val="%1　"/>
      <w:lvlJc w:val="left"/>
      <w:pPr>
        <w:ind w:left="0" w:firstLine="400"/>
      </w:pPr>
      <w:rPr>
        <w:rFonts w:hint="eastAsia"/>
      </w:rPr>
    </w:lvl>
  </w:abstractNum>
  <w:abstractNum w:abstractNumId="5">
    <w:nsid w:val="E42293A4"/>
    <w:multiLevelType w:val="singleLevel"/>
    <w:tmpl w:val="E42293A4"/>
    <w:lvl w:ilvl="0" w:tentative="0">
      <w:start w:val="1"/>
      <w:numFmt w:val="decimal"/>
      <w:suff w:val="nothing"/>
      <w:lvlText w:val="（%1）"/>
      <w:lvlJc w:val="left"/>
    </w:lvl>
  </w:abstractNum>
  <w:abstractNum w:abstractNumId="6">
    <w:nsid w:val="4492849C"/>
    <w:multiLevelType w:val="singleLevel"/>
    <w:tmpl w:val="4492849C"/>
    <w:lvl w:ilvl="0" w:tentative="0">
      <w:start w:val="1"/>
      <w:numFmt w:val="decimalEnclosedCircleChinese"/>
      <w:suff w:val="nothing"/>
      <w:lvlText w:val="%1　"/>
      <w:lvlJc w:val="left"/>
      <w:pPr>
        <w:ind w:left="0" w:firstLine="400"/>
      </w:pPr>
      <w:rPr>
        <w:rFonts w:hint="eastAsia"/>
      </w:rPr>
    </w:lvl>
  </w:abstractNum>
  <w:abstractNum w:abstractNumId="7">
    <w:nsid w:val="4A0EA218"/>
    <w:multiLevelType w:val="singleLevel"/>
    <w:tmpl w:val="4A0EA218"/>
    <w:lvl w:ilvl="0" w:tentative="0">
      <w:start w:val="1"/>
      <w:numFmt w:val="decimal"/>
      <w:suff w:val="nothing"/>
      <w:lvlText w:val="%1、"/>
      <w:lvlJc w:val="left"/>
    </w:lvl>
  </w:abstractNum>
  <w:num w:numId="1">
    <w:abstractNumId w:val="3"/>
  </w:num>
  <w:num w:numId="2">
    <w:abstractNumId w:val="0"/>
  </w:num>
  <w:num w:numId="3">
    <w:abstractNumId w:val="1"/>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HorizontalSpacing w:val="160"/>
  <w:drawingGridVerticalSpacing w:val="43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28"/>
    <w:rsid w:val="00002DA7"/>
    <w:rsid w:val="00005A72"/>
    <w:rsid w:val="000109F4"/>
    <w:rsid w:val="00011636"/>
    <w:rsid w:val="00011DE5"/>
    <w:rsid w:val="00013A6C"/>
    <w:rsid w:val="00017A8A"/>
    <w:rsid w:val="000200C0"/>
    <w:rsid w:val="00026C3E"/>
    <w:rsid w:val="000318F0"/>
    <w:rsid w:val="0003273C"/>
    <w:rsid w:val="00033F94"/>
    <w:rsid w:val="000362B4"/>
    <w:rsid w:val="000426CC"/>
    <w:rsid w:val="000453B3"/>
    <w:rsid w:val="00045B58"/>
    <w:rsid w:val="00050474"/>
    <w:rsid w:val="000540D1"/>
    <w:rsid w:val="00054DC0"/>
    <w:rsid w:val="00064604"/>
    <w:rsid w:val="00065FCF"/>
    <w:rsid w:val="00071376"/>
    <w:rsid w:val="0008039E"/>
    <w:rsid w:val="00081E4E"/>
    <w:rsid w:val="00082732"/>
    <w:rsid w:val="00084AA7"/>
    <w:rsid w:val="00090EDA"/>
    <w:rsid w:val="00095BD1"/>
    <w:rsid w:val="000A69A5"/>
    <w:rsid w:val="000B0BCC"/>
    <w:rsid w:val="000B2DA5"/>
    <w:rsid w:val="000B479B"/>
    <w:rsid w:val="000B538B"/>
    <w:rsid w:val="000B72E7"/>
    <w:rsid w:val="000C4642"/>
    <w:rsid w:val="000C5F8C"/>
    <w:rsid w:val="000D062D"/>
    <w:rsid w:val="000D36D9"/>
    <w:rsid w:val="000D542F"/>
    <w:rsid w:val="000D7230"/>
    <w:rsid w:val="000E3253"/>
    <w:rsid w:val="000F7C3F"/>
    <w:rsid w:val="00101C25"/>
    <w:rsid w:val="00102538"/>
    <w:rsid w:val="0011464B"/>
    <w:rsid w:val="0011721E"/>
    <w:rsid w:val="001207ED"/>
    <w:rsid w:val="001238EB"/>
    <w:rsid w:val="00137004"/>
    <w:rsid w:val="00140390"/>
    <w:rsid w:val="00140789"/>
    <w:rsid w:val="0014078B"/>
    <w:rsid w:val="00142B8B"/>
    <w:rsid w:val="001430DB"/>
    <w:rsid w:val="001510FF"/>
    <w:rsid w:val="00153B9D"/>
    <w:rsid w:val="001546DE"/>
    <w:rsid w:val="00161EF6"/>
    <w:rsid w:val="00171606"/>
    <w:rsid w:val="001717DB"/>
    <w:rsid w:val="001753DD"/>
    <w:rsid w:val="001765C2"/>
    <w:rsid w:val="001819D6"/>
    <w:rsid w:val="00184756"/>
    <w:rsid w:val="001938F5"/>
    <w:rsid w:val="00194F9F"/>
    <w:rsid w:val="001955B9"/>
    <w:rsid w:val="00195C1A"/>
    <w:rsid w:val="00195DEC"/>
    <w:rsid w:val="00195EB3"/>
    <w:rsid w:val="00195F14"/>
    <w:rsid w:val="001A3862"/>
    <w:rsid w:val="001A55B8"/>
    <w:rsid w:val="001B4A8E"/>
    <w:rsid w:val="001C2217"/>
    <w:rsid w:val="001C6B18"/>
    <w:rsid w:val="001C7D67"/>
    <w:rsid w:val="001D2055"/>
    <w:rsid w:val="001E5F69"/>
    <w:rsid w:val="001F7FEA"/>
    <w:rsid w:val="00206E59"/>
    <w:rsid w:val="00214659"/>
    <w:rsid w:val="00217A0D"/>
    <w:rsid w:val="00224B74"/>
    <w:rsid w:val="002279D0"/>
    <w:rsid w:val="002311C4"/>
    <w:rsid w:val="00236853"/>
    <w:rsid w:val="00237A3A"/>
    <w:rsid w:val="00240472"/>
    <w:rsid w:val="00241BC2"/>
    <w:rsid w:val="002420B5"/>
    <w:rsid w:val="00242999"/>
    <w:rsid w:val="00244C01"/>
    <w:rsid w:val="00247F26"/>
    <w:rsid w:val="00250DC0"/>
    <w:rsid w:val="00257959"/>
    <w:rsid w:val="00260A7B"/>
    <w:rsid w:val="00262710"/>
    <w:rsid w:val="00262FD2"/>
    <w:rsid w:val="002639F7"/>
    <w:rsid w:val="00271C98"/>
    <w:rsid w:val="00275676"/>
    <w:rsid w:val="00276B9A"/>
    <w:rsid w:val="00290BB0"/>
    <w:rsid w:val="00295187"/>
    <w:rsid w:val="00295A41"/>
    <w:rsid w:val="002A142D"/>
    <w:rsid w:val="002A2F9F"/>
    <w:rsid w:val="002C00FF"/>
    <w:rsid w:val="002C2887"/>
    <w:rsid w:val="002D1AB7"/>
    <w:rsid w:val="002D700F"/>
    <w:rsid w:val="002E645D"/>
    <w:rsid w:val="002E69A0"/>
    <w:rsid w:val="002E6E7C"/>
    <w:rsid w:val="002F2ADC"/>
    <w:rsid w:val="002F3D61"/>
    <w:rsid w:val="002F40B9"/>
    <w:rsid w:val="002F429C"/>
    <w:rsid w:val="002F4526"/>
    <w:rsid w:val="00300747"/>
    <w:rsid w:val="00301FB6"/>
    <w:rsid w:val="00302FB0"/>
    <w:rsid w:val="00304194"/>
    <w:rsid w:val="00311E70"/>
    <w:rsid w:val="00314A60"/>
    <w:rsid w:val="00315305"/>
    <w:rsid w:val="00315F32"/>
    <w:rsid w:val="00316C3F"/>
    <w:rsid w:val="00320BF6"/>
    <w:rsid w:val="003239DE"/>
    <w:rsid w:val="00325852"/>
    <w:rsid w:val="003308DB"/>
    <w:rsid w:val="0034434A"/>
    <w:rsid w:val="003560DA"/>
    <w:rsid w:val="00364244"/>
    <w:rsid w:val="0036686D"/>
    <w:rsid w:val="00367993"/>
    <w:rsid w:val="0037135C"/>
    <w:rsid w:val="0037481B"/>
    <w:rsid w:val="00380BBC"/>
    <w:rsid w:val="00380D15"/>
    <w:rsid w:val="00382403"/>
    <w:rsid w:val="00382A8D"/>
    <w:rsid w:val="003848C0"/>
    <w:rsid w:val="00394798"/>
    <w:rsid w:val="003A03CB"/>
    <w:rsid w:val="003A4A64"/>
    <w:rsid w:val="003B3C76"/>
    <w:rsid w:val="003B603D"/>
    <w:rsid w:val="003B78A2"/>
    <w:rsid w:val="003C1AAC"/>
    <w:rsid w:val="003C76DE"/>
    <w:rsid w:val="003C7B49"/>
    <w:rsid w:val="003C7F38"/>
    <w:rsid w:val="003D49B3"/>
    <w:rsid w:val="003E1134"/>
    <w:rsid w:val="003E123A"/>
    <w:rsid w:val="003E1408"/>
    <w:rsid w:val="003F0B2F"/>
    <w:rsid w:val="003F0C81"/>
    <w:rsid w:val="003F36D6"/>
    <w:rsid w:val="003F4DF5"/>
    <w:rsid w:val="003F6663"/>
    <w:rsid w:val="004007F5"/>
    <w:rsid w:val="00400A9F"/>
    <w:rsid w:val="00401AD3"/>
    <w:rsid w:val="0040611F"/>
    <w:rsid w:val="00406127"/>
    <w:rsid w:val="00410F4F"/>
    <w:rsid w:val="00412C1B"/>
    <w:rsid w:val="004167AF"/>
    <w:rsid w:val="00417612"/>
    <w:rsid w:val="00423572"/>
    <w:rsid w:val="004249CA"/>
    <w:rsid w:val="00427DB3"/>
    <w:rsid w:val="00427E19"/>
    <w:rsid w:val="004311DC"/>
    <w:rsid w:val="00432767"/>
    <w:rsid w:val="004460E3"/>
    <w:rsid w:val="00446C36"/>
    <w:rsid w:val="00450E45"/>
    <w:rsid w:val="00456242"/>
    <w:rsid w:val="00467B7C"/>
    <w:rsid w:val="00471C64"/>
    <w:rsid w:val="00484F44"/>
    <w:rsid w:val="004A00FE"/>
    <w:rsid w:val="004A0B0C"/>
    <w:rsid w:val="004A1232"/>
    <w:rsid w:val="004A1CEA"/>
    <w:rsid w:val="004A2ADF"/>
    <w:rsid w:val="004A38DA"/>
    <w:rsid w:val="004A646C"/>
    <w:rsid w:val="004B0203"/>
    <w:rsid w:val="004B48CA"/>
    <w:rsid w:val="004C2DDF"/>
    <w:rsid w:val="004C3090"/>
    <w:rsid w:val="004C59FE"/>
    <w:rsid w:val="004D0B63"/>
    <w:rsid w:val="004D18BF"/>
    <w:rsid w:val="004D6568"/>
    <w:rsid w:val="004E202A"/>
    <w:rsid w:val="004E2D07"/>
    <w:rsid w:val="004E6638"/>
    <w:rsid w:val="004F06C9"/>
    <w:rsid w:val="00503056"/>
    <w:rsid w:val="00503107"/>
    <w:rsid w:val="005039CA"/>
    <w:rsid w:val="0050425C"/>
    <w:rsid w:val="00504DB0"/>
    <w:rsid w:val="00505C1E"/>
    <w:rsid w:val="00514559"/>
    <w:rsid w:val="00517104"/>
    <w:rsid w:val="00524096"/>
    <w:rsid w:val="0053111E"/>
    <w:rsid w:val="00531AAC"/>
    <w:rsid w:val="00534747"/>
    <w:rsid w:val="005352D2"/>
    <w:rsid w:val="00545F64"/>
    <w:rsid w:val="005516FC"/>
    <w:rsid w:val="005519AA"/>
    <w:rsid w:val="00555749"/>
    <w:rsid w:val="00557007"/>
    <w:rsid w:val="00557372"/>
    <w:rsid w:val="00560D2F"/>
    <w:rsid w:val="00563047"/>
    <w:rsid w:val="00570662"/>
    <w:rsid w:val="0058151D"/>
    <w:rsid w:val="005818E0"/>
    <w:rsid w:val="00587555"/>
    <w:rsid w:val="00587E71"/>
    <w:rsid w:val="00592AFB"/>
    <w:rsid w:val="00597547"/>
    <w:rsid w:val="005A092E"/>
    <w:rsid w:val="005A1714"/>
    <w:rsid w:val="005A1813"/>
    <w:rsid w:val="005A3C20"/>
    <w:rsid w:val="005A5FAE"/>
    <w:rsid w:val="005A6FBE"/>
    <w:rsid w:val="005A7C4E"/>
    <w:rsid w:val="005B4F42"/>
    <w:rsid w:val="005B631D"/>
    <w:rsid w:val="005B6578"/>
    <w:rsid w:val="005C0FEC"/>
    <w:rsid w:val="005C4543"/>
    <w:rsid w:val="005C5F90"/>
    <w:rsid w:val="005D2259"/>
    <w:rsid w:val="005D3D88"/>
    <w:rsid w:val="005D44FC"/>
    <w:rsid w:val="005D5DF4"/>
    <w:rsid w:val="005E39F6"/>
    <w:rsid w:val="005F08F1"/>
    <w:rsid w:val="005F388C"/>
    <w:rsid w:val="005F4B27"/>
    <w:rsid w:val="00603937"/>
    <w:rsid w:val="006048D3"/>
    <w:rsid w:val="00610275"/>
    <w:rsid w:val="006108EA"/>
    <w:rsid w:val="0061104E"/>
    <w:rsid w:val="00614529"/>
    <w:rsid w:val="0061488A"/>
    <w:rsid w:val="00615F42"/>
    <w:rsid w:val="00616A2B"/>
    <w:rsid w:val="00616E93"/>
    <w:rsid w:val="006203C5"/>
    <w:rsid w:val="00621775"/>
    <w:rsid w:val="00622BD2"/>
    <w:rsid w:val="00623C55"/>
    <w:rsid w:val="006328A6"/>
    <w:rsid w:val="006421FD"/>
    <w:rsid w:val="0064578B"/>
    <w:rsid w:val="006513AF"/>
    <w:rsid w:val="00652D35"/>
    <w:rsid w:val="006538C2"/>
    <w:rsid w:val="00666EC2"/>
    <w:rsid w:val="00671351"/>
    <w:rsid w:val="00671694"/>
    <w:rsid w:val="0068015F"/>
    <w:rsid w:val="006801E7"/>
    <w:rsid w:val="0068075D"/>
    <w:rsid w:val="00680995"/>
    <w:rsid w:val="00680D08"/>
    <w:rsid w:val="00682A01"/>
    <w:rsid w:val="00683A6F"/>
    <w:rsid w:val="0068639F"/>
    <w:rsid w:val="0069367B"/>
    <w:rsid w:val="00697228"/>
    <w:rsid w:val="006A09E1"/>
    <w:rsid w:val="006A1D7C"/>
    <w:rsid w:val="006A3811"/>
    <w:rsid w:val="006A5A2C"/>
    <w:rsid w:val="006A7240"/>
    <w:rsid w:val="006B29E0"/>
    <w:rsid w:val="006B348A"/>
    <w:rsid w:val="006B3E14"/>
    <w:rsid w:val="006C5B24"/>
    <w:rsid w:val="006C6AB5"/>
    <w:rsid w:val="006C71CE"/>
    <w:rsid w:val="006C7BF9"/>
    <w:rsid w:val="006C7D19"/>
    <w:rsid w:val="006D40DF"/>
    <w:rsid w:val="006E07B7"/>
    <w:rsid w:val="006E0CEB"/>
    <w:rsid w:val="006E7BAA"/>
    <w:rsid w:val="006F3B5D"/>
    <w:rsid w:val="006F538E"/>
    <w:rsid w:val="007030D0"/>
    <w:rsid w:val="00704391"/>
    <w:rsid w:val="00710A22"/>
    <w:rsid w:val="00710DE7"/>
    <w:rsid w:val="0071254C"/>
    <w:rsid w:val="007170F0"/>
    <w:rsid w:val="00721288"/>
    <w:rsid w:val="0072443E"/>
    <w:rsid w:val="0072738A"/>
    <w:rsid w:val="00731225"/>
    <w:rsid w:val="00742D44"/>
    <w:rsid w:val="00750B06"/>
    <w:rsid w:val="007574BD"/>
    <w:rsid w:val="00772D7A"/>
    <w:rsid w:val="00772E4A"/>
    <w:rsid w:val="007745CB"/>
    <w:rsid w:val="00780AA8"/>
    <w:rsid w:val="00793E52"/>
    <w:rsid w:val="00795AB2"/>
    <w:rsid w:val="00797FDE"/>
    <w:rsid w:val="007A619D"/>
    <w:rsid w:val="007B1A89"/>
    <w:rsid w:val="007B6743"/>
    <w:rsid w:val="007C29AC"/>
    <w:rsid w:val="007C4563"/>
    <w:rsid w:val="007C48F8"/>
    <w:rsid w:val="007D0670"/>
    <w:rsid w:val="007D1B23"/>
    <w:rsid w:val="007D2387"/>
    <w:rsid w:val="007D66BD"/>
    <w:rsid w:val="007E19DE"/>
    <w:rsid w:val="007E1A5B"/>
    <w:rsid w:val="007E6D20"/>
    <w:rsid w:val="007F3EB8"/>
    <w:rsid w:val="007F6265"/>
    <w:rsid w:val="007F744C"/>
    <w:rsid w:val="0080232C"/>
    <w:rsid w:val="00814A17"/>
    <w:rsid w:val="0082252D"/>
    <w:rsid w:val="008362B0"/>
    <w:rsid w:val="00836426"/>
    <w:rsid w:val="0083721E"/>
    <w:rsid w:val="00837CE4"/>
    <w:rsid w:val="008408B2"/>
    <w:rsid w:val="00843CC8"/>
    <w:rsid w:val="00855E57"/>
    <w:rsid w:val="00860664"/>
    <w:rsid w:val="00861945"/>
    <w:rsid w:val="00863516"/>
    <w:rsid w:val="008647F7"/>
    <w:rsid w:val="00865537"/>
    <w:rsid w:val="00872A3F"/>
    <w:rsid w:val="00873CAC"/>
    <w:rsid w:val="00873F42"/>
    <w:rsid w:val="00882B23"/>
    <w:rsid w:val="00882ED6"/>
    <w:rsid w:val="0088315D"/>
    <w:rsid w:val="008849EA"/>
    <w:rsid w:val="00887E5A"/>
    <w:rsid w:val="0089777C"/>
    <w:rsid w:val="008A461E"/>
    <w:rsid w:val="008A482B"/>
    <w:rsid w:val="008A51D3"/>
    <w:rsid w:val="008B5BAC"/>
    <w:rsid w:val="008D27D4"/>
    <w:rsid w:val="008D4609"/>
    <w:rsid w:val="008D4C38"/>
    <w:rsid w:val="008D5ABD"/>
    <w:rsid w:val="008E079C"/>
    <w:rsid w:val="008E0F9E"/>
    <w:rsid w:val="008E68AF"/>
    <w:rsid w:val="009002E5"/>
    <w:rsid w:val="00906BAC"/>
    <w:rsid w:val="00907E25"/>
    <w:rsid w:val="009139B6"/>
    <w:rsid w:val="00922F67"/>
    <w:rsid w:val="00925859"/>
    <w:rsid w:val="00931AF0"/>
    <w:rsid w:val="00933849"/>
    <w:rsid w:val="0093400D"/>
    <w:rsid w:val="00934BBD"/>
    <w:rsid w:val="00935CAC"/>
    <w:rsid w:val="00950105"/>
    <w:rsid w:val="00951F3A"/>
    <w:rsid w:val="009526CD"/>
    <w:rsid w:val="00956A03"/>
    <w:rsid w:val="00960492"/>
    <w:rsid w:val="00962405"/>
    <w:rsid w:val="00964DE0"/>
    <w:rsid w:val="00967E06"/>
    <w:rsid w:val="00971717"/>
    <w:rsid w:val="009720B2"/>
    <w:rsid w:val="00976FA7"/>
    <w:rsid w:val="00980F64"/>
    <w:rsid w:val="0098270E"/>
    <w:rsid w:val="00983248"/>
    <w:rsid w:val="0098384A"/>
    <w:rsid w:val="00997605"/>
    <w:rsid w:val="009A01DE"/>
    <w:rsid w:val="009A0503"/>
    <w:rsid w:val="009A2BD1"/>
    <w:rsid w:val="009B0AF1"/>
    <w:rsid w:val="009B13EA"/>
    <w:rsid w:val="009B44A1"/>
    <w:rsid w:val="009B7432"/>
    <w:rsid w:val="009C0B2E"/>
    <w:rsid w:val="009C32C5"/>
    <w:rsid w:val="009C3FAC"/>
    <w:rsid w:val="009D0DB8"/>
    <w:rsid w:val="009D4B01"/>
    <w:rsid w:val="009D5662"/>
    <w:rsid w:val="009D5C3E"/>
    <w:rsid w:val="009E1D83"/>
    <w:rsid w:val="009E3F3E"/>
    <w:rsid w:val="009E4B9F"/>
    <w:rsid w:val="009E6D12"/>
    <w:rsid w:val="009F1033"/>
    <w:rsid w:val="009F4BF7"/>
    <w:rsid w:val="009F563C"/>
    <w:rsid w:val="00A04631"/>
    <w:rsid w:val="00A0523C"/>
    <w:rsid w:val="00A0607A"/>
    <w:rsid w:val="00A15CC4"/>
    <w:rsid w:val="00A23404"/>
    <w:rsid w:val="00A30E22"/>
    <w:rsid w:val="00A31DF2"/>
    <w:rsid w:val="00A367A5"/>
    <w:rsid w:val="00A37E27"/>
    <w:rsid w:val="00A43D57"/>
    <w:rsid w:val="00A44D8D"/>
    <w:rsid w:val="00A45CA1"/>
    <w:rsid w:val="00A565A6"/>
    <w:rsid w:val="00A6178F"/>
    <w:rsid w:val="00A61EF3"/>
    <w:rsid w:val="00A711B0"/>
    <w:rsid w:val="00A741BF"/>
    <w:rsid w:val="00A747D8"/>
    <w:rsid w:val="00A74C9B"/>
    <w:rsid w:val="00A74E34"/>
    <w:rsid w:val="00A75CDA"/>
    <w:rsid w:val="00A802B0"/>
    <w:rsid w:val="00A8394B"/>
    <w:rsid w:val="00A84C10"/>
    <w:rsid w:val="00A86917"/>
    <w:rsid w:val="00A92624"/>
    <w:rsid w:val="00A92F22"/>
    <w:rsid w:val="00A94FA8"/>
    <w:rsid w:val="00AA1069"/>
    <w:rsid w:val="00AB200A"/>
    <w:rsid w:val="00AB32AC"/>
    <w:rsid w:val="00AB3ACE"/>
    <w:rsid w:val="00AB7B16"/>
    <w:rsid w:val="00AC5956"/>
    <w:rsid w:val="00AC66D7"/>
    <w:rsid w:val="00AD623C"/>
    <w:rsid w:val="00AE056B"/>
    <w:rsid w:val="00AE1732"/>
    <w:rsid w:val="00AE2542"/>
    <w:rsid w:val="00AE3282"/>
    <w:rsid w:val="00AE429D"/>
    <w:rsid w:val="00AF2A2E"/>
    <w:rsid w:val="00AF5118"/>
    <w:rsid w:val="00AF6975"/>
    <w:rsid w:val="00B02732"/>
    <w:rsid w:val="00B027EF"/>
    <w:rsid w:val="00B10E07"/>
    <w:rsid w:val="00B15B66"/>
    <w:rsid w:val="00B2198E"/>
    <w:rsid w:val="00B241A6"/>
    <w:rsid w:val="00B36520"/>
    <w:rsid w:val="00B419A9"/>
    <w:rsid w:val="00B42493"/>
    <w:rsid w:val="00B43F18"/>
    <w:rsid w:val="00B4478C"/>
    <w:rsid w:val="00B52212"/>
    <w:rsid w:val="00B56A36"/>
    <w:rsid w:val="00B56F73"/>
    <w:rsid w:val="00B57205"/>
    <w:rsid w:val="00B60EBB"/>
    <w:rsid w:val="00B63C0C"/>
    <w:rsid w:val="00B73C2F"/>
    <w:rsid w:val="00B75F9E"/>
    <w:rsid w:val="00B81DED"/>
    <w:rsid w:val="00B82BB7"/>
    <w:rsid w:val="00B85E0A"/>
    <w:rsid w:val="00B8741B"/>
    <w:rsid w:val="00B900D9"/>
    <w:rsid w:val="00B901DB"/>
    <w:rsid w:val="00B94017"/>
    <w:rsid w:val="00BA00BD"/>
    <w:rsid w:val="00BA36E9"/>
    <w:rsid w:val="00BA3744"/>
    <w:rsid w:val="00BA5242"/>
    <w:rsid w:val="00BB2B6C"/>
    <w:rsid w:val="00BB3415"/>
    <w:rsid w:val="00BB375D"/>
    <w:rsid w:val="00BB4815"/>
    <w:rsid w:val="00BC03AF"/>
    <w:rsid w:val="00BC7447"/>
    <w:rsid w:val="00BD5464"/>
    <w:rsid w:val="00BE0048"/>
    <w:rsid w:val="00BE34B8"/>
    <w:rsid w:val="00BE3E24"/>
    <w:rsid w:val="00BE5F0A"/>
    <w:rsid w:val="00BF128E"/>
    <w:rsid w:val="00BF14EA"/>
    <w:rsid w:val="00BF1C9E"/>
    <w:rsid w:val="00BF436D"/>
    <w:rsid w:val="00C013E2"/>
    <w:rsid w:val="00C0524C"/>
    <w:rsid w:val="00C06030"/>
    <w:rsid w:val="00C07487"/>
    <w:rsid w:val="00C12412"/>
    <w:rsid w:val="00C134AB"/>
    <w:rsid w:val="00C15E63"/>
    <w:rsid w:val="00C215C4"/>
    <w:rsid w:val="00C22E45"/>
    <w:rsid w:val="00C241BC"/>
    <w:rsid w:val="00C30744"/>
    <w:rsid w:val="00C32134"/>
    <w:rsid w:val="00C330D1"/>
    <w:rsid w:val="00C364BD"/>
    <w:rsid w:val="00C36C63"/>
    <w:rsid w:val="00C409F1"/>
    <w:rsid w:val="00C40B04"/>
    <w:rsid w:val="00C41699"/>
    <w:rsid w:val="00C41CC0"/>
    <w:rsid w:val="00C45362"/>
    <w:rsid w:val="00C60271"/>
    <w:rsid w:val="00C612E3"/>
    <w:rsid w:val="00C631ED"/>
    <w:rsid w:val="00C665E7"/>
    <w:rsid w:val="00C76030"/>
    <w:rsid w:val="00C80A52"/>
    <w:rsid w:val="00C80CC2"/>
    <w:rsid w:val="00C83FE9"/>
    <w:rsid w:val="00C90A12"/>
    <w:rsid w:val="00C95E0F"/>
    <w:rsid w:val="00C9695A"/>
    <w:rsid w:val="00CA631E"/>
    <w:rsid w:val="00CB2EE3"/>
    <w:rsid w:val="00CB4B85"/>
    <w:rsid w:val="00CB7C61"/>
    <w:rsid w:val="00CC0433"/>
    <w:rsid w:val="00CC421D"/>
    <w:rsid w:val="00CC7122"/>
    <w:rsid w:val="00CD11AA"/>
    <w:rsid w:val="00CD7134"/>
    <w:rsid w:val="00CD7804"/>
    <w:rsid w:val="00CE1898"/>
    <w:rsid w:val="00CE28D9"/>
    <w:rsid w:val="00CE650A"/>
    <w:rsid w:val="00CE692F"/>
    <w:rsid w:val="00CE6F0D"/>
    <w:rsid w:val="00CF0653"/>
    <w:rsid w:val="00CF3071"/>
    <w:rsid w:val="00CF5C2B"/>
    <w:rsid w:val="00CF7A39"/>
    <w:rsid w:val="00D00539"/>
    <w:rsid w:val="00D01482"/>
    <w:rsid w:val="00D020E4"/>
    <w:rsid w:val="00D03C4E"/>
    <w:rsid w:val="00D07BD3"/>
    <w:rsid w:val="00D07FFC"/>
    <w:rsid w:val="00D12D8B"/>
    <w:rsid w:val="00D13946"/>
    <w:rsid w:val="00D16C91"/>
    <w:rsid w:val="00D22572"/>
    <w:rsid w:val="00D23E5A"/>
    <w:rsid w:val="00D26840"/>
    <w:rsid w:val="00D31408"/>
    <w:rsid w:val="00D3646B"/>
    <w:rsid w:val="00D403F2"/>
    <w:rsid w:val="00D42217"/>
    <w:rsid w:val="00D50588"/>
    <w:rsid w:val="00D517EC"/>
    <w:rsid w:val="00D57D86"/>
    <w:rsid w:val="00D75DE5"/>
    <w:rsid w:val="00D75E84"/>
    <w:rsid w:val="00D76E23"/>
    <w:rsid w:val="00D835A2"/>
    <w:rsid w:val="00D87345"/>
    <w:rsid w:val="00D929D9"/>
    <w:rsid w:val="00DA0DB8"/>
    <w:rsid w:val="00DA7DAB"/>
    <w:rsid w:val="00DC2609"/>
    <w:rsid w:val="00DC6810"/>
    <w:rsid w:val="00DC70C6"/>
    <w:rsid w:val="00DD002C"/>
    <w:rsid w:val="00DD0B54"/>
    <w:rsid w:val="00DD25B1"/>
    <w:rsid w:val="00DD4F2F"/>
    <w:rsid w:val="00DF277C"/>
    <w:rsid w:val="00DF4091"/>
    <w:rsid w:val="00DF6478"/>
    <w:rsid w:val="00DF69B9"/>
    <w:rsid w:val="00E05137"/>
    <w:rsid w:val="00E059EA"/>
    <w:rsid w:val="00E10D2E"/>
    <w:rsid w:val="00E1667D"/>
    <w:rsid w:val="00E3434E"/>
    <w:rsid w:val="00E343D5"/>
    <w:rsid w:val="00E3630B"/>
    <w:rsid w:val="00E36EDD"/>
    <w:rsid w:val="00E405DD"/>
    <w:rsid w:val="00E4634E"/>
    <w:rsid w:val="00E54366"/>
    <w:rsid w:val="00E63069"/>
    <w:rsid w:val="00E63FC9"/>
    <w:rsid w:val="00E75D87"/>
    <w:rsid w:val="00E802F9"/>
    <w:rsid w:val="00E90D90"/>
    <w:rsid w:val="00E919C9"/>
    <w:rsid w:val="00E91C34"/>
    <w:rsid w:val="00EA269D"/>
    <w:rsid w:val="00EB1295"/>
    <w:rsid w:val="00EB7352"/>
    <w:rsid w:val="00EB7EFA"/>
    <w:rsid w:val="00EC412A"/>
    <w:rsid w:val="00EC58C1"/>
    <w:rsid w:val="00EC5FA3"/>
    <w:rsid w:val="00EE2242"/>
    <w:rsid w:val="00EF3E88"/>
    <w:rsid w:val="00EF5BBD"/>
    <w:rsid w:val="00F04B9C"/>
    <w:rsid w:val="00F241B6"/>
    <w:rsid w:val="00F25427"/>
    <w:rsid w:val="00F260EB"/>
    <w:rsid w:val="00F279C9"/>
    <w:rsid w:val="00F3182B"/>
    <w:rsid w:val="00F40236"/>
    <w:rsid w:val="00F44CBD"/>
    <w:rsid w:val="00F45090"/>
    <w:rsid w:val="00F51CD2"/>
    <w:rsid w:val="00F631E7"/>
    <w:rsid w:val="00F65399"/>
    <w:rsid w:val="00F72F7B"/>
    <w:rsid w:val="00F768E4"/>
    <w:rsid w:val="00F76C67"/>
    <w:rsid w:val="00F81007"/>
    <w:rsid w:val="00F82A92"/>
    <w:rsid w:val="00F85A1F"/>
    <w:rsid w:val="00F86D2C"/>
    <w:rsid w:val="00F94435"/>
    <w:rsid w:val="00F946DD"/>
    <w:rsid w:val="00F96A5E"/>
    <w:rsid w:val="00FA122A"/>
    <w:rsid w:val="00FB113E"/>
    <w:rsid w:val="00FC0AFC"/>
    <w:rsid w:val="00FC1B89"/>
    <w:rsid w:val="00FC3047"/>
    <w:rsid w:val="00FC32DA"/>
    <w:rsid w:val="00FC393F"/>
    <w:rsid w:val="00FC7732"/>
    <w:rsid w:val="00FD133C"/>
    <w:rsid w:val="00FE16E5"/>
    <w:rsid w:val="00FE4787"/>
    <w:rsid w:val="00FE552B"/>
    <w:rsid w:val="00FE64EA"/>
    <w:rsid w:val="00FF2083"/>
    <w:rsid w:val="00FF25D3"/>
    <w:rsid w:val="00FF2F3B"/>
    <w:rsid w:val="00FF4A4B"/>
    <w:rsid w:val="0107020F"/>
    <w:rsid w:val="01316F9C"/>
    <w:rsid w:val="013A23FE"/>
    <w:rsid w:val="01B437F0"/>
    <w:rsid w:val="01BD4789"/>
    <w:rsid w:val="02226C59"/>
    <w:rsid w:val="02390639"/>
    <w:rsid w:val="023F3AED"/>
    <w:rsid w:val="02643BDB"/>
    <w:rsid w:val="02866538"/>
    <w:rsid w:val="02FC5A2C"/>
    <w:rsid w:val="03EB3AFE"/>
    <w:rsid w:val="040D3A84"/>
    <w:rsid w:val="045F3A0C"/>
    <w:rsid w:val="04F8612C"/>
    <w:rsid w:val="051D1150"/>
    <w:rsid w:val="05D71DA5"/>
    <w:rsid w:val="05EF312A"/>
    <w:rsid w:val="06DE508A"/>
    <w:rsid w:val="08290BA8"/>
    <w:rsid w:val="084B24FD"/>
    <w:rsid w:val="08907A9F"/>
    <w:rsid w:val="08B2182C"/>
    <w:rsid w:val="091B6FC9"/>
    <w:rsid w:val="097A016C"/>
    <w:rsid w:val="0A2A7D96"/>
    <w:rsid w:val="0A376FE4"/>
    <w:rsid w:val="0ABC1F8F"/>
    <w:rsid w:val="0B97094D"/>
    <w:rsid w:val="0CD940B8"/>
    <w:rsid w:val="0CE6179E"/>
    <w:rsid w:val="0CFB67A8"/>
    <w:rsid w:val="0E385B0A"/>
    <w:rsid w:val="0E865F24"/>
    <w:rsid w:val="0F1874AC"/>
    <w:rsid w:val="0F3045C7"/>
    <w:rsid w:val="0F4E10FD"/>
    <w:rsid w:val="0F722C6F"/>
    <w:rsid w:val="0FD52102"/>
    <w:rsid w:val="100D07F5"/>
    <w:rsid w:val="11134918"/>
    <w:rsid w:val="11FA1608"/>
    <w:rsid w:val="12772929"/>
    <w:rsid w:val="137342D8"/>
    <w:rsid w:val="13DD32C4"/>
    <w:rsid w:val="1461533C"/>
    <w:rsid w:val="14FF1F68"/>
    <w:rsid w:val="15186157"/>
    <w:rsid w:val="15762F25"/>
    <w:rsid w:val="16655F3F"/>
    <w:rsid w:val="17042F7A"/>
    <w:rsid w:val="1704535E"/>
    <w:rsid w:val="174432F7"/>
    <w:rsid w:val="17554987"/>
    <w:rsid w:val="1795053B"/>
    <w:rsid w:val="179747B1"/>
    <w:rsid w:val="17A34B66"/>
    <w:rsid w:val="17E44DE0"/>
    <w:rsid w:val="1A067951"/>
    <w:rsid w:val="1BD87409"/>
    <w:rsid w:val="1C3123DF"/>
    <w:rsid w:val="1DEC1368"/>
    <w:rsid w:val="1E905D96"/>
    <w:rsid w:val="1EAE697F"/>
    <w:rsid w:val="1F052C21"/>
    <w:rsid w:val="20072D68"/>
    <w:rsid w:val="203B3556"/>
    <w:rsid w:val="209A603E"/>
    <w:rsid w:val="20FC40E3"/>
    <w:rsid w:val="21233335"/>
    <w:rsid w:val="218D1547"/>
    <w:rsid w:val="21F8317B"/>
    <w:rsid w:val="21F841F3"/>
    <w:rsid w:val="22003C0A"/>
    <w:rsid w:val="227B4751"/>
    <w:rsid w:val="229428E9"/>
    <w:rsid w:val="23092683"/>
    <w:rsid w:val="23752022"/>
    <w:rsid w:val="23A61F3E"/>
    <w:rsid w:val="243B6130"/>
    <w:rsid w:val="24B1014D"/>
    <w:rsid w:val="24E907B4"/>
    <w:rsid w:val="24FE78B3"/>
    <w:rsid w:val="25032081"/>
    <w:rsid w:val="25F25E08"/>
    <w:rsid w:val="267D13BA"/>
    <w:rsid w:val="279D7DAB"/>
    <w:rsid w:val="283443D1"/>
    <w:rsid w:val="28796BC1"/>
    <w:rsid w:val="29715041"/>
    <w:rsid w:val="29957FAA"/>
    <w:rsid w:val="29D548EE"/>
    <w:rsid w:val="2A80360F"/>
    <w:rsid w:val="2AF412AB"/>
    <w:rsid w:val="2BD65C33"/>
    <w:rsid w:val="2BE940C7"/>
    <w:rsid w:val="2C5740D3"/>
    <w:rsid w:val="2C743357"/>
    <w:rsid w:val="2D044ABD"/>
    <w:rsid w:val="2D201B79"/>
    <w:rsid w:val="2FF41F38"/>
    <w:rsid w:val="301711AB"/>
    <w:rsid w:val="30C50C2A"/>
    <w:rsid w:val="31410CF7"/>
    <w:rsid w:val="319C61CA"/>
    <w:rsid w:val="31AB6F47"/>
    <w:rsid w:val="31E418E4"/>
    <w:rsid w:val="31F93460"/>
    <w:rsid w:val="32742D2D"/>
    <w:rsid w:val="333240AA"/>
    <w:rsid w:val="33B93FC9"/>
    <w:rsid w:val="344B74A0"/>
    <w:rsid w:val="34E1185C"/>
    <w:rsid w:val="353E0E43"/>
    <w:rsid w:val="35A607D4"/>
    <w:rsid w:val="3646378C"/>
    <w:rsid w:val="3693373D"/>
    <w:rsid w:val="36D27511"/>
    <w:rsid w:val="37466DDE"/>
    <w:rsid w:val="376F31CA"/>
    <w:rsid w:val="3772753D"/>
    <w:rsid w:val="37CD4275"/>
    <w:rsid w:val="37EE67BD"/>
    <w:rsid w:val="38ED276B"/>
    <w:rsid w:val="38F554A4"/>
    <w:rsid w:val="38F85BFF"/>
    <w:rsid w:val="39C55874"/>
    <w:rsid w:val="3A1C6178"/>
    <w:rsid w:val="3A535BFD"/>
    <w:rsid w:val="3A947190"/>
    <w:rsid w:val="3AAB58FC"/>
    <w:rsid w:val="3ABD6FBD"/>
    <w:rsid w:val="3B1F7F93"/>
    <w:rsid w:val="3B9A0ED8"/>
    <w:rsid w:val="3B9A44BF"/>
    <w:rsid w:val="3BE63650"/>
    <w:rsid w:val="3C09512B"/>
    <w:rsid w:val="3C926751"/>
    <w:rsid w:val="3CAE160C"/>
    <w:rsid w:val="3D951254"/>
    <w:rsid w:val="3FCE4B04"/>
    <w:rsid w:val="41055FA8"/>
    <w:rsid w:val="411A4353"/>
    <w:rsid w:val="41560C72"/>
    <w:rsid w:val="41790DAE"/>
    <w:rsid w:val="41DE35BD"/>
    <w:rsid w:val="41F928A0"/>
    <w:rsid w:val="423D2AB9"/>
    <w:rsid w:val="424F547E"/>
    <w:rsid w:val="42977DE9"/>
    <w:rsid w:val="42CD5344"/>
    <w:rsid w:val="43152104"/>
    <w:rsid w:val="4342796C"/>
    <w:rsid w:val="43847AF5"/>
    <w:rsid w:val="43D856D8"/>
    <w:rsid w:val="44F918BB"/>
    <w:rsid w:val="459F69B6"/>
    <w:rsid w:val="46053D25"/>
    <w:rsid w:val="469C2260"/>
    <w:rsid w:val="46A66A32"/>
    <w:rsid w:val="47AB3289"/>
    <w:rsid w:val="47CA4494"/>
    <w:rsid w:val="48043403"/>
    <w:rsid w:val="4809150F"/>
    <w:rsid w:val="4830526B"/>
    <w:rsid w:val="48610A0D"/>
    <w:rsid w:val="48FD39CE"/>
    <w:rsid w:val="491D1F2D"/>
    <w:rsid w:val="4A7C04F5"/>
    <w:rsid w:val="4ABE5984"/>
    <w:rsid w:val="4B816C76"/>
    <w:rsid w:val="4C8D6015"/>
    <w:rsid w:val="4DF331E5"/>
    <w:rsid w:val="4E205E16"/>
    <w:rsid w:val="4E372957"/>
    <w:rsid w:val="4EC77A30"/>
    <w:rsid w:val="4EF02CC8"/>
    <w:rsid w:val="4F253E6D"/>
    <w:rsid w:val="4F6A1AE7"/>
    <w:rsid w:val="50144323"/>
    <w:rsid w:val="50C63563"/>
    <w:rsid w:val="50E8205F"/>
    <w:rsid w:val="51230020"/>
    <w:rsid w:val="52101388"/>
    <w:rsid w:val="53BA5330"/>
    <w:rsid w:val="545A4362"/>
    <w:rsid w:val="5532784D"/>
    <w:rsid w:val="563F0209"/>
    <w:rsid w:val="56E645AB"/>
    <w:rsid w:val="57BC26A4"/>
    <w:rsid w:val="57FB3A70"/>
    <w:rsid w:val="585F667E"/>
    <w:rsid w:val="586926DF"/>
    <w:rsid w:val="591F2698"/>
    <w:rsid w:val="597F06D2"/>
    <w:rsid w:val="5AAC6424"/>
    <w:rsid w:val="5AB74586"/>
    <w:rsid w:val="5AD93C1A"/>
    <w:rsid w:val="5B1049CD"/>
    <w:rsid w:val="5B716EED"/>
    <w:rsid w:val="5C2B307C"/>
    <w:rsid w:val="5C591BAF"/>
    <w:rsid w:val="5D0155FE"/>
    <w:rsid w:val="5D5D7CED"/>
    <w:rsid w:val="5E155FB7"/>
    <w:rsid w:val="5E5E1286"/>
    <w:rsid w:val="5F32307D"/>
    <w:rsid w:val="5F456686"/>
    <w:rsid w:val="5F544A3F"/>
    <w:rsid w:val="60056ECB"/>
    <w:rsid w:val="60546E47"/>
    <w:rsid w:val="60A1044C"/>
    <w:rsid w:val="60AD36CF"/>
    <w:rsid w:val="60B659BB"/>
    <w:rsid w:val="611A4D78"/>
    <w:rsid w:val="6245659C"/>
    <w:rsid w:val="625607AC"/>
    <w:rsid w:val="6261282A"/>
    <w:rsid w:val="62E56B32"/>
    <w:rsid w:val="62FD08A1"/>
    <w:rsid w:val="631B01FE"/>
    <w:rsid w:val="63260B8B"/>
    <w:rsid w:val="645B5164"/>
    <w:rsid w:val="662E2842"/>
    <w:rsid w:val="66EB7E27"/>
    <w:rsid w:val="67657D3D"/>
    <w:rsid w:val="678B2074"/>
    <w:rsid w:val="67C31DF7"/>
    <w:rsid w:val="68402B8E"/>
    <w:rsid w:val="688561CE"/>
    <w:rsid w:val="6935105F"/>
    <w:rsid w:val="69F92890"/>
    <w:rsid w:val="69F95730"/>
    <w:rsid w:val="6B035CB5"/>
    <w:rsid w:val="6B0D78C5"/>
    <w:rsid w:val="6C9F5031"/>
    <w:rsid w:val="6CA41086"/>
    <w:rsid w:val="6D090E84"/>
    <w:rsid w:val="6D094AD7"/>
    <w:rsid w:val="6D1549CB"/>
    <w:rsid w:val="6D9205CA"/>
    <w:rsid w:val="6E956C44"/>
    <w:rsid w:val="6EA8195B"/>
    <w:rsid w:val="6EC411B2"/>
    <w:rsid w:val="6ECF6931"/>
    <w:rsid w:val="6F11742B"/>
    <w:rsid w:val="6F420DD0"/>
    <w:rsid w:val="6F7C53E6"/>
    <w:rsid w:val="6FCC1183"/>
    <w:rsid w:val="6FE86E81"/>
    <w:rsid w:val="700E1AB8"/>
    <w:rsid w:val="706F1141"/>
    <w:rsid w:val="708F3AFE"/>
    <w:rsid w:val="709C5D7D"/>
    <w:rsid w:val="70AA5A3E"/>
    <w:rsid w:val="71200BD8"/>
    <w:rsid w:val="718D2201"/>
    <w:rsid w:val="71F57324"/>
    <w:rsid w:val="720838D4"/>
    <w:rsid w:val="725B1528"/>
    <w:rsid w:val="727B1228"/>
    <w:rsid w:val="735B07C3"/>
    <w:rsid w:val="73634E97"/>
    <w:rsid w:val="73D21C68"/>
    <w:rsid w:val="740C10E7"/>
    <w:rsid w:val="74176EE2"/>
    <w:rsid w:val="74206D35"/>
    <w:rsid w:val="74316ED9"/>
    <w:rsid w:val="74EF1A8D"/>
    <w:rsid w:val="750A593C"/>
    <w:rsid w:val="75812C71"/>
    <w:rsid w:val="75A3346B"/>
    <w:rsid w:val="77041498"/>
    <w:rsid w:val="774B6DB1"/>
    <w:rsid w:val="77617037"/>
    <w:rsid w:val="77D91C7E"/>
    <w:rsid w:val="780B344E"/>
    <w:rsid w:val="7907671B"/>
    <w:rsid w:val="79512876"/>
    <w:rsid w:val="79E71D5A"/>
    <w:rsid w:val="7BAD2293"/>
    <w:rsid w:val="7C006352"/>
    <w:rsid w:val="7C7842E8"/>
    <w:rsid w:val="7D3279F9"/>
    <w:rsid w:val="7DBE2B02"/>
    <w:rsid w:val="7EC33C41"/>
    <w:rsid w:val="7EDF5DE7"/>
    <w:rsid w:val="7F1F30CE"/>
    <w:rsid w:val="7FC31797"/>
    <w:rsid w:val="7FD77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ind w:firstLine="1446"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line="360" w:lineRule="auto"/>
      <w:outlineLvl w:val="1"/>
    </w:pPr>
    <w:rPr>
      <w:rFonts w:ascii="Arial" w:hAnsi="Arial" w:eastAsia="黑体"/>
      <w:b/>
      <w:sz w:val="28"/>
    </w:rPr>
  </w:style>
  <w:style w:type="paragraph" w:styleId="5">
    <w:name w:val="heading 3"/>
    <w:basedOn w:val="1"/>
    <w:next w:val="1"/>
    <w:unhideWhenUsed/>
    <w:qFormat/>
    <w:uiPriority w:val="9"/>
    <w:pPr>
      <w:keepNext/>
      <w:keepLines/>
      <w:spacing w:line="360" w:lineRule="auto"/>
      <w:outlineLvl w:val="2"/>
    </w:pPr>
    <w:rPr>
      <w:b/>
      <w:sz w:val="28"/>
    </w:rPr>
  </w:style>
  <w:style w:type="paragraph" w:styleId="6">
    <w:name w:val="heading 4"/>
    <w:basedOn w:val="1"/>
    <w:next w:val="1"/>
    <w:unhideWhenUsed/>
    <w:qFormat/>
    <w:uiPriority w:val="0"/>
    <w:pPr>
      <w:keepNext/>
      <w:keepLines/>
      <w:spacing w:line="372" w:lineRule="auto"/>
      <w:outlineLvl w:val="3"/>
    </w:pPr>
    <w:rPr>
      <w:rFonts w:ascii="Times New Roman" w:hAnsi="Times New Roman" w:eastAsia="宋体"/>
      <w:b/>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ascii="Times New Roman" w:hAnsi="Times New Roman" w:eastAsia="宋体"/>
      <w:b/>
      <w:sz w:val="21"/>
    </w:rPr>
  </w:style>
  <w:style w:type="character" w:default="1" w:styleId="25">
    <w:name w:val="Default Paragraph Font"/>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Body Text"/>
    <w:basedOn w:val="1"/>
    <w:link w:val="61"/>
    <w:unhideWhenUsed/>
    <w:qFormat/>
    <w:uiPriority w:val="99"/>
    <w:pPr>
      <w:spacing w:after="120"/>
    </w:pPr>
  </w:style>
  <w:style w:type="paragraph" w:styleId="8">
    <w:name w:val="Normal Indent"/>
    <w:basedOn w:val="1"/>
    <w:qFormat/>
    <w:uiPriority w:val="0"/>
    <w:pPr>
      <w:ind w:firstLine="420"/>
    </w:pPr>
    <w:rPr>
      <w:sz w:val="32"/>
    </w:rPr>
  </w:style>
  <w:style w:type="paragraph" w:styleId="9">
    <w:name w:val="caption"/>
    <w:basedOn w:val="1"/>
    <w:next w:val="1"/>
    <w:unhideWhenUsed/>
    <w:qFormat/>
    <w:uiPriority w:val="99"/>
    <w:pPr>
      <w:widowControl/>
      <w:spacing w:beforeLines="50" w:line="240" w:lineRule="auto"/>
      <w:ind w:firstLine="0" w:firstLineChars="0"/>
      <w:jc w:val="center"/>
    </w:pPr>
    <w:rPr>
      <w:b/>
      <w:bCs/>
      <w:color w:val="000000"/>
      <w:kern w:val="0"/>
      <w:sz w:val="21"/>
      <w:szCs w:val="18"/>
    </w:rPr>
  </w:style>
  <w:style w:type="paragraph" w:styleId="10">
    <w:name w:val="annotation text"/>
    <w:basedOn w:val="1"/>
    <w:link w:val="37"/>
    <w:semiHidden/>
    <w:unhideWhenUsed/>
    <w:qFormat/>
    <w:uiPriority w:val="99"/>
    <w:pPr>
      <w:jc w:val="left"/>
    </w:pPr>
  </w:style>
  <w:style w:type="paragraph" w:styleId="11">
    <w:name w:val="Body Text Indent"/>
    <w:basedOn w:val="1"/>
    <w:unhideWhenUsed/>
    <w:qFormat/>
    <w:uiPriority w:val="0"/>
    <w:pPr>
      <w:spacing w:after="120"/>
      <w:ind w:left="420" w:leftChars="200"/>
    </w:pPr>
  </w:style>
  <w:style w:type="paragraph" w:styleId="12">
    <w:name w:val="List Continue"/>
    <w:basedOn w:val="1"/>
    <w:qFormat/>
    <w:uiPriority w:val="0"/>
    <w:pPr>
      <w:adjustRightInd/>
      <w:snapToGrid/>
      <w:spacing w:line="240" w:lineRule="auto"/>
      <w:ind w:left="0" w:firstLine="0" w:firstLineChars="0"/>
    </w:pPr>
    <w:rPr>
      <w:rFonts w:ascii="Times New Roman" w:hAnsi="Times New Roman" w:eastAsia="宋体"/>
      <w:kern w:val="0"/>
      <w:sz w:val="21"/>
      <w:szCs w:val="20"/>
    </w:rPr>
  </w:style>
  <w:style w:type="paragraph" w:styleId="13">
    <w:name w:val="toc 3"/>
    <w:basedOn w:val="1"/>
    <w:next w:val="1"/>
    <w:semiHidden/>
    <w:unhideWhenUsed/>
    <w:qFormat/>
    <w:uiPriority w:val="39"/>
    <w:pPr>
      <w:ind w:left="840" w:leftChars="400"/>
    </w:pPr>
  </w:style>
  <w:style w:type="paragraph" w:styleId="14">
    <w:name w:val="Plain Text"/>
    <w:basedOn w:val="1"/>
    <w:link w:val="48"/>
    <w:qFormat/>
    <w:uiPriority w:val="0"/>
    <w:rPr>
      <w:rFonts w:ascii="Courier New" w:hAnsi="Courier New"/>
      <w:sz w:val="28"/>
      <w:szCs w:val="20"/>
    </w:rPr>
  </w:style>
  <w:style w:type="paragraph" w:styleId="15">
    <w:name w:val="Balloon Text"/>
    <w:basedOn w:val="1"/>
    <w:link w:val="36"/>
    <w:unhideWhenUsed/>
    <w:qFormat/>
    <w:uiPriority w:val="0"/>
    <w:rPr>
      <w:sz w:val="18"/>
      <w:szCs w:val="18"/>
    </w:rPr>
  </w:style>
  <w:style w:type="paragraph" w:styleId="16">
    <w:name w:val="footer"/>
    <w:basedOn w:val="1"/>
    <w:link w:val="33"/>
    <w:qFormat/>
    <w:uiPriority w:val="99"/>
    <w:pPr>
      <w:tabs>
        <w:tab w:val="center" w:pos="4153"/>
        <w:tab w:val="right" w:pos="8306"/>
      </w:tabs>
      <w:snapToGrid w:val="0"/>
      <w:jc w:val="left"/>
    </w:pPr>
    <w:rPr>
      <w:sz w:val="18"/>
      <w:szCs w:val="20"/>
    </w:rPr>
  </w:style>
  <w:style w:type="paragraph" w:styleId="17">
    <w:name w:val="header"/>
    <w:basedOn w:val="1"/>
    <w:link w:val="32"/>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style>
  <w:style w:type="paragraph" w:styleId="21">
    <w:name w:val="annotation subject"/>
    <w:basedOn w:val="10"/>
    <w:next w:val="10"/>
    <w:link w:val="38"/>
    <w:semiHidden/>
    <w:unhideWhenUsed/>
    <w:qFormat/>
    <w:uiPriority w:val="99"/>
    <w:rPr>
      <w:b/>
      <w:bCs/>
    </w:rPr>
  </w:style>
  <w:style w:type="paragraph" w:styleId="22">
    <w:name w:val="Body Text First Indent"/>
    <w:basedOn w:val="2"/>
    <w:link w:val="41"/>
    <w:unhideWhenUsed/>
    <w:qFormat/>
    <w:uiPriority w:val="99"/>
    <w:pPr>
      <w:ind w:firstLine="420" w:firstLineChars="100"/>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basedOn w:val="25"/>
    <w:semiHidden/>
    <w:unhideWhenUsed/>
    <w:qFormat/>
    <w:uiPriority w:val="99"/>
    <w:rPr>
      <w:color w:val="333333"/>
      <w:u w:val="none"/>
    </w:rPr>
  </w:style>
  <w:style w:type="character" w:styleId="28">
    <w:name w:val="Hyperlink"/>
    <w:basedOn w:val="25"/>
    <w:unhideWhenUsed/>
    <w:qFormat/>
    <w:uiPriority w:val="99"/>
    <w:rPr>
      <w:color w:val="0000FF" w:themeColor="hyperlink"/>
      <w:u w:val="single"/>
      <w14:textFill>
        <w14:solidFill>
          <w14:schemeClr w14:val="hlink"/>
        </w14:solidFill>
      </w14:textFill>
    </w:rPr>
  </w:style>
  <w:style w:type="character" w:styleId="29">
    <w:name w:val="annotation reference"/>
    <w:basedOn w:val="25"/>
    <w:semiHidden/>
    <w:unhideWhenUsed/>
    <w:qFormat/>
    <w:uiPriority w:val="99"/>
    <w:rPr>
      <w:sz w:val="21"/>
      <w:szCs w:val="21"/>
    </w:rPr>
  </w:style>
  <w:style w:type="paragraph" w:customStyle="1" w:styleId="30">
    <w:name w:val="正文文字"/>
    <w:basedOn w:val="1"/>
    <w:next w:val="1"/>
    <w:qFormat/>
    <w:uiPriority w:val="0"/>
    <w:pPr>
      <w:spacing w:after="120" w:line="240" w:lineRule="auto"/>
      <w:ind w:firstLine="0" w:firstLineChars="0"/>
    </w:pPr>
    <w:rPr>
      <w:sz w:val="21"/>
    </w:rPr>
  </w:style>
  <w:style w:type="character" w:customStyle="1" w:styleId="31">
    <w:name w:val="标题 1 字符"/>
    <w:basedOn w:val="25"/>
    <w:link w:val="3"/>
    <w:qFormat/>
    <w:uiPriority w:val="9"/>
    <w:rPr>
      <w:rFonts w:ascii="Times New Roman" w:hAnsi="Times New Roman" w:eastAsia="宋体" w:cs="Times New Roman"/>
      <w:b/>
      <w:bCs/>
      <w:kern w:val="44"/>
      <w:sz w:val="44"/>
      <w:szCs w:val="44"/>
    </w:rPr>
  </w:style>
  <w:style w:type="character" w:customStyle="1" w:styleId="32">
    <w:name w:val="页眉 字符"/>
    <w:basedOn w:val="25"/>
    <w:link w:val="17"/>
    <w:qFormat/>
    <w:uiPriority w:val="0"/>
    <w:rPr>
      <w:rFonts w:ascii="Times New Roman" w:hAnsi="Times New Roman" w:eastAsia="宋体" w:cs="Times New Roman"/>
      <w:sz w:val="18"/>
      <w:szCs w:val="20"/>
    </w:rPr>
  </w:style>
  <w:style w:type="character" w:customStyle="1" w:styleId="33">
    <w:name w:val="页脚 字符"/>
    <w:basedOn w:val="25"/>
    <w:link w:val="16"/>
    <w:qFormat/>
    <w:uiPriority w:val="99"/>
    <w:rPr>
      <w:rFonts w:ascii="Times New Roman" w:hAnsi="Times New Roman" w:eastAsia="宋体" w:cs="Times New Roman"/>
      <w:sz w:val="18"/>
      <w:szCs w:val="20"/>
    </w:rPr>
  </w:style>
  <w:style w:type="paragraph" w:customStyle="1" w:styleId="34">
    <w:name w:val="表"/>
    <w:basedOn w:val="1"/>
    <w:qFormat/>
    <w:uiPriority w:val="0"/>
    <w:pPr>
      <w:snapToGrid w:val="0"/>
      <w:jc w:val="center"/>
    </w:pPr>
    <w:rPr>
      <w:spacing w:val="2"/>
    </w:rPr>
  </w:style>
  <w:style w:type="paragraph" w:customStyle="1" w:styleId="35">
    <w:name w:val="2正文"/>
    <w:qFormat/>
    <w:uiPriority w:val="0"/>
    <w:pPr>
      <w:spacing w:line="6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36">
    <w:name w:val="批注框文本 字符"/>
    <w:basedOn w:val="25"/>
    <w:link w:val="15"/>
    <w:semiHidden/>
    <w:qFormat/>
    <w:uiPriority w:val="99"/>
    <w:rPr>
      <w:rFonts w:ascii="Times New Roman" w:hAnsi="Times New Roman" w:eastAsia="宋体" w:cs="Times New Roman"/>
      <w:sz w:val="18"/>
      <w:szCs w:val="18"/>
    </w:rPr>
  </w:style>
  <w:style w:type="character" w:customStyle="1" w:styleId="37">
    <w:name w:val="批注文字 字符"/>
    <w:basedOn w:val="25"/>
    <w:link w:val="10"/>
    <w:semiHidden/>
    <w:qFormat/>
    <w:uiPriority w:val="99"/>
    <w:rPr>
      <w:rFonts w:ascii="Times New Roman" w:hAnsi="Times New Roman" w:eastAsia="宋体" w:cs="Times New Roman"/>
      <w:sz w:val="32"/>
      <w:szCs w:val="24"/>
    </w:rPr>
  </w:style>
  <w:style w:type="character" w:customStyle="1" w:styleId="38">
    <w:name w:val="批注主题 字符"/>
    <w:basedOn w:val="37"/>
    <w:link w:val="21"/>
    <w:semiHidden/>
    <w:qFormat/>
    <w:uiPriority w:val="99"/>
    <w:rPr>
      <w:rFonts w:ascii="Times New Roman" w:hAnsi="Times New Roman" w:eastAsia="宋体" w:cs="Times New Roman"/>
      <w:b/>
      <w:bCs/>
      <w:sz w:val="32"/>
      <w:szCs w:val="24"/>
    </w:rPr>
  </w:style>
  <w:style w:type="paragraph" w:customStyle="1" w:styleId="39">
    <w:name w:val="样式 小四 行距: 1.5 倍行距 首行缩进:  2 字符"/>
    <w:basedOn w:val="1"/>
    <w:qFormat/>
    <w:uiPriority w:val="0"/>
    <w:pPr>
      <w:adjustRightInd w:val="0"/>
      <w:snapToGrid w:val="0"/>
      <w:spacing w:line="360" w:lineRule="auto"/>
      <w:ind w:firstLine="200"/>
    </w:pPr>
    <w:rPr>
      <w:rFonts w:cs="宋体"/>
    </w:rPr>
  </w:style>
  <w:style w:type="character" w:customStyle="1" w:styleId="40">
    <w:name w:val="正文文本 字符"/>
    <w:basedOn w:val="25"/>
    <w:link w:val="2"/>
    <w:qFormat/>
    <w:uiPriority w:val="99"/>
    <w:rPr>
      <w:rFonts w:ascii="Times New Roman" w:hAnsi="Times New Roman" w:eastAsia="宋体" w:cs="Times New Roman"/>
      <w:sz w:val="32"/>
      <w:szCs w:val="24"/>
    </w:rPr>
  </w:style>
  <w:style w:type="character" w:customStyle="1" w:styleId="41">
    <w:name w:val="正文文本首行缩进 字符"/>
    <w:basedOn w:val="40"/>
    <w:link w:val="22"/>
    <w:semiHidden/>
    <w:qFormat/>
    <w:uiPriority w:val="99"/>
    <w:rPr>
      <w:rFonts w:ascii="Times New Roman" w:hAnsi="Times New Roman" w:eastAsia="宋体" w:cs="Times New Roman"/>
      <w:sz w:val="32"/>
      <w:szCs w:val="24"/>
    </w:rPr>
  </w:style>
  <w:style w:type="paragraph" w:customStyle="1" w:styleId="42">
    <w:name w:val="表格"/>
    <w:basedOn w:val="1"/>
    <w:link w:val="43"/>
    <w:qFormat/>
    <w:uiPriority w:val="0"/>
    <w:pPr>
      <w:jc w:val="left"/>
    </w:pPr>
    <w:rPr>
      <w:rFonts w:ascii="宋体"/>
      <w:kern w:val="0"/>
      <w:szCs w:val="18"/>
    </w:rPr>
  </w:style>
  <w:style w:type="character" w:customStyle="1" w:styleId="43">
    <w:name w:val="表格 Char"/>
    <w:basedOn w:val="25"/>
    <w:link w:val="42"/>
    <w:qFormat/>
    <w:uiPriority w:val="0"/>
    <w:rPr>
      <w:rFonts w:ascii="宋体" w:hAnsi="Times New Roman" w:eastAsia="宋体" w:cs="Times New Roman"/>
      <w:kern w:val="0"/>
      <w:sz w:val="24"/>
      <w:szCs w:val="18"/>
    </w:rPr>
  </w:style>
  <w:style w:type="paragraph" w:customStyle="1" w:styleId="44">
    <w:name w:val="特殊标题３"/>
    <w:basedOn w:val="1"/>
    <w:qFormat/>
    <w:uiPriority w:val="0"/>
    <w:pPr>
      <w:overflowPunct w:val="0"/>
      <w:autoSpaceDE w:val="0"/>
      <w:autoSpaceDN w:val="0"/>
      <w:adjustRightInd w:val="0"/>
      <w:spacing w:line="360" w:lineRule="auto"/>
      <w:textAlignment w:val="baseline"/>
    </w:pPr>
    <w:rPr>
      <w:rFonts w:eastAsia="仿宋_GB2312"/>
      <w:kern w:val="0"/>
      <w:sz w:val="28"/>
      <w:szCs w:val="20"/>
    </w:rPr>
  </w:style>
  <w:style w:type="paragraph" w:styleId="45">
    <w:name w:val="List Paragraph"/>
    <w:basedOn w:val="46"/>
    <w:next w:val="46"/>
    <w:qFormat/>
    <w:uiPriority w:val="34"/>
    <w:pPr>
      <w:ind w:firstLine="420"/>
    </w:pPr>
  </w:style>
  <w:style w:type="paragraph" w:styleId="4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7">
    <w:name w:val="纯文本 字符"/>
    <w:basedOn w:val="25"/>
    <w:semiHidden/>
    <w:qFormat/>
    <w:uiPriority w:val="99"/>
    <w:rPr>
      <w:rFonts w:hAnsi="Courier New" w:cs="Courier New" w:asciiTheme="minorEastAsia"/>
      <w:sz w:val="32"/>
      <w:szCs w:val="24"/>
    </w:rPr>
  </w:style>
  <w:style w:type="character" w:customStyle="1" w:styleId="48">
    <w:name w:val="纯文本 字符1"/>
    <w:link w:val="14"/>
    <w:qFormat/>
    <w:uiPriority w:val="0"/>
    <w:rPr>
      <w:rFonts w:ascii="Courier New" w:hAnsi="Courier New" w:eastAsia="宋体" w:cs="Times New Roman"/>
      <w:sz w:val="28"/>
      <w:szCs w:val="20"/>
    </w:rPr>
  </w:style>
  <w:style w:type="paragraph" w:customStyle="1" w:styleId="49">
    <w:name w:val="表格文字2"/>
    <w:basedOn w:val="1"/>
    <w:qFormat/>
    <w:uiPriority w:val="0"/>
    <w:pPr>
      <w:spacing w:line="0" w:lineRule="atLeast"/>
      <w:ind w:firstLine="0" w:firstLineChars="0"/>
      <w:jc w:val="center"/>
    </w:pPr>
    <w:rPr>
      <w:sz w:val="21"/>
    </w:rPr>
  </w:style>
  <w:style w:type="paragraph" w:customStyle="1" w:styleId="50">
    <w:name w:val="表格标题"/>
    <w:basedOn w:val="9"/>
    <w:link w:val="52"/>
    <w:qFormat/>
    <w:uiPriority w:val="0"/>
    <w:pPr>
      <w:widowControl w:val="0"/>
      <w:spacing w:before="50" w:line="240" w:lineRule="atLeast"/>
    </w:pPr>
    <w:rPr>
      <w:rFonts w:ascii="Times New Roman" w:hAnsi="Times New Roman" w:eastAsia="宋体"/>
      <w:kern w:val="2"/>
      <w:sz w:val="21"/>
      <w:szCs w:val="24"/>
    </w:rPr>
  </w:style>
  <w:style w:type="table" w:customStyle="1" w:styleId="51">
    <w:name w:val="lily 表格1"/>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2">
    <w:name w:val="表格标题 Char"/>
    <w:link w:val="50"/>
    <w:qFormat/>
    <w:uiPriority w:val="0"/>
    <w:rPr>
      <w:rFonts w:ascii="Times New Roman" w:hAnsi="Times New Roman" w:eastAsia="宋体"/>
      <w:kern w:val="2"/>
      <w:sz w:val="21"/>
      <w:szCs w:val="24"/>
    </w:rPr>
  </w:style>
  <w:style w:type="paragraph" w:customStyle="1" w:styleId="53">
    <w:name w:val="表格内容"/>
    <w:basedOn w:val="1"/>
    <w:qFormat/>
    <w:uiPriority w:val="0"/>
    <w:pPr>
      <w:overflowPunct w:val="0"/>
      <w:snapToGrid/>
      <w:spacing w:before="40" w:after="60" w:line="200" w:lineRule="atLeast"/>
      <w:ind w:firstLine="0" w:firstLineChars="0"/>
      <w:textAlignment w:val="baseline"/>
    </w:pPr>
    <w:rPr>
      <w:rFonts w:ascii="Arial" w:hAnsi="Arial" w:eastAsia="仿宋_GB2312" w:cstheme="minorBidi"/>
      <w:kern w:val="0"/>
      <w:szCs w:val="22"/>
    </w:rPr>
  </w:style>
  <w:style w:type="paragraph" w:customStyle="1" w:styleId="54">
    <w:name w:val="_正文"/>
    <w:qFormat/>
    <w:uiPriority w:val="0"/>
    <w:pPr>
      <w:spacing w:line="360" w:lineRule="auto"/>
      <w:ind w:firstLine="200" w:firstLineChars="200"/>
      <w:jc w:val="both"/>
    </w:pPr>
    <w:rPr>
      <w:rFonts w:ascii="Times New Roman" w:hAnsi="Times New Roman" w:eastAsia="宋体" w:cs="Times New Roman"/>
      <w:bCs/>
      <w:iCs/>
      <w:snapToGrid w:val="0"/>
      <w:color w:val="000000"/>
      <w:kern w:val="2"/>
      <w:sz w:val="24"/>
      <w:szCs w:val="28"/>
      <w:lang w:val="en-US" w:eastAsia="zh-CN" w:bidi="ar-SA"/>
    </w:rPr>
  </w:style>
  <w:style w:type="paragraph" w:customStyle="1" w:styleId="55">
    <w:name w:val="列出段落1"/>
    <w:basedOn w:val="1"/>
    <w:qFormat/>
    <w:uiPriority w:val="0"/>
    <w:pPr>
      <w:adjustRightInd/>
      <w:snapToGrid/>
      <w:spacing w:line="240" w:lineRule="auto"/>
      <w:ind w:firstLine="420"/>
    </w:pPr>
    <w:rPr>
      <w:sz w:val="21"/>
    </w:rPr>
  </w:style>
  <w:style w:type="paragraph" w:customStyle="1" w:styleId="56">
    <w:name w:val="表字体"/>
    <w:basedOn w:val="1"/>
    <w:next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0"/>
      <w:lang w:val="en-US" w:eastAsia="zh-CN" w:bidi="ar"/>
    </w:rPr>
  </w:style>
  <w:style w:type="paragraph" w:customStyle="1" w:styleId="57">
    <w:name w:val="正文1"/>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58">
    <w:name w:val="表1-1"/>
    <w:basedOn w:val="1"/>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b/>
      <w:kern w:val="0"/>
      <w:sz w:val="21"/>
      <w:szCs w:val="20"/>
      <w:lang w:val="en-US" w:eastAsia="zh-CN" w:bidi="ar"/>
    </w:rPr>
  </w:style>
  <w:style w:type="character" w:customStyle="1" w:styleId="59">
    <w:name w:val="表字体 Char"/>
    <w:basedOn w:val="25"/>
    <w:uiPriority w:val="0"/>
    <w:rPr>
      <w:rFonts w:hint="default" w:ascii="Times New Roman" w:hAnsi="Times New Roman" w:eastAsia="宋体" w:cs="Times New Roman"/>
      <w:kern w:val="2"/>
      <w:sz w:val="21"/>
    </w:rPr>
  </w:style>
  <w:style w:type="paragraph" w:customStyle="1" w:styleId="60">
    <w:name w:val="实在正文"/>
    <w:basedOn w:val="1"/>
    <w:uiPriority w:val="0"/>
    <w:pPr>
      <w:keepNext w:val="0"/>
      <w:keepLines w:val="0"/>
      <w:widowControl w:val="0"/>
      <w:suppressLineNumbers w:val="0"/>
      <w:spacing w:before="0" w:beforeAutospacing="0" w:after="0" w:afterAutospacing="0" w:line="560" w:lineRule="exact"/>
      <w:ind w:left="0" w:right="0" w:firstLine="200" w:firstLineChars="200"/>
      <w:jc w:val="both"/>
    </w:pPr>
    <w:rPr>
      <w:rFonts w:hint="eastAsia" w:ascii="宋体" w:hAnsi="宋体" w:eastAsia="宋体" w:cs="宋体"/>
      <w:color w:val="000000"/>
      <w:spacing w:val="-4"/>
      <w:kern w:val="2"/>
      <w:sz w:val="24"/>
      <w:szCs w:val="24"/>
      <w:lang w:val="en-US" w:eastAsia="zh-CN" w:bidi="ar"/>
    </w:rPr>
  </w:style>
  <w:style w:type="character" w:customStyle="1" w:styleId="61">
    <w:name w:val="正文文本 Char"/>
    <w:basedOn w:val="25"/>
    <w:link w:val="2"/>
    <w:uiPriority w:val="0"/>
    <w:rPr>
      <w:rFonts w:hint="eastAsia" w:ascii="宋体" w:hAnsi="宋体" w:eastAsia="宋体" w:cs="宋体"/>
      <w:sz w:val="24"/>
      <w:szCs w:val="24"/>
    </w:rPr>
  </w:style>
  <w:style w:type="paragraph" w:customStyle="1" w:styleId="62">
    <w:name w:val="Table Paragraph"/>
    <w:basedOn w:val="1"/>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table" w:customStyle="1" w:styleId="63">
    <w:name w:val="Table Normal"/>
    <w:basedOn w:val="23"/>
    <w:semiHidden/>
    <w:uiPriority w:val="0"/>
    <w:pPr>
      <w:keepNext w:val="0"/>
      <w:keepLines w:val="0"/>
      <w:widowControl w:val="0"/>
      <w:suppressLineNumbers w:val="0"/>
      <w:autoSpaceDE w:val="0"/>
      <w:autoSpaceDN w:val="0"/>
      <w:spacing w:before="0" w:beforeAutospacing="0" w:after="0" w:afterAutospacing="0"/>
      <w:ind w:left="0" w:right="0"/>
    </w:pPr>
    <w:rPr>
      <w:rFonts w:hint="default" w:ascii="Calibri" w:hAnsi="Calibri" w:cs="Calibr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chart" Target="charts/chart5.xml"/><Relationship Id="rId3" Type="http://schemas.openxmlformats.org/officeDocument/2006/relationships/header" Target="header1.xml"/><Relationship Id="rId29" Type="http://schemas.openxmlformats.org/officeDocument/2006/relationships/chart" Target="charts/chart4.xml"/><Relationship Id="rId28" Type="http://schemas.openxmlformats.org/officeDocument/2006/relationships/chart" Target="charts/chart3.xml"/><Relationship Id="rId27" Type="http://schemas.openxmlformats.org/officeDocument/2006/relationships/chart" Target="charts/chart2.xml"/><Relationship Id="rId26" Type="http://schemas.openxmlformats.org/officeDocument/2006/relationships/chart" Target="charts/chart1.xml"/><Relationship Id="rId25" Type="http://schemas.openxmlformats.org/officeDocument/2006/relationships/oleObject" Target="embeddings/oleObject5.bin"/><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emf"/><Relationship Id="rId21" Type="http://schemas.openxmlformats.org/officeDocument/2006/relationships/oleObject" Target="embeddings/oleObject4.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7142857143"/>
          <c:y val="0.0757575757575758"/>
          <c:w val="0.589285714285714"/>
          <c:h val="0.625"/>
        </c:manualLayout>
      </c:layout>
      <c:radarChart>
        <c:radarStyle val="marker"/>
        <c:varyColors val="0"/>
        <c:ser>
          <c:idx val="0"/>
          <c:order val="0"/>
          <c:tx>
            <c:strRef>
              <c:f>Sheet1!$A$2</c:f>
              <c:strCache>
                <c:ptCount val="1"/>
                <c:pt idx="0">
                  <c:v>春季(C=16%)</c:v>
                </c:pt>
              </c:strCache>
            </c:strRef>
          </c:tx>
          <c:spPr>
            <a:ln w="25292" cap="rnd" cmpd="sng" algn="ctr">
              <a:solidFill>
                <a:srgbClr val="333300"/>
              </a:solidFill>
              <a:prstDash val="solid"/>
              <a:round/>
            </a:ln>
          </c:spPr>
          <c:marker>
            <c:symbol val="none"/>
          </c:marke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22</c:v>
                </c:pt>
                <c:pt idx="1">
                  <c:v>8</c:v>
                </c:pt>
                <c:pt idx="2">
                  <c:v>3</c:v>
                </c:pt>
                <c:pt idx="3">
                  <c:v>1</c:v>
                </c:pt>
                <c:pt idx="4">
                  <c:v>2</c:v>
                </c:pt>
                <c:pt idx="5">
                  <c:v>2</c:v>
                </c:pt>
                <c:pt idx="6">
                  <c:v>5</c:v>
                </c:pt>
                <c:pt idx="7">
                  <c:v>4</c:v>
                </c:pt>
                <c:pt idx="8">
                  <c:v>11</c:v>
                </c:pt>
                <c:pt idx="9">
                  <c:v>6</c:v>
                </c:pt>
                <c:pt idx="10">
                  <c:v>3</c:v>
                </c:pt>
                <c:pt idx="11">
                  <c:v>2</c:v>
                </c:pt>
                <c:pt idx="12">
                  <c:v>2</c:v>
                </c:pt>
                <c:pt idx="13">
                  <c:v>2</c:v>
                </c:pt>
                <c:pt idx="14">
                  <c:v>4</c:v>
                </c:pt>
                <c:pt idx="15">
                  <c:v>7</c:v>
                </c:pt>
              </c:numCache>
            </c:numRef>
          </c:val>
        </c:ser>
        <c:dLbls>
          <c:showLegendKey val="0"/>
          <c:showVal val="0"/>
          <c:showCatName val="0"/>
          <c:showSerName val="0"/>
          <c:showPercent val="0"/>
          <c:showBubbleSize val="0"/>
        </c:dLbls>
        <c:axId val="228012800"/>
        <c:axId val="228015104"/>
      </c:radarChart>
      <c:catAx>
        <c:axId val="228012800"/>
        <c:scaling>
          <c:orientation val="minMax"/>
        </c:scaling>
        <c:delete val="0"/>
        <c:axPos val="b"/>
        <c:majorGridlines/>
        <c:numFmt formatCode="General" sourceLinked="1"/>
        <c:majorTickMark val="out"/>
        <c:minorTickMark val="none"/>
        <c:tickLblPos val="nextTo"/>
        <c:txPr>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28015104"/>
        <c:crosses val="autoZero"/>
        <c:auto val="0"/>
        <c:lblAlgn val="ctr"/>
        <c:lblOffset val="100"/>
        <c:noMultiLvlLbl val="0"/>
      </c:catAx>
      <c:valAx>
        <c:axId val="228015104"/>
        <c:scaling>
          <c:orientation val="minMax"/>
        </c:scaling>
        <c:delete val="0"/>
        <c:axPos val="l"/>
        <c:majorGridlines>
          <c:spPr>
            <a:ln w="3162" cap="flat" cmpd="sng" algn="ctr">
              <a:solidFill>
                <a:srgbClr val="000000"/>
              </a:solidFill>
              <a:prstDash val="sysDash"/>
              <a:round/>
            </a:ln>
          </c:spPr>
        </c:majorGridlines>
        <c:numFmt formatCode="General" sourceLinked="1"/>
        <c:majorTickMark val="cross"/>
        <c:minorTickMark val="none"/>
        <c:tickLblPos val="nextTo"/>
        <c:spPr>
          <a:ln w="3162" cap="flat" cmpd="sng" algn="ctr">
            <a:solidFill>
              <a:srgbClr val="000000"/>
            </a:solidFill>
            <a:prstDash val="solid"/>
            <a:round/>
          </a:ln>
        </c:spPr>
        <c:txPr>
          <a:bodyPr rot="0" spcFirstLastPara="0" vertOverflow="ellipsis" vert="horz" wrap="square" anchor="ctr" anchorCtr="1"/>
          <a:lstStyle/>
          <a:p>
            <a:pPr>
              <a:defRPr lang="zh-CN" sz="7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28012800"/>
        <c:crosses val="autoZero"/>
        <c:crossBetween val="between"/>
      </c:valAx>
      <c:spPr>
        <a:solidFill>
          <a:srgbClr val="FFFFFF"/>
        </a:solidFill>
        <a:ln w="12646">
          <a:solidFill>
            <a:srgbClr val="FFFFFF"/>
          </a:solidFill>
          <a:prstDash val="solid"/>
        </a:ln>
      </c:spPr>
    </c:plotArea>
    <c:legend>
      <c:legendPos val="b"/>
      <c:layout>
        <c:manualLayout>
          <c:xMode val="edge"/>
          <c:yMode val="edge"/>
          <c:x val="0.107142857142857"/>
          <c:y val="0.791666666666667"/>
          <c:w val="0.703571428571429"/>
          <c:h val="0.189393939393939"/>
        </c:manualLayout>
      </c:layout>
      <c:overlay val="0"/>
      <c:spPr>
        <a:solidFill>
          <a:srgbClr val="FFFFFF"/>
        </a:solidFill>
        <a:ln w="12646">
          <a:solidFill>
            <a:srgbClr val="FFFFFF"/>
          </a:solidFill>
          <a:prstDash val="solid"/>
        </a:ln>
      </c:spPr>
      <c:txPr>
        <a:bodyPr rot="0" spcFirstLastPara="0" vertOverflow="ellipsis" vert="horz" wrap="square" anchor="ctr" anchorCtr="1"/>
        <a:lstStyle/>
        <a:p>
          <a:pPr>
            <a:defRPr lang="zh-CN" sz="100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9525" cap="flat" cmpd="sng" algn="ctr">
      <a:noFill/>
      <a:prstDash val="solid"/>
      <a:round/>
    </a:ln>
  </c:spPr>
  <c:txPr>
    <a:bodyPr/>
    <a:lstStyle/>
    <a:p>
      <a:pPr>
        <a:defRPr lang="zh-CN" sz="89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7142857143"/>
          <c:y val="0.0757575757575758"/>
          <c:w val="0.589285714285714"/>
          <c:h val="0.625"/>
        </c:manualLayout>
      </c:layout>
      <c:radarChart>
        <c:radarStyle val="marker"/>
        <c:varyColors val="0"/>
        <c:ser>
          <c:idx val="0"/>
          <c:order val="0"/>
          <c:tx>
            <c:strRef>
              <c:f>Sheet1!$A$2</c:f>
              <c:strCache>
                <c:ptCount val="1"/>
                <c:pt idx="0">
                  <c:v>夏季(C=14%)</c:v>
                </c:pt>
              </c:strCache>
            </c:strRef>
          </c:tx>
          <c:spPr>
            <a:ln w="25298" cap="rnd" cmpd="sng" algn="ctr">
              <a:solidFill>
                <a:srgbClr val="333300"/>
              </a:solidFill>
              <a:prstDash val="solid"/>
              <a:round/>
            </a:ln>
          </c:spPr>
          <c:marker>
            <c:symbol val="none"/>
          </c:marke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13</c:v>
                </c:pt>
                <c:pt idx="1">
                  <c:v>7</c:v>
                </c:pt>
                <c:pt idx="2">
                  <c:v>3</c:v>
                </c:pt>
                <c:pt idx="3">
                  <c:v>1</c:v>
                </c:pt>
                <c:pt idx="4">
                  <c:v>2</c:v>
                </c:pt>
                <c:pt idx="5">
                  <c:v>3</c:v>
                </c:pt>
                <c:pt idx="6">
                  <c:v>3</c:v>
                </c:pt>
                <c:pt idx="7">
                  <c:v>4</c:v>
                </c:pt>
                <c:pt idx="8">
                  <c:v>17</c:v>
                </c:pt>
                <c:pt idx="9">
                  <c:v>12</c:v>
                </c:pt>
                <c:pt idx="10">
                  <c:v>4</c:v>
                </c:pt>
                <c:pt idx="11">
                  <c:v>1</c:v>
                </c:pt>
                <c:pt idx="12">
                  <c:v>2</c:v>
                </c:pt>
                <c:pt idx="13">
                  <c:v>2</c:v>
                </c:pt>
                <c:pt idx="14">
                  <c:v>5</c:v>
                </c:pt>
                <c:pt idx="15">
                  <c:v>7</c:v>
                </c:pt>
              </c:numCache>
            </c:numRef>
          </c:val>
        </c:ser>
        <c:dLbls>
          <c:showLegendKey val="0"/>
          <c:showVal val="0"/>
          <c:showCatName val="0"/>
          <c:showSerName val="0"/>
          <c:showPercent val="0"/>
          <c:showBubbleSize val="0"/>
        </c:dLbls>
        <c:axId val="546967552"/>
        <c:axId val="546969472"/>
      </c:radarChart>
      <c:catAx>
        <c:axId val="546967552"/>
        <c:scaling>
          <c:orientation val="minMax"/>
        </c:scaling>
        <c:delete val="0"/>
        <c:axPos val="b"/>
        <c:majorGridlines/>
        <c:numFmt formatCode="General" sourceLinked="1"/>
        <c:majorTickMark val="out"/>
        <c:minorTickMark val="none"/>
        <c:tickLblPos val="nextTo"/>
        <c:txPr>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46969472"/>
        <c:crosses val="autoZero"/>
        <c:auto val="0"/>
        <c:lblAlgn val="ctr"/>
        <c:lblOffset val="100"/>
        <c:noMultiLvlLbl val="0"/>
      </c:catAx>
      <c:valAx>
        <c:axId val="546969472"/>
        <c:scaling>
          <c:orientation val="minMax"/>
        </c:scaling>
        <c:delete val="0"/>
        <c:axPos val="l"/>
        <c:majorGridlines>
          <c:spPr>
            <a:ln w="3162" cap="flat" cmpd="sng" algn="ctr">
              <a:solidFill>
                <a:srgbClr val="000000"/>
              </a:solidFill>
              <a:prstDash val="sysDash"/>
              <a:round/>
            </a:ln>
          </c:spPr>
        </c:majorGridlines>
        <c:numFmt formatCode="General" sourceLinked="1"/>
        <c:majorTickMark val="cross"/>
        <c:minorTickMark val="none"/>
        <c:tickLblPos val="nextTo"/>
        <c:spPr>
          <a:ln w="3162" cap="flat" cmpd="sng" algn="ctr">
            <a:solidFill>
              <a:srgbClr val="000000"/>
            </a:solidFill>
            <a:prstDash val="solid"/>
            <a:round/>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46967552"/>
        <c:crosses val="autoZero"/>
        <c:crossBetween val="between"/>
      </c:valAx>
      <c:spPr>
        <a:solidFill>
          <a:srgbClr val="FFFFFF"/>
        </a:solidFill>
        <a:ln w="12649">
          <a:solidFill>
            <a:srgbClr val="FFFFFF"/>
          </a:solidFill>
          <a:prstDash val="solid"/>
        </a:ln>
      </c:spPr>
    </c:plotArea>
    <c:legend>
      <c:legendPos val="b"/>
      <c:layout>
        <c:manualLayout>
          <c:xMode val="edge"/>
          <c:yMode val="edge"/>
          <c:x val="0.107142857142857"/>
          <c:y val="0.791666666666667"/>
          <c:w val="0.703571428571429"/>
          <c:h val="0.189393939393939"/>
        </c:manualLayout>
      </c:layout>
      <c:overlay val="0"/>
      <c:spPr>
        <a:solidFill>
          <a:srgbClr val="FFFFFF"/>
        </a:solidFill>
        <a:ln w="12649">
          <a:solidFill>
            <a:srgbClr val="FFFFFF"/>
          </a:solidFill>
          <a:prstDash val="solid"/>
        </a:ln>
      </c:spPr>
      <c:txPr>
        <a:bodyPr rot="0" spcFirstLastPara="0" vertOverflow="ellipsis" vert="horz" wrap="square" anchor="ctr" anchorCtr="1"/>
        <a:lstStyle/>
        <a:p>
          <a:pPr>
            <a:defRPr lang="zh-CN" sz="100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9525" cap="flat" cmpd="sng" algn="ctr">
      <a:noFill/>
      <a:prstDash val="solid"/>
      <a:round/>
    </a:ln>
  </c:spPr>
  <c:txPr>
    <a:bodyPr/>
    <a:lstStyle/>
    <a:p>
      <a:pPr>
        <a:defRPr lang="zh-CN" sz="89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7142857143"/>
          <c:y val="0.0757575757575758"/>
          <c:w val="0.589285714285714"/>
          <c:h val="0.625"/>
        </c:manualLayout>
      </c:layout>
      <c:radarChart>
        <c:radarStyle val="marker"/>
        <c:varyColors val="0"/>
        <c:ser>
          <c:idx val="0"/>
          <c:order val="0"/>
          <c:tx>
            <c:strRef>
              <c:f>Sheet1!$A$2</c:f>
              <c:strCache>
                <c:ptCount val="1"/>
                <c:pt idx="0">
                  <c:v>冬季(C=20)</c:v>
                </c:pt>
              </c:strCache>
            </c:strRef>
          </c:tx>
          <c:spPr>
            <a:ln w="25298" cap="rnd" cmpd="sng" algn="ctr">
              <a:solidFill>
                <a:srgbClr val="333300"/>
              </a:solidFill>
              <a:prstDash val="solid"/>
              <a:round/>
            </a:ln>
          </c:spPr>
          <c:marker>
            <c:symbol val="none"/>
          </c:marke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29</c:v>
                </c:pt>
                <c:pt idx="1">
                  <c:v>10</c:v>
                </c:pt>
                <c:pt idx="2">
                  <c:v>4</c:v>
                </c:pt>
                <c:pt idx="3">
                  <c:v>2</c:v>
                </c:pt>
                <c:pt idx="4">
                  <c:v>2</c:v>
                </c:pt>
                <c:pt idx="5">
                  <c:v>2</c:v>
                </c:pt>
                <c:pt idx="6">
                  <c:v>2</c:v>
                </c:pt>
                <c:pt idx="7">
                  <c:v>3</c:v>
                </c:pt>
                <c:pt idx="8">
                  <c:v>3</c:v>
                </c:pt>
                <c:pt idx="9">
                  <c:v>5</c:v>
                </c:pt>
                <c:pt idx="10">
                  <c:v>2</c:v>
                </c:pt>
                <c:pt idx="11">
                  <c:v>1</c:v>
                </c:pt>
                <c:pt idx="12">
                  <c:v>1</c:v>
                </c:pt>
                <c:pt idx="13">
                  <c:v>2</c:v>
                </c:pt>
                <c:pt idx="14">
                  <c:v>4</c:v>
                </c:pt>
                <c:pt idx="15">
                  <c:v>8</c:v>
                </c:pt>
              </c:numCache>
            </c:numRef>
          </c:val>
        </c:ser>
        <c:dLbls>
          <c:showLegendKey val="0"/>
          <c:showVal val="0"/>
          <c:showCatName val="0"/>
          <c:showSerName val="0"/>
          <c:showPercent val="0"/>
          <c:showBubbleSize val="0"/>
        </c:dLbls>
        <c:axId val="129168896"/>
        <c:axId val="129170432"/>
      </c:radarChart>
      <c:catAx>
        <c:axId val="129168896"/>
        <c:scaling>
          <c:orientation val="minMax"/>
        </c:scaling>
        <c:delete val="0"/>
        <c:axPos val="b"/>
        <c:majorGridlines/>
        <c:numFmt formatCode="General" sourceLinked="1"/>
        <c:majorTickMark val="out"/>
        <c:minorTickMark val="none"/>
        <c:tickLblPos val="nextTo"/>
        <c:txPr>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170432"/>
        <c:crosses val="autoZero"/>
        <c:auto val="0"/>
        <c:lblAlgn val="ctr"/>
        <c:lblOffset val="100"/>
        <c:noMultiLvlLbl val="0"/>
      </c:catAx>
      <c:valAx>
        <c:axId val="129170432"/>
        <c:scaling>
          <c:orientation val="minMax"/>
        </c:scaling>
        <c:delete val="0"/>
        <c:axPos val="l"/>
        <c:majorGridlines>
          <c:spPr>
            <a:ln w="3162" cap="flat" cmpd="sng" algn="ctr">
              <a:solidFill>
                <a:srgbClr val="000000"/>
              </a:solidFill>
              <a:prstDash val="sysDash"/>
              <a:round/>
            </a:ln>
          </c:spPr>
        </c:majorGridlines>
        <c:numFmt formatCode="General" sourceLinked="1"/>
        <c:majorTickMark val="cross"/>
        <c:minorTickMark val="none"/>
        <c:tickLblPos val="nextTo"/>
        <c:spPr>
          <a:ln w="3162" cap="flat" cmpd="sng" algn="ctr">
            <a:solidFill>
              <a:srgbClr val="000000"/>
            </a:solidFill>
            <a:prstDash val="solid"/>
            <a:round/>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168896"/>
        <c:crosses val="autoZero"/>
        <c:crossBetween val="between"/>
      </c:valAx>
      <c:spPr>
        <a:solidFill>
          <a:srgbClr val="FFFFFF"/>
        </a:solidFill>
        <a:ln w="12649">
          <a:solidFill>
            <a:srgbClr val="FFFFFF"/>
          </a:solidFill>
          <a:prstDash val="solid"/>
        </a:ln>
      </c:spPr>
    </c:plotArea>
    <c:legend>
      <c:legendPos val="b"/>
      <c:layout>
        <c:manualLayout>
          <c:xMode val="edge"/>
          <c:yMode val="edge"/>
          <c:x val="0.107142857142857"/>
          <c:y val="0.814393939393939"/>
          <c:w val="0.703571428571429"/>
          <c:h val="0.189393939393939"/>
        </c:manualLayout>
      </c:layout>
      <c:overlay val="0"/>
      <c:spPr>
        <a:solidFill>
          <a:srgbClr val="FFFFFF"/>
        </a:solidFill>
        <a:ln w="12649">
          <a:solidFill>
            <a:srgbClr val="FFFFFF"/>
          </a:solidFill>
          <a:prstDash val="solid"/>
        </a:ln>
      </c:spPr>
      <c:txPr>
        <a:bodyPr rot="0" spcFirstLastPara="0" vertOverflow="ellipsis" vert="horz" wrap="square" anchor="ctr" anchorCtr="1"/>
        <a:lstStyle/>
        <a:p>
          <a:pPr>
            <a:defRPr lang="zh-CN" sz="100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9525" cap="flat" cmpd="sng" algn="ctr">
      <a:noFill/>
      <a:prstDash val="solid"/>
      <a:round/>
    </a:ln>
  </c:spPr>
  <c:txPr>
    <a:bodyPr/>
    <a:lstStyle/>
    <a:p>
      <a:pPr>
        <a:defRPr lang="zh-CN" sz="89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7142857143"/>
          <c:y val="0.0757575757575758"/>
          <c:w val="0.589285714285714"/>
          <c:h val="0.625"/>
        </c:manualLayout>
      </c:layout>
      <c:radarChart>
        <c:radarStyle val="marker"/>
        <c:varyColors val="0"/>
        <c:ser>
          <c:idx val="0"/>
          <c:order val="0"/>
          <c:tx>
            <c:strRef>
              <c:f>Sheet1!$A$2</c:f>
              <c:strCache>
                <c:ptCount val="1"/>
                <c:pt idx="0">
                  <c:v>秋季(C=18%)</c:v>
                </c:pt>
              </c:strCache>
            </c:strRef>
          </c:tx>
          <c:spPr>
            <a:ln w="25292" cap="rnd" cmpd="sng" algn="ctr">
              <a:solidFill>
                <a:srgbClr val="333300"/>
              </a:solidFill>
              <a:prstDash val="solid"/>
              <a:round/>
            </a:ln>
          </c:spPr>
          <c:marker>
            <c:symbol val="none"/>
          </c:marke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26</c:v>
                </c:pt>
                <c:pt idx="1">
                  <c:v>14</c:v>
                </c:pt>
                <c:pt idx="2">
                  <c:v>5</c:v>
                </c:pt>
                <c:pt idx="3">
                  <c:v>2</c:v>
                </c:pt>
                <c:pt idx="4">
                  <c:v>2</c:v>
                </c:pt>
                <c:pt idx="5">
                  <c:v>2</c:v>
                </c:pt>
                <c:pt idx="6">
                  <c:v>2</c:v>
                </c:pt>
                <c:pt idx="7">
                  <c:v>2</c:v>
                </c:pt>
                <c:pt idx="8">
                  <c:v>4</c:v>
                </c:pt>
                <c:pt idx="9">
                  <c:v>4</c:v>
                </c:pt>
                <c:pt idx="10">
                  <c:v>2</c:v>
                </c:pt>
                <c:pt idx="11">
                  <c:v>1</c:v>
                </c:pt>
                <c:pt idx="12">
                  <c:v>1</c:v>
                </c:pt>
                <c:pt idx="13">
                  <c:v>2</c:v>
                </c:pt>
                <c:pt idx="14">
                  <c:v>5</c:v>
                </c:pt>
                <c:pt idx="15">
                  <c:v>8</c:v>
                </c:pt>
              </c:numCache>
            </c:numRef>
          </c:val>
        </c:ser>
        <c:dLbls>
          <c:showLegendKey val="0"/>
          <c:showVal val="0"/>
          <c:showCatName val="0"/>
          <c:showSerName val="0"/>
          <c:showPercent val="0"/>
          <c:showBubbleSize val="0"/>
        </c:dLbls>
        <c:axId val="129178240"/>
        <c:axId val="129196416"/>
      </c:radarChart>
      <c:catAx>
        <c:axId val="129178240"/>
        <c:scaling>
          <c:orientation val="minMax"/>
        </c:scaling>
        <c:delete val="0"/>
        <c:axPos val="b"/>
        <c:majorGridlines/>
        <c:numFmt formatCode="General" sourceLinked="1"/>
        <c:majorTickMark val="out"/>
        <c:minorTickMark val="none"/>
        <c:tickLblPos val="nextTo"/>
        <c:txPr>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196416"/>
        <c:crosses val="autoZero"/>
        <c:auto val="0"/>
        <c:lblAlgn val="ctr"/>
        <c:lblOffset val="100"/>
        <c:noMultiLvlLbl val="0"/>
      </c:catAx>
      <c:valAx>
        <c:axId val="129196416"/>
        <c:scaling>
          <c:orientation val="minMax"/>
        </c:scaling>
        <c:delete val="0"/>
        <c:axPos val="l"/>
        <c:majorGridlines>
          <c:spPr>
            <a:ln w="3162" cap="flat" cmpd="sng" algn="ctr">
              <a:solidFill>
                <a:srgbClr val="000000"/>
              </a:solidFill>
              <a:prstDash val="sysDash"/>
              <a:round/>
            </a:ln>
          </c:spPr>
        </c:majorGridlines>
        <c:numFmt formatCode="General" sourceLinked="1"/>
        <c:majorTickMark val="cross"/>
        <c:minorTickMark val="none"/>
        <c:tickLblPos val="nextTo"/>
        <c:spPr>
          <a:ln w="3162" cap="flat" cmpd="sng" algn="ctr">
            <a:solidFill>
              <a:srgbClr val="000000"/>
            </a:solidFill>
            <a:prstDash val="solid"/>
            <a:round/>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178240"/>
        <c:crosses val="autoZero"/>
        <c:crossBetween val="between"/>
      </c:valAx>
      <c:spPr>
        <a:solidFill>
          <a:srgbClr val="FFFFFF"/>
        </a:solidFill>
        <a:ln w="12646">
          <a:solidFill>
            <a:srgbClr val="FFFFFF"/>
          </a:solidFill>
          <a:prstDash val="solid"/>
        </a:ln>
      </c:spPr>
    </c:plotArea>
    <c:legend>
      <c:legendPos val="b"/>
      <c:layout>
        <c:manualLayout>
          <c:xMode val="edge"/>
          <c:yMode val="edge"/>
          <c:x val="0.107142857142857"/>
          <c:y val="0.814393939393939"/>
          <c:w val="0.703571428571429"/>
          <c:h val="0.189393939393939"/>
        </c:manualLayout>
      </c:layout>
      <c:overlay val="0"/>
      <c:spPr>
        <a:solidFill>
          <a:srgbClr val="FFFFFF"/>
        </a:solidFill>
        <a:ln w="12646">
          <a:solidFill>
            <a:srgbClr val="FFFFFF"/>
          </a:solidFill>
          <a:prstDash val="solid"/>
        </a:ln>
      </c:spPr>
      <c:txPr>
        <a:bodyPr rot="0" spcFirstLastPara="0" vertOverflow="ellipsis" vert="horz" wrap="square" anchor="ctr" anchorCtr="1"/>
        <a:lstStyle/>
        <a:p>
          <a:pPr>
            <a:defRPr lang="zh-CN" sz="100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9525" cap="flat" cmpd="sng" algn="ctr">
      <a:noFill/>
      <a:prstDash val="solid"/>
      <a:round/>
    </a:ln>
  </c:spPr>
  <c:txPr>
    <a:bodyPr/>
    <a:lstStyle/>
    <a:p>
      <a:pPr>
        <a:defRPr lang="zh-CN" sz="89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7142857143"/>
          <c:y val="0.0757575757575758"/>
          <c:w val="0.589285714285714"/>
          <c:h val="0.625"/>
        </c:manualLayout>
      </c:layout>
      <c:radarChart>
        <c:radarStyle val="marker"/>
        <c:varyColors val="0"/>
        <c:ser>
          <c:idx val="0"/>
          <c:order val="0"/>
          <c:tx>
            <c:strRef>
              <c:f>Sheet1!$A$2</c:f>
              <c:strCache>
                <c:ptCount val="1"/>
                <c:pt idx="0">
                  <c:v>全年(C=17%)</c:v>
                </c:pt>
              </c:strCache>
            </c:strRef>
          </c:tx>
          <c:spPr>
            <a:ln w="25298" cap="rnd" cmpd="sng" algn="ctr">
              <a:solidFill>
                <a:srgbClr val="333300"/>
              </a:solidFill>
              <a:prstDash val="solid"/>
              <a:round/>
            </a:ln>
          </c:spPr>
          <c:marker>
            <c:symbol val="none"/>
          </c:marke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23</c:v>
                </c:pt>
                <c:pt idx="1">
                  <c:v>10</c:v>
                </c:pt>
                <c:pt idx="2">
                  <c:v>4</c:v>
                </c:pt>
                <c:pt idx="3">
                  <c:v>2</c:v>
                </c:pt>
                <c:pt idx="4">
                  <c:v>2</c:v>
                </c:pt>
                <c:pt idx="5">
                  <c:v>2</c:v>
                </c:pt>
                <c:pt idx="6">
                  <c:v>3</c:v>
                </c:pt>
                <c:pt idx="7">
                  <c:v>3</c:v>
                </c:pt>
                <c:pt idx="8">
                  <c:v>9</c:v>
                </c:pt>
                <c:pt idx="9">
                  <c:v>7</c:v>
                </c:pt>
                <c:pt idx="10">
                  <c:v>2</c:v>
                </c:pt>
                <c:pt idx="11">
                  <c:v>1</c:v>
                </c:pt>
                <c:pt idx="12">
                  <c:v>2</c:v>
                </c:pt>
                <c:pt idx="13">
                  <c:v>2</c:v>
                </c:pt>
                <c:pt idx="14">
                  <c:v>5</c:v>
                </c:pt>
                <c:pt idx="15">
                  <c:v>7</c:v>
                </c:pt>
              </c:numCache>
            </c:numRef>
          </c:val>
        </c:ser>
        <c:dLbls>
          <c:showLegendKey val="0"/>
          <c:showVal val="0"/>
          <c:showCatName val="0"/>
          <c:showSerName val="0"/>
          <c:showPercent val="0"/>
          <c:showBubbleSize val="0"/>
        </c:dLbls>
        <c:axId val="129204224"/>
        <c:axId val="129205760"/>
      </c:radarChart>
      <c:catAx>
        <c:axId val="129204224"/>
        <c:scaling>
          <c:orientation val="minMax"/>
        </c:scaling>
        <c:delete val="0"/>
        <c:axPos val="b"/>
        <c:majorGridlines/>
        <c:numFmt formatCode="General" sourceLinked="1"/>
        <c:majorTickMark val="out"/>
        <c:minorTickMark val="none"/>
        <c:tickLblPos val="nextTo"/>
        <c:txPr>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205760"/>
        <c:crosses val="autoZero"/>
        <c:auto val="0"/>
        <c:lblAlgn val="ctr"/>
        <c:lblOffset val="100"/>
        <c:noMultiLvlLbl val="0"/>
      </c:catAx>
      <c:valAx>
        <c:axId val="129205760"/>
        <c:scaling>
          <c:orientation val="minMax"/>
        </c:scaling>
        <c:delete val="0"/>
        <c:axPos val="l"/>
        <c:majorGridlines>
          <c:spPr>
            <a:ln w="3162" cap="flat" cmpd="sng" algn="ctr">
              <a:solidFill>
                <a:srgbClr val="000000"/>
              </a:solidFill>
              <a:prstDash val="sysDash"/>
              <a:round/>
            </a:ln>
          </c:spPr>
        </c:majorGridlines>
        <c:numFmt formatCode="General" sourceLinked="1"/>
        <c:majorTickMark val="cross"/>
        <c:minorTickMark val="none"/>
        <c:tickLblPos val="nextTo"/>
        <c:spPr>
          <a:ln w="3162" cap="flat" cmpd="sng" algn="ctr">
            <a:solidFill>
              <a:srgbClr val="000000"/>
            </a:solidFill>
            <a:prstDash val="solid"/>
            <a:round/>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9204224"/>
        <c:crosses val="autoZero"/>
        <c:crossBetween val="between"/>
      </c:valAx>
      <c:spPr>
        <a:solidFill>
          <a:srgbClr val="FFFFFF"/>
        </a:solidFill>
        <a:ln w="12649">
          <a:solidFill>
            <a:srgbClr val="FFFFFF"/>
          </a:solidFill>
          <a:prstDash val="solid"/>
        </a:ln>
      </c:spPr>
    </c:plotArea>
    <c:legend>
      <c:legendPos val="b"/>
      <c:layout>
        <c:manualLayout>
          <c:xMode val="edge"/>
          <c:yMode val="edge"/>
          <c:x val="0.103571428571429"/>
          <c:y val="0.814393939393939"/>
          <c:w val="0.703571428571429"/>
          <c:h val="0.189393939393939"/>
        </c:manualLayout>
      </c:layout>
      <c:overlay val="0"/>
      <c:spPr>
        <a:solidFill>
          <a:srgbClr val="FFFFFF"/>
        </a:solidFill>
        <a:ln w="12649">
          <a:solidFill>
            <a:srgbClr val="FFFFFF"/>
          </a:solidFill>
          <a:prstDash val="solid"/>
        </a:ln>
      </c:spPr>
      <c:txPr>
        <a:bodyPr rot="0" spcFirstLastPara="0" vertOverflow="ellipsis" vert="horz" wrap="square" anchor="ctr" anchorCtr="1"/>
        <a:lstStyle/>
        <a:p>
          <a:pPr>
            <a:defRPr lang="zh-CN" sz="100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9525" cap="flat" cmpd="sng" algn="ctr">
      <a:noFill/>
      <a:prstDash val="solid"/>
      <a:round/>
    </a:ln>
  </c:spPr>
  <c:txPr>
    <a:bodyPr/>
    <a:lstStyle/>
    <a:p>
      <a:pPr>
        <a:defRPr lang="zh-CN" sz="89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BD2C4F-AEFB-488A-8829-F40E8F2131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7522</Words>
  <Characters>42881</Characters>
  <Lines>357</Lines>
  <Paragraphs>100</Paragraphs>
  <TotalTime>1</TotalTime>
  <ScaleCrop>false</ScaleCrop>
  <LinksUpToDate>false</LinksUpToDate>
  <CharactersWithSpaces>50303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2019-08-05T01:51:00Z</dcterms:created>
  <dc:creator>lenovo</dc:creator>
  <cp:lastModifiedBy>lenovo</cp:lastModifiedBy>
  <cp:lastPrinted>2019-09-24T03:31:00Z</cp:lastPrinted>
  <dcterms:modified xsi:type="dcterms:W3CDTF">2021-03-23T04:55:49Z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