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80" w:lineRule="auto"/>
        <w:jc w:val="center"/>
        <w:rPr>
          <w:rFonts w:hint="default" w:ascii="Times New Roman" w:hAnsi="Times New Roman" w:cs="Times New Roman"/>
          <w:b/>
          <w:color w:val="auto"/>
          <w:sz w:val="72"/>
          <w:szCs w:val="72"/>
          <w:u w:val="none" w:color="auto"/>
        </w:rPr>
      </w:pPr>
    </w:p>
    <w:p>
      <w:pPr>
        <w:spacing w:before="156" w:beforeLines="50" w:line="480" w:lineRule="auto"/>
        <w:jc w:val="center"/>
        <w:rPr>
          <w:rFonts w:hint="default" w:ascii="Times New Roman" w:hAnsi="Times New Roman" w:cs="Times New Roman"/>
          <w:b/>
          <w:color w:val="auto"/>
          <w:sz w:val="72"/>
          <w:szCs w:val="72"/>
          <w:u w:val="none" w:color="auto"/>
        </w:rPr>
      </w:pPr>
      <w:r>
        <w:rPr>
          <w:rFonts w:hint="default" w:ascii="Times New Roman" w:hAnsi="Times New Roman" w:cs="Times New Roman"/>
          <w:b/>
          <w:color w:val="auto"/>
          <w:sz w:val="72"/>
          <w:szCs w:val="72"/>
          <w:u w:val="none" w:color="auto"/>
        </w:rPr>
        <w:t>建设项目环境影响报告表</w:t>
      </w:r>
    </w:p>
    <w:p>
      <w:pPr>
        <w:jc w:val="center"/>
        <w:rPr>
          <w:rFonts w:hint="default" w:ascii="Times New Roman" w:hAnsi="Times New Roman" w:eastAsia="宋体" w:cs="Times New Roman"/>
          <w:color w:val="auto"/>
          <w:sz w:val="32"/>
          <w:szCs w:val="32"/>
          <w:u w:val="none" w:color="auto"/>
          <w:lang w:eastAsia="zh-CN"/>
        </w:rPr>
      </w:pPr>
      <w:r>
        <w:rPr>
          <w:rFonts w:hint="default" w:ascii="Times New Roman" w:hAnsi="Times New Roman" w:cs="Times New Roman"/>
          <w:color w:val="auto"/>
          <w:sz w:val="32"/>
          <w:szCs w:val="32"/>
          <w:u w:val="none" w:color="auto"/>
          <w:lang w:eastAsia="zh-CN"/>
        </w:rPr>
        <w:t>（</w:t>
      </w:r>
      <w:r>
        <w:rPr>
          <w:rFonts w:hint="eastAsia" w:cs="Times New Roman"/>
          <w:color w:val="auto"/>
          <w:sz w:val="32"/>
          <w:szCs w:val="32"/>
          <w:u w:val="none" w:color="auto"/>
          <w:lang w:val="en-US" w:eastAsia="zh-CN"/>
        </w:rPr>
        <w:t>报批</w:t>
      </w:r>
      <w:r>
        <w:rPr>
          <w:rFonts w:hint="default" w:ascii="Times New Roman" w:hAnsi="Times New Roman" w:cs="Times New Roman"/>
          <w:color w:val="auto"/>
          <w:sz w:val="32"/>
          <w:szCs w:val="32"/>
          <w:u w:val="none" w:color="auto"/>
          <w:lang w:eastAsia="zh-CN"/>
        </w:rPr>
        <w:t>稿）</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pStyle w:val="3"/>
        <w:rPr>
          <w:rFonts w:hint="default"/>
          <w:color w:val="auto"/>
          <w:u w:val="none" w:color="auto"/>
        </w:rPr>
      </w:pPr>
    </w:p>
    <w:p>
      <w:pPr>
        <w:rPr>
          <w:rFonts w:hint="default" w:ascii="Times New Roman" w:hAnsi="Times New Roman" w:cs="Times New Roman"/>
          <w:color w:val="auto"/>
          <w:sz w:val="44"/>
          <w:szCs w:val="44"/>
          <w:u w:val="none" w:color="auto"/>
        </w:rPr>
      </w:pPr>
    </w:p>
    <w:p>
      <w:pPr>
        <w:adjustRightInd w:val="0"/>
        <w:spacing w:line="720" w:lineRule="auto"/>
        <w:jc w:val="center"/>
        <w:rPr>
          <w:rFonts w:hint="default" w:ascii="Times New Roman" w:hAnsi="Times New Roman" w:cs="Times New Roman"/>
          <w:b/>
          <w:color w:val="auto"/>
          <w:sz w:val="32"/>
          <w:u w:val="single" w:color="auto"/>
        </w:rPr>
      </w:pPr>
    </w:p>
    <w:p>
      <w:pPr>
        <w:adjustRightInd w:val="0"/>
        <w:spacing w:line="720" w:lineRule="auto"/>
        <w:jc w:val="center"/>
        <w:rPr>
          <w:rFonts w:hint="default" w:ascii="Times New Roman" w:hAnsi="Times New Roman" w:cs="Times New Roman"/>
          <w:b/>
          <w:color w:val="auto"/>
          <w:sz w:val="32"/>
          <w:u w:val="single" w:color="auto"/>
        </w:rPr>
      </w:pPr>
      <w:r>
        <w:rPr>
          <w:rFonts w:hint="default" w:ascii="Times New Roman" w:hAnsi="Times New Roman" w:cs="Times New Roman"/>
          <w:b/>
          <w:color w:val="auto"/>
          <w:sz w:val="32"/>
          <w:u w:val="single" w:color="auto"/>
        </w:rPr>
        <w:t xml:space="preserve">项目名称：  </w:t>
      </w:r>
      <w:r>
        <w:rPr>
          <w:rFonts w:hint="eastAsia" w:cs="Times New Roman"/>
          <w:b/>
          <w:bCs/>
          <w:color w:val="auto"/>
          <w:spacing w:val="-8"/>
          <w:sz w:val="32"/>
          <w:u w:val="single" w:color="auto"/>
          <w:lang w:eastAsia="zh-CN"/>
        </w:rPr>
        <w:t>年产20万片石棉瓦建设项目</w:t>
      </w:r>
    </w:p>
    <w:p>
      <w:pPr>
        <w:adjustRightInd w:val="0"/>
        <w:spacing w:line="360" w:lineRule="auto"/>
        <w:ind w:firstLine="964" w:firstLineChars="300"/>
        <w:rPr>
          <w:rFonts w:hint="default" w:ascii="Times New Roman" w:hAnsi="Times New Roman" w:cs="Times New Roman"/>
          <w:b/>
          <w:bCs w:val="0"/>
          <w:color w:val="auto"/>
          <w:sz w:val="32"/>
          <w:u w:val="single" w:color="auto"/>
        </w:rPr>
      </w:pPr>
      <w:r>
        <w:rPr>
          <w:rFonts w:hint="default" w:ascii="Times New Roman" w:hAnsi="Times New Roman" w:cs="Times New Roman"/>
          <w:b/>
          <w:color w:val="auto"/>
          <w:sz w:val="32"/>
          <w:u w:val="single" w:color="auto"/>
        </w:rPr>
        <w:t>建设</w:t>
      </w:r>
      <w:r>
        <w:rPr>
          <w:rFonts w:hint="default" w:ascii="Times New Roman" w:hAnsi="Times New Roman" w:cs="Times New Roman"/>
          <w:b/>
          <w:bCs w:val="0"/>
          <w:color w:val="auto"/>
          <w:sz w:val="32"/>
          <w:u w:val="single" w:color="auto"/>
        </w:rPr>
        <w:t>单位：</w:t>
      </w:r>
      <w:r>
        <w:rPr>
          <w:rFonts w:hint="eastAsia" w:cs="Times New Roman"/>
          <w:b/>
          <w:bCs w:val="0"/>
          <w:color w:val="auto"/>
          <w:sz w:val="32"/>
          <w:u w:val="single" w:color="auto"/>
          <w:lang w:val="en-US" w:eastAsia="zh-CN"/>
        </w:rPr>
        <w:t xml:space="preserve">     </w:t>
      </w:r>
      <w:r>
        <w:rPr>
          <w:rFonts w:hint="eastAsia" w:cs="Times New Roman"/>
          <w:b/>
          <w:bCs w:val="0"/>
          <w:color w:val="auto"/>
          <w:spacing w:val="-8"/>
          <w:sz w:val="32"/>
          <w:u w:val="single" w:color="auto"/>
          <w:lang w:eastAsia="zh-CN"/>
        </w:rPr>
        <w:t>湘阴县株欣机制石棉瓦厂</w:t>
      </w:r>
      <w:r>
        <w:rPr>
          <w:rFonts w:hint="eastAsia" w:ascii="Times New Roman" w:hAnsi="Times New Roman" w:cs="Times New Roman"/>
          <w:b/>
          <w:bCs w:val="0"/>
          <w:color w:val="auto"/>
          <w:sz w:val="32"/>
          <w:szCs w:val="22"/>
          <w:u w:val="single" w:color="auto"/>
          <w:lang w:val="en-US" w:eastAsia="zh-CN"/>
        </w:rPr>
        <w:t xml:space="preserve"> </w:t>
      </w:r>
      <w:r>
        <w:rPr>
          <w:rFonts w:hint="default" w:ascii="Times New Roman" w:hAnsi="Times New Roman" w:cs="Times New Roman"/>
          <w:b/>
          <w:bCs w:val="0"/>
          <w:color w:val="auto"/>
          <w:spacing w:val="-8"/>
          <w:sz w:val="32"/>
          <w:u w:val="single" w:color="auto"/>
        </w:rPr>
        <w:t>（盖章）</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bidi w:val="0"/>
        <w:jc w:val="center"/>
        <w:rPr>
          <w:rFonts w:hint="eastAsia" w:eastAsia="宋体"/>
          <w:b/>
          <w:bCs/>
          <w:color w:val="auto"/>
          <w:sz w:val="32"/>
          <w:szCs w:val="28"/>
          <w:u w:val="none" w:color="auto"/>
          <w:lang w:val="en-US" w:eastAsia="zh-CN"/>
        </w:rPr>
      </w:pPr>
      <w:r>
        <w:rPr>
          <w:rFonts w:hint="eastAsia"/>
          <w:b/>
          <w:bCs/>
          <w:color w:val="auto"/>
          <w:sz w:val="32"/>
          <w:szCs w:val="28"/>
          <w:u w:val="none" w:color="auto"/>
          <w:lang w:val="en-US" w:eastAsia="zh-CN"/>
        </w:rPr>
        <w:t>湖南智盛瀚海环保科技有限公司</w:t>
      </w:r>
    </w:p>
    <w:p>
      <w:pPr>
        <w:spacing w:before="240" w:beforeLines="100" w:after="240" w:afterLines="100"/>
        <w:jc w:val="center"/>
        <w:rPr>
          <w:b/>
          <w:bCs/>
          <w:color w:val="auto"/>
          <w:sz w:val="36"/>
          <w:szCs w:val="24"/>
          <w:u w:val="none" w:color="auto"/>
        </w:rPr>
      </w:pPr>
      <w:r>
        <w:rPr>
          <w:rFonts w:hint="eastAsia" w:ascii="Times New Roman" w:hAnsi="Times New Roman" w:cs="Times New Roman"/>
          <w:b/>
          <w:bCs/>
          <w:color w:val="auto"/>
          <w:sz w:val="30"/>
          <w:szCs w:val="30"/>
          <w:u w:val="none" w:color="auto"/>
          <w:lang w:val="en-US" w:eastAsia="zh-CN"/>
        </w:rPr>
        <w:t xml:space="preserve">  </w:t>
      </w:r>
      <w:r>
        <w:rPr>
          <w:rFonts w:hint="default" w:ascii="Times New Roman" w:hAnsi="Times New Roman" w:cs="Times New Roman"/>
          <w:b/>
          <w:bCs/>
          <w:color w:val="auto"/>
          <w:sz w:val="30"/>
          <w:szCs w:val="30"/>
          <w:u w:val="none" w:color="auto"/>
        </w:rPr>
        <w:t>日期：20</w:t>
      </w:r>
      <w:r>
        <w:rPr>
          <w:rFonts w:hint="eastAsia" w:cs="Times New Roman"/>
          <w:b/>
          <w:bCs/>
          <w:color w:val="auto"/>
          <w:sz w:val="30"/>
          <w:szCs w:val="30"/>
          <w:u w:val="none" w:color="auto"/>
          <w:lang w:val="en-US" w:eastAsia="zh-CN"/>
        </w:rPr>
        <w:t>21</w:t>
      </w:r>
      <w:r>
        <w:rPr>
          <w:rFonts w:hint="default" w:ascii="Times New Roman" w:hAnsi="Times New Roman" w:cs="Times New Roman"/>
          <w:b/>
          <w:bCs/>
          <w:color w:val="auto"/>
          <w:sz w:val="30"/>
          <w:szCs w:val="30"/>
          <w:u w:val="none" w:color="auto"/>
        </w:rPr>
        <w:t>年</w:t>
      </w:r>
      <w:r>
        <w:rPr>
          <w:rFonts w:hint="eastAsia" w:cs="Times New Roman"/>
          <w:b/>
          <w:bCs/>
          <w:color w:val="auto"/>
          <w:sz w:val="30"/>
          <w:szCs w:val="30"/>
          <w:u w:val="none" w:color="auto"/>
          <w:lang w:val="en-US" w:eastAsia="zh-CN"/>
        </w:rPr>
        <w:t>3</w:t>
      </w:r>
      <w:r>
        <w:rPr>
          <w:rFonts w:hint="default" w:ascii="Times New Roman" w:hAnsi="Times New Roman" w:cs="Times New Roman"/>
          <w:b/>
          <w:bCs/>
          <w:color w:val="auto"/>
          <w:sz w:val="30"/>
          <w:szCs w:val="30"/>
          <w:u w:val="none" w:color="auto"/>
        </w:rPr>
        <w:t>月</w:t>
      </w:r>
    </w:p>
    <w:p>
      <w:pPr>
        <w:bidi w:val="0"/>
        <w:spacing w:line="360" w:lineRule="auto"/>
        <w:jc w:val="center"/>
        <w:rPr>
          <w:rFonts w:hint="eastAsia"/>
          <w:b/>
          <w:bCs/>
          <w:color w:val="auto"/>
          <w:sz w:val="32"/>
          <w:szCs w:val="28"/>
          <w:u w:val="none" w:color="auto"/>
          <w:lang w:val="en-US" w:eastAsia="zh-CN"/>
        </w:rPr>
      </w:pPr>
      <w:r>
        <w:rPr>
          <w:rFonts w:hint="eastAsia"/>
          <w:b/>
          <w:bCs/>
          <w:color w:val="auto"/>
          <w:sz w:val="32"/>
          <w:szCs w:val="28"/>
          <w:u w:val="none" w:color="auto"/>
          <w:lang w:val="en-US" w:eastAsia="zh-CN"/>
        </w:rPr>
        <w:t>专家意见修改清单</w:t>
      </w:r>
    </w:p>
    <w:tbl>
      <w:tblPr>
        <w:tblStyle w:val="41"/>
        <w:tblW w:w="9195"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618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bidi w:val="0"/>
              <w:spacing w:line="360" w:lineRule="auto"/>
              <w:jc w:val="center"/>
              <w:rPr>
                <w:rFonts w:hint="eastAsia"/>
                <w:sz w:val="28"/>
                <w:szCs w:val="28"/>
                <w:lang w:val="en-US" w:eastAsia="zh-CN"/>
              </w:rPr>
            </w:pPr>
            <w:r>
              <w:rPr>
                <w:rFonts w:hint="eastAsia"/>
                <w:sz w:val="28"/>
                <w:szCs w:val="28"/>
                <w:lang w:val="en-US" w:eastAsia="zh-CN"/>
              </w:rPr>
              <w:t>序号</w:t>
            </w:r>
          </w:p>
        </w:tc>
        <w:tc>
          <w:tcPr>
            <w:tcW w:w="6180" w:type="dxa"/>
            <w:vAlign w:val="center"/>
          </w:tcPr>
          <w:p>
            <w:pPr>
              <w:bidi w:val="0"/>
              <w:spacing w:line="360" w:lineRule="auto"/>
              <w:jc w:val="center"/>
              <w:rPr>
                <w:rFonts w:hint="eastAsia"/>
                <w:sz w:val="28"/>
                <w:szCs w:val="28"/>
                <w:lang w:val="en-US" w:eastAsia="zh-CN"/>
              </w:rPr>
            </w:pPr>
            <w:r>
              <w:rPr>
                <w:rFonts w:hint="eastAsia"/>
                <w:sz w:val="28"/>
                <w:szCs w:val="28"/>
                <w:lang w:val="en-US" w:eastAsia="zh-CN"/>
              </w:rPr>
              <w:t>专家意见</w:t>
            </w:r>
          </w:p>
        </w:tc>
        <w:tc>
          <w:tcPr>
            <w:tcW w:w="2190" w:type="dxa"/>
            <w:vAlign w:val="center"/>
          </w:tcPr>
          <w:p>
            <w:pPr>
              <w:bidi w:val="0"/>
              <w:spacing w:line="360" w:lineRule="auto"/>
              <w:jc w:val="center"/>
              <w:rPr>
                <w:rFonts w:hint="eastAsia"/>
                <w:sz w:val="28"/>
                <w:szCs w:val="28"/>
                <w:lang w:val="en-US" w:eastAsia="zh-CN"/>
              </w:rPr>
            </w:pPr>
            <w:r>
              <w:rPr>
                <w:rFonts w:hint="eastAsia"/>
                <w:sz w:val="28"/>
                <w:szCs w:val="28"/>
                <w:lang w:val="en-US" w:eastAsia="zh-CN"/>
              </w:rPr>
              <w:t>意见修改情况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bidi w:val="0"/>
              <w:spacing w:line="360" w:lineRule="auto"/>
              <w:jc w:val="center"/>
              <w:rPr>
                <w:rFonts w:hint="default"/>
                <w:sz w:val="28"/>
                <w:szCs w:val="28"/>
                <w:lang w:val="en-US" w:eastAsia="zh-CN"/>
              </w:rPr>
            </w:pPr>
            <w:r>
              <w:rPr>
                <w:rFonts w:hint="eastAsia"/>
                <w:sz w:val="28"/>
                <w:szCs w:val="28"/>
                <w:lang w:val="en-US" w:eastAsia="zh-CN"/>
              </w:rPr>
              <w:t>1</w:t>
            </w:r>
          </w:p>
        </w:tc>
        <w:tc>
          <w:tcPr>
            <w:tcW w:w="6180" w:type="dxa"/>
            <w:vAlign w:val="center"/>
          </w:tcPr>
          <w:p>
            <w:pPr>
              <w:bidi w:val="0"/>
              <w:spacing w:line="360" w:lineRule="auto"/>
              <w:jc w:val="center"/>
              <w:rPr>
                <w:rFonts w:hint="eastAsia"/>
                <w:sz w:val="28"/>
                <w:szCs w:val="28"/>
                <w:lang w:val="en-US" w:eastAsia="zh-CN"/>
              </w:rPr>
            </w:pPr>
            <w:r>
              <w:rPr>
                <w:rFonts w:hint="eastAsia"/>
                <w:sz w:val="28"/>
                <w:szCs w:val="28"/>
              </w:rPr>
              <w:t>完善项目由来，明确本项目属于“未批先建”；细化项目建设过程及目前建设现状和已采取的环保措施，强化项目目前存在的环境问题及整改完善措施。</w:t>
            </w:r>
          </w:p>
        </w:tc>
        <w:tc>
          <w:tcPr>
            <w:tcW w:w="2190" w:type="dxa"/>
            <w:vAlign w:val="center"/>
          </w:tcPr>
          <w:p>
            <w:pPr>
              <w:bidi w:val="0"/>
              <w:spacing w:line="360" w:lineRule="auto"/>
              <w:jc w:val="center"/>
              <w:rPr>
                <w:rFonts w:hint="default"/>
                <w:sz w:val="28"/>
                <w:szCs w:val="28"/>
                <w:lang w:val="en-US" w:eastAsia="zh-CN"/>
              </w:rPr>
            </w:pPr>
            <w:r>
              <w:rPr>
                <w:rFonts w:hint="eastAsia"/>
                <w:sz w:val="28"/>
                <w:szCs w:val="28"/>
                <w:lang w:val="en-US" w:eastAsia="zh-CN"/>
              </w:rPr>
              <w:t>已完善且强化，具体详见P1-4，11-12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bidi w:val="0"/>
              <w:spacing w:line="360" w:lineRule="auto"/>
              <w:jc w:val="center"/>
              <w:rPr>
                <w:rFonts w:hint="default"/>
                <w:sz w:val="28"/>
                <w:szCs w:val="28"/>
                <w:lang w:val="en-US" w:eastAsia="zh-CN"/>
              </w:rPr>
            </w:pPr>
            <w:r>
              <w:rPr>
                <w:rFonts w:hint="eastAsia"/>
                <w:sz w:val="28"/>
                <w:szCs w:val="28"/>
                <w:lang w:val="en-US" w:eastAsia="zh-CN"/>
              </w:rPr>
              <w:t>2</w:t>
            </w:r>
          </w:p>
        </w:tc>
        <w:tc>
          <w:tcPr>
            <w:tcW w:w="6180" w:type="dxa"/>
            <w:vAlign w:val="center"/>
          </w:tcPr>
          <w:p>
            <w:pPr>
              <w:bidi w:val="0"/>
              <w:spacing w:line="360" w:lineRule="auto"/>
              <w:jc w:val="center"/>
              <w:rPr>
                <w:rFonts w:hint="eastAsia"/>
                <w:sz w:val="28"/>
                <w:szCs w:val="28"/>
                <w:lang w:val="en-US" w:eastAsia="zh-CN"/>
              </w:rPr>
            </w:pPr>
            <w:r>
              <w:rPr>
                <w:rFonts w:hint="eastAsia"/>
                <w:sz w:val="28"/>
                <w:szCs w:val="28"/>
              </w:rPr>
              <w:t>核实本项目建设内容及产品方案、主要原辅材料种类、用量和最大储存量；细化项目储运工程等建设内容，核实水泥等料仓是否自带除尘设施，并以此提出改进要求；根据主要设备的生产能力及生产时间，完善主要设备与产能的匹配性分析。</w:t>
            </w:r>
          </w:p>
        </w:tc>
        <w:tc>
          <w:tcPr>
            <w:tcW w:w="2190" w:type="dxa"/>
            <w:vAlign w:val="center"/>
          </w:tcPr>
          <w:p>
            <w:pPr>
              <w:bidi w:val="0"/>
              <w:spacing w:line="360" w:lineRule="auto"/>
              <w:jc w:val="center"/>
              <w:rPr>
                <w:rFonts w:hint="default"/>
                <w:sz w:val="28"/>
                <w:szCs w:val="28"/>
                <w:lang w:val="en-US" w:eastAsia="zh-CN"/>
              </w:rPr>
            </w:pPr>
            <w:r>
              <w:rPr>
                <w:rFonts w:hint="eastAsia"/>
                <w:sz w:val="28"/>
                <w:szCs w:val="28"/>
                <w:lang w:val="en-US" w:eastAsia="zh-CN"/>
              </w:rPr>
              <w:t>已核实且完善，具体详见P2-6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bidi w:val="0"/>
              <w:spacing w:line="360" w:lineRule="auto"/>
              <w:jc w:val="center"/>
              <w:rPr>
                <w:rFonts w:hint="default"/>
                <w:sz w:val="28"/>
                <w:szCs w:val="28"/>
                <w:lang w:val="en-US" w:eastAsia="zh-CN"/>
              </w:rPr>
            </w:pPr>
            <w:r>
              <w:rPr>
                <w:rFonts w:hint="eastAsia"/>
                <w:sz w:val="28"/>
                <w:szCs w:val="28"/>
                <w:lang w:val="en-US" w:eastAsia="zh-CN"/>
              </w:rPr>
              <w:t>3</w:t>
            </w:r>
          </w:p>
        </w:tc>
        <w:tc>
          <w:tcPr>
            <w:tcW w:w="6180" w:type="dxa"/>
            <w:vAlign w:val="center"/>
          </w:tcPr>
          <w:p>
            <w:pPr>
              <w:bidi w:val="0"/>
              <w:spacing w:line="360" w:lineRule="auto"/>
              <w:jc w:val="center"/>
              <w:rPr>
                <w:rFonts w:hint="eastAsia"/>
                <w:sz w:val="28"/>
                <w:szCs w:val="28"/>
                <w:lang w:val="en-US" w:eastAsia="zh-CN"/>
              </w:rPr>
            </w:pPr>
            <w:r>
              <w:rPr>
                <w:rFonts w:hint="eastAsia"/>
                <w:sz w:val="28"/>
                <w:szCs w:val="28"/>
              </w:rPr>
              <w:t>细化项目选址及周边情况调查，</w:t>
            </w:r>
            <w:bookmarkStart w:id="0" w:name="_Hlk57368632"/>
            <w:r>
              <w:rPr>
                <w:rFonts w:hint="eastAsia"/>
                <w:sz w:val="28"/>
                <w:szCs w:val="28"/>
              </w:rPr>
              <w:t>明确项目与饮用水源输水管的位置关系；</w:t>
            </w:r>
            <w:bookmarkEnd w:id="0"/>
            <w:r>
              <w:rPr>
                <w:rFonts w:hint="eastAsia"/>
                <w:sz w:val="28"/>
                <w:szCs w:val="28"/>
              </w:rPr>
              <w:t>进一步核实项目与主要环保目标的距离，</w:t>
            </w:r>
            <w:bookmarkStart w:id="1" w:name="_Hlk57369588"/>
            <w:r>
              <w:rPr>
                <w:rFonts w:hint="eastAsia"/>
                <w:sz w:val="28"/>
                <w:szCs w:val="28"/>
              </w:rPr>
              <w:t>以此校核项目土壤评价等级，并以此完善土壤现状评价。</w:t>
            </w:r>
            <w:bookmarkEnd w:id="1"/>
          </w:p>
        </w:tc>
        <w:tc>
          <w:tcPr>
            <w:tcW w:w="2190" w:type="dxa"/>
            <w:vAlign w:val="center"/>
          </w:tcPr>
          <w:p>
            <w:pPr>
              <w:bidi w:val="0"/>
              <w:spacing w:line="360" w:lineRule="auto"/>
              <w:jc w:val="center"/>
              <w:rPr>
                <w:rFonts w:hint="default"/>
                <w:sz w:val="28"/>
                <w:szCs w:val="28"/>
                <w:lang w:val="en-US" w:eastAsia="zh-CN"/>
              </w:rPr>
            </w:pPr>
            <w:r>
              <w:rPr>
                <w:rFonts w:hint="eastAsia"/>
                <w:sz w:val="28"/>
                <w:szCs w:val="28"/>
                <w:lang w:val="en-US" w:eastAsia="zh-CN"/>
              </w:rPr>
              <w:t>已细化且完善，具体详见P22-23，48-49，59，附图6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bidi w:val="0"/>
              <w:spacing w:line="360" w:lineRule="auto"/>
              <w:jc w:val="center"/>
              <w:rPr>
                <w:rFonts w:hint="default"/>
                <w:sz w:val="28"/>
                <w:szCs w:val="28"/>
                <w:lang w:val="en-US" w:eastAsia="zh-CN"/>
              </w:rPr>
            </w:pPr>
            <w:r>
              <w:rPr>
                <w:rFonts w:hint="eastAsia"/>
                <w:sz w:val="28"/>
                <w:szCs w:val="28"/>
                <w:lang w:val="en-US" w:eastAsia="zh-CN"/>
              </w:rPr>
              <w:t>4</w:t>
            </w:r>
          </w:p>
        </w:tc>
        <w:tc>
          <w:tcPr>
            <w:tcW w:w="6180" w:type="dxa"/>
            <w:vAlign w:val="center"/>
          </w:tcPr>
          <w:p>
            <w:pPr>
              <w:bidi w:val="0"/>
              <w:spacing w:line="360" w:lineRule="auto"/>
              <w:jc w:val="center"/>
              <w:rPr>
                <w:rFonts w:hint="eastAsia"/>
                <w:sz w:val="28"/>
                <w:szCs w:val="28"/>
                <w:lang w:val="en-US" w:eastAsia="zh-CN"/>
              </w:rPr>
            </w:pPr>
            <w:r>
              <w:rPr>
                <w:rFonts w:hint="eastAsia"/>
                <w:sz w:val="28"/>
                <w:szCs w:val="28"/>
              </w:rPr>
              <w:t>细化项目生产工艺流程及产排污节点，完善打料制浆过程的粉尘影响，强化项目废气源强取值依据，并以此强化废气的收集处理措施；强化项目雨污分流措施。</w:t>
            </w:r>
          </w:p>
        </w:tc>
        <w:tc>
          <w:tcPr>
            <w:tcW w:w="2190" w:type="dxa"/>
            <w:vAlign w:val="center"/>
          </w:tcPr>
          <w:p>
            <w:pPr>
              <w:bidi w:val="0"/>
              <w:spacing w:line="360" w:lineRule="auto"/>
              <w:jc w:val="center"/>
              <w:rPr>
                <w:rFonts w:hint="default"/>
                <w:sz w:val="28"/>
                <w:szCs w:val="28"/>
                <w:lang w:val="en-US" w:eastAsia="zh-CN"/>
              </w:rPr>
            </w:pPr>
            <w:r>
              <w:rPr>
                <w:rFonts w:hint="eastAsia"/>
                <w:sz w:val="28"/>
                <w:szCs w:val="28"/>
                <w:lang w:val="en-US" w:eastAsia="zh-CN"/>
              </w:rPr>
              <w:t>已细化且完善，具体详见P28-29，30-33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bidi w:val="0"/>
              <w:spacing w:line="360" w:lineRule="auto"/>
              <w:jc w:val="center"/>
              <w:rPr>
                <w:rFonts w:hint="default"/>
                <w:sz w:val="28"/>
                <w:szCs w:val="28"/>
                <w:lang w:val="en-US" w:eastAsia="zh-CN"/>
              </w:rPr>
            </w:pPr>
            <w:r>
              <w:rPr>
                <w:rFonts w:hint="eastAsia"/>
                <w:sz w:val="28"/>
                <w:szCs w:val="28"/>
                <w:lang w:val="en-US" w:eastAsia="zh-CN"/>
              </w:rPr>
              <w:t>5</w:t>
            </w:r>
          </w:p>
        </w:tc>
        <w:tc>
          <w:tcPr>
            <w:tcW w:w="6180" w:type="dxa"/>
            <w:vAlign w:val="center"/>
          </w:tcPr>
          <w:p>
            <w:pPr>
              <w:bidi w:val="0"/>
              <w:spacing w:line="360" w:lineRule="auto"/>
              <w:jc w:val="center"/>
              <w:rPr>
                <w:rFonts w:hint="eastAsia" w:eastAsia="宋体"/>
                <w:sz w:val="28"/>
                <w:szCs w:val="28"/>
                <w:lang w:val="en-US" w:eastAsia="zh-CN"/>
              </w:rPr>
            </w:pPr>
            <w:r>
              <w:rPr>
                <w:rFonts w:hint="eastAsia"/>
                <w:sz w:val="28"/>
                <w:szCs w:val="28"/>
              </w:rPr>
              <w:t>校核环境监测计划及竣工验收表；完善项目平面布局及其合理性分析，并以此提出优化调整建议；结合防洪要求及水利部门意见等强化项目选址的合理性分析</w:t>
            </w:r>
            <w:r>
              <w:rPr>
                <w:rFonts w:hint="eastAsia"/>
                <w:sz w:val="28"/>
                <w:szCs w:val="28"/>
                <w:lang w:eastAsia="zh-CN"/>
              </w:rPr>
              <w:t>。</w:t>
            </w:r>
          </w:p>
        </w:tc>
        <w:tc>
          <w:tcPr>
            <w:tcW w:w="2190" w:type="dxa"/>
            <w:vAlign w:val="center"/>
          </w:tcPr>
          <w:p>
            <w:pPr>
              <w:bidi w:val="0"/>
              <w:spacing w:line="360" w:lineRule="auto"/>
              <w:jc w:val="center"/>
              <w:rPr>
                <w:rFonts w:hint="default"/>
                <w:sz w:val="28"/>
                <w:szCs w:val="28"/>
                <w:lang w:val="en-US" w:eastAsia="zh-CN"/>
              </w:rPr>
            </w:pPr>
            <w:r>
              <w:rPr>
                <w:rFonts w:hint="eastAsia"/>
                <w:sz w:val="28"/>
                <w:szCs w:val="28"/>
                <w:lang w:val="en-US" w:eastAsia="zh-CN"/>
              </w:rPr>
              <w:t>已核实且完善，具体详见P55-56，57-58，61-63，附件6</w:t>
            </w:r>
          </w:p>
        </w:tc>
      </w:tr>
    </w:tbl>
    <w:p>
      <w:pPr>
        <w:pStyle w:val="53"/>
        <w:rPr>
          <w:rFonts w:hint="default"/>
          <w:lang w:val="en-US" w:eastAsia="zh-CN"/>
        </w:rPr>
      </w:pPr>
    </w:p>
    <w:p>
      <w:pPr>
        <w:spacing w:before="240" w:beforeLines="100" w:after="240" w:afterLines="100" w:line="360" w:lineRule="auto"/>
        <w:jc w:val="center"/>
        <w:rPr>
          <w:b/>
          <w:bCs/>
          <w:color w:val="auto"/>
          <w:sz w:val="36"/>
          <w:szCs w:val="24"/>
          <w:u w:val="none" w:color="auto"/>
        </w:rPr>
      </w:pPr>
      <w:r>
        <w:rPr>
          <w:b/>
          <w:bCs/>
          <w:color w:val="auto"/>
          <w:sz w:val="36"/>
          <w:szCs w:val="24"/>
          <w:u w:val="none" w:color="auto"/>
        </w:rPr>
        <w:t>《建设项目环境影响报告表》编制说明</w:t>
      </w:r>
    </w:p>
    <w:p>
      <w:pPr>
        <w:spacing w:line="360" w:lineRule="auto"/>
        <w:ind w:right="-29" w:rightChars="-14" w:firstLine="560" w:firstLineChars="200"/>
        <w:rPr>
          <w:color w:val="auto"/>
          <w:sz w:val="28"/>
          <w:szCs w:val="28"/>
          <w:u w:val="none" w:color="auto"/>
        </w:rPr>
      </w:pPr>
      <w:r>
        <w:rPr>
          <w:color w:val="auto"/>
          <w:sz w:val="28"/>
          <w:szCs w:val="28"/>
          <w:u w:val="none" w:color="auto"/>
        </w:rPr>
        <w:t>《建设项目环境影响报告表》由具有从事环境影响评价工作资质的单位编制。</w:t>
      </w:r>
    </w:p>
    <w:p>
      <w:pPr>
        <w:spacing w:line="360" w:lineRule="auto"/>
        <w:ind w:right="-29" w:rightChars="-14" w:firstLine="560" w:firstLineChars="200"/>
        <w:rPr>
          <w:color w:val="auto"/>
          <w:sz w:val="28"/>
          <w:szCs w:val="28"/>
          <w:u w:val="none" w:color="auto"/>
        </w:rPr>
      </w:pPr>
      <w:r>
        <w:rPr>
          <w:color w:val="auto"/>
          <w:sz w:val="28"/>
          <w:szCs w:val="28"/>
          <w:u w:val="none" w:color="auto"/>
        </w:rPr>
        <w:t>1.项目名称——指项目立项批复时的名称，应不超过30个字（两个英文字段作一个汉字）。</w:t>
      </w:r>
    </w:p>
    <w:p>
      <w:pPr>
        <w:spacing w:line="360" w:lineRule="auto"/>
        <w:ind w:right="-29" w:rightChars="-14" w:firstLine="560" w:firstLineChars="200"/>
        <w:rPr>
          <w:color w:val="auto"/>
          <w:sz w:val="28"/>
          <w:szCs w:val="28"/>
          <w:u w:val="none" w:color="auto"/>
        </w:rPr>
      </w:pPr>
      <w:r>
        <w:rPr>
          <w:color w:val="auto"/>
          <w:sz w:val="28"/>
          <w:szCs w:val="28"/>
          <w:u w:val="none" w:color="auto"/>
        </w:rPr>
        <w:t>2.建设地点——指项目所在地详细地址，公路、铁路应填写起止地点。</w:t>
      </w:r>
    </w:p>
    <w:p>
      <w:pPr>
        <w:tabs>
          <w:tab w:val="center" w:pos="4167"/>
        </w:tabs>
        <w:spacing w:line="360" w:lineRule="auto"/>
        <w:ind w:right="-29" w:rightChars="-14" w:firstLine="560" w:firstLineChars="200"/>
        <w:rPr>
          <w:color w:val="auto"/>
          <w:sz w:val="28"/>
          <w:szCs w:val="28"/>
          <w:u w:val="none" w:color="auto"/>
        </w:rPr>
      </w:pPr>
      <w:r>
        <w:rPr>
          <w:color w:val="auto"/>
          <w:sz w:val="28"/>
          <w:szCs w:val="28"/>
          <w:u w:val="none" w:color="auto"/>
        </w:rPr>
        <w:t>3.行业类别——按国标填写。</w:t>
      </w:r>
      <w:r>
        <w:rPr>
          <w:rFonts w:hint="eastAsia"/>
          <w:color w:val="auto"/>
          <w:sz w:val="28"/>
          <w:szCs w:val="28"/>
          <w:u w:val="none" w:color="auto"/>
        </w:rPr>
        <w:tab/>
      </w:r>
    </w:p>
    <w:p>
      <w:pPr>
        <w:spacing w:line="360" w:lineRule="auto"/>
        <w:ind w:right="-29" w:rightChars="-14" w:firstLine="560" w:firstLineChars="200"/>
        <w:rPr>
          <w:color w:val="auto"/>
          <w:sz w:val="28"/>
          <w:szCs w:val="28"/>
          <w:u w:val="none" w:color="auto"/>
        </w:rPr>
      </w:pPr>
      <w:r>
        <w:rPr>
          <w:color w:val="auto"/>
          <w:sz w:val="28"/>
          <w:szCs w:val="28"/>
          <w:u w:val="none" w:color="auto"/>
        </w:rPr>
        <w:t>4.总投资——指项目投资总额。</w:t>
      </w:r>
    </w:p>
    <w:p>
      <w:pPr>
        <w:spacing w:line="360" w:lineRule="auto"/>
        <w:ind w:right="-29" w:rightChars="-14" w:firstLine="560" w:firstLineChars="200"/>
        <w:rPr>
          <w:color w:val="auto"/>
          <w:sz w:val="28"/>
          <w:szCs w:val="28"/>
          <w:u w:val="none" w:color="auto"/>
        </w:rPr>
      </w:pPr>
      <w:r>
        <w:rPr>
          <w:color w:val="auto"/>
          <w:sz w:val="28"/>
          <w:szCs w:val="28"/>
          <w:u w:val="none" w:color="auto"/>
        </w:rPr>
        <w:t>5.主要环境保护目标——指项目区周围一定范围内集中居民住宅区、学校、医院、保护文物、风景名胜区、水源地和生态敏感点等，应尽可能给出保护目标、性质、规模和距厂界距离等。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color w:val="auto"/>
          <w:sz w:val="28"/>
          <w:szCs w:val="28"/>
          <w:u w:val="none" w:color="auto"/>
        </w:rPr>
      </w:pPr>
      <w:r>
        <w:rPr>
          <w:color w:val="auto"/>
          <w:sz w:val="28"/>
          <w:szCs w:val="28"/>
          <w:u w:val="none" w:color="auto"/>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color w:val="auto"/>
          <w:sz w:val="28"/>
          <w:szCs w:val="28"/>
          <w:u w:val="none" w:color="auto"/>
        </w:rPr>
      </w:pPr>
      <w:r>
        <w:rPr>
          <w:color w:val="auto"/>
          <w:sz w:val="28"/>
          <w:szCs w:val="28"/>
          <w:u w:val="none" w:color="auto"/>
        </w:rPr>
        <w:t>7.预审意见——由行业主管部门填写答复意见，无主管部门项目，可不填。</w:t>
      </w:r>
    </w:p>
    <w:p>
      <w:pPr>
        <w:spacing w:line="360" w:lineRule="auto"/>
        <w:ind w:right="-29" w:rightChars="-14" w:firstLine="560" w:firstLineChars="200"/>
        <w:rPr>
          <w:color w:val="auto"/>
          <w:sz w:val="28"/>
          <w:szCs w:val="28"/>
          <w:u w:val="none" w:color="auto"/>
        </w:rPr>
      </w:pPr>
      <w:r>
        <w:rPr>
          <w:color w:val="auto"/>
          <w:sz w:val="28"/>
          <w:szCs w:val="28"/>
          <w:u w:val="none" w:color="auto"/>
        </w:rPr>
        <w:t>8.审批意见——由负责审批该项目的环境保护行政主管部门批复。</w:t>
      </w:r>
    </w:p>
    <w:p>
      <w:pPr>
        <w:spacing w:line="360" w:lineRule="auto"/>
        <w:ind w:right="-29" w:rightChars="-14" w:firstLine="560" w:firstLineChars="200"/>
        <w:rPr>
          <w:color w:val="auto"/>
          <w:sz w:val="28"/>
          <w:szCs w:val="28"/>
          <w:u w:val="none" w:color="auto"/>
        </w:rPr>
      </w:pPr>
    </w:p>
    <w:p>
      <w:pPr>
        <w:spacing w:line="400" w:lineRule="exact"/>
        <w:rPr>
          <w:rFonts w:ascii="宋体" w:hAnsi="宋体"/>
          <w:b/>
          <w:color w:val="auto"/>
          <w:sz w:val="36"/>
          <w:szCs w:val="36"/>
          <w:u w:val="none" w:color="auto"/>
        </w:rPr>
        <w:sectPr>
          <w:footerReference r:id="rId3" w:type="default"/>
          <w:pgSz w:w="11907" w:h="16840"/>
          <w:pgMar w:top="1984" w:right="1984" w:bottom="1984" w:left="1588" w:header="454" w:footer="964" w:gutter="0"/>
          <w:pgBorders>
            <w:top w:val="none" w:sz="0" w:space="0"/>
            <w:left w:val="none" w:sz="0" w:space="0"/>
            <w:bottom w:val="none" w:sz="0" w:space="0"/>
            <w:right w:val="none" w:sz="0" w:space="0"/>
          </w:pgBorders>
          <w:pgNumType w:start="1"/>
          <w:cols w:space="720" w:num="1"/>
          <w:titlePg/>
          <w:docGrid w:linePitch="380" w:charSpace="0"/>
        </w:sectPr>
      </w:pPr>
    </w:p>
    <w:p>
      <w:pPr>
        <w:spacing w:line="400" w:lineRule="exact"/>
        <w:jc w:val="center"/>
        <w:rPr>
          <w:rFonts w:hint="default" w:ascii="Times New Roman" w:hAnsi="Times New Roman" w:eastAsia="宋体" w:cs="Times New Roman"/>
          <w:b/>
          <w:color w:val="auto"/>
          <w:sz w:val="40"/>
          <w:szCs w:val="40"/>
          <w:u w:val="none" w:color="auto"/>
        </w:rPr>
      </w:pPr>
      <w:r>
        <w:rPr>
          <w:rFonts w:hint="default" w:ascii="Times New Roman" w:hAnsi="Times New Roman" w:eastAsia="宋体" w:cs="Times New Roman"/>
          <w:b/>
          <w:color w:val="auto"/>
          <w:sz w:val="40"/>
          <w:szCs w:val="40"/>
          <w:u w:val="none" w:color="auto"/>
        </w:rPr>
        <w:t>目   录</w:t>
      </w:r>
    </w:p>
    <w:p>
      <w:pPr>
        <w:spacing w:line="400" w:lineRule="exact"/>
        <w:jc w:val="center"/>
        <w:rPr>
          <w:rFonts w:hint="default" w:ascii="Times New Roman" w:hAnsi="Times New Roman" w:eastAsia="宋体" w:cs="Times New Roman"/>
          <w:b/>
          <w:color w:val="auto"/>
          <w:sz w:val="36"/>
          <w:szCs w:val="36"/>
          <w:u w:val="none" w:color="auto"/>
        </w:rPr>
      </w:pPr>
    </w:p>
    <w:p>
      <w:pPr>
        <w:pStyle w:val="28"/>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TOC \o "1-1" \h \u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_Toc11589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一、建设项目基本情况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_Toc11589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1</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_Toc20228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二、建设项目所在地自然环境社会环境简况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_Toc20228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13</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_Toc28028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三、环境质量状况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_Toc28028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18</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_Toc28966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四、</w:t>
      </w:r>
      <w:r>
        <w:rPr>
          <w:rFonts w:hint="default" w:ascii="Times New Roman" w:hAnsi="Times New Roman" w:eastAsia="宋体" w:cs="Times New Roman"/>
          <w:color w:val="auto"/>
          <w:u w:val="none" w:color="auto"/>
        </w:rPr>
        <w:t>评价适用标准</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_Toc28966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25</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_Toc19044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五、建设项目工程分析</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_Toc19044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28</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_Toc19880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六、项目主要污染物产生及预计排放情况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_Toc19880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35</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_Toc9170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七、环境影响分析</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_Toc9170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37</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_Toc6822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八、建设项目拟采取的防治措施及</w:t>
      </w:r>
      <w:r>
        <w:rPr>
          <w:rFonts w:hint="default" w:ascii="Times New Roman" w:hAnsi="Times New Roman" w:eastAsia="宋体" w:cs="Times New Roman"/>
          <w:color w:val="auto"/>
          <w:u w:val="none" w:color="auto"/>
        </w:rPr>
        <w:t>预期治理效果</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_Toc6822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64</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600" w:lineRule="auto"/>
        <w:rPr>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_Toc16035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九、结论与建议</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_Toc16035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66</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eastAsia="宋体" w:cs="Times New Roman"/>
          <w:color w:val="auto"/>
          <w:szCs w:val="24"/>
          <w:u w:val="none" w:color="auto"/>
        </w:rPr>
        <w:fldChar w:fldCharType="end"/>
      </w:r>
    </w:p>
    <w:p>
      <w:pPr>
        <w:adjustRightInd w:val="0"/>
        <w:snapToGrid w:val="0"/>
        <w:spacing w:line="360" w:lineRule="auto"/>
        <w:rPr>
          <w:color w:val="auto"/>
          <w:sz w:val="24"/>
          <w:szCs w:val="24"/>
          <w:u w:val="none" w:color="auto"/>
        </w:rPr>
        <w:sectPr>
          <w:footerReference r:id="rId5" w:type="first"/>
          <w:footerReference r:id="rId4" w:type="default"/>
          <w:pgSz w:w="11907" w:h="16840"/>
          <w:pgMar w:top="1418" w:right="1418" w:bottom="1418" w:left="1588" w:header="454" w:footer="964" w:gutter="0"/>
          <w:pgBorders>
            <w:top w:val="none" w:sz="0" w:space="0"/>
            <w:left w:val="none" w:sz="0" w:space="0"/>
            <w:bottom w:val="none" w:sz="0" w:space="0"/>
            <w:right w:val="none" w:sz="0" w:space="0"/>
          </w:pgBorders>
          <w:pgNumType w:start="1"/>
          <w:cols w:space="720" w:num="1"/>
          <w:docGrid w:linePitch="380" w:charSpace="0"/>
        </w:sectPr>
      </w:pPr>
    </w:p>
    <w:p>
      <w:pPr>
        <w:pStyle w:val="5"/>
        <w:spacing w:before="120" w:line="240" w:lineRule="auto"/>
        <w:rPr>
          <w:color w:val="auto"/>
          <w:u w:val="none" w:color="auto"/>
        </w:rPr>
      </w:pPr>
      <w:bookmarkStart w:id="2" w:name="_Toc11589"/>
      <w:r>
        <w:rPr>
          <w:rFonts w:hint="eastAsia"/>
          <w:color w:val="auto"/>
          <w:u w:val="none" w:color="auto"/>
        </w:rPr>
        <w:t>一、</w:t>
      </w:r>
      <w:r>
        <w:rPr>
          <w:color w:val="auto"/>
          <w:u w:val="none" w:color="auto"/>
        </w:rPr>
        <w:t>建设项目基本情况</w:t>
      </w:r>
      <w:bookmarkEnd w:id="2"/>
    </w:p>
    <w:tbl>
      <w:tblPr>
        <w:tblStyle w:val="40"/>
        <w:tblW w:w="92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
      <w:tblGrid>
        <w:gridCol w:w="1924"/>
        <w:gridCol w:w="1689"/>
        <w:gridCol w:w="1356"/>
        <w:gridCol w:w="1824"/>
        <w:gridCol w:w="1245"/>
        <w:gridCol w:w="148"/>
        <w:gridCol w:w="10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38"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项目名称</w:t>
            </w:r>
          </w:p>
        </w:tc>
        <w:tc>
          <w:tcPr>
            <w:tcW w:w="7354" w:type="dxa"/>
            <w:gridSpan w:val="6"/>
            <w:vAlign w:val="center"/>
          </w:tcPr>
          <w:p>
            <w:pPr>
              <w:adjustRightInd w:val="0"/>
              <w:snapToGrid w:val="0"/>
              <w:spacing w:line="360" w:lineRule="auto"/>
              <w:jc w:val="center"/>
              <w:rPr>
                <w:rFonts w:hint="default" w:ascii="Times New Roman" w:hAnsi="Times New Roman" w:eastAsia="宋体" w:cs="Times New Roman"/>
                <w:color w:val="auto"/>
                <w:sz w:val="24"/>
                <w:szCs w:val="24"/>
                <w:highlight w:val="yellow"/>
                <w:u w:val="none" w:color="auto"/>
                <w:lang w:eastAsia="zh-CN"/>
              </w:rPr>
            </w:pPr>
            <w:r>
              <w:rPr>
                <w:rFonts w:hint="eastAsia" w:cs="Times New Roman"/>
                <w:color w:val="auto"/>
                <w:sz w:val="24"/>
                <w:szCs w:val="24"/>
                <w:u w:val="none" w:color="auto"/>
                <w:lang w:eastAsia="zh-CN"/>
              </w:rPr>
              <w:t>年产20万片石棉瓦建设项目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52"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建设单位</w:t>
            </w:r>
          </w:p>
        </w:tc>
        <w:tc>
          <w:tcPr>
            <w:tcW w:w="7354" w:type="dxa"/>
            <w:gridSpan w:val="6"/>
            <w:vAlign w:val="center"/>
          </w:tcPr>
          <w:p>
            <w:pPr>
              <w:adjustRightInd w:val="0"/>
              <w:snapToGrid w:val="0"/>
              <w:spacing w:line="360" w:lineRule="auto"/>
              <w:jc w:val="center"/>
              <w:rPr>
                <w:rFonts w:hint="default" w:ascii="Times New Roman" w:hAnsi="Times New Roman" w:eastAsia="宋体" w:cs="Times New Roman"/>
                <w:color w:val="auto"/>
                <w:sz w:val="24"/>
                <w:highlight w:val="yellow"/>
                <w:u w:val="none" w:color="auto"/>
                <w:lang w:eastAsia="zh-CN"/>
              </w:rPr>
            </w:pPr>
            <w:r>
              <w:rPr>
                <w:rFonts w:hint="eastAsia" w:cs="Times New Roman"/>
                <w:color w:val="auto"/>
                <w:sz w:val="24"/>
                <w:u w:val="none" w:color="auto"/>
                <w:lang w:eastAsia="zh-CN"/>
              </w:rPr>
              <w:t>湘阴县株欣机制石棉瓦厂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724"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法人代表</w:t>
            </w:r>
          </w:p>
        </w:tc>
        <w:tc>
          <w:tcPr>
            <w:tcW w:w="3045" w:type="dxa"/>
            <w:gridSpan w:val="2"/>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徐仁辉</w:t>
            </w:r>
          </w:p>
        </w:tc>
        <w:tc>
          <w:tcPr>
            <w:tcW w:w="18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联 系 人</w:t>
            </w:r>
          </w:p>
        </w:tc>
        <w:tc>
          <w:tcPr>
            <w:tcW w:w="2485" w:type="dxa"/>
            <w:gridSpan w:val="3"/>
            <w:vAlign w:val="center"/>
          </w:tcPr>
          <w:p>
            <w:pPr>
              <w:snapToGrid w:val="0"/>
              <w:spacing w:line="360" w:lineRule="auto"/>
              <w:jc w:val="center"/>
              <w:rPr>
                <w:rFonts w:hint="default" w:ascii="Times New Roman" w:hAnsi="Times New Roman" w:eastAsia="宋体" w:cs="Times New Roman"/>
                <w:color w:val="auto"/>
                <w:kern w:val="24"/>
                <w:sz w:val="24"/>
                <w:highlight w:val="yellow"/>
                <w:u w:val="none" w:color="auto"/>
                <w:lang w:eastAsia="zh-CN"/>
              </w:rPr>
            </w:pPr>
            <w:r>
              <w:rPr>
                <w:rFonts w:hint="eastAsia" w:cs="Times New Roman"/>
                <w:color w:val="auto"/>
                <w:kern w:val="24"/>
                <w:sz w:val="24"/>
                <w:u w:val="none" w:color="auto"/>
                <w:lang w:val="en-US" w:eastAsia="zh-CN"/>
              </w:rPr>
              <w:t>徐仁辉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701"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通讯地址</w:t>
            </w:r>
          </w:p>
        </w:tc>
        <w:tc>
          <w:tcPr>
            <w:tcW w:w="7354" w:type="dxa"/>
            <w:gridSpan w:val="6"/>
            <w:vAlign w:val="center"/>
          </w:tcPr>
          <w:p>
            <w:pPr>
              <w:snapToGrid w:val="0"/>
              <w:spacing w:line="360" w:lineRule="auto"/>
              <w:jc w:val="center"/>
              <w:rPr>
                <w:rFonts w:hint="default" w:ascii="Times New Roman" w:hAnsi="Times New Roman" w:eastAsia="宋体" w:cs="Times New Roman"/>
                <w:color w:val="auto"/>
                <w:kern w:val="24"/>
                <w:sz w:val="24"/>
                <w:szCs w:val="24"/>
                <w:u w:val="none" w:color="auto"/>
                <w:lang w:eastAsia="zh-CN"/>
              </w:rPr>
            </w:pPr>
            <w:r>
              <w:rPr>
                <w:rFonts w:hint="eastAsia" w:cs="Times New Roman"/>
                <w:color w:val="auto"/>
                <w:sz w:val="24"/>
                <w:szCs w:val="22"/>
                <w:u w:val="none" w:color="auto"/>
                <w:lang w:eastAsia="zh-CN"/>
              </w:rPr>
              <w:t>湖南省岳阳市湘阴县白泥湖园艺场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597"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联系电话</w:t>
            </w:r>
          </w:p>
        </w:tc>
        <w:tc>
          <w:tcPr>
            <w:tcW w:w="1689" w:type="dxa"/>
            <w:vAlign w:val="center"/>
          </w:tcPr>
          <w:p>
            <w:pPr>
              <w:snapToGrid w:val="0"/>
              <w:spacing w:line="360" w:lineRule="auto"/>
              <w:jc w:val="center"/>
              <w:rPr>
                <w:rFonts w:hint="default" w:ascii="Times New Roman" w:hAnsi="Times New Roman" w:eastAsia="宋体" w:cs="Times New Roman"/>
                <w:color w:val="auto"/>
                <w:kern w:val="0"/>
                <w:sz w:val="24"/>
                <w:u w:val="none" w:color="auto"/>
                <w:lang w:val="en-US" w:eastAsia="zh-CN"/>
              </w:rPr>
            </w:pPr>
            <w:r>
              <w:rPr>
                <w:rFonts w:hint="eastAsia"/>
                <w:color w:val="auto"/>
                <w:sz w:val="24"/>
                <w:lang w:val="en-US" w:eastAsia="zh-CN"/>
              </w:rPr>
              <w:t>13874057418</w:t>
            </w:r>
          </w:p>
        </w:tc>
        <w:tc>
          <w:tcPr>
            <w:tcW w:w="1356"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传真</w:t>
            </w:r>
          </w:p>
        </w:tc>
        <w:tc>
          <w:tcPr>
            <w:tcW w:w="18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kern w:val="24"/>
                <w:sz w:val="24"/>
                <w:u w:val="none" w:color="auto"/>
              </w:rPr>
              <w:t>/</w:t>
            </w:r>
          </w:p>
        </w:tc>
        <w:tc>
          <w:tcPr>
            <w:tcW w:w="1245"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邮政编码</w:t>
            </w:r>
          </w:p>
        </w:tc>
        <w:tc>
          <w:tcPr>
            <w:tcW w:w="1240" w:type="dxa"/>
            <w:gridSpan w:val="2"/>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414600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86"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建设地点</w:t>
            </w:r>
          </w:p>
        </w:tc>
        <w:tc>
          <w:tcPr>
            <w:tcW w:w="7354" w:type="dxa"/>
            <w:gridSpan w:val="6"/>
            <w:vAlign w:val="center"/>
          </w:tcPr>
          <w:p>
            <w:pPr>
              <w:snapToGrid w:val="0"/>
              <w:spacing w:line="360" w:lineRule="auto"/>
              <w:ind w:left="-105" w:leftChars="-50" w:right="-105" w:rightChars="-50"/>
              <w:jc w:val="center"/>
              <w:rPr>
                <w:rFonts w:hint="default" w:ascii="Times New Roman" w:hAnsi="Times New Roman" w:eastAsia="宋体" w:cs="Times New Roman"/>
                <w:color w:val="auto"/>
                <w:sz w:val="24"/>
                <w:szCs w:val="24"/>
                <w:highlight w:val="yellow"/>
                <w:u w:val="none" w:color="auto"/>
                <w:lang w:eastAsia="zh-CN"/>
              </w:rPr>
            </w:pPr>
            <w:r>
              <w:rPr>
                <w:rFonts w:hint="eastAsia" w:cs="Times New Roman"/>
                <w:color w:val="auto"/>
                <w:sz w:val="24"/>
                <w:szCs w:val="22"/>
                <w:u w:val="none" w:color="auto"/>
                <w:lang w:eastAsia="zh-CN"/>
              </w:rPr>
              <w:t>湖南省岳阳市湘阴县白泥湖园艺场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56" w:hRule="atLeast"/>
          <w:jc w:val="center"/>
        </w:trPr>
        <w:tc>
          <w:tcPr>
            <w:tcW w:w="19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立项审批部门</w:t>
            </w:r>
          </w:p>
        </w:tc>
        <w:tc>
          <w:tcPr>
            <w:tcW w:w="3045" w:type="dxa"/>
            <w:gridSpan w:val="2"/>
            <w:vAlign w:val="center"/>
          </w:tcPr>
          <w:p>
            <w:pPr>
              <w:snapToGrid w:val="0"/>
              <w:spacing w:line="360" w:lineRule="auto"/>
              <w:jc w:val="center"/>
              <w:rPr>
                <w:rFonts w:hint="eastAsia" w:ascii="Times New Roman" w:hAnsi="Times New Roman" w:eastAsia="宋体" w:cs="Times New Roman"/>
                <w:color w:val="auto"/>
                <w:spacing w:val="-6"/>
                <w:sz w:val="24"/>
                <w:u w:val="none" w:color="auto"/>
                <w:lang w:eastAsia="zh-CN"/>
              </w:rPr>
            </w:pPr>
            <w:r>
              <w:rPr>
                <w:rFonts w:hint="eastAsia" w:cs="Times New Roman"/>
                <w:color w:val="auto"/>
                <w:spacing w:val="-6"/>
                <w:sz w:val="24"/>
                <w:u w:val="none" w:color="auto"/>
                <w:lang w:val="en-US" w:eastAsia="zh-CN"/>
              </w:rPr>
              <w:t>/</w:t>
            </w:r>
          </w:p>
        </w:tc>
        <w:tc>
          <w:tcPr>
            <w:tcW w:w="18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批准文号</w:t>
            </w:r>
          </w:p>
        </w:tc>
        <w:tc>
          <w:tcPr>
            <w:tcW w:w="2485" w:type="dxa"/>
            <w:gridSpan w:val="3"/>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建设性质</w:t>
            </w:r>
          </w:p>
        </w:tc>
        <w:tc>
          <w:tcPr>
            <w:tcW w:w="3045" w:type="dxa"/>
            <w:gridSpan w:val="2"/>
            <w:vAlign w:val="center"/>
          </w:tcPr>
          <w:p>
            <w:pPr>
              <w:snapToGrid w:val="0"/>
              <w:spacing w:line="360" w:lineRule="auto"/>
              <w:jc w:val="center"/>
              <w:rPr>
                <w:rFonts w:hint="eastAsia" w:ascii="Times New Roman" w:hAnsi="Times New Roman" w:eastAsia="宋体" w:cs="Times New Roman"/>
                <w:color w:val="auto"/>
                <w:spacing w:val="-6"/>
                <w:kern w:val="24"/>
                <w:sz w:val="24"/>
                <w:u w:val="none" w:color="auto"/>
                <w:lang w:eastAsia="zh-CN"/>
              </w:rPr>
            </w:pPr>
            <w:r>
              <w:rPr>
                <w:rFonts w:hint="eastAsia" w:cs="Times New Roman"/>
                <w:color w:val="auto"/>
                <w:sz w:val="24"/>
                <w:u w:val="none" w:color="auto"/>
                <w:lang w:val="en-US" w:eastAsia="zh-CN"/>
              </w:rPr>
              <w:t>新</w:t>
            </w:r>
            <w:r>
              <w:rPr>
                <w:rFonts w:hint="eastAsia" w:cs="Times New Roman"/>
                <w:color w:val="auto"/>
                <w:sz w:val="24"/>
                <w:u w:val="none" w:color="auto"/>
                <w:lang w:eastAsia="zh-CN"/>
              </w:rPr>
              <w:t>建（</w:t>
            </w:r>
            <w:r>
              <w:rPr>
                <w:rFonts w:hint="eastAsia" w:cs="Times New Roman"/>
                <w:color w:val="auto"/>
                <w:sz w:val="24"/>
                <w:u w:val="none" w:color="auto"/>
                <w:lang w:val="en-US" w:eastAsia="zh-CN"/>
              </w:rPr>
              <w:t>补办</w:t>
            </w:r>
            <w:r>
              <w:rPr>
                <w:rFonts w:hint="eastAsia" w:cs="Times New Roman"/>
                <w:color w:val="auto"/>
                <w:sz w:val="24"/>
                <w:u w:val="none" w:color="auto"/>
                <w:lang w:eastAsia="zh-CN"/>
              </w:rPr>
              <w:t>）</w:t>
            </w:r>
          </w:p>
        </w:tc>
        <w:tc>
          <w:tcPr>
            <w:tcW w:w="18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行业类别</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及代号</w:t>
            </w:r>
          </w:p>
        </w:tc>
        <w:tc>
          <w:tcPr>
            <w:tcW w:w="2485" w:type="dxa"/>
            <w:gridSpan w:val="3"/>
            <w:vAlign w:val="center"/>
          </w:tcPr>
          <w:p>
            <w:pPr>
              <w:spacing w:line="360" w:lineRule="auto"/>
              <w:jc w:val="center"/>
              <w:rPr>
                <w:rFonts w:hint="default" w:ascii="Times New Roman" w:hAnsi="Times New Roman" w:eastAsia="宋体" w:cs="Times New Roman"/>
                <w:color w:val="auto"/>
                <w:spacing w:val="6"/>
                <w:sz w:val="24"/>
                <w:szCs w:val="24"/>
                <w:u w:val="none" w:color="auto"/>
                <w:lang w:val="en-US" w:eastAsia="zh-CN"/>
              </w:rPr>
            </w:pPr>
            <w:r>
              <w:rPr>
                <w:rFonts w:hint="eastAsia"/>
                <w:color w:val="auto"/>
                <w:sz w:val="24"/>
              </w:rPr>
              <w:t>C3023 石棉水泥制品制造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占地面积</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(平方米)</w:t>
            </w:r>
          </w:p>
        </w:tc>
        <w:tc>
          <w:tcPr>
            <w:tcW w:w="3045" w:type="dxa"/>
            <w:gridSpan w:val="2"/>
            <w:vAlign w:val="center"/>
          </w:tcPr>
          <w:p>
            <w:pPr>
              <w:snapToGrid w:val="0"/>
              <w:spacing w:line="360" w:lineRule="auto"/>
              <w:jc w:val="center"/>
              <w:rPr>
                <w:rFonts w:hint="default" w:ascii="Times New Roman" w:hAnsi="Times New Roman" w:eastAsia="宋体" w:cs="Times New Roman"/>
                <w:color w:val="auto"/>
                <w:spacing w:val="-6"/>
                <w:sz w:val="24"/>
                <w:u w:val="none" w:color="auto"/>
                <w:lang w:val="en-US" w:eastAsia="zh-CN"/>
              </w:rPr>
            </w:pPr>
            <w:r>
              <w:rPr>
                <w:rFonts w:hint="eastAsia" w:cs="Times New Roman"/>
                <w:color w:val="auto"/>
                <w:spacing w:val="-6"/>
                <w:sz w:val="24"/>
                <w:u w:val="none" w:color="auto"/>
                <w:lang w:val="en-US" w:eastAsia="zh-CN"/>
              </w:rPr>
              <w:t>26640</w:t>
            </w:r>
          </w:p>
        </w:tc>
        <w:tc>
          <w:tcPr>
            <w:tcW w:w="18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绿化面积</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（平方米）</w:t>
            </w:r>
          </w:p>
        </w:tc>
        <w:tc>
          <w:tcPr>
            <w:tcW w:w="2485" w:type="dxa"/>
            <w:gridSpan w:val="3"/>
            <w:vAlign w:val="center"/>
          </w:tcPr>
          <w:p>
            <w:pPr>
              <w:snapToGrid w:val="0"/>
              <w:spacing w:line="360" w:lineRule="auto"/>
              <w:ind w:left="-105" w:leftChars="-50" w:right="-105" w:rightChars="-50"/>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总投资</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(万元)</w:t>
            </w:r>
          </w:p>
        </w:tc>
        <w:tc>
          <w:tcPr>
            <w:tcW w:w="1689" w:type="dxa"/>
            <w:vAlign w:val="center"/>
          </w:tcPr>
          <w:p>
            <w:pPr>
              <w:snapToGrid w:val="0"/>
              <w:spacing w:line="360" w:lineRule="auto"/>
              <w:jc w:val="center"/>
              <w:rPr>
                <w:rFonts w:hint="default" w:ascii="Times New Roman" w:hAnsi="Times New Roman" w:eastAsia="宋体" w:cs="Times New Roman"/>
                <w:color w:val="auto"/>
                <w:kern w:val="24"/>
                <w:sz w:val="24"/>
                <w:highlight w:val="yellow"/>
                <w:u w:val="none" w:color="auto"/>
                <w:lang w:val="en-US" w:eastAsia="zh-CN"/>
              </w:rPr>
            </w:pPr>
            <w:r>
              <w:rPr>
                <w:rFonts w:hint="eastAsia" w:cs="Times New Roman"/>
                <w:color w:val="auto"/>
                <w:kern w:val="24"/>
                <w:sz w:val="24"/>
                <w:highlight w:val="none"/>
                <w:u w:val="none" w:color="auto"/>
                <w:lang w:val="en-US" w:eastAsia="zh-CN"/>
              </w:rPr>
              <w:t>200</w:t>
            </w:r>
          </w:p>
        </w:tc>
        <w:tc>
          <w:tcPr>
            <w:tcW w:w="1356"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其中:环保投资(万元)</w:t>
            </w:r>
          </w:p>
        </w:tc>
        <w:tc>
          <w:tcPr>
            <w:tcW w:w="1824" w:type="dxa"/>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25</w:t>
            </w:r>
          </w:p>
        </w:tc>
        <w:tc>
          <w:tcPr>
            <w:tcW w:w="1393" w:type="dxa"/>
            <w:gridSpan w:val="2"/>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环保投资占总投资比例</w:t>
            </w:r>
          </w:p>
        </w:tc>
        <w:tc>
          <w:tcPr>
            <w:tcW w:w="1092"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eastAsia" w:cs="Times New Roman"/>
                <w:color w:val="auto"/>
                <w:kern w:val="24"/>
                <w:sz w:val="24"/>
                <w:u w:val="none" w:color="auto"/>
                <w:lang w:val="en-US" w:eastAsia="zh-CN"/>
              </w:rPr>
              <w:t>12.5</w:t>
            </w:r>
            <w:r>
              <w:rPr>
                <w:rFonts w:hint="default" w:ascii="Times New Roman" w:hAnsi="Times New Roman" w:cs="Times New Roman"/>
                <w:color w:val="auto"/>
                <w:kern w:val="24"/>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评价经费</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(万元)</w:t>
            </w:r>
          </w:p>
        </w:tc>
        <w:tc>
          <w:tcPr>
            <w:tcW w:w="1689"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kern w:val="24"/>
                <w:sz w:val="24"/>
                <w:u w:val="none" w:color="auto"/>
              </w:rPr>
              <w:t>/</w:t>
            </w:r>
          </w:p>
        </w:tc>
        <w:tc>
          <w:tcPr>
            <w:tcW w:w="1356"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投产日期</w:t>
            </w:r>
          </w:p>
        </w:tc>
        <w:tc>
          <w:tcPr>
            <w:tcW w:w="4309" w:type="dxa"/>
            <w:gridSpan w:val="4"/>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2016年11月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9278" w:type="dxa"/>
            <w:gridSpan w:val="7"/>
            <w:vAlign w:val="center"/>
          </w:tcPr>
          <w:p>
            <w:pPr>
              <w:snapToGrid w:val="0"/>
              <w:spacing w:line="360" w:lineRule="auto"/>
              <w:rPr>
                <w:rFonts w:hint="default" w:ascii="Times New Roman" w:hAnsi="Times New Roman" w:cs="Times New Roman"/>
                <w:b/>
                <w:color w:val="auto"/>
                <w:sz w:val="30"/>
                <w:szCs w:val="30"/>
                <w:u w:val="none" w:color="auto"/>
              </w:rPr>
            </w:pPr>
            <w:r>
              <w:rPr>
                <w:rFonts w:hint="default" w:ascii="Times New Roman" w:hAnsi="Times New Roman" w:cs="Times New Roman"/>
                <w:b/>
                <w:color w:val="auto"/>
                <w:sz w:val="30"/>
                <w:szCs w:val="30"/>
                <w:u w:val="none" w:color="auto"/>
              </w:rPr>
              <w:t>工程内容及规模：</w:t>
            </w:r>
          </w:p>
          <w:p>
            <w:pPr>
              <w:pStyle w:val="2"/>
              <w:spacing w:before="0" w:beforeLines="0"/>
              <w:ind w:firstLine="482"/>
              <w:rPr>
                <w:rFonts w:hint="default" w:ascii="Times New Roman" w:hAnsi="Times New Roman" w:cs="Times New Roman"/>
                <w:b/>
                <w:color w:val="auto"/>
                <w:u w:val="single" w:color="auto"/>
              </w:rPr>
            </w:pPr>
            <w:r>
              <w:rPr>
                <w:rFonts w:hint="default" w:ascii="Times New Roman" w:hAnsi="Times New Roman" w:cs="Times New Roman"/>
                <w:b/>
                <w:color w:val="auto"/>
                <w:u w:val="single" w:color="auto"/>
              </w:rPr>
              <w:t>1、项目由来</w:t>
            </w:r>
          </w:p>
          <w:p>
            <w:pPr>
              <w:snapToGrid w:val="0"/>
              <w:spacing w:line="360" w:lineRule="auto"/>
              <w:ind w:firstLine="560" w:firstLineChars="200"/>
              <w:jc w:val="both"/>
              <w:rPr>
                <w:rFonts w:hint="default" w:ascii="Times New Roman" w:hAnsi="Times New Roman" w:eastAsia="宋体" w:cs="宋体"/>
                <w:color w:val="auto"/>
                <w:kern w:val="2"/>
                <w:sz w:val="24"/>
                <w:szCs w:val="21"/>
                <w:u w:val="single" w:color="auto"/>
                <w:lang w:val="en-US" w:eastAsia="zh-CN" w:bidi="ar-SA"/>
              </w:rPr>
            </w:pPr>
            <w:r>
              <w:rPr>
                <w:rFonts w:hint="eastAsia"/>
                <w:color w:val="auto"/>
                <w:spacing w:val="20"/>
                <w:sz w:val="24"/>
                <w:u w:val="single" w:color="auto"/>
              </w:rPr>
              <w:t>石棉瓦是当代使用量很大的工程建筑材料，在城市建设领域发挥着重要的作用。随着工业强县步伐的加快，县域经济发展迅猛，人民群众的生活水平越来越高，建筑需求越来越大。</w:t>
            </w:r>
            <w:r>
              <w:rPr>
                <w:color w:val="auto"/>
                <w:kern w:val="0"/>
                <w:sz w:val="24"/>
                <w:u w:val="single" w:color="auto"/>
              </w:rPr>
              <w:t>石棉水泥瓦是利用石棉纤维与水泥为原料经制板加压而成的屋顶防水材料，从规格上共分为大波</w:t>
            </w:r>
            <w:r>
              <w:rPr>
                <w:rFonts w:hint="eastAsia"/>
                <w:color w:val="auto"/>
                <w:kern w:val="0"/>
                <w:sz w:val="24"/>
                <w:u w:val="single" w:color="auto"/>
                <w:lang w:eastAsia="zh-CN"/>
              </w:rPr>
              <w:t>，</w:t>
            </w:r>
            <w:r>
              <w:rPr>
                <w:color w:val="auto"/>
                <w:kern w:val="0"/>
                <w:sz w:val="24"/>
                <w:u w:val="single" w:color="auto"/>
              </w:rPr>
              <w:t>中波</w:t>
            </w:r>
            <w:r>
              <w:rPr>
                <w:rFonts w:hint="eastAsia"/>
                <w:color w:val="auto"/>
                <w:kern w:val="0"/>
                <w:sz w:val="24"/>
                <w:u w:val="single" w:color="auto"/>
                <w:lang w:eastAsia="zh-CN"/>
              </w:rPr>
              <w:t>，</w:t>
            </w:r>
            <w:r>
              <w:rPr>
                <w:color w:val="auto"/>
                <w:kern w:val="0"/>
                <w:sz w:val="24"/>
                <w:u w:val="single" w:color="auto"/>
              </w:rPr>
              <w:t>小波三种</w:t>
            </w:r>
            <w:r>
              <w:rPr>
                <w:rFonts w:hint="eastAsia"/>
                <w:color w:val="auto"/>
                <w:kern w:val="0"/>
                <w:sz w:val="24"/>
                <w:u w:val="single" w:color="auto"/>
                <w:lang w:eastAsia="zh-CN"/>
              </w:rPr>
              <w:t>，</w:t>
            </w:r>
            <w:r>
              <w:rPr>
                <w:color w:val="auto"/>
                <w:kern w:val="0"/>
                <w:sz w:val="24"/>
                <w:u w:val="single" w:color="auto"/>
              </w:rPr>
              <w:t>此外还有分别与这三种瓦配套的覆盖屋脊用的人字形背瓦。石棉瓦的特点是单张面积大，有效利用面积大，还具有防火、防潮、防腐、耐热、耐寒、质轻等特性，而且制作生产简便，造价低，用途广</w:t>
            </w:r>
            <w:r>
              <w:rPr>
                <w:rFonts w:hint="eastAsia"/>
                <w:color w:val="auto"/>
                <w:kern w:val="0"/>
                <w:sz w:val="24"/>
                <w:u w:val="single" w:color="auto"/>
              </w:rPr>
              <w:t>多用于搭建牲畜简易养殖棚，人居暂住房，施工临时仓库等的房顶防水材料。</w:t>
            </w:r>
            <w:r>
              <w:rPr>
                <w:rFonts w:hint="eastAsia"/>
                <w:color w:val="auto"/>
                <w:spacing w:val="20"/>
                <w:sz w:val="24"/>
                <w:u w:val="single" w:color="auto"/>
              </w:rPr>
              <w:t>所以，石棉瓦的市场逐渐扩大</w:t>
            </w:r>
            <w:r>
              <w:rPr>
                <w:rFonts w:hint="eastAsia" w:hAnsi="宋体"/>
                <w:color w:val="auto"/>
                <w:sz w:val="24"/>
                <w:szCs w:val="24"/>
                <w:u w:val="single" w:color="auto"/>
                <w:lang w:val="en-US" w:eastAsia="zh-CN"/>
              </w:rPr>
              <w:t>，为了应对市场需求，</w:t>
            </w:r>
            <w:r>
              <w:rPr>
                <w:rFonts w:hint="eastAsia" w:cs="Times New Roman"/>
                <w:color w:val="auto"/>
                <w:sz w:val="24"/>
                <w:u w:val="single" w:color="auto"/>
                <w:lang w:eastAsia="zh-CN"/>
              </w:rPr>
              <w:t>湘阴县株欣机制石棉瓦厂</w:t>
            </w:r>
            <w:r>
              <w:rPr>
                <w:rFonts w:hint="eastAsia" w:hAnsi="宋体"/>
                <w:color w:val="auto"/>
                <w:sz w:val="24"/>
                <w:szCs w:val="24"/>
                <w:u w:val="single" w:color="auto"/>
                <w:lang w:val="en-US" w:eastAsia="zh-CN"/>
              </w:rPr>
              <w:t>投资200万元租赁</w:t>
            </w:r>
            <w:r>
              <w:rPr>
                <w:rFonts w:hint="eastAsia" w:cs="Times New Roman"/>
                <w:color w:val="auto"/>
                <w:sz w:val="24"/>
                <w:szCs w:val="22"/>
                <w:u w:val="single" w:color="auto"/>
                <w:lang w:eastAsia="zh-CN"/>
              </w:rPr>
              <w:t>湖南省岳阳市湘阴县白泥湖园艺场</w:t>
            </w:r>
            <w:r>
              <w:rPr>
                <w:rFonts w:hint="eastAsia" w:cs="Times New Roman"/>
                <w:color w:val="auto"/>
                <w:sz w:val="24"/>
                <w:szCs w:val="22"/>
                <w:u w:val="single" w:color="auto"/>
                <w:lang w:val="en-US" w:eastAsia="zh-CN"/>
              </w:rPr>
              <w:t>场地</w:t>
            </w:r>
            <w:r>
              <w:rPr>
                <w:rFonts w:hint="eastAsia" w:hAnsi="宋体"/>
                <w:color w:val="auto"/>
                <w:sz w:val="24"/>
                <w:szCs w:val="24"/>
                <w:u w:val="single" w:color="auto"/>
                <w:lang w:val="en-US" w:eastAsia="zh-CN"/>
              </w:rPr>
              <w:t>建设</w:t>
            </w:r>
            <w:r>
              <w:rPr>
                <w:rFonts w:hint="eastAsia" w:cs="Times New Roman"/>
                <w:color w:val="auto"/>
                <w:sz w:val="24"/>
                <w:szCs w:val="24"/>
                <w:u w:val="single" w:color="auto"/>
                <w:lang w:eastAsia="zh-CN"/>
              </w:rPr>
              <w:t>年产20万片石棉瓦</w:t>
            </w:r>
            <w:r>
              <w:rPr>
                <w:rFonts w:hint="eastAsia" w:hAnsi="宋体"/>
                <w:color w:val="auto"/>
                <w:sz w:val="24"/>
                <w:szCs w:val="24"/>
                <w:u w:val="single" w:color="auto"/>
                <w:lang w:val="en-US" w:eastAsia="zh-CN"/>
              </w:rPr>
              <w:t>项目，项目总占地面积为26640m</w:t>
            </w:r>
            <w:r>
              <w:rPr>
                <w:rFonts w:hint="eastAsia" w:hAnsi="宋体"/>
                <w:color w:val="auto"/>
                <w:sz w:val="24"/>
                <w:szCs w:val="24"/>
                <w:u w:val="single" w:color="auto"/>
                <w:vertAlign w:val="superscript"/>
                <w:lang w:val="en-US" w:eastAsia="zh-CN"/>
              </w:rPr>
              <w:t>2</w:t>
            </w:r>
            <w:r>
              <w:rPr>
                <w:rFonts w:hint="eastAsia" w:hAnsi="宋体"/>
                <w:color w:val="auto"/>
                <w:sz w:val="24"/>
                <w:szCs w:val="24"/>
                <w:u w:val="single" w:color="auto"/>
                <w:lang w:val="en-US" w:eastAsia="zh-CN"/>
              </w:rPr>
              <w:t>，本项目于2016年11月建设完成且投产运行，项目在建设前未完善环保手续，根据法律法规，本建设项目需完善环保手续，为此，</w:t>
            </w:r>
            <w:r>
              <w:rPr>
                <w:rFonts w:hint="eastAsia" w:cs="Times New Roman"/>
                <w:color w:val="auto"/>
                <w:sz w:val="24"/>
                <w:u w:val="single" w:color="auto"/>
                <w:lang w:eastAsia="zh-CN"/>
              </w:rPr>
              <w:t>湘阴县株欣机制石棉瓦厂</w:t>
            </w:r>
            <w:r>
              <w:rPr>
                <w:rFonts w:hint="eastAsia" w:cs="Times New Roman"/>
                <w:color w:val="auto"/>
                <w:sz w:val="24"/>
                <w:u w:val="single" w:color="auto"/>
                <w:lang w:val="en-US" w:eastAsia="zh-CN"/>
              </w:rPr>
              <w:t>主</w:t>
            </w:r>
            <w:r>
              <w:rPr>
                <w:rFonts w:hint="eastAsia" w:ascii="Times New Roman" w:hAnsi="Times New Roman" w:eastAsia="宋体" w:cs="宋体"/>
                <w:color w:val="auto"/>
                <w:kern w:val="2"/>
                <w:sz w:val="24"/>
                <w:szCs w:val="21"/>
                <w:u w:val="single" w:color="auto"/>
                <w:lang w:val="en-US" w:eastAsia="zh-CN" w:bidi="ar-SA"/>
              </w:rPr>
              <w:t>动申请办理环保手续。</w:t>
            </w:r>
          </w:p>
          <w:p>
            <w:pPr>
              <w:pStyle w:val="170"/>
              <w:spacing w:line="360" w:lineRule="auto"/>
              <w:rPr>
                <w:rFonts w:hint="default" w:ascii="Times New Roman" w:hAnsi="Times New Roman" w:cs="Times New Roman"/>
                <w:color w:val="auto"/>
                <w:szCs w:val="24"/>
                <w:u w:val="single" w:color="auto"/>
              </w:rPr>
            </w:pPr>
            <w:r>
              <w:rPr>
                <w:rFonts w:hint="default" w:ascii="Times New Roman" w:hAnsi="Times New Roman" w:eastAsia="宋体" w:cs="宋体"/>
                <w:color w:val="auto"/>
                <w:kern w:val="2"/>
                <w:sz w:val="24"/>
                <w:szCs w:val="21"/>
                <w:u w:val="single" w:color="auto"/>
                <w:lang w:val="en-US" w:eastAsia="zh-CN" w:bidi="ar-SA"/>
              </w:rPr>
              <w:t>根据《中华人民共和国环境保护法》、《中华人民共和国环境影响评价法》及《建设项目环境保护管理条例》的有关规定，本工程需</w:t>
            </w:r>
            <w:r>
              <w:rPr>
                <w:rFonts w:hint="eastAsia" w:ascii="Times New Roman" w:hAnsi="Times New Roman" w:eastAsia="宋体" w:cs="宋体"/>
                <w:color w:val="auto"/>
                <w:kern w:val="2"/>
                <w:sz w:val="24"/>
                <w:szCs w:val="21"/>
                <w:u w:val="single" w:color="auto"/>
                <w:lang w:val="en-US" w:eastAsia="zh-CN" w:bidi="ar-SA"/>
              </w:rPr>
              <w:t>办理</w:t>
            </w:r>
            <w:r>
              <w:rPr>
                <w:rFonts w:hint="default" w:ascii="Times New Roman" w:hAnsi="Times New Roman" w:eastAsia="宋体" w:cs="宋体"/>
                <w:color w:val="auto"/>
                <w:kern w:val="2"/>
                <w:sz w:val="24"/>
                <w:szCs w:val="21"/>
                <w:u w:val="single" w:color="auto"/>
                <w:lang w:val="en-US" w:eastAsia="zh-CN" w:bidi="ar-SA"/>
              </w:rPr>
              <w:t>环境影响评价。经查询《建设项目环境影响评价分类管理名录》（20</w:t>
            </w:r>
            <w:r>
              <w:rPr>
                <w:rFonts w:hint="eastAsia" w:ascii="Times New Roman" w:hAnsi="Times New Roman" w:eastAsia="宋体" w:cs="宋体"/>
                <w:color w:val="auto"/>
                <w:kern w:val="2"/>
                <w:sz w:val="24"/>
                <w:szCs w:val="21"/>
                <w:u w:val="single" w:color="auto"/>
                <w:lang w:val="en-US" w:eastAsia="zh-CN" w:bidi="ar-SA"/>
              </w:rPr>
              <w:t>21年</w:t>
            </w:r>
            <w:r>
              <w:rPr>
                <w:rFonts w:hint="default" w:ascii="Times New Roman" w:hAnsi="Times New Roman" w:eastAsia="宋体" w:cs="宋体"/>
                <w:color w:val="auto"/>
                <w:kern w:val="2"/>
                <w:sz w:val="24"/>
                <w:szCs w:val="21"/>
                <w:u w:val="single" w:color="auto"/>
                <w:lang w:val="en-US" w:eastAsia="zh-CN" w:bidi="ar-SA"/>
              </w:rPr>
              <w:t>版），项目属于</w:t>
            </w:r>
            <w:r>
              <w:rPr>
                <w:rFonts w:hint="eastAsia" w:ascii="Times New Roman" w:hAnsi="Times New Roman" w:eastAsia="宋体" w:cs="宋体"/>
                <w:color w:val="auto"/>
                <w:kern w:val="2"/>
                <w:sz w:val="24"/>
                <w:szCs w:val="21"/>
                <w:u w:val="single" w:color="auto"/>
                <w:lang w:val="en-US" w:eastAsia="zh-CN" w:bidi="ar-SA"/>
              </w:rPr>
              <w:t>二十七、非金属矿物制品业 30</w:t>
            </w:r>
            <w:r>
              <w:rPr>
                <w:rFonts w:hint="eastAsia" w:cs="宋体"/>
                <w:color w:val="auto"/>
                <w:kern w:val="2"/>
                <w:sz w:val="24"/>
                <w:szCs w:val="21"/>
                <w:u w:val="single" w:color="auto"/>
                <w:lang w:val="en-US" w:eastAsia="zh-CN" w:bidi="ar-SA"/>
              </w:rPr>
              <w:t>，</w:t>
            </w:r>
            <w:r>
              <w:rPr>
                <w:rFonts w:hint="eastAsia" w:ascii="Times New Roman" w:hAnsi="Times New Roman" w:eastAsia="宋体" w:cs="宋体"/>
                <w:color w:val="auto"/>
                <w:kern w:val="2"/>
                <w:sz w:val="24"/>
                <w:szCs w:val="21"/>
                <w:u w:val="single" w:color="auto"/>
                <w:lang w:val="en-US" w:eastAsia="zh-CN" w:bidi="ar-SA"/>
              </w:rPr>
              <w:t>第56项</w:t>
            </w:r>
            <w:r>
              <w:rPr>
                <w:rFonts w:hint="eastAsia" w:cs="宋体"/>
                <w:color w:val="auto"/>
                <w:kern w:val="2"/>
                <w:sz w:val="24"/>
                <w:szCs w:val="21"/>
                <w:u w:val="single" w:color="auto"/>
                <w:lang w:val="en-US" w:eastAsia="zh-CN" w:bidi="ar-SA"/>
              </w:rPr>
              <w:t>“</w:t>
            </w:r>
            <w:r>
              <w:rPr>
                <w:rFonts w:hint="eastAsia" w:ascii="Times New Roman" w:hAnsi="Times New Roman" w:eastAsia="宋体" w:cs="宋体"/>
                <w:color w:val="auto"/>
                <w:kern w:val="2"/>
                <w:sz w:val="24"/>
                <w:szCs w:val="21"/>
                <w:u w:val="single" w:color="auto"/>
                <w:lang w:val="en-US" w:eastAsia="zh-CN" w:bidi="ar-SA"/>
              </w:rPr>
              <w:t>砖瓦、石材等建筑材料制造 303中粘土砖瓦及建筑砌块制造；建筑用石加工</w:t>
            </w:r>
            <w:r>
              <w:rPr>
                <w:rFonts w:hint="eastAsia" w:cs="宋体"/>
                <w:color w:val="auto"/>
                <w:kern w:val="2"/>
                <w:sz w:val="24"/>
                <w:szCs w:val="21"/>
                <w:u w:val="single" w:color="auto"/>
                <w:lang w:val="en-US" w:eastAsia="zh-CN" w:bidi="ar-SA"/>
              </w:rPr>
              <w:t>；</w:t>
            </w:r>
            <w:r>
              <w:rPr>
                <w:rFonts w:hint="eastAsia" w:ascii="Times New Roman" w:hAnsi="Times New Roman" w:eastAsia="宋体" w:cs="宋体"/>
                <w:color w:val="auto"/>
                <w:kern w:val="2"/>
                <w:sz w:val="24"/>
                <w:szCs w:val="21"/>
                <w:u w:val="single" w:color="auto"/>
                <w:lang w:val="en-US" w:eastAsia="zh-CN" w:bidi="ar-SA"/>
              </w:rPr>
              <w:t>防水建筑材料制造；隔热、隔音材料制造；其他建筑材料制造（含干粉砂浆搅拌站）以上均不含利用石材板材切割、打磨、成型的</w:t>
            </w:r>
            <w:r>
              <w:rPr>
                <w:rFonts w:hint="eastAsia" w:cs="宋体"/>
                <w:color w:val="auto"/>
                <w:kern w:val="2"/>
                <w:sz w:val="24"/>
                <w:szCs w:val="21"/>
                <w:u w:val="single" w:color="auto"/>
                <w:lang w:val="en-US" w:eastAsia="zh-CN" w:bidi="ar-SA"/>
              </w:rPr>
              <w:t>”</w:t>
            </w:r>
            <w:r>
              <w:rPr>
                <w:rFonts w:hint="eastAsia"/>
                <w:color w:val="auto"/>
                <w:sz w:val="24"/>
                <w:u w:val="single" w:color="auto"/>
                <w:lang w:val="en-US" w:eastAsia="zh-CN"/>
              </w:rPr>
              <w:t>全部编制环评报告表</w:t>
            </w:r>
            <w:r>
              <w:rPr>
                <w:color w:val="auto"/>
                <w:sz w:val="24"/>
                <w:u w:val="single" w:color="auto"/>
              </w:rPr>
              <w:t>，故</w:t>
            </w:r>
            <w:r>
              <w:rPr>
                <w:rFonts w:hint="eastAsia"/>
                <w:color w:val="auto"/>
                <w:sz w:val="24"/>
                <w:u w:val="single" w:color="auto"/>
                <w:lang w:val="en-US" w:eastAsia="zh-CN"/>
              </w:rPr>
              <w:t>本项目</w:t>
            </w:r>
            <w:r>
              <w:rPr>
                <w:color w:val="auto"/>
                <w:sz w:val="24"/>
                <w:u w:val="single" w:color="auto"/>
              </w:rPr>
              <w:t>编制环境影响报告表</w:t>
            </w:r>
            <w:r>
              <w:rPr>
                <w:rFonts w:hint="default" w:ascii="Times New Roman" w:hAnsi="Times New Roman" w:cs="Times New Roman"/>
                <w:color w:val="auto"/>
                <w:szCs w:val="24"/>
                <w:u w:val="single" w:color="auto"/>
              </w:rPr>
              <w:t>。为此，</w:t>
            </w:r>
            <w:r>
              <w:rPr>
                <w:rFonts w:hint="eastAsia" w:cs="Times New Roman"/>
                <w:color w:val="auto"/>
                <w:u w:val="single" w:color="auto"/>
                <w:lang w:eastAsia="zh-CN"/>
              </w:rPr>
              <w:t>湘阴县株欣机制石棉瓦厂</w:t>
            </w:r>
            <w:r>
              <w:rPr>
                <w:rFonts w:hint="default" w:ascii="Times New Roman" w:hAnsi="Times New Roman" w:cs="Times New Roman"/>
                <w:color w:val="auto"/>
                <w:szCs w:val="24"/>
                <w:u w:val="single" w:color="auto"/>
              </w:rPr>
              <w:t>委托</w:t>
            </w:r>
            <w:r>
              <w:rPr>
                <w:rFonts w:hint="eastAsia" w:cs="Times New Roman"/>
                <w:color w:val="auto"/>
                <w:szCs w:val="24"/>
                <w:u w:val="single" w:color="auto"/>
                <w:lang w:eastAsia="zh-CN"/>
              </w:rPr>
              <w:t>湖南智盛瀚海环保科技有限公司</w:t>
            </w:r>
            <w:r>
              <w:rPr>
                <w:rFonts w:hint="default" w:ascii="Times New Roman" w:hAnsi="Times New Roman" w:cs="Times New Roman"/>
                <w:color w:val="auto"/>
                <w:szCs w:val="24"/>
                <w:u w:val="single" w:color="auto"/>
              </w:rPr>
              <w:t>承担了《</w:t>
            </w:r>
            <w:r>
              <w:rPr>
                <w:rFonts w:hint="eastAsia" w:cs="Times New Roman"/>
                <w:color w:val="auto"/>
                <w:szCs w:val="24"/>
                <w:u w:val="single" w:color="auto"/>
                <w:lang w:eastAsia="zh-CN"/>
              </w:rPr>
              <w:t>湘阴县株欣机制石棉瓦厂年产20万片石棉瓦建设项目</w:t>
            </w:r>
            <w:r>
              <w:rPr>
                <w:rFonts w:hint="default" w:ascii="Times New Roman" w:hAnsi="Times New Roman" w:cs="Times New Roman"/>
                <w:color w:val="auto"/>
                <w:szCs w:val="24"/>
                <w:u w:val="single" w:color="auto"/>
              </w:rPr>
              <w:t>》的环境影响评价工作</w:t>
            </w:r>
            <w:r>
              <w:rPr>
                <w:rFonts w:hint="default" w:ascii="Times New Roman" w:hAnsi="Times New Roman" w:cs="Times New Roman"/>
                <w:color w:val="auto"/>
                <w:u w:val="single" w:color="auto"/>
              </w:rPr>
              <w:t>（委托书见附件1所示）</w:t>
            </w:r>
            <w:r>
              <w:rPr>
                <w:rFonts w:hint="default" w:ascii="Times New Roman" w:hAnsi="Times New Roman" w:cs="Times New Roman"/>
                <w:color w:val="auto"/>
                <w:szCs w:val="24"/>
                <w:u w:val="single" w:color="auto"/>
              </w:rPr>
              <w:t>。接受委托后， 环评技术人员按照技术导则所规定原则、方法、内容和要求，通过现场踏勘，收集资料，走访调查，分析评价，在建设方提供的有关文件资料的基础上，编制了本环境影响报告表。</w:t>
            </w:r>
          </w:p>
          <w:p>
            <w:pPr>
              <w:snapToGrid w:val="0"/>
              <w:spacing w:line="360" w:lineRule="auto"/>
              <w:ind w:right="113" w:firstLine="482"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2. 项目概况</w:t>
            </w:r>
          </w:p>
          <w:p>
            <w:pPr>
              <w:pStyle w:val="179"/>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（1）项目名称：</w:t>
            </w:r>
            <w:r>
              <w:rPr>
                <w:rFonts w:hint="eastAsia" w:cs="Times New Roman"/>
                <w:color w:val="auto"/>
                <w:szCs w:val="24"/>
                <w:u w:val="none" w:color="auto"/>
                <w:lang w:eastAsia="zh-CN"/>
              </w:rPr>
              <w:t>年产20万片石棉瓦建设项目</w:t>
            </w:r>
            <w:r>
              <w:rPr>
                <w:rFonts w:hint="default" w:ascii="Times New Roman" w:hAnsi="Times New Roman" w:cs="Times New Roman"/>
                <w:color w:val="auto"/>
                <w:u w:val="none" w:color="auto"/>
              </w:rPr>
              <w:t>；</w:t>
            </w:r>
          </w:p>
          <w:p>
            <w:pPr>
              <w:pStyle w:val="179"/>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（2）建设单位：</w:t>
            </w:r>
            <w:r>
              <w:rPr>
                <w:rFonts w:hint="eastAsia" w:cs="Times New Roman"/>
                <w:color w:val="auto"/>
                <w:u w:val="none" w:color="auto"/>
                <w:lang w:eastAsia="zh-CN"/>
              </w:rPr>
              <w:t>湘阴县株欣机制石棉瓦厂</w:t>
            </w:r>
            <w:r>
              <w:rPr>
                <w:rFonts w:hint="default" w:ascii="Times New Roman" w:hAnsi="Times New Roman" w:cs="Times New Roman"/>
                <w:color w:val="auto"/>
                <w:u w:val="none" w:color="auto"/>
              </w:rPr>
              <w:t>；</w:t>
            </w:r>
          </w:p>
          <w:p>
            <w:pPr>
              <w:pStyle w:val="179"/>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（3）建设地点：</w:t>
            </w:r>
            <w:r>
              <w:rPr>
                <w:rFonts w:hint="eastAsia" w:cs="Times New Roman"/>
                <w:color w:val="auto"/>
                <w:u w:val="none" w:color="auto"/>
                <w:lang w:eastAsia="zh-CN"/>
              </w:rPr>
              <w:t>湖南省岳阳市湘阴县白泥湖园艺场</w:t>
            </w:r>
            <w:r>
              <w:rPr>
                <w:rFonts w:hint="default" w:ascii="Times New Roman" w:hAnsi="Times New Roman" w:cs="Times New Roman"/>
                <w:color w:val="auto"/>
                <w:u w:val="none" w:color="auto"/>
              </w:rPr>
              <w:t>；</w:t>
            </w:r>
          </w:p>
          <w:p>
            <w:pPr>
              <w:pStyle w:val="179"/>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（4）项目性质：新建</w:t>
            </w:r>
            <w:r>
              <w:rPr>
                <w:rFonts w:hint="eastAsia" w:cs="Times New Roman"/>
                <w:color w:val="auto"/>
                <w:u w:val="none" w:color="auto"/>
                <w:lang w:eastAsia="zh-CN"/>
              </w:rPr>
              <w:t>（</w:t>
            </w:r>
            <w:r>
              <w:rPr>
                <w:rFonts w:hint="eastAsia" w:cs="Times New Roman"/>
                <w:color w:val="auto"/>
                <w:u w:val="none" w:color="auto"/>
                <w:lang w:val="en-US" w:eastAsia="zh-CN"/>
              </w:rPr>
              <w:t>补办</w:t>
            </w:r>
            <w:r>
              <w:rPr>
                <w:rFonts w:hint="eastAsia" w:cs="Times New Roman"/>
                <w:color w:val="auto"/>
                <w:u w:val="none" w:color="auto"/>
                <w:lang w:eastAsia="zh-CN"/>
              </w:rPr>
              <w:t>）</w:t>
            </w:r>
            <w:r>
              <w:rPr>
                <w:rFonts w:hint="default" w:ascii="Times New Roman" w:hAnsi="Times New Roman" w:cs="Times New Roman"/>
                <w:color w:val="auto"/>
                <w:u w:val="none" w:color="auto"/>
              </w:rPr>
              <w:t>；</w:t>
            </w:r>
          </w:p>
          <w:p>
            <w:pPr>
              <w:pStyle w:val="179"/>
              <w:spacing w:line="384" w:lineRule="auto"/>
              <w:jc w:val="left"/>
              <w:rPr>
                <w:rFonts w:hint="eastAsia"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rPr>
              <w:t>（5）建设规模：项目总占地面积约</w:t>
            </w:r>
            <w:r>
              <w:rPr>
                <w:rFonts w:hint="eastAsia" w:cs="Times New Roman"/>
                <w:color w:val="auto"/>
                <w:u w:val="none" w:color="auto"/>
                <w:lang w:val="en-US" w:eastAsia="zh-CN"/>
              </w:rPr>
              <w:t>26640</w:t>
            </w:r>
            <w:r>
              <w:rPr>
                <w:rFonts w:hint="default" w:ascii="Times New Roman" w:hAnsi="Times New Roman" w:cs="Times New Roman"/>
                <w:color w:val="auto"/>
                <w:u w:val="none" w:color="auto"/>
              </w:rPr>
              <w:t>m</w:t>
            </w:r>
            <w:r>
              <w:rPr>
                <w:rFonts w:hint="default" w:ascii="Times New Roman" w:hAnsi="Times New Roman" w:cs="Times New Roman"/>
                <w:color w:val="auto"/>
                <w:u w:val="none" w:color="auto"/>
                <w:vertAlign w:val="superscript"/>
              </w:rPr>
              <w:t>2</w:t>
            </w:r>
            <w:r>
              <w:rPr>
                <w:rFonts w:hint="eastAsia" w:cs="Times New Roman"/>
                <w:color w:val="auto"/>
                <w:u w:val="none" w:color="auto"/>
                <w:lang w:eastAsia="zh-CN"/>
              </w:rPr>
              <w:t>；</w:t>
            </w:r>
          </w:p>
          <w:p>
            <w:pPr>
              <w:pStyle w:val="179"/>
              <w:spacing w:line="384" w:lineRule="auto"/>
              <w:jc w:val="left"/>
              <w:rPr>
                <w:rFonts w:hint="eastAsia"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rPr>
              <w:t>（6）总投资：</w:t>
            </w:r>
            <w:r>
              <w:rPr>
                <w:rFonts w:hint="eastAsia" w:cs="Times New Roman"/>
                <w:color w:val="auto"/>
                <w:u w:val="none" w:color="auto"/>
                <w:lang w:val="en-US" w:eastAsia="zh-CN"/>
              </w:rPr>
              <w:t>200万元</w:t>
            </w:r>
            <w:r>
              <w:rPr>
                <w:rFonts w:hint="default" w:ascii="Times New Roman" w:hAnsi="Times New Roman" w:cs="Times New Roman"/>
                <w:color w:val="auto"/>
                <w:u w:val="none" w:color="auto"/>
              </w:rPr>
              <w:t>，其中环保投资</w:t>
            </w:r>
            <w:r>
              <w:rPr>
                <w:rFonts w:hint="eastAsia" w:cs="Times New Roman"/>
                <w:color w:val="auto"/>
                <w:u w:val="none" w:color="auto"/>
                <w:lang w:val="en-US" w:eastAsia="zh-CN"/>
              </w:rPr>
              <w:t>25</w:t>
            </w:r>
            <w:r>
              <w:rPr>
                <w:rFonts w:hint="default" w:ascii="Times New Roman" w:hAnsi="Times New Roman" w:cs="Times New Roman"/>
                <w:color w:val="auto"/>
                <w:u w:val="none" w:color="auto"/>
              </w:rPr>
              <w:t>万</w:t>
            </w:r>
            <w:r>
              <w:rPr>
                <w:rFonts w:hint="eastAsia" w:cs="Times New Roman"/>
                <w:color w:val="auto"/>
                <w:u w:val="none" w:color="auto"/>
                <w:lang w:eastAsia="zh-CN"/>
              </w:rPr>
              <w:t>；</w:t>
            </w:r>
          </w:p>
          <w:p>
            <w:pPr>
              <w:pStyle w:val="179"/>
              <w:spacing w:line="384" w:lineRule="auto"/>
              <w:jc w:val="left"/>
              <w:rPr>
                <w:rFonts w:hint="default" w:ascii="Times New Roman" w:hAnsi="Times New Roman" w:cs="Times New Roman"/>
                <w:b/>
                <w:color w:val="auto"/>
                <w:u w:val="none" w:color="auto"/>
              </w:rPr>
            </w:pPr>
            <w:r>
              <w:rPr>
                <w:rFonts w:hint="default" w:ascii="Times New Roman" w:hAnsi="Times New Roman" w:cs="Times New Roman"/>
                <w:color w:val="auto"/>
                <w:u w:val="none" w:color="auto"/>
              </w:rPr>
              <w:t>（7）劳动定员：厂区员工人数</w:t>
            </w:r>
            <w:r>
              <w:rPr>
                <w:rFonts w:hint="eastAsia" w:cs="Times New Roman"/>
                <w:color w:val="auto"/>
                <w:u w:val="none" w:color="auto"/>
                <w:lang w:val="en-US" w:eastAsia="zh-CN"/>
              </w:rPr>
              <w:t>20</w:t>
            </w:r>
            <w:r>
              <w:rPr>
                <w:rFonts w:hint="default" w:ascii="Times New Roman" w:hAnsi="Times New Roman" w:cs="Times New Roman"/>
                <w:color w:val="auto"/>
                <w:u w:val="none" w:color="auto"/>
              </w:rPr>
              <w:t>人</w:t>
            </w:r>
            <w:r>
              <w:rPr>
                <w:rFonts w:hint="default" w:ascii="Times New Roman" w:hAnsi="Times New Roman" w:cs="Times New Roman"/>
                <w:color w:val="auto"/>
                <w:u w:val="none" w:color="auto"/>
                <w:lang w:eastAsia="zh-CN"/>
              </w:rPr>
              <w:t>，均</w:t>
            </w:r>
            <w:r>
              <w:rPr>
                <w:rFonts w:hint="eastAsia" w:cs="Times New Roman"/>
                <w:color w:val="auto"/>
                <w:u w:val="none" w:color="auto"/>
                <w:lang w:val="en-US" w:eastAsia="zh-CN"/>
              </w:rPr>
              <w:t>不</w:t>
            </w:r>
            <w:r>
              <w:rPr>
                <w:rFonts w:hint="default" w:ascii="Times New Roman" w:hAnsi="Times New Roman" w:cs="Times New Roman"/>
                <w:color w:val="auto"/>
                <w:u w:val="none" w:color="auto"/>
                <w:lang w:eastAsia="zh-CN"/>
              </w:rPr>
              <w:t>在厂内</w:t>
            </w:r>
            <w:r>
              <w:rPr>
                <w:rFonts w:hint="eastAsia" w:cs="Times New Roman"/>
                <w:color w:val="auto"/>
                <w:u w:val="none" w:color="auto"/>
                <w:lang w:eastAsia="zh-CN"/>
              </w:rPr>
              <w:t>食宿</w:t>
            </w:r>
            <w:r>
              <w:rPr>
                <w:rFonts w:hint="default" w:ascii="Times New Roman" w:hAnsi="Times New Roman" w:cs="Times New Roman"/>
                <w:color w:val="auto"/>
                <w:u w:val="none" w:color="auto"/>
              </w:rPr>
              <w:t>，年工作时间为300天，每天工作</w:t>
            </w:r>
            <w:r>
              <w:rPr>
                <w:rFonts w:hint="eastAsia" w:cs="Times New Roman"/>
                <w:color w:val="auto"/>
                <w:u w:val="none" w:color="auto"/>
                <w:lang w:val="en-US" w:eastAsia="zh-CN"/>
              </w:rPr>
              <w:t>8</w:t>
            </w:r>
            <w:r>
              <w:rPr>
                <w:rFonts w:hint="default" w:ascii="Times New Roman" w:hAnsi="Times New Roman" w:cs="Times New Roman"/>
                <w:color w:val="auto"/>
                <w:u w:val="none" w:color="auto"/>
              </w:rPr>
              <w:t>小时</w:t>
            </w:r>
            <w:r>
              <w:rPr>
                <w:rFonts w:hint="eastAsia" w:cs="Times New Roman"/>
                <w:color w:val="auto"/>
                <w:u w:val="none" w:color="auto"/>
                <w:lang w:eastAsia="zh-CN"/>
              </w:rPr>
              <w:t>（晚上不生产）</w:t>
            </w:r>
            <w:r>
              <w:rPr>
                <w:rFonts w:hint="default" w:ascii="Times New Roman" w:hAnsi="Times New Roman" w:cs="Times New Roman"/>
                <w:color w:val="auto"/>
                <w:u w:val="none" w:color="auto"/>
              </w:rPr>
              <w:t>。</w:t>
            </w:r>
          </w:p>
          <w:p>
            <w:pPr>
              <w:pStyle w:val="2"/>
              <w:spacing w:before="0" w:beforeLines="0"/>
              <w:ind w:firstLine="482"/>
              <w:rPr>
                <w:rFonts w:hint="default" w:ascii="Times New Roman" w:hAnsi="Times New Roman" w:cs="Times New Roman"/>
                <w:b/>
                <w:color w:val="auto"/>
                <w:u w:val="single" w:color="auto"/>
              </w:rPr>
            </w:pPr>
            <w:r>
              <w:rPr>
                <w:rFonts w:hint="default" w:ascii="Times New Roman" w:hAnsi="Times New Roman" w:cs="Times New Roman"/>
                <w:b/>
                <w:color w:val="auto"/>
                <w:u w:val="single" w:color="auto"/>
              </w:rPr>
              <w:t>3、主要建设内容及规模</w:t>
            </w:r>
          </w:p>
          <w:p>
            <w:pPr>
              <w:snapToGrid w:val="0"/>
              <w:spacing w:line="360" w:lineRule="auto"/>
              <w:ind w:firstLine="470" w:firstLineChars="196"/>
              <w:rPr>
                <w:rFonts w:hint="default" w:ascii="Times New Roman" w:hAnsi="Times New Roman" w:cs="Times New Roman"/>
                <w:bCs/>
                <w:color w:val="auto"/>
                <w:sz w:val="24"/>
                <w:u w:val="single" w:color="auto"/>
              </w:rPr>
            </w:pPr>
            <w:r>
              <w:rPr>
                <w:rFonts w:hint="default" w:ascii="Times New Roman" w:hAnsi="Times New Roman" w:cs="Times New Roman"/>
                <w:bCs/>
                <w:color w:val="auto"/>
                <w:sz w:val="24"/>
                <w:u w:val="single" w:color="auto"/>
              </w:rPr>
              <w:t>本项目</w:t>
            </w:r>
            <w:r>
              <w:rPr>
                <w:rFonts w:hint="eastAsia" w:cs="Times New Roman"/>
                <w:bCs/>
                <w:color w:val="auto"/>
                <w:sz w:val="24"/>
                <w:u w:val="single" w:color="auto"/>
                <w:lang w:val="en-US" w:eastAsia="zh-CN"/>
              </w:rPr>
              <w:t>租赁位于</w:t>
            </w:r>
            <w:r>
              <w:rPr>
                <w:rFonts w:hint="eastAsia" w:cs="Times New Roman"/>
                <w:color w:val="auto"/>
                <w:sz w:val="24"/>
                <w:szCs w:val="24"/>
                <w:u w:val="single" w:color="auto"/>
                <w:lang w:eastAsia="zh-CN"/>
              </w:rPr>
              <w:t>湖南省岳阳市湘阴县白泥湖园艺场</w:t>
            </w:r>
            <w:r>
              <w:rPr>
                <w:rFonts w:hint="eastAsia" w:cs="Times New Roman"/>
                <w:color w:val="auto"/>
                <w:sz w:val="24"/>
                <w:szCs w:val="24"/>
                <w:u w:val="single" w:color="auto"/>
                <w:lang w:val="en-US" w:eastAsia="zh-CN"/>
              </w:rPr>
              <w:t>场地进行建设生产</w:t>
            </w:r>
            <w:r>
              <w:rPr>
                <w:rFonts w:hint="default" w:ascii="Times New Roman" w:hAnsi="Times New Roman" w:eastAsia="宋体" w:cs="Times New Roman"/>
                <w:bCs/>
                <w:color w:val="auto"/>
                <w:sz w:val="24"/>
                <w:szCs w:val="22"/>
                <w:u w:val="single" w:color="auto"/>
              </w:rPr>
              <w:t>，</w:t>
            </w:r>
            <w:r>
              <w:rPr>
                <w:rFonts w:hint="eastAsia" w:cs="Times New Roman"/>
                <w:bCs/>
                <w:color w:val="auto"/>
                <w:sz w:val="24"/>
                <w:szCs w:val="22"/>
                <w:u w:val="single" w:color="auto"/>
                <w:lang w:val="en-US" w:eastAsia="zh-CN"/>
              </w:rPr>
              <w:t>建设</w:t>
            </w:r>
            <w:r>
              <w:rPr>
                <w:rFonts w:hint="eastAsia" w:cs="Times New Roman"/>
                <w:color w:val="auto"/>
                <w:sz w:val="24"/>
                <w:szCs w:val="24"/>
                <w:u w:val="single" w:color="auto"/>
                <w:lang w:eastAsia="zh-CN"/>
              </w:rPr>
              <w:t>年产20万片石棉瓦</w:t>
            </w:r>
            <w:r>
              <w:rPr>
                <w:rFonts w:hint="eastAsia" w:hAnsi="宋体"/>
                <w:color w:val="auto"/>
                <w:sz w:val="24"/>
                <w:szCs w:val="24"/>
                <w:u w:val="single" w:color="auto"/>
                <w:lang w:val="en-US" w:eastAsia="zh-CN"/>
              </w:rPr>
              <w:t>项目，主要产品为</w:t>
            </w:r>
            <w:r>
              <w:rPr>
                <w:rFonts w:hint="eastAsia" w:cs="Times New Roman"/>
                <w:color w:val="auto"/>
                <w:sz w:val="24"/>
                <w:szCs w:val="24"/>
                <w:u w:val="single" w:color="auto"/>
                <w:lang w:val="en-US" w:eastAsia="zh-CN"/>
              </w:rPr>
              <w:t>石棉瓦，建成后年产20万片石棉瓦</w:t>
            </w:r>
            <w:r>
              <w:rPr>
                <w:rFonts w:hint="eastAsia" w:hAnsi="宋体"/>
                <w:color w:val="auto"/>
                <w:sz w:val="24"/>
                <w:u w:val="single" w:color="auto"/>
                <w:lang w:val="en-US" w:eastAsia="zh-CN"/>
              </w:rPr>
              <w:t>，项目主要建设内容为：打料制浆区、喷漆、烘干区、脱水区、成型区、成品养护区、成品堆放区、原料堆放区、水泥、石粉、水储罐区等</w:t>
            </w:r>
            <w:r>
              <w:rPr>
                <w:rFonts w:hint="default" w:ascii="Times New Roman" w:hAnsi="Times New Roman" w:eastAsia="宋体" w:cs="Times New Roman"/>
                <w:bCs/>
                <w:color w:val="auto"/>
                <w:sz w:val="24"/>
                <w:szCs w:val="22"/>
                <w:u w:val="single" w:color="auto"/>
              </w:rPr>
              <w:t>。项目具体建设内</w:t>
            </w:r>
            <w:r>
              <w:rPr>
                <w:rFonts w:hint="default" w:ascii="Times New Roman" w:hAnsi="Times New Roman" w:cs="Times New Roman"/>
                <w:bCs/>
                <w:color w:val="auto"/>
                <w:sz w:val="24"/>
                <w:u w:val="single" w:color="auto"/>
              </w:rPr>
              <w:t>容如表1-1所示：</w:t>
            </w:r>
          </w:p>
          <w:p>
            <w:pPr>
              <w:adjustRightInd w:val="0"/>
              <w:snapToGrid w:val="0"/>
              <w:jc w:val="center"/>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表1-1  项目组成一览表</w:t>
            </w:r>
          </w:p>
          <w:tbl>
            <w:tblPr>
              <w:tblStyle w:val="40"/>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2"/>
              <w:gridCol w:w="1107"/>
              <w:gridCol w:w="1860"/>
              <w:gridCol w:w="3593"/>
              <w:gridCol w:w="21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1589" w:type="dxa"/>
                  <w:gridSpan w:val="2"/>
                  <w:vAlign w:val="center"/>
                </w:tcPr>
                <w:p>
                  <w:pPr>
                    <w:adjustRightInd w:val="0"/>
                    <w:snapToGrid w:val="0"/>
                    <w:spacing w:line="360" w:lineRule="auto"/>
                    <w:jc w:val="center"/>
                    <w:rPr>
                      <w:rFonts w:hint="default" w:ascii="Times New Roman" w:hAnsi="Times New Roman" w:eastAsia="宋体" w:cs="Times New Roman"/>
                      <w:b/>
                      <w:color w:val="auto"/>
                      <w:sz w:val="24"/>
                      <w:szCs w:val="24"/>
                      <w:u w:val="single" w:color="auto"/>
                    </w:rPr>
                  </w:pPr>
                  <w:r>
                    <w:rPr>
                      <w:rFonts w:hint="default" w:ascii="Times New Roman" w:hAnsi="Times New Roman" w:eastAsia="宋体" w:cs="Times New Roman"/>
                      <w:b/>
                      <w:color w:val="auto"/>
                      <w:sz w:val="24"/>
                      <w:szCs w:val="24"/>
                      <w:u w:val="single" w:color="auto"/>
                    </w:rPr>
                    <w:t>建设项目</w:t>
                  </w:r>
                </w:p>
              </w:tc>
              <w:tc>
                <w:tcPr>
                  <w:tcW w:w="5453" w:type="dxa"/>
                  <w:gridSpan w:val="2"/>
                  <w:vAlign w:val="center"/>
                </w:tcPr>
                <w:p>
                  <w:pPr>
                    <w:adjustRightInd w:val="0"/>
                    <w:snapToGrid w:val="0"/>
                    <w:spacing w:line="360" w:lineRule="auto"/>
                    <w:jc w:val="center"/>
                    <w:rPr>
                      <w:rFonts w:hint="default" w:ascii="Times New Roman" w:hAnsi="Times New Roman" w:eastAsia="宋体" w:cs="Times New Roman"/>
                      <w:b/>
                      <w:color w:val="auto"/>
                      <w:sz w:val="24"/>
                      <w:szCs w:val="24"/>
                      <w:u w:val="single" w:color="auto"/>
                    </w:rPr>
                  </w:pPr>
                  <w:r>
                    <w:rPr>
                      <w:rFonts w:hint="default" w:ascii="Times New Roman" w:hAnsi="Times New Roman" w:eastAsia="宋体" w:cs="Times New Roman"/>
                      <w:b/>
                      <w:color w:val="auto"/>
                      <w:sz w:val="24"/>
                      <w:szCs w:val="24"/>
                      <w:u w:val="single" w:color="auto"/>
                    </w:rPr>
                    <w:t>建设内容</w:t>
                  </w:r>
                </w:p>
              </w:tc>
              <w:tc>
                <w:tcPr>
                  <w:tcW w:w="2175" w:type="dxa"/>
                  <w:vAlign w:val="center"/>
                </w:tcPr>
                <w:p>
                  <w:pPr>
                    <w:adjustRightInd w:val="0"/>
                    <w:snapToGrid w:val="0"/>
                    <w:spacing w:line="360" w:lineRule="auto"/>
                    <w:jc w:val="center"/>
                    <w:rPr>
                      <w:rFonts w:hint="eastAsia" w:ascii="Times New Roman" w:hAnsi="Times New Roman" w:eastAsia="宋体" w:cs="Times New Roman"/>
                      <w:b/>
                      <w:color w:val="auto"/>
                      <w:sz w:val="24"/>
                      <w:szCs w:val="24"/>
                      <w:u w:val="single" w:color="auto"/>
                      <w:lang w:val="en-US" w:eastAsia="zh-CN"/>
                    </w:rPr>
                  </w:pPr>
                  <w:r>
                    <w:rPr>
                      <w:rFonts w:hint="eastAsia" w:cs="Times New Roman"/>
                      <w:b/>
                      <w:color w:val="auto"/>
                      <w:sz w:val="24"/>
                      <w:szCs w:val="24"/>
                      <w:u w:val="single" w:color="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1589" w:type="dxa"/>
                  <w:gridSpan w:val="2"/>
                  <w:tcBorders>
                    <w:bottom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主体工程</w:t>
                  </w:r>
                </w:p>
              </w:tc>
              <w:tc>
                <w:tcPr>
                  <w:tcW w:w="1860" w:type="dxa"/>
                  <w:tcBorders>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eastAsia="zh-CN"/>
                    </w:rPr>
                    <w:t>生产车间</w:t>
                  </w:r>
                </w:p>
              </w:tc>
              <w:tc>
                <w:tcPr>
                  <w:tcW w:w="3593" w:type="dxa"/>
                  <w:tcBorders>
                    <w:left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车间主要为</w:t>
                  </w:r>
                  <w:r>
                    <w:rPr>
                      <w:rFonts w:hint="eastAsia" w:hAnsi="宋体"/>
                      <w:color w:val="auto"/>
                      <w:sz w:val="24"/>
                      <w:u w:val="single" w:color="auto"/>
                      <w:lang w:val="en-US" w:eastAsia="zh-CN"/>
                    </w:rPr>
                    <w:t>搅拌区、喷漆、烘干区、脱水区、成型区、储罐区、养护</w:t>
                  </w:r>
                  <w:r>
                    <w:rPr>
                      <w:rFonts w:hint="eastAsia" w:cs="Times New Roman"/>
                      <w:bCs/>
                      <w:color w:val="auto"/>
                      <w:sz w:val="24"/>
                      <w:szCs w:val="24"/>
                      <w:u w:val="single" w:color="auto"/>
                      <w:lang w:val="en-US" w:eastAsia="zh-CN"/>
                    </w:rPr>
                    <w:t>等</w:t>
                  </w:r>
                </w:p>
              </w:tc>
              <w:tc>
                <w:tcPr>
                  <w:tcW w:w="2175" w:type="dxa"/>
                  <w:tcBorders>
                    <w:left w:val="single" w:color="auto" w:sz="4" w:space="0"/>
                    <w:bottom w:val="single" w:color="auto" w:sz="4" w:space="0"/>
                  </w:tcBorders>
                  <w:vAlign w:val="center"/>
                </w:tcPr>
                <w:p>
                  <w:pPr>
                    <w:adjustRightInd w:val="0"/>
                    <w:snapToGrid w:val="0"/>
                    <w:spacing w:line="360" w:lineRule="auto"/>
                    <w:ind w:firstLine="240" w:firstLineChars="100"/>
                    <w:jc w:val="both"/>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589" w:type="dxa"/>
                  <w:gridSpan w:val="2"/>
                  <w:vMerge w:val="restart"/>
                  <w:tcBorders>
                    <w:top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辅助工程</w:t>
                  </w:r>
                </w:p>
              </w:tc>
              <w:tc>
                <w:tcPr>
                  <w:tcW w:w="1860"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eastAsia="zh-CN"/>
                    </w:rPr>
                    <w:t>办公</w:t>
                  </w:r>
                  <w:r>
                    <w:rPr>
                      <w:rFonts w:hint="eastAsia" w:cs="Times New Roman"/>
                      <w:bCs/>
                      <w:color w:val="auto"/>
                      <w:sz w:val="24"/>
                      <w:szCs w:val="24"/>
                      <w:u w:val="single" w:color="auto"/>
                      <w:lang w:val="en-US" w:eastAsia="zh-CN"/>
                    </w:rPr>
                    <w:t>区</w:t>
                  </w:r>
                </w:p>
              </w:tc>
              <w:tc>
                <w:tcPr>
                  <w:tcW w:w="3593"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主要为办公区</w:t>
                  </w:r>
                </w:p>
              </w:tc>
              <w:tc>
                <w:tcPr>
                  <w:tcW w:w="2175"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1589" w:type="dxa"/>
                  <w:gridSpan w:val="2"/>
                  <w:vMerge w:val="continue"/>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860"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产品堆放区、原料堆放区</w:t>
                  </w:r>
                </w:p>
              </w:tc>
              <w:tc>
                <w:tcPr>
                  <w:tcW w:w="3593"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主要为原料及成品堆放</w:t>
                  </w:r>
                </w:p>
              </w:tc>
              <w:tc>
                <w:tcPr>
                  <w:tcW w:w="2175"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482" w:type="dxa"/>
                  <w:vMerge w:val="restart"/>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公用工程</w:t>
                  </w:r>
                </w:p>
              </w:tc>
              <w:tc>
                <w:tcPr>
                  <w:tcW w:w="1107" w:type="dxa"/>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供电系统</w:t>
                  </w:r>
                </w:p>
              </w:tc>
              <w:tc>
                <w:tcPr>
                  <w:tcW w:w="5453" w:type="dxa"/>
                  <w:gridSpan w:val="2"/>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使用</w:t>
                  </w:r>
                  <w:r>
                    <w:rPr>
                      <w:rFonts w:hint="eastAsia" w:cs="Times New Roman"/>
                      <w:bCs/>
                      <w:color w:val="auto"/>
                      <w:sz w:val="24"/>
                      <w:szCs w:val="24"/>
                      <w:u w:val="single" w:color="auto"/>
                      <w:lang w:eastAsia="zh-CN"/>
                    </w:rPr>
                    <w:t>国家电网</w:t>
                  </w:r>
                  <w:r>
                    <w:rPr>
                      <w:rFonts w:hint="default" w:ascii="Times New Roman" w:hAnsi="Times New Roman" w:eastAsia="宋体" w:cs="Times New Roman"/>
                      <w:bCs/>
                      <w:color w:val="auto"/>
                      <w:sz w:val="24"/>
                      <w:szCs w:val="24"/>
                      <w:u w:val="single" w:color="auto"/>
                    </w:rPr>
                    <w:t>供电系统</w:t>
                  </w:r>
                </w:p>
              </w:tc>
              <w:tc>
                <w:tcPr>
                  <w:tcW w:w="2175" w:type="dxa"/>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482" w:type="dxa"/>
                  <w:vMerge w:val="continue"/>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107" w:type="dxa"/>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给水系统</w:t>
                  </w:r>
                </w:p>
              </w:tc>
              <w:tc>
                <w:tcPr>
                  <w:tcW w:w="5453" w:type="dxa"/>
                  <w:gridSpan w:val="2"/>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市政给水管网给水</w:t>
                  </w:r>
                </w:p>
              </w:tc>
              <w:tc>
                <w:tcPr>
                  <w:tcW w:w="2175" w:type="dxa"/>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482" w:type="dxa"/>
                  <w:vMerge w:val="continue"/>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107" w:type="dxa"/>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排水系统</w:t>
                  </w:r>
                </w:p>
              </w:tc>
              <w:tc>
                <w:tcPr>
                  <w:tcW w:w="5453" w:type="dxa"/>
                  <w:gridSpan w:val="2"/>
                  <w:vAlign w:val="center"/>
                </w:tcPr>
                <w:p>
                  <w:pPr>
                    <w:adjustRightInd w:val="0"/>
                    <w:snapToGrid w:val="0"/>
                    <w:spacing w:line="360" w:lineRule="auto"/>
                    <w:jc w:val="center"/>
                    <w:rPr>
                      <w:rFonts w:hint="eastAsia" w:ascii="Times New Roman" w:hAnsi="Times New Roman" w:eastAsia="宋体" w:cs="Times New Roman"/>
                      <w:bCs/>
                      <w:color w:val="auto"/>
                      <w:sz w:val="24"/>
                      <w:szCs w:val="24"/>
                      <w:u w:val="single" w:color="auto"/>
                      <w:lang w:val="en-US" w:eastAsia="zh-CN"/>
                    </w:rPr>
                  </w:pPr>
                  <w:r>
                    <w:rPr>
                      <w:rFonts w:hint="default" w:ascii="Times New Roman" w:hAnsi="Times New Roman" w:eastAsia="宋体" w:cs="Times New Roman"/>
                      <w:color w:val="auto"/>
                      <w:sz w:val="24"/>
                      <w:szCs w:val="24"/>
                      <w:u w:val="single" w:color="auto"/>
                    </w:rPr>
                    <w:t>实行“雨污分流”排水方式</w:t>
                  </w:r>
                </w:p>
              </w:tc>
              <w:tc>
                <w:tcPr>
                  <w:tcW w:w="2175" w:type="dxa"/>
                  <w:vAlign w:val="center"/>
                </w:tcPr>
                <w:p>
                  <w:pPr>
                    <w:adjustRightInd w:val="0"/>
                    <w:snapToGrid w:val="0"/>
                    <w:spacing w:line="360" w:lineRule="auto"/>
                    <w:jc w:val="center"/>
                    <w:rPr>
                      <w:rFonts w:hint="default" w:ascii="Times New Roman" w:hAnsi="Times New Roman" w:eastAsia="宋体" w:cs="Times New Roman"/>
                      <w:color w:val="auto"/>
                      <w:sz w:val="24"/>
                      <w:szCs w:val="24"/>
                      <w:u w:val="single" w:color="auto"/>
                      <w:lang w:val="en-US"/>
                    </w:rPr>
                  </w:pPr>
                  <w:r>
                    <w:rPr>
                      <w:rFonts w:hint="eastAsia" w:cs="Times New Roman"/>
                      <w:bCs/>
                      <w:color w:val="auto"/>
                      <w:sz w:val="24"/>
                      <w:szCs w:val="24"/>
                      <w:u w:val="single" w:color="auto"/>
                      <w:lang w:val="en-US" w:eastAsia="zh-CN"/>
                    </w:rPr>
                    <w:t>需增加初期雨水池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2" w:hRule="atLeast"/>
                <w:jc w:val="center"/>
              </w:trPr>
              <w:tc>
                <w:tcPr>
                  <w:tcW w:w="482" w:type="dxa"/>
                  <w:vMerge w:val="restart"/>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环保工程</w:t>
                  </w:r>
                </w:p>
              </w:tc>
              <w:tc>
                <w:tcPr>
                  <w:tcW w:w="1107" w:type="dxa"/>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废水</w:t>
                  </w:r>
                </w:p>
              </w:tc>
              <w:tc>
                <w:tcPr>
                  <w:tcW w:w="5453" w:type="dxa"/>
                  <w:gridSpan w:val="2"/>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rPr>
                  </w:pPr>
                  <w:r>
                    <w:rPr>
                      <w:rFonts w:hint="eastAsia"/>
                      <w:color w:val="auto"/>
                      <w:sz w:val="24"/>
                      <w:szCs w:val="24"/>
                      <w:u w:val="single" w:color="auto"/>
                      <w:lang w:val="en-US" w:eastAsia="zh-CN"/>
                    </w:rPr>
                    <w:t>项目实行了</w:t>
                  </w:r>
                  <w:r>
                    <w:rPr>
                      <w:color w:val="auto"/>
                      <w:sz w:val="24"/>
                      <w:szCs w:val="24"/>
                      <w:u w:val="single" w:color="auto"/>
                    </w:rPr>
                    <w:t>雨污分流</w:t>
                  </w:r>
                  <w:r>
                    <w:rPr>
                      <w:rFonts w:hint="eastAsia"/>
                      <w:color w:val="auto"/>
                      <w:sz w:val="24"/>
                      <w:szCs w:val="24"/>
                      <w:u w:val="single" w:color="auto"/>
                      <w:lang w:eastAsia="zh-CN"/>
                    </w:rPr>
                    <w:t>，</w:t>
                  </w:r>
                  <w:r>
                    <w:rPr>
                      <w:rFonts w:hint="eastAsia"/>
                      <w:color w:val="auto"/>
                      <w:sz w:val="24"/>
                      <w:szCs w:val="24"/>
                      <w:u w:val="single" w:color="auto"/>
                      <w:lang w:val="en-US" w:eastAsia="zh-CN"/>
                    </w:rPr>
                    <w:t>初期雨水经初期雨水池收集沉淀处理排入西南侧农灌渠</w:t>
                  </w:r>
                  <w:r>
                    <w:rPr>
                      <w:color w:val="auto"/>
                      <w:sz w:val="24"/>
                      <w:szCs w:val="24"/>
                      <w:u w:val="single" w:color="auto"/>
                    </w:rPr>
                    <w:t>；</w:t>
                  </w:r>
                  <w:r>
                    <w:rPr>
                      <w:rFonts w:hint="eastAsia"/>
                      <w:color w:val="auto"/>
                      <w:sz w:val="24"/>
                      <w:szCs w:val="24"/>
                      <w:u w:val="single" w:color="auto"/>
                      <w:lang w:val="en-US" w:eastAsia="zh-CN"/>
                    </w:rPr>
                    <w:t>生活污水经三级化粪池处理后回用于周边农田、绿化施肥，不外排；生产废水经收集沉淀后回用于打料制浆工序，不外排</w:t>
                  </w:r>
                  <w:r>
                    <w:rPr>
                      <w:rFonts w:hint="default" w:ascii="Times New Roman" w:hAnsi="Times New Roman" w:cs="Times New Roman"/>
                      <w:color w:val="auto"/>
                      <w:sz w:val="24"/>
                      <w:szCs w:val="24"/>
                      <w:u w:val="single" w:color="auto"/>
                    </w:rPr>
                    <w:t>。</w:t>
                  </w:r>
                </w:p>
              </w:tc>
              <w:tc>
                <w:tcPr>
                  <w:tcW w:w="2175" w:type="dxa"/>
                  <w:vAlign w:val="center"/>
                </w:tcPr>
                <w:p>
                  <w:pPr>
                    <w:adjustRightInd w:val="0"/>
                    <w:snapToGrid w:val="0"/>
                    <w:spacing w:line="360" w:lineRule="auto"/>
                    <w:ind w:firstLine="240" w:firstLineChars="100"/>
                    <w:jc w:val="center"/>
                    <w:rPr>
                      <w:rFonts w:hint="default" w:eastAsia="宋体"/>
                      <w:color w:val="auto"/>
                      <w:sz w:val="24"/>
                      <w:szCs w:val="24"/>
                      <w:u w:val="single" w:color="auto"/>
                      <w:lang w:val="en-US" w:eastAsia="zh-CN"/>
                    </w:rPr>
                  </w:pPr>
                  <w:r>
                    <w:rPr>
                      <w:rFonts w:hint="eastAsia"/>
                      <w:color w:val="auto"/>
                      <w:sz w:val="24"/>
                      <w:szCs w:val="24"/>
                      <w:u w:val="single" w:color="auto"/>
                      <w:lang w:val="en-US" w:eastAsia="zh-CN"/>
                    </w:rPr>
                    <w:t>项目需增加初期雨水池，其余均已建设完成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107" w:type="dxa"/>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噪声</w:t>
                  </w:r>
                </w:p>
              </w:tc>
              <w:tc>
                <w:tcPr>
                  <w:tcW w:w="5453" w:type="dxa"/>
                  <w:gridSpan w:val="2"/>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合理布局，</w:t>
                  </w:r>
                  <w:r>
                    <w:rPr>
                      <w:rFonts w:hint="default" w:ascii="Times New Roman" w:hAnsi="Times New Roman" w:eastAsia="宋体" w:cs="Times New Roman"/>
                      <w:color w:val="auto"/>
                      <w:sz w:val="24"/>
                      <w:szCs w:val="24"/>
                      <w:u w:val="single" w:color="auto"/>
                    </w:rPr>
                    <w:t>对高噪设备采取隔声、减振措施进行处理。</w:t>
                  </w:r>
                </w:p>
              </w:tc>
              <w:tc>
                <w:tcPr>
                  <w:tcW w:w="2175" w:type="dxa"/>
                  <w:vAlign w:val="center"/>
                </w:tcPr>
                <w:p>
                  <w:pPr>
                    <w:adjustRightInd w:val="0"/>
                    <w:snapToGrid w:val="0"/>
                    <w:spacing w:line="360" w:lineRule="auto"/>
                    <w:ind w:firstLine="240" w:firstLineChars="100"/>
                    <w:rPr>
                      <w:rFonts w:hint="default" w:ascii="Times New Roman" w:hAnsi="Times New Roman" w:eastAsia="宋体" w:cs="Times New Roman"/>
                      <w:bCs/>
                      <w:color w:val="auto"/>
                      <w:sz w:val="24"/>
                      <w:szCs w:val="24"/>
                      <w:u w:val="single" w:color="auto"/>
                    </w:rPr>
                  </w:pPr>
                  <w:r>
                    <w:rPr>
                      <w:rFonts w:hint="eastAsia"/>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48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107" w:type="dxa"/>
                  <w:vMerge w:val="restart"/>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废气</w:t>
                  </w:r>
                </w:p>
              </w:tc>
              <w:tc>
                <w:tcPr>
                  <w:tcW w:w="5453" w:type="dxa"/>
                  <w:gridSpan w:val="2"/>
                  <w:tcBorders>
                    <w:bottom w:val="single" w:color="auto" w:sz="4" w:space="0"/>
                  </w:tcBorders>
                  <w:vAlign w:val="center"/>
                </w:tcPr>
                <w:p>
                  <w:pPr>
                    <w:adjustRightInd w:val="0"/>
                    <w:snapToGrid w:val="0"/>
                    <w:spacing w:line="360" w:lineRule="auto"/>
                    <w:jc w:val="left"/>
                    <w:rPr>
                      <w:rFonts w:hint="eastAsia" w:ascii="Times New Roman" w:hAnsi="Times New Roman" w:eastAsia="宋体" w:cs="Times New Roman"/>
                      <w:bCs/>
                      <w:color w:val="auto"/>
                      <w:sz w:val="24"/>
                      <w:szCs w:val="24"/>
                      <w:u w:val="single" w:color="auto"/>
                      <w:lang w:eastAsia="zh-CN"/>
                    </w:rPr>
                  </w:pPr>
                  <w:r>
                    <w:rPr>
                      <w:rFonts w:hint="eastAsia" w:cs="Times New Roman"/>
                      <w:bCs/>
                      <w:color w:val="auto"/>
                      <w:sz w:val="24"/>
                      <w:szCs w:val="24"/>
                      <w:u w:val="single" w:color="auto"/>
                      <w:lang w:val="en-US" w:eastAsia="zh-CN"/>
                    </w:rPr>
                    <w:t>水泥储罐粉尘经自带的脉冲式布袋除尘器</w:t>
                  </w:r>
                  <w:r>
                    <w:rPr>
                      <w:rFonts w:hint="eastAsia" w:cs="Times New Roman"/>
                      <w:bCs/>
                      <w:color w:val="auto"/>
                      <w:sz w:val="24"/>
                      <w:szCs w:val="24"/>
                      <w:u w:val="single" w:color="auto"/>
                      <w:lang w:eastAsia="zh-CN"/>
                    </w:rPr>
                    <w:t>处理后无组织排放</w:t>
                  </w:r>
                </w:p>
              </w:tc>
              <w:tc>
                <w:tcPr>
                  <w:tcW w:w="2175" w:type="dxa"/>
                  <w:tcBorders>
                    <w:bottom w:val="single" w:color="auto" w:sz="4" w:space="0"/>
                  </w:tcBorders>
                  <w:vAlign w:val="center"/>
                </w:tcPr>
                <w:p>
                  <w:pPr>
                    <w:adjustRightInd w:val="0"/>
                    <w:snapToGrid w:val="0"/>
                    <w:spacing w:line="360" w:lineRule="auto"/>
                    <w:ind w:firstLine="240" w:firstLineChars="100"/>
                    <w:rPr>
                      <w:rFonts w:hint="default" w:cs="Times New Roman"/>
                      <w:bCs/>
                      <w:color w:val="auto"/>
                      <w:sz w:val="24"/>
                      <w:szCs w:val="24"/>
                      <w:u w:val="single" w:color="auto"/>
                      <w:lang w:val="en-US" w:eastAsia="zh-CN"/>
                    </w:rPr>
                  </w:pPr>
                  <w:r>
                    <w:rPr>
                      <w:rFonts w:hint="eastAsia"/>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48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107" w:type="dxa"/>
                  <w:vMerge w:val="continue"/>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5453" w:type="dxa"/>
                  <w:gridSpan w:val="2"/>
                  <w:tcBorders>
                    <w:top w:val="single" w:color="auto" w:sz="4" w:space="0"/>
                  </w:tcBorders>
                  <w:vAlign w:val="center"/>
                </w:tcPr>
                <w:p>
                  <w:pPr>
                    <w:adjustRightInd w:val="0"/>
                    <w:snapToGrid w:val="0"/>
                    <w:spacing w:line="360" w:lineRule="auto"/>
                    <w:jc w:val="left"/>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石粉罐粉尘经自带的脉冲式布袋除尘器处理后无组织排放</w:t>
                  </w:r>
                </w:p>
              </w:tc>
              <w:tc>
                <w:tcPr>
                  <w:tcW w:w="2175" w:type="dxa"/>
                  <w:tcBorders>
                    <w:top w:val="single" w:color="auto" w:sz="4" w:space="0"/>
                  </w:tcBorders>
                  <w:vAlign w:val="center"/>
                </w:tcPr>
                <w:p>
                  <w:pPr>
                    <w:adjustRightInd w:val="0"/>
                    <w:snapToGrid w:val="0"/>
                    <w:spacing w:line="360" w:lineRule="auto"/>
                    <w:ind w:firstLine="240" w:firstLineChars="100"/>
                    <w:rPr>
                      <w:rFonts w:hint="eastAsia" w:cs="Times New Roman"/>
                      <w:bCs/>
                      <w:color w:val="auto"/>
                      <w:sz w:val="24"/>
                      <w:szCs w:val="24"/>
                      <w:u w:val="single" w:color="auto"/>
                      <w:lang w:val="en-US" w:eastAsia="zh-CN"/>
                    </w:rPr>
                  </w:pPr>
                  <w:r>
                    <w:rPr>
                      <w:rFonts w:hint="eastAsia"/>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48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107" w:type="dxa"/>
                  <w:vMerge w:val="continue"/>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5453" w:type="dxa"/>
                  <w:gridSpan w:val="2"/>
                  <w:tcBorders>
                    <w:top w:val="single" w:color="auto" w:sz="4" w:space="0"/>
                    <w:bottom w:val="single" w:color="auto" w:sz="4" w:space="0"/>
                  </w:tcBorders>
                  <w:vAlign w:val="center"/>
                </w:tcPr>
                <w:p>
                  <w:pPr>
                    <w:adjustRightInd w:val="0"/>
                    <w:snapToGrid w:val="0"/>
                    <w:spacing w:line="360" w:lineRule="auto"/>
                    <w:rPr>
                      <w:rFonts w:hint="default" w:ascii="Times New Roman" w:hAnsi="Times New Roman" w:eastAsia="宋体" w:cs="Times New Roman"/>
                      <w:color w:val="auto"/>
                      <w:sz w:val="24"/>
                      <w:szCs w:val="24"/>
                      <w:u w:val="single" w:color="auto"/>
                    </w:rPr>
                  </w:pPr>
                  <w:r>
                    <w:rPr>
                      <w:rFonts w:hint="eastAsia" w:cs="Times New Roman"/>
                      <w:color w:val="auto"/>
                      <w:sz w:val="24"/>
                      <w:szCs w:val="24"/>
                      <w:u w:val="single" w:color="auto"/>
                      <w:lang w:val="en-US" w:eastAsia="zh-CN"/>
                    </w:rPr>
                    <w:t>喷漆烘干房：</w:t>
                  </w:r>
                  <w:r>
                    <w:rPr>
                      <w:rFonts w:hint="eastAsia" w:cs="Times New Roman"/>
                      <w:color w:val="auto"/>
                      <w:sz w:val="24"/>
                      <w:szCs w:val="24"/>
                      <w:u w:val="single" w:color="auto"/>
                      <w:lang w:eastAsia="zh-CN"/>
                    </w:rPr>
                    <w:t>废气</w:t>
                  </w:r>
                  <w:r>
                    <w:rPr>
                      <w:rFonts w:hint="default" w:ascii="Times New Roman" w:hAnsi="Times New Roman" w:cs="Times New Roman"/>
                      <w:color w:val="auto"/>
                      <w:sz w:val="24"/>
                      <w:szCs w:val="24"/>
                      <w:u w:val="single" w:color="auto"/>
                      <w:lang w:eastAsia="zh-CN"/>
                    </w:rPr>
                    <w:t>经</w:t>
                  </w:r>
                  <w:r>
                    <w:rPr>
                      <w:rFonts w:hint="eastAsia" w:cs="Times New Roman"/>
                      <w:color w:val="auto"/>
                      <w:sz w:val="24"/>
                      <w:szCs w:val="24"/>
                      <w:u w:val="single" w:color="auto"/>
                      <w:lang w:eastAsia="zh-CN"/>
                    </w:rPr>
                    <w:t>过滤棉装置</w:t>
                  </w:r>
                  <w:r>
                    <w:rPr>
                      <w:rFonts w:hint="eastAsia" w:cs="Times New Roman"/>
                      <w:color w:val="auto"/>
                      <w:sz w:val="24"/>
                      <w:szCs w:val="24"/>
                      <w:u w:val="single" w:color="auto"/>
                      <w:lang w:val="en-US" w:eastAsia="zh-CN"/>
                    </w:rPr>
                    <w:t>+活性炭处理设施（需增加）</w:t>
                  </w:r>
                  <w:r>
                    <w:rPr>
                      <w:rFonts w:hint="default" w:ascii="Times New Roman" w:hAnsi="Times New Roman" w:cs="Times New Roman"/>
                      <w:color w:val="auto"/>
                      <w:sz w:val="24"/>
                      <w:szCs w:val="24"/>
                      <w:u w:val="single" w:color="auto"/>
                      <w:lang w:eastAsia="zh-CN"/>
                    </w:rPr>
                    <w:t>处理后</w:t>
                  </w:r>
                  <w:r>
                    <w:rPr>
                      <w:rFonts w:hint="default" w:ascii="Times New Roman" w:hAnsi="Times New Roman" w:eastAsia="宋体" w:cs="Times New Roman"/>
                      <w:color w:val="auto"/>
                      <w:sz w:val="24"/>
                      <w:szCs w:val="24"/>
                      <w:u w:val="single" w:color="auto"/>
                    </w:rPr>
                    <w:t>通过15m排气筒排放</w:t>
                  </w:r>
                </w:p>
              </w:tc>
              <w:tc>
                <w:tcPr>
                  <w:tcW w:w="2175" w:type="dxa"/>
                  <w:tcBorders>
                    <w:top w:val="single" w:color="auto" w:sz="4" w:space="0"/>
                  </w:tcBorders>
                  <w:vAlign w:val="center"/>
                </w:tcPr>
                <w:p>
                  <w:pPr>
                    <w:adjustRightInd w:val="0"/>
                    <w:snapToGrid w:val="0"/>
                    <w:spacing w:line="360" w:lineRule="auto"/>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项目现喷漆烘干工序废气为无组织排放，故项目喷漆烘干废气需增加处理设施和一根新增的15m高排气筒排放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2" w:type="dxa"/>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107" w:type="dxa"/>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固废</w:t>
                  </w:r>
                </w:p>
              </w:tc>
              <w:tc>
                <w:tcPr>
                  <w:tcW w:w="5453" w:type="dxa"/>
                  <w:gridSpan w:val="2"/>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生活垃圾交由环卫部门处理，</w:t>
                  </w:r>
                  <w:r>
                    <w:rPr>
                      <w:rFonts w:hint="eastAsia" w:cs="Times New Roman"/>
                      <w:bCs/>
                      <w:color w:val="auto"/>
                      <w:sz w:val="24"/>
                      <w:szCs w:val="24"/>
                      <w:u w:val="single" w:color="auto"/>
                      <w:lang w:eastAsia="zh-CN"/>
                    </w:rPr>
                    <w:t>一般固废收集后</w:t>
                  </w:r>
                  <w:r>
                    <w:rPr>
                      <w:rFonts w:hint="eastAsia" w:cs="Times New Roman"/>
                      <w:bCs/>
                      <w:color w:val="auto"/>
                      <w:sz w:val="24"/>
                      <w:szCs w:val="24"/>
                      <w:u w:val="single" w:color="auto"/>
                      <w:lang w:val="en-US" w:eastAsia="zh-CN"/>
                    </w:rPr>
                    <w:t>可回收的回收综合利用，不可回收的交由环卫部门处理</w:t>
                  </w:r>
                  <w:r>
                    <w:rPr>
                      <w:rFonts w:hint="eastAsia" w:cs="Times New Roman"/>
                      <w:bCs/>
                      <w:color w:val="auto"/>
                      <w:sz w:val="24"/>
                      <w:szCs w:val="24"/>
                      <w:u w:val="single" w:color="auto"/>
                      <w:lang w:eastAsia="zh-CN"/>
                    </w:rPr>
                    <w:t>，危险废物收集于危险废物储存间，再交由有资质单位进行处理</w:t>
                  </w:r>
                </w:p>
              </w:tc>
              <w:tc>
                <w:tcPr>
                  <w:tcW w:w="2175" w:type="dxa"/>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项目需增加危险废物储存间（位于项目办公区旁，面积为10m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lang w:val="en-US" w:eastAsia="zh-CN"/>
                    </w:rPr>
                    <w:t>）和一般固废暂存间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89" w:type="dxa"/>
                  <w:gridSpan w:val="2"/>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eastAsia" w:cs="Times New Roman"/>
                      <w:bCs/>
                      <w:color w:val="auto"/>
                      <w:sz w:val="24"/>
                      <w:szCs w:val="24"/>
                      <w:u w:val="single" w:color="auto"/>
                      <w:lang w:val="en-US" w:eastAsia="zh-CN"/>
                    </w:rPr>
                    <w:t>储运工程</w:t>
                  </w:r>
                </w:p>
              </w:tc>
              <w:tc>
                <w:tcPr>
                  <w:tcW w:w="7628" w:type="dxa"/>
                  <w:gridSpan w:val="3"/>
                  <w:vAlign w:val="center"/>
                </w:tcPr>
                <w:p>
                  <w:pPr>
                    <w:adjustRightInd w:val="0"/>
                    <w:snapToGrid w:val="0"/>
                    <w:spacing w:line="360" w:lineRule="auto"/>
                    <w:rPr>
                      <w:rFonts w:hint="eastAsia" w:cs="Times New Roman"/>
                      <w:bCs/>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eastAsia="zh-CN"/>
                    </w:rPr>
                    <w:t>原料</w:t>
                  </w:r>
                  <w:r>
                    <w:rPr>
                      <w:rFonts w:hint="eastAsia" w:eastAsia="宋体" w:cs="Times New Roman"/>
                      <w:color w:val="auto"/>
                      <w:sz w:val="24"/>
                      <w:szCs w:val="24"/>
                      <w:u w:val="single" w:color="auto"/>
                      <w:lang w:eastAsia="zh-CN"/>
                    </w:rPr>
                    <w:t>（</w:t>
                  </w:r>
                  <w:r>
                    <w:rPr>
                      <w:rFonts w:hint="eastAsia" w:eastAsia="宋体" w:cs="Times New Roman"/>
                      <w:color w:val="auto"/>
                      <w:sz w:val="24"/>
                      <w:szCs w:val="24"/>
                      <w:u w:val="single" w:color="auto"/>
                      <w:lang w:val="en-US" w:eastAsia="zh-CN"/>
                    </w:rPr>
                    <w:t>石棉纤维、纸纤维、玻璃纤维、水性漆</w:t>
                  </w:r>
                  <w:r>
                    <w:rPr>
                      <w:rFonts w:hint="eastAsia"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lang w:eastAsia="zh-CN"/>
                    </w:rPr>
                    <w:t>及产品</w:t>
                  </w:r>
                  <w:r>
                    <w:rPr>
                      <w:rFonts w:hint="eastAsia" w:eastAsia="宋体" w:cs="Times New Roman"/>
                      <w:color w:val="auto"/>
                      <w:sz w:val="24"/>
                      <w:szCs w:val="24"/>
                      <w:u w:val="single" w:color="auto"/>
                      <w:lang w:val="en-US" w:eastAsia="zh-CN"/>
                    </w:rPr>
                    <w:t>均储存于密闭车间内，石粉及水泥均储存在储罐内</w:t>
                  </w:r>
                  <w:r>
                    <w:rPr>
                      <w:rFonts w:hint="default" w:ascii="Times New Roman" w:hAnsi="Times New Roman" w:eastAsia="宋体" w:cs="Times New Roman"/>
                      <w:color w:val="auto"/>
                      <w:sz w:val="24"/>
                      <w:szCs w:val="24"/>
                      <w:u w:val="single" w:color="auto"/>
                      <w:lang w:eastAsia="zh-CN"/>
                    </w:rPr>
                    <w:t>，场内运输依托皮带运输机及铲车，场外依托社会车辆</w:t>
                  </w:r>
                </w:p>
              </w:tc>
            </w:tr>
          </w:tbl>
          <w:p>
            <w:pPr>
              <w:adjustRightInd w:val="0"/>
              <w:snapToGrid w:val="0"/>
              <w:spacing w:line="360" w:lineRule="auto"/>
              <w:ind w:firstLine="482" w:firstLineChars="200"/>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4、主要生产设备</w:t>
            </w:r>
          </w:p>
          <w:p>
            <w:pPr>
              <w:pStyle w:val="172"/>
              <w:shd w:val="clear" w:color="auto" w:fill="FFFFFF"/>
              <w:spacing w:before="0" w:beforeLines="0" w:after="0" w:afterLines="0" w:line="360" w:lineRule="auto"/>
              <w:ind w:firstLine="480" w:firstLineChars="200"/>
              <w:jc w:val="left"/>
              <w:rPr>
                <w:rFonts w:hint="default" w:ascii="Times New Roman" w:hAnsi="Times New Roman" w:cs="Times New Roman"/>
                <w:color w:val="auto"/>
                <w:u w:val="single" w:color="auto"/>
              </w:rPr>
            </w:pPr>
            <w:r>
              <w:rPr>
                <w:rFonts w:hint="default" w:ascii="Times New Roman" w:hAnsi="Times New Roman" w:eastAsia="宋体" w:cs="Times New Roman"/>
                <w:color w:val="auto"/>
                <w:u w:val="single" w:color="auto"/>
              </w:rPr>
              <w:t>主要生产设备数量及型号见表</w:t>
            </w:r>
            <w:r>
              <w:rPr>
                <w:rFonts w:hint="default" w:ascii="Times New Roman" w:hAnsi="Times New Roman" w:cs="Times New Roman"/>
                <w:color w:val="auto"/>
                <w:u w:val="single" w:color="auto"/>
              </w:rPr>
              <w:t>1-2。</w:t>
            </w:r>
          </w:p>
          <w:p>
            <w:pPr>
              <w:pStyle w:val="34"/>
              <w:jc w:val="center"/>
              <w:rPr>
                <w:rFonts w:hint="default" w:ascii="Times New Roman" w:hAnsi="Times New Roman" w:cs="Times New Roman"/>
                <w:b/>
                <w:color w:val="auto"/>
                <w:sz w:val="24"/>
                <w:u w:val="single" w:color="auto"/>
              </w:rPr>
            </w:pPr>
            <w:r>
              <w:rPr>
                <w:rFonts w:hint="default" w:ascii="Times New Roman" w:hAnsi="Times New Roman" w:cs="Times New Roman"/>
                <w:b/>
                <w:color w:val="auto"/>
                <w:sz w:val="24"/>
                <w:u w:val="single" w:color="auto"/>
              </w:rPr>
              <w:t>表1-2   主要生产设备一览表</w:t>
            </w:r>
          </w:p>
          <w:tbl>
            <w:tblPr>
              <w:tblStyle w:val="40"/>
              <w:tblW w:w="4996"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59"/>
              <w:gridCol w:w="2160"/>
              <w:gridCol w:w="1378"/>
              <w:gridCol w:w="1105"/>
              <w:gridCol w:w="832"/>
              <w:gridCol w:w="306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2" w:hRule="atLeast"/>
              </w:trPr>
              <w:tc>
                <w:tcPr>
                  <w:tcW w:w="307" w:type="pct"/>
                  <w:tcBorders>
                    <w:bottom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b/>
                      <w:i w:val="0"/>
                      <w:color w:val="auto"/>
                      <w:sz w:val="22"/>
                      <w:szCs w:val="22"/>
                      <w:u w:val="single" w:color="auto"/>
                    </w:rPr>
                  </w:pPr>
                  <w:r>
                    <w:rPr>
                      <w:rFonts w:hint="default" w:ascii="Times New Roman" w:hAnsi="Times New Roman" w:eastAsia="宋体" w:cs="Times New Roman"/>
                      <w:b/>
                      <w:i w:val="0"/>
                      <w:color w:val="auto"/>
                      <w:kern w:val="0"/>
                      <w:sz w:val="22"/>
                      <w:szCs w:val="22"/>
                      <w:u w:val="single" w:color="auto"/>
                      <w:lang w:val="en-US" w:eastAsia="zh-CN" w:bidi="ar"/>
                    </w:rPr>
                    <w:t>序号</w:t>
                  </w:r>
                </w:p>
              </w:tc>
              <w:tc>
                <w:tcPr>
                  <w:tcW w:w="1186" w:type="pct"/>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b/>
                      <w:i w:val="0"/>
                      <w:color w:val="auto"/>
                      <w:sz w:val="22"/>
                      <w:szCs w:val="22"/>
                      <w:u w:val="single" w:color="auto"/>
                    </w:rPr>
                  </w:pPr>
                  <w:r>
                    <w:rPr>
                      <w:rFonts w:hint="default" w:ascii="Times New Roman" w:hAnsi="Times New Roman" w:eastAsia="宋体" w:cs="Times New Roman"/>
                      <w:b/>
                      <w:i w:val="0"/>
                      <w:color w:val="auto"/>
                      <w:kern w:val="0"/>
                      <w:sz w:val="22"/>
                      <w:szCs w:val="22"/>
                      <w:u w:val="single" w:color="auto"/>
                      <w:lang w:val="en-US" w:eastAsia="zh-CN" w:bidi="ar"/>
                    </w:rPr>
                    <w:t>设备名称</w:t>
                  </w:r>
                </w:p>
              </w:tc>
              <w:tc>
                <w:tcPr>
                  <w:tcW w:w="757" w:type="pct"/>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b/>
                      <w:i w:val="0"/>
                      <w:color w:val="auto"/>
                      <w:sz w:val="22"/>
                      <w:szCs w:val="22"/>
                      <w:u w:val="single" w:color="auto"/>
                    </w:rPr>
                  </w:pPr>
                  <w:r>
                    <w:rPr>
                      <w:rFonts w:hint="default" w:ascii="Times New Roman" w:hAnsi="Times New Roman" w:eastAsia="宋体" w:cs="Times New Roman"/>
                      <w:b/>
                      <w:i w:val="0"/>
                      <w:color w:val="auto"/>
                      <w:kern w:val="0"/>
                      <w:sz w:val="22"/>
                      <w:szCs w:val="22"/>
                      <w:u w:val="single" w:color="auto"/>
                      <w:lang w:val="en-US" w:eastAsia="zh-CN" w:bidi="ar"/>
                    </w:rPr>
                    <w:t>规格型号</w:t>
                  </w:r>
                </w:p>
              </w:tc>
              <w:tc>
                <w:tcPr>
                  <w:tcW w:w="607" w:type="pct"/>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数量</w:t>
                  </w:r>
                </w:p>
              </w:tc>
              <w:tc>
                <w:tcPr>
                  <w:tcW w:w="457" w:type="pct"/>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单位</w:t>
                  </w:r>
                </w:p>
              </w:tc>
              <w:tc>
                <w:tcPr>
                  <w:tcW w:w="1684" w:type="pct"/>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9"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1</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val="en-US" w:eastAsia="zh-CN"/>
                    </w:rPr>
                    <w:t>打料制</w:t>
                  </w:r>
                  <w:r>
                    <w:rPr>
                      <w:rFonts w:hint="eastAsia"/>
                      <w:color w:val="auto"/>
                      <w:sz w:val="22"/>
                      <w:szCs w:val="22"/>
                      <w:u w:val="single" w:color="auto"/>
                      <w:lang w:eastAsia="zh-CN"/>
                    </w:rPr>
                    <w:t>浆机</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SD1/5200</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3</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rPr>
                  </w:pPr>
                  <w:r>
                    <w:rPr>
                      <w:rFonts w:hint="eastAsia"/>
                      <w:color w:val="auto"/>
                      <w:sz w:val="22"/>
                      <w:szCs w:val="22"/>
                      <w:u w:val="single" w:color="auto"/>
                      <w:lang w:val="en-US" w:eastAsia="zh-CN"/>
                    </w:rPr>
                    <w:t>台</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制浆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83"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2</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color w:val="auto"/>
                      <w:sz w:val="22"/>
                      <w:szCs w:val="22"/>
                      <w:u w:val="single" w:color="auto"/>
                      <w:lang w:val="en-US" w:eastAsia="zh-CN"/>
                    </w:rPr>
                  </w:pPr>
                  <w:r>
                    <w:rPr>
                      <w:rFonts w:hint="eastAsia"/>
                      <w:color w:val="auto"/>
                      <w:sz w:val="22"/>
                      <w:szCs w:val="22"/>
                      <w:u w:val="single" w:color="auto"/>
                      <w:lang w:val="en-US" w:eastAsia="zh-CN"/>
                    </w:rPr>
                    <w:t>生产一体机</w:t>
                  </w:r>
                </w:p>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（简称“主机”）</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WS/1800</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1</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rPr>
                  </w:pPr>
                  <w:r>
                    <w:rPr>
                      <w:rFonts w:hint="eastAsia"/>
                      <w:color w:val="auto"/>
                      <w:sz w:val="22"/>
                      <w:szCs w:val="22"/>
                      <w:u w:val="single" w:color="auto"/>
                      <w:lang w:val="en-US" w:eastAsia="zh-CN"/>
                    </w:rPr>
                    <w:t>台</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网轮抽水、真空脱水、打毯制坯、挤压脱水、成型、边角切割，设计生产能力为：85片/h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4"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3</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val="en-US" w:eastAsia="zh-CN"/>
                    </w:rPr>
                    <w:t>吸瓦脱模</w:t>
                  </w:r>
                  <w:r>
                    <w:rPr>
                      <w:rFonts w:hint="eastAsia"/>
                      <w:color w:val="auto"/>
                      <w:sz w:val="22"/>
                      <w:szCs w:val="22"/>
                      <w:u w:val="single" w:color="auto"/>
                      <w:lang w:eastAsia="zh-CN"/>
                    </w:rPr>
                    <w:t>机</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PUXY/3250</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2</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rPr>
                  </w:pPr>
                  <w:r>
                    <w:rPr>
                      <w:rFonts w:hint="eastAsia"/>
                      <w:color w:val="auto"/>
                      <w:sz w:val="22"/>
                      <w:szCs w:val="22"/>
                      <w:u w:val="single" w:color="auto"/>
                      <w:lang w:val="en-US" w:eastAsia="zh-CN"/>
                    </w:rPr>
                    <w:t>台</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val="en-US" w:eastAsia="zh-CN"/>
                    </w:rPr>
                    <w:t>脱模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64"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4</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翻瓦机</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XPWD</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2</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rPr>
                  </w:pPr>
                  <w:r>
                    <w:rPr>
                      <w:rFonts w:hint="eastAsia"/>
                      <w:color w:val="auto"/>
                      <w:sz w:val="22"/>
                      <w:szCs w:val="22"/>
                      <w:u w:val="single" w:color="auto"/>
                      <w:lang w:val="en-US" w:eastAsia="zh-CN"/>
                    </w:rPr>
                    <w:t>台</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翻瓦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4"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5</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val="en-US" w:eastAsia="zh-CN"/>
                    </w:rPr>
                    <w:t>吸瓦脱模</w:t>
                  </w:r>
                  <w:r>
                    <w:rPr>
                      <w:rFonts w:hint="eastAsia"/>
                      <w:color w:val="auto"/>
                      <w:sz w:val="22"/>
                      <w:szCs w:val="22"/>
                      <w:u w:val="single" w:color="auto"/>
                      <w:lang w:eastAsia="zh-CN"/>
                    </w:rPr>
                    <w:t>机</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DUR/1325</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2</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rPr>
                  </w:pPr>
                  <w:r>
                    <w:rPr>
                      <w:rFonts w:hint="eastAsia"/>
                      <w:color w:val="auto"/>
                      <w:sz w:val="22"/>
                      <w:szCs w:val="22"/>
                      <w:u w:val="single" w:color="auto"/>
                      <w:lang w:val="en-US" w:eastAsia="zh-CN"/>
                    </w:rPr>
                    <w:t>台</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val="en-US" w:eastAsia="zh-CN"/>
                    </w:rPr>
                    <w:t>脱模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87"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6</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成型出垛机</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WEX/103</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1</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台</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堆瓦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7"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7</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成品吊波机</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T/1.5T</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3</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rPr>
                  </w:pPr>
                  <w:r>
                    <w:rPr>
                      <w:rFonts w:hint="eastAsia"/>
                      <w:color w:val="auto"/>
                      <w:sz w:val="22"/>
                      <w:szCs w:val="22"/>
                      <w:u w:val="single" w:color="auto"/>
                      <w:lang w:val="en-US" w:eastAsia="zh-CN"/>
                    </w:rPr>
                    <w:t>台</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吊瓦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0"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8</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b w:val="0"/>
                      <w:bCs/>
                      <w:color w:val="auto"/>
                      <w:sz w:val="22"/>
                      <w:szCs w:val="22"/>
                      <w:u w:val="single" w:color="auto"/>
                      <w:lang w:val="en-US" w:eastAsia="zh-CN"/>
                    </w:rPr>
                    <w:t>水泥</w:t>
                  </w:r>
                  <w:r>
                    <w:rPr>
                      <w:rFonts w:hint="eastAsia"/>
                      <w:b w:val="0"/>
                      <w:bCs/>
                      <w:color w:val="auto"/>
                      <w:sz w:val="22"/>
                      <w:szCs w:val="22"/>
                      <w:u w:val="single" w:color="auto"/>
                      <w:lang w:eastAsia="zh-CN"/>
                    </w:rPr>
                    <w:t>储存罐</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60t</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rPr>
                  </w:pPr>
                  <w:r>
                    <w:rPr>
                      <w:rFonts w:hint="eastAsia"/>
                      <w:color w:val="auto"/>
                      <w:sz w:val="22"/>
                      <w:szCs w:val="22"/>
                      <w:u w:val="single" w:color="auto"/>
                      <w:lang w:val="en-US" w:eastAsia="zh-CN"/>
                    </w:rPr>
                    <w:t>个</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val="en-US" w:eastAsia="zh-CN"/>
                    </w:rPr>
                    <w:t>水泥</w:t>
                  </w:r>
                  <w:r>
                    <w:rPr>
                      <w:rFonts w:hint="eastAsia"/>
                      <w:color w:val="auto"/>
                      <w:sz w:val="22"/>
                      <w:szCs w:val="22"/>
                      <w:u w:val="single" w:color="auto"/>
                      <w:lang w:eastAsia="zh-CN"/>
                    </w:rPr>
                    <w:t>储存，</w:t>
                  </w:r>
                  <w:r>
                    <w:rPr>
                      <w:rFonts w:hint="eastAsia"/>
                      <w:color w:val="auto"/>
                      <w:sz w:val="22"/>
                      <w:szCs w:val="22"/>
                      <w:u w:val="single" w:color="auto"/>
                      <w:lang w:val="en-US" w:eastAsia="zh-CN"/>
                    </w:rPr>
                    <w:t>自带配套的脉冲式布袋除尘器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2"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9</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模具</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eastAsia="zh-CN"/>
                    </w:rPr>
                    <w:t>铁</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3000</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rPr>
                  </w:pPr>
                  <w:r>
                    <w:rPr>
                      <w:rFonts w:hint="eastAsia"/>
                      <w:color w:val="auto"/>
                      <w:sz w:val="22"/>
                      <w:szCs w:val="22"/>
                      <w:u w:val="single" w:color="auto"/>
                      <w:lang w:val="en-US" w:eastAsia="zh-CN"/>
                    </w:rPr>
                    <w:t>片</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2"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10</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both"/>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石棉瓦喷烤一体设备</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XDW</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套</w:t>
                  </w:r>
                </w:p>
              </w:tc>
              <w:tc>
                <w:tcPr>
                  <w:tcW w:w="168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喷漆、烤漆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0"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11</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b w:val="0"/>
                      <w:bCs/>
                      <w:color w:val="auto"/>
                      <w:sz w:val="22"/>
                      <w:szCs w:val="22"/>
                      <w:u w:val="single" w:color="auto"/>
                      <w:lang w:val="en-US" w:eastAsia="zh-CN"/>
                    </w:rPr>
                    <w:t>石粉</w:t>
                  </w:r>
                  <w:r>
                    <w:rPr>
                      <w:rFonts w:hint="eastAsia"/>
                      <w:b w:val="0"/>
                      <w:bCs/>
                      <w:color w:val="auto"/>
                      <w:sz w:val="22"/>
                      <w:szCs w:val="22"/>
                      <w:u w:val="single" w:color="auto"/>
                      <w:lang w:eastAsia="zh-CN"/>
                    </w:rPr>
                    <w:t>储存罐</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60t</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rPr>
                  </w:pPr>
                  <w:r>
                    <w:rPr>
                      <w:rFonts w:hint="eastAsia"/>
                      <w:color w:val="auto"/>
                      <w:sz w:val="22"/>
                      <w:szCs w:val="22"/>
                      <w:u w:val="single" w:color="auto"/>
                      <w:lang w:val="en-US" w:eastAsia="zh-CN"/>
                    </w:rPr>
                    <w:t>个</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val="en-US" w:eastAsia="zh-CN"/>
                    </w:rPr>
                    <w:t>石粉</w:t>
                  </w:r>
                  <w:r>
                    <w:rPr>
                      <w:rFonts w:hint="eastAsia"/>
                      <w:color w:val="auto"/>
                      <w:sz w:val="22"/>
                      <w:szCs w:val="22"/>
                      <w:u w:val="single" w:color="auto"/>
                      <w:lang w:eastAsia="zh-CN"/>
                    </w:rPr>
                    <w:t>储存，</w:t>
                  </w:r>
                  <w:r>
                    <w:rPr>
                      <w:rFonts w:hint="eastAsia"/>
                      <w:color w:val="auto"/>
                      <w:sz w:val="22"/>
                      <w:szCs w:val="22"/>
                      <w:u w:val="single" w:color="auto"/>
                      <w:lang w:val="en-US" w:eastAsia="zh-CN"/>
                    </w:rPr>
                    <w:t>自带配套的脉冲式布袋除尘器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12</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b w:val="0"/>
                      <w:bCs/>
                      <w:color w:val="auto"/>
                      <w:sz w:val="22"/>
                      <w:szCs w:val="22"/>
                      <w:u w:val="single" w:color="auto"/>
                      <w:lang w:val="en-US" w:eastAsia="zh-CN"/>
                    </w:rPr>
                    <w:t>水</w:t>
                  </w:r>
                  <w:r>
                    <w:rPr>
                      <w:rFonts w:hint="eastAsia"/>
                      <w:b w:val="0"/>
                      <w:bCs/>
                      <w:color w:val="auto"/>
                      <w:sz w:val="22"/>
                      <w:szCs w:val="22"/>
                      <w:u w:val="single" w:color="auto"/>
                      <w:lang w:eastAsia="zh-CN"/>
                    </w:rPr>
                    <w:t>储存罐</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40t</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2</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rPr>
                  </w:pPr>
                  <w:r>
                    <w:rPr>
                      <w:rFonts w:hint="eastAsia"/>
                      <w:color w:val="auto"/>
                      <w:sz w:val="22"/>
                      <w:szCs w:val="22"/>
                      <w:u w:val="single" w:color="auto"/>
                      <w:lang w:val="en-US" w:eastAsia="zh-CN"/>
                    </w:rPr>
                    <w:t>个</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val="en-US" w:eastAsia="zh-CN"/>
                    </w:rPr>
                    <w:t>制浆用水</w:t>
                  </w:r>
                  <w:r>
                    <w:rPr>
                      <w:rFonts w:hint="eastAsia"/>
                      <w:color w:val="auto"/>
                      <w:sz w:val="22"/>
                      <w:szCs w:val="22"/>
                      <w:u w:val="single" w:color="auto"/>
                      <w:lang w:eastAsia="zh-CN"/>
                    </w:rPr>
                    <w:t>储存、</w:t>
                  </w:r>
                  <w:r>
                    <w:rPr>
                      <w:rFonts w:hint="eastAsia"/>
                      <w:color w:val="auto"/>
                      <w:sz w:val="22"/>
                      <w:szCs w:val="22"/>
                      <w:u w:val="single" w:color="auto"/>
                      <w:lang w:val="en-US" w:eastAsia="zh-CN"/>
                    </w:rPr>
                    <w:t>生产用水储存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2"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default" w:ascii="Times New Roman" w:hAnsi="Times New Roman" w:eastAsia="宋体" w:cs="Times New Roman"/>
                      <w:i w:val="0"/>
                      <w:color w:val="auto"/>
                      <w:kern w:val="0"/>
                      <w:sz w:val="22"/>
                      <w:szCs w:val="22"/>
                      <w:u w:val="single" w:color="auto"/>
                      <w:lang w:val="en-US" w:eastAsia="zh-CN" w:bidi="ar"/>
                    </w:rPr>
                    <w:t>13</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b w:val="0"/>
                      <w:bCs/>
                      <w:color w:val="auto"/>
                      <w:sz w:val="22"/>
                      <w:szCs w:val="22"/>
                      <w:u w:val="single" w:color="auto"/>
                      <w:lang w:val="en-US" w:eastAsia="zh-CN"/>
                    </w:rPr>
                  </w:pPr>
                  <w:r>
                    <w:rPr>
                      <w:rFonts w:hint="eastAsia"/>
                      <w:b w:val="0"/>
                      <w:bCs/>
                      <w:color w:val="auto"/>
                      <w:sz w:val="22"/>
                      <w:szCs w:val="22"/>
                      <w:u w:val="single" w:color="auto"/>
                      <w:lang w:val="en-US" w:eastAsia="zh-CN"/>
                    </w:rPr>
                    <w:t>皮带输送机</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olor w:val="auto"/>
                      <w:sz w:val="22"/>
                      <w:szCs w:val="22"/>
                      <w:u w:val="single" w:color="auto"/>
                      <w:lang w:val="en-US" w:eastAsia="zh-CN"/>
                    </w:rPr>
                  </w:pPr>
                  <w:r>
                    <w:rPr>
                      <w:rFonts w:hint="eastAsia"/>
                      <w:color w:val="auto"/>
                      <w:sz w:val="22"/>
                      <w:szCs w:val="22"/>
                      <w:u w:val="single" w:color="auto"/>
                      <w:lang w:val="en-US" w:eastAsia="zh-CN"/>
                    </w:rPr>
                    <w:t>套</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olor w:val="auto"/>
                      <w:sz w:val="22"/>
                      <w:szCs w:val="22"/>
                      <w:u w:val="single" w:color="auto"/>
                      <w:lang w:val="en-US" w:eastAsia="zh-CN"/>
                    </w:rPr>
                  </w:pPr>
                  <w:r>
                    <w:rPr>
                      <w:rFonts w:hint="eastAsia"/>
                      <w:color w:val="auto"/>
                      <w:sz w:val="22"/>
                      <w:szCs w:val="22"/>
                      <w:u w:val="single" w:color="auto"/>
                      <w:lang w:val="en-US" w:eastAsia="zh-CN"/>
                    </w:rPr>
                    <w:t>输送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597"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14</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b w:val="0"/>
                      <w:bCs/>
                      <w:color w:val="auto"/>
                      <w:sz w:val="22"/>
                      <w:szCs w:val="22"/>
                      <w:u w:val="single" w:color="auto"/>
                      <w:lang w:val="en-US" w:eastAsia="zh-CN"/>
                    </w:rPr>
                  </w:pPr>
                  <w:r>
                    <w:rPr>
                      <w:rFonts w:hint="eastAsia"/>
                      <w:b w:val="0"/>
                      <w:bCs/>
                      <w:color w:val="auto"/>
                      <w:sz w:val="22"/>
                      <w:szCs w:val="22"/>
                      <w:u w:val="single" w:color="auto"/>
                      <w:lang w:val="en-US" w:eastAsia="zh-CN"/>
                    </w:rPr>
                    <w:t>搅拌机</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2</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olor w:val="auto"/>
                      <w:sz w:val="22"/>
                      <w:szCs w:val="22"/>
                      <w:u w:val="single" w:color="auto"/>
                      <w:lang w:val="en-US" w:eastAsia="zh-CN"/>
                    </w:rPr>
                  </w:pPr>
                  <w:r>
                    <w:rPr>
                      <w:rFonts w:hint="eastAsia"/>
                      <w:color w:val="auto"/>
                      <w:sz w:val="22"/>
                      <w:szCs w:val="22"/>
                      <w:u w:val="single" w:color="auto"/>
                      <w:lang w:val="en-US" w:eastAsia="zh-CN"/>
                    </w:rPr>
                    <w:t>个</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olor w:val="auto"/>
                      <w:sz w:val="22"/>
                      <w:szCs w:val="22"/>
                      <w:u w:val="single" w:color="auto"/>
                      <w:lang w:val="en-US" w:eastAsia="zh-CN"/>
                    </w:rPr>
                  </w:pPr>
                  <w:r>
                    <w:rPr>
                      <w:rFonts w:hint="eastAsia"/>
                      <w:color w:val="auto"/>
                      <w:sz w:val="22"/>
                      <w:szCs w:val="22"/>
                      <w:u w:val="single" w:color="auto"/>
                      <w:lang w:val="en-US" w:eastAsia="zh-CN"/>
                    </w:rPr>
                    <w:t>搅拌混合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2"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15</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b w:val="0"/>
                      <w:bCs/>
                      <w:color w:val="auto"/>
                      <w:sz w:val="22"/>
                      <w:szCs w:val="22"/>
                      <w:u w:val="single" w:color="auto"/>
                      <w:lang w:val="en-US" w:eastAsia="zh-CN"/>
                    </w:rPr>
                  </w:pPr>
                  <w:r>
                    <w:rPr>
                      <w:rFonts w:hint="eastAsia"/>
                      <w:b w:val="0"/>
                      <w:bCs/>
                      <w:color w:val="auto"/>
                      <w:sz w:val="22"/>
                      <w:szCs w:val="22"/>
                      <w:u w:val="single" w:color="auto"/>
                      <w:lang w:val="en-US" w:eastAsia="zh-CN"/>
                    </w:rPr>
                    <w:t>废料收集池</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1m</w:t>
                  </w:r>
                  <w:r>
                    <w:rPr>
                      <w:rFonts w:hint="eastAsia" w:cs="Times New Roman"/>
                      <w:i w:val="0"/>
                      <w:color w:val="auto"/>
                      <w:sz w:val="22"/>
                      <w:szCs w:val="22"/>
                      <w:u w:val="single" w:color="auto"/>
                      <w:vertAlign w:val="superscript"/>
                      <w:lang w:val="en-US" w:eastAsia="zh-CN"/>
                    </w:rPr>
                    <w:t>3</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olor w:val="auto"/>
                      <w:sz w:val="22"/>
                      <w:szCs w:val="22"/>
                      <w:u w:val="single" w:color="auto"/>
                      <w:lang w:val="en-US" w:eastAsia="zh-CN"/>
                    </w:rPr>
                  </w:pPr>
                  <w:r>
                    <w:rPr>
                      <w:rFonts w:hint="eastAsia"/>
                      <w:color w:val="auto"/>
                      <w:sz w:val="22"/>
                      <w:szCs w:val="22"/>
                      <w:u w:val="single" w:color="auto"/>
                      <w:lang w:val="en-US" w:eastAsia="zh-CN"/>
                    </w:rPr>
                    <w:t>个</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olor w:val="auto"/>
                      <w:sz w:val="22"/>
                      <w:szCs w:val="22"/>
                      <w:u w:val="single" w:color="auto"/>
                      <w:lang w:val="en-US" w:eastAsia="zh-CN"/>
                    </w:rPr>
                  </w:pPr>
                  <w:r>
                    <w:rPr>
                      <w:rFonts w:hint="eastAsia"/>
                      <w:color w:val="auto"/>
                      <w:sz w:val="22"/>
                      <w:szCs w:val="22"/>
                      <w:u w:val="single" w:color="auto"/>
                      <w:lang w:val="en-US" w:eastAsia="zh-CN"/>
                    </w:rPr>
                    <w:t>收集废边角料及不合格产品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30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16</w:t>
                  </w:r>
                </w:p>
              </w:tc>
              <w:tc>
                <w:tcPr>
                  <w:tcW w:w="1186"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b w:val="0"/>
                      <w:bCs/>
                      <w:color w:val="auto"/>
                      <w:sz w:val="22"/>
                      <w:szCs w:val="22"/>
                      <w:u w:val="single" w:color="auto"/>
                      <w:lang w:val="en-US" w:eastAsia="zh-CN"/>
                    </w:rPr>
                  </w:pPr>
                  <w:r>
                    <w:rPr>
                      <w:rFonts w:hint="eastAsia"/>
                      <w:b w:val="0"/>
                      <w:bCs/>
                      <w:color w:val="auto"/>
                      <w:sz w:val="22"/>
                      <w:szCs w:val="22"/>
                      <w:u w:val="single" w:color="auto"/>
                      <w:lang w:val="en-US" w:eastAsia="zh-CN"/>
                    </w:rPr>
                    <w:t>搅拌池</w:t>
                  </w:r>
                </w:p>
              </w:tc>
              <w:tc>
                <w:tcPr>
                  <w:tcW w:w="7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2.5m</w:t>
                  </w:r>
                  <w:r>
                    <w:rPr>
                      <w:rFonts w:hint="eastAsia" w:cs="Times New Roman"/>
                      <w:i w:val="0"/>
                      <w:color w:val="auto"/>
                      <w:sz w:val="22"/>
                      <w:szCs w:val="22"/>
                      <w:u w:val="single" w:color="auto"/>
                      <w:vertAlign w:val="superscript"/>
                      <w:lang w:val="en-US" w:eastAsia="zh-CN"/>
                    </w:rPr>
                    <w:t>3</w:t>
                  </w:r>
                </w:p>
              </w:tc>
              <w:tc>
                <w:tcPr>
                  <w:tcW w:w="60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3</w:t>
                  </w:r>
                </w:p>
              </w:tc>
              <w:tc>
                <w:tcPr>
                  <w:tcW w:w="457"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olor w:val="auto"/>
                      <w:sz w:val="22"/>
                      <w:szCs w:val="22"/>
                      <w:u w:val="single" w:color="auto"/>
                      <w:lang w:val="en-US" w:eastAsia="zh-CN"/>
                    </w:rPr>
                  </w:pPr>
                  <w:r>
                    <w:rPr>
                      <w:rFonts w:hint="eastAsia"/>
                      <w:color w:val="auto"/>
                      <w:sz w:val="22"/>
                      <w:szCs w:val="22"/>
                      <w:u w:val="single" w:color="auto"/>
                      <w:lang w:val="en-US" w:eastAsia="zh-CN"/>
                    </w:rPr>
                    <w:t>个</w:t>
                  </w:r>
                </w:p>
              </w:tc>
              <w:tc>
                <w:tcPr>
                  <w:tcW w:w="1684" w:type="pct"/>
                  <w:tcBorders>
                    <w:tl2br w:val="nil"/>
                    <w:tr2bl w:val="nil"/>
                  </w:tcBorders>
                  <w:shd w:val="clear" w:color="auto" w:fill="auto"/>
                  <w:noWrap/>
                  <w:tcMar>
                    <w:top w:w="15" w:type="dxa"/>
                    <w:left w:w="15" w:type="dxa"/>
                    <w:right w:w="15" w:type="dxa"/>
                  </w:tcMar>
                  <w:vAlign w:val="center"/>
                </w:tcPr>
                <w:p>
                  <w:pPr>
                    <w:adjustRightInd w:val="0"/>
                    <w:snapToGrid w:val="0"/>
                    <w:spacing w:line="360" w:lineRule="auto"/>
                    <w:jc w:val="center"/>
                    <w:rPr>
                      <w:rFonts w:hint="default"/>
                      <w:color w:val="auto"/>
                      <w:sz w:val="22"/>
                      <w:szCs w:val="22"/>
                      <w:u w:val="single" w:color="auto"/>
                      <w:lang w:val="en-US" w:eastAsia="zh-CN"/>
                    </w:rPr>
                  </w:pPr>
                  <w:r>
                    <w:rPr>
                      <w:rFonts w:hint="eastAsia"/>
                      <w:color w:val="auto"/>
                      <w:sz w:val="22"/>
                      <w:szCs w:val="22"/>
                      <w:u w:val="single" w:color="auto"/>
                      <w:lang w:val="en-US" w:eastAsia="zh-CN"/>
                    </w:rPr>
                    <w:t>打料制浆</w:t>
                  </w:r>
                </w:p>
              </w:tc>
            </w:tr>
          </w:tbl>
          <w:p>
            <w:pPr>
              <w:spacing w:line="360" w:lineRule="auto"/>
              <w:ind w:firstLine="456" w:firstLineChars="200"/>
              <w:rPr>
                <w:rFonts w:hint="default" w:eastAsia="宋体"/>
                <w:color w:val="auto"/>
                <w:spacing w:val="-6"/>
                <w:sz w:val="24"/>
                <w:u w:val="single" w:color="auto"/>
                <w:lang w:val="en-US" w:eastAsia="zh-CN"/>
              </w:rPr>
            </w:pPr>
            <w:r>
              <w:rPr>
                <w:rFonts w:hint="eastAsia"/>
                <w:color w:val="auto"/>
                <w:spacing w:val="-6"/>
                <w:sz w:val="24"/>
                <w:u w:val="single" w:color="auto"/>
                <w:lang w:val="en-US" w:eastAsia="zh-CN"/>
              </w:rPr>
              <w:t>项目生产设备设计生产能力为85片/h，项目年工作300天，每天工作8小时，，故生产设备满负荷生产情况小，年产量为204000万片。项目设计产能为年产20万片石棉瓦，故生产设备生产能力可满足其产能要求。</w:t>
            </w:r>
          </w:p>
          <w:p>
            <w:pPr>
              <w:spacing w:line="360" w:lineRule="auto"/>
              <w:ind w:firstLine="456" w:firstLineChars="200"/>
              <w:rPr>
                <w:rFonts w:hint="default" w:ascii="Times New Roman" w:hAnsi="Times New Roman" w:cs="Times New Roman"/>
                <w:b/>
                <w:color w:val="auto"/>
                <w:sz w:val="24"/>
                <w:szCs w:val="24"/>
                <w:u w:val="single" w:color="auto"/>
              </w:rPr>
            </w:pPr>
            <w:r>
              <w:rPr>
                <w:color w:val="auto"/>
                <w:spacing w:val="-6"/>
                <w:sz w:val="24"/>
                <w:u w:val="single" w:color="auto"/>
              </w:rPr>
              <w:t>项目设备</w:t>
            </w:r>
            <w:r>
              <w:rPr>
                <w:rFonts w:hint="default" w:ascii="Times New Roman" w:hAnsi="Times New Roman" w:eastAsia="宋体" w:cs="Times New Roman"/>
                <w:bCs/>
                <w:color w:val="auto"/>
                <w:sz w:val="24"/>
                <w:szCs w:val="24"/>
                <w:u w:val="single" w:color="auto"/>
              </w:rPr>
              <w:t>无国家发改委《产业结构调整指导目录》（2019 年本）</w:t>
            </w:r>
            <w:r>
              <w:rPr>
                <w:rFonts w:hint="eastAsia" w:ascii="Times New Roman" w:hAnsi="Times New Roman" w:eastAsia="宋体" w:cs="Times New Roman"/>
                <w:bCs/>
                <w:color w:val="auto"/>
                <w:sz w:val="24"/>
                <w:szCs w:val="24"/>
                <w:u w:val="single" w:color="auto"/>
                <w:lang w:eastAsia="zh-CN"/>
              </w:rPr>
              <w:t>、</w:t>
            </w:r>
            <w:r>
              <w:rPr>
                <w:rFonts w:hint="default" w:ascii="Times New Roman" w:hAnsi="Times New Roman" w:eastAsia="宋体" w:cs="Times New Roman"/>
                <w:bCs/>
                <w:color w:val="auto"/>
                <w:sz w:val="24"/>
                <w:szCs w:val="24"/>
                <w:u w:val="single" w:color="auto"/>
              </w:rPr>
              <w:t>《工业和信息化部高耗能落后机电设备（产品）淘汰目录》、《部分工业行业淘汰落后生产工艺装备和产品指导目录》中淘汰及明令禁止使用的设备</w:t>
            </w:r>
            <w:r>
              <w:rPr>
                <w:rFonts w:hint="eastAsia" w:ascii="Times New Roman" w:hAnsi="Times New Roman" w:cs="Times New Roman"/>
                <w:color w:val="auto"/>
                <w:sz w:val="24"/>
                <w:highlight w:val="none"/>
                <w:u w:val="single" w:color="auto"/>
                <w:lang w:eastAsia="zh-CN"/>
              </w:rPr>
              <w:t>。</w:t>
            </w:r>
          </w:p>
          <w:p>
            <w:pPr>
              <w:ind w:firstLine="482" w:firstLineChars="200"/>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5、产品方案及原辅材料消耗</w:t>
            </w:r>
          </w:p>
          <w:p>
            <w:pPr>
              <w:spacing w:line="500" w:lineRule="exact"/>
              <w:ind w:firstLine="480" w:firstLineChars="200"/>
              <w:jc w:val="left"/>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（1）本项目产品方案见表1-3。</w:t>
            </w:r>
          </w:p>
          <w:p>
            <w:pPr>
              <w:jc w:val="center"/>
              <w:rPr>
                <w:rFonts w:hint="default" w:ascii="Times New Roman" w:hAnsi="Times New Roman" w:cs="Times New Roman"/>
                <w:color w:val="auto"/>
                <w:sz w:val="24"/>
                <w:szCs w:val="24"/>
                <w:u w:val="single" w:color="auto"/>
              </w:rPr>
            </w:pPr>
            <w:r>
              <w:rPr>
                <w:rFonts w:hint="default" w:ascii="Times New Roman" w:hAnsi="Times New Roman" w:cs="Times New Roman"/>
                <w:b/>
                <w:bCs/>
                <w:color w:val="auto"/>
                <w:sz w:val="24"/>
                <w:szCs w:val="24"/>
                <w:u w:val="single" w:color="auto"/>
              </w:rPr>
              <w:t>表1-3  产品方案一览表</w:t>
            </w:r>
          </w:p>
          <w:tbl>
            <w:tblPr>
              <w:tblStyle w:val="40"/>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029"/>
              <w:gridCol w:w="3198"/>
              <w:gridCol w:w="28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atLeast"/>
                <w:jc w:val="center"/>
              </w:trPr>
              <w:tc>
                <w:tcPr>
                  <w:tcW w:w="1669" w:type="pct"/>
                  <w:vAlign w:val="center"/>
                </w:tcPr>
                <w:p>
                  <w:pPr>
                    <w:pStyle w:val="171"/>
                    <w:spacing w:line="360" w:lineRule="auto"/>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产品名称</w:t>
                  </w:r>
                </w:p>
              </w:tc>
              <w:tc>
                <w:tcPr>
                  <w:tcW w:w="1762" w:type="pct"/>
                  <w:vAlign w:val="center"/>
                </w:tcPr>
                <w:p>
                  <w:pPr>
                    <w:pStyle w:val="171"/>
                    <w:spacing w:line="360" w:lineRule="auto"/>
                    <w:rPr>
                      <w:rFonts w:hint="eastAsia" w:ascii="Times New Roman" w:hAnsi="Times New Roman" w:eastAsia="宋体" w:cs="Times New Roman"/>
                      <w:b/>
                      <w:color w:val="auto"/>
                      <w:sz w:val="22"/>
                      <w:szCs w:val="22"/>
                      <w:u w:val="single" w:color="auto"/>
                      <w:lang w:eastAsia="zh-CN"/>
                    </w:rPr>
                  </w:pPr>
                  <w:r>
                    <w:rPr>
                      <w:rFonts w:hint="default" w:ascii="Times New Roman" w:hAnsi="Times New Roman" w:cs="Times New Roman"/>
                      <w:b/>
                      <w:color w:val="auto"/>
                      <w:sz w:val="22"/>
                      <w:szCs w:val="22"/>
                      <w:u w:val="single" w:color="auto"/>
                    </w:rPr>
                    <w:t>年</w:t>
                  </w:r>
                  <w:r>
                    <w:rPr>
                      <w:rFonts w:hint="eastAsia" w:cs="Times New Roman"/>
                      <w:b/>
                      <w:color w:val="auto"/>
                      <w:sz w:val="22"/>
                      <w:szCs w:val="22"/>
                      <w:u w:val="single" w:color="auto"/>
                      <w:lang w:eastAsia="zh-CN"/>
                    </w:rPr>
                    <w:t>产量</w:t>
                  </w:r>
                </w:p>
              </w:tc>
              <w:tc>
                <w:tcPr>
                  <w:tcW w:w="1567" w:type="pct"/>
                  <w:vAlign w:val="center"/>
                </w:tcPr>
                <w:p>
                  <w:pPr>
                    <w:pStyle w:val="171"/>
                    <w:spacing w:line="360" w:lineRule="auto"/>
                    <w:rPr>
                      <w:rFonts w:hint="eastAsia" w:ascii="Times New Roman" w:hAnsi="Times New Roman" w:eastAsia="宋体" w:cs="Times New Roman"/>
                      <w:b/>
                      <w:color w:val="auto"/>
                      <w:sz w:val="22"/>
                      <w:szCs w:val="22"/>
                      <w:u w:val="single" w:color="auto"/>
                      <w:lang w:eastAsia="zh-CN"/>
                    </w:rPr>
                  </w:pPr>
                  <w:r>
                    <w:rPr>
                      <w:rFonts w:hint="eastAsia" w:cs="Times New Roman"/>
                      <w:b/>
                      <w:color w:val="auto"/>
                      <w:sz w:val="22"/>
                      <w:szCs w:val="22"/>
                      <w:u w:val="single" w:color="auto"/>
                      <w:lang w:val="en-US" w:eastAsia="zh-CN"/>
                    </w:rPr>
                    <w:t>型号</w:t>
                  </w:r>
                  <w:r>
                    <w:rPr>
                      <w:rFonts w:hint="eastAsia"/>
                      <w:b/>
                      <w:color w:val="auto"/>
                      <w:sz w:val="22"/>
                      <w:szCs w:val="22"/>
                      <w:u w:val="single" w:color="auto"/>
                      <w:lang w:eastAsia="zh-CN"/>
                    </w:rPr>
                    <w:t>（长、宽、厚）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669" w:type="pct"/>
                  <w:vAlign w:val="center"/>
                </w:tcPr>
                <w:p>
                  <w:pPr>
                    <w:pStyle w:val="171"/>
                    <w:spacing w:line="360" w:lineRule="auto"/>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石棉瓦</w:t>
                  </w:r>
                </w:p>
              </w:tc>
              <w:tc>
                <w:tcPr>
                  <w:tcW w:w="1762" w:type="pct"/>
                  <w:vAlign w:val="center"/>
                </w:tcPr>
                <w:p>
                  <w:pPr>
                    <w:pStyle w:val="171"/>
                    <w:spacing w:line="360" w:lineRule="auto"/>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20万片（其中有5万片进行喷漆，其余均不需要）</w:t>
                  </w:r>
                </w:p>
              </w:tc>
              <w:tc>
                <w:tcPr>
                  <w:tcW w:w="1567" w:type="pct"/>
                  <w:vAlign w:val="center"/>
                </w:tcPr>
                <w:p>
                  <w:pPr>
                    <w:pStyle w:val="171"/>
                    <w:spacing w:line="360" w:lineRule="auto"/>
                    <w:rPr>
                      <w:rFonts w:hint="default" w:ascii="Times New Roman" w:hAnsi="Times New Roman" w:eastAsia="宋体" w:cs="Times New Roman"/>
                      <w:color w:val="auto"/>
                      <w:sz w:val="22"/>
                      <w:szCs w:val="22"/>
                      <w:u w:val="single" w:color="auto"/>
                      <w:lang w:val="en-US" w:eastAsia="zh-CN"/>
                    </w:rPr>
                  </w:pPr>
                  <w:r>
                    <w:rPr>
                      <w:rFonts w:hint="eastAsia"/>
                      <w:b/>
                      <w:color w:val="auto"/>
                      <w:sz w:val="22"/>
                      <w:szCs w:val="22"/>
                      <w:u w:val="single" w:color="auto"/>
                      <w:lang w:val="en-US" w:eastAsia="zh-CN"/>
                    </w:rPr>
                    <w:t>1.8M*0.72M*0.03M</w:t>
                  </w:r>
                </w:p>
              </w:tc>
            </w:tr>
          </w:tbl>
          <w:p>
            <w:pPr>
              <w:pStyle w:val="173"/>
              <w:ind w:firstLine="480"/>
              <w:rPr>
                <w:rFonts w:hint="default" w:ascii="Times New Roman" w:hAnsi="Times New Roman" w:eastAsia="宋体" w:cs="Times New Roman"/>
                <w:b/>
                <w:color w:val="auto"/>
                <w:u w:val="single" w:color="auto"/>
              </w:rPr>
            </w:pPr>
            <w:r>
              <w:rPr>
                <w:rFonts w:hint="default" w:ascii="Times New Roman" w:hAnsi="Times New Roman" w:cs="Times New Roman"/>
                <w:color w:val="auto"/>
                <w:u w:val="single" w:color="auto"/>
              </w:rPr>
              <w:t>（2）本项目主要的原材料</w:t>
            </w:r>
            <w:r>
              <w:rPr>
                <w:rFonts w:hint="eastAsia" w:cs="Times New Roman"/>
                <w:color w:val="auto"/>
                <w:u w:val="single" w:color="auto"/>
                <w:lang w:eastAsia="zh-CN"/>
              </w:rPr>
              <w:t>及能源</w:t>
            </w:r>
            <w:r>
              <w:rPr>
                <w:rFonts w:hint="default" w:ascii="Times New Roman" w:hAnsi="Times New Roman" w:cs="Times New Roman"/>
                <w:color w:val="auto"/>
                <w:u w:val="single" w:color="auto"/>
              </w:rPr>
              <w:t xml:space="preserve">消耗情况详见表1-4。 </w:t>
            </w:r>
          </w:p>
          <w:p>
            <w:pPr>
              <w:pStyle w:val="172"/>
              <w:spacing w:before="0" w:beforeLines="0" w:after="0" w:afterLines="0" w:line="240" w:lineRule="auto"/>
              <w:rPr>
                <w:rFonts w:hint="default" w:ascii="Times New Roman" w:hAnsi="Times New Roman" w:eastAsia="宋体" w:cs="Times New Roman"/>
                <w:b/>
                <w:color w:val="auto"/>
                <w:u w:val="single" w:color="auto"/>
              </w:rPr>
            </w:pPr>
            <w:r>
              <w:rPr>
                <w:rFonts w:hint="default" w:ascii="Times New Roman" w:hAnsi="Times New Roman" w:eastAsia="宋体" w:cs="Times New Roman"/>
                <w:b/>
                <w:color w:val="auto"/>
                <w:u w:val="single" w:color="auto"/>
              </w:rPr>
              <w:t>表1-4  主要原辅材料</w:t>
            </w:r>
            <w:r>
              <w:rPr>
                <w:rFonts w:hint="eastAsia" w:eastAsia="宋体" w:cs="Times New Roman"/>
                <w:b/>
                <w:color w:val="auto"/>
                <w:u w:val="single" w:color="auto"/>
                <w:lang w:eastAsia="zh-CN"/>
              </w:rPr>
              <w:t>及能源</w:t>
            </w:r>
            <w:r>
              <w:rPr>
                <w:rFonts w:hint="default" w:ascii="Times New Roman" w:hAnsi="Times New Roman" w:eastAsia="宋体" w:cs="Times New Roman"/>
                <w:b/>
                <w:color w:val="auto"/>
                <w:u w:val="single" w:color="auto"/>
              </w:rPr>
              <w:t>消耗一览表</w:t>
            </w:r>
          </w:p>
          <w:tbl>
            <w:tblPr>
              <w:tblStyle w:val="40"/>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463"/>
              <w:gridCol w:w="1080"/>
              <w:gridCol w:w="1425"/>
              <w:gridCol w:w="38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tblHeader/>
              </w:trPr>
              <w:tc>
                <w:tcPr>
                  <w:tcW w:w="667"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序号</w:t>
                  </w:r>
                </w:p>
              </w:tc>
              <w:tc>
                <w:tcPr>
                  <w:tcW w:w="806"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名称</w:t>
                  </w:r>
                </w:p>
              </w:tc>
              <w:tc>
                <w:tcPr>
                  <w:tcW w:w="595"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单位</w:t>
                  </w:r>
                </w:p>
              </w:tc>
              <w:tc>
                <w:tcPr>
                  <w:tcW w:w="785"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年用量</w:t>
                  </w:r>
                </w:p>
              </w:tc>
              <w:tc>
                <w:tcPr>
                  <w:tcW w:w="2145" w:type="pct"/>
                  <w:tcBorders>
                    <w:tl2br w:val="nil"/>
                    <w:tr2bl w:val="nil"/>
                  </w:tcBorders>
                </w:tcPr>
                <w:p>
                  <w:pPr>
                    <w:pStyle w:val="172"/>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67"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1</w:t>
                  </w:r>
                </w:p>
              </w:tc>
              <w:tc>
                <w:tcPr>
                  <w:tcW w:w="80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color w:val="auto"/>
                      <w:sz w:val="22"/>
                      <w:szCs w:val="22"/>
                      <w:u w:val="single" w:color="auto"/>
                      <w:lang w:val="en-US" w:eastAsia="zh-CN"/>
                    </w:rPr>
                  </w:pPr>
                  <w:r>
                    <w:rPr>
                      <w:rFonts w:hint="eastAsia"/>
                      <w:b w:val="0"/>
                      <w:bCs/>
                      <w:color w:val="auto"/>
                      <w:sz w:val="22"/>
                      <w:szCs w:val="22"/>
                      <w:u w:val="single" w:color="auto"/>
                      <w:lang w:eastAsia="zh-CN"/>
                    </w:rPr>
                    <w:t>水泥</w:t>
                  </w:r>
                </w:p>
              </w:tc>
              <w:tc>
                <w:tcPr>
                  <w:tcW w:w="595" w:type="pct"/>
                  <w:tcBorders>
                    <w:tl2br w:val="nil"/>
                    <w:tr2bl w:val="nil"/>
                  </w:tcBorders>
                  <w:vAlign w:val="center"/>
                </w:tcPr>
                <w:p>
                  <w:pPr>
                    <w:pStyle w:val="172"/>
                    <w:spacing w:before="48" w:after="48" w:line="360" w:lineRule="auto"/>
                    <w:rPr>
                      <w:rFonts w:hint="eastAsia" w:ascii="Times New Roman" w:hAnsi="Times New Roman" w:eastAsia="宋体" w:cs="Times New Roman"/>
                      <w:b w:val="0"/>
                      <w:bCs w:val="0"/>
                      <w:color w:val="auto"/>
                      <w:sz w:val="22"/>
                      <w:szCs w:val="22"/>
                      <w:u w:val="single" w:color="auto"/>
                      <w:lang w:eastAsia="zh-CN"/>
                    </w:rPr>
                  </w:pPr>
                  <w:r>
                    <w:rPr>
                      <w:rFonts w:hint="eastAsia" w:eastAsia="宋体" w:cs="Times New Roman"/>
                      <w:b w:val="0"/>
                      <w:bCs w:val="0"/>
                      <w:color w:val="auto"/>
                      <w:sz w:val="22"/>
                      <w:szCs w:val="22"/>
                      <w:u w:val="single" w:color="auto"/>
                      <w:lang w:val="en-US" w:eastAsia="zh-CN"/>
                    </w:rPr>
                    <w:t>t</w:t>
                  </w:r>
                </w:p>
              </w:tc>
              <w:tc>
                <w:tcPr>
                  <w:tcW w:w="785"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color w:val="auto"/>
                      <w:sz w:val="22"/>
                      <w:szCs w:val="22"/>
                      <w:u w:val="single" w:color="auto"/>
                      <w:lang w:val="en-US" w:eastAsia="zh-CN"/>
                    </w:rPr>
                  </w:pPr>
                  <w:r>
                    <w:rPr>
                      <w:rFonts w:hint="eastAsia"/>
                      <w:b w:val="0"/>
                      <w:bCs/>
                      <w:color w:val="auto"/>
                      <w:sz w:val="22"/>
                      <w:szCs w:val="22"/>
                      <w:u w:val="single" w:color="auto"/>
                      <w:lang w:val="en-US" w:eastAsia="zh-CN"/>
                    </w:rPr>
                    <w:t>3000</w:t>
                  </w:r>
                </w:p>
              </w:tc>
              <w:tc>
                <w:tcPr>
                  <w:tcW w:w="2145"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default" w:ascii="Times New Roman" w:hAnsi="Times New Roman" w:eastAsia="宋体" w:cs="Times New Roman"/>
                      <w:b w:val="0"/>
                      <w:bCs w:val="0"/>
                      <w:color w:val="auto"/>
                      <w:sz w:val="22"/>
                      <w:szCs w:val="22"/>
                      <w:u w:val="single" w:color="auto"/>
                    </w:rPr>
                    <w:t>外购</w:t>
                  </w:r>
                  <w:r>
                    <w:rPr>
                      <w:rFonts w:hint="eastAsia" w:eastAsia="宋体" w:cs="Times New Roman"/>
                      <w:b w:val="0"/>
                      <w:bCs w:val="0"/>
                      <w:color w:val="auto"/>
                      <w:sz w:val="22"/>
                      <w:szCs w:val="22"/>
                      <w:u w:val="single" w:color="auto"/>
                      <w:lang w:eastAsia="zh-CN"/>
                    </w:rPr>
                    <w:t>，</w:t>
                  </w:r>
                  <w:r>
                    <w:rPr>
                      <w:rFonts w:hint="eastAsia" w:eastAsia="宋体" w:cs="Times New Roman"/>
                      <w:b w:val="0"/>
                      <w:bCs w:val="0"/>
                      <w:color w:val="auto"/>
                      <w:sz w:val="22"/>
                      <w:szCs w:val="22"/>
                      <w:u w:val="single" w:color="auto"/>
                      <w:lang w:val="en-US" w:eastAsia="zh-CN"/>
                    </w:rPr>
                    <w:t>罐装，最大储存量为50吨，位于储罐区（厂区东侧中部），粉状固体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67"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2</w:t>
                  </w:r>
                </w:p>
              </w:tc>
              <w:tc>
                <w:tcPr>
                  <w:tcW w:w="806" w:type="pct"/>
                  <w:tcBorders>
                    <w:tl2br w:val="nil"/>
                    <w:tr2bl w:val="nil"/>
                  </w:tcBorders>
                  <w:vAlign w:val="center"/>
                </w:tcPr>
                <w:p>
                  <w:pPr>
                    <w:adjustRightInd w:val="0"/>
                    <w:snapToGrid w:val="0"/>
                    <w:spacing w:line="360" w:lineRule="auto"/>
                    <w:jc w:val="center"/>
                    <w:rPr>
                      <w:rFonts w:hint="eastAsia" w:eastAsia="宋体" w:cs="Times New Roman"/>
                      <w:b w:val="0"/>
                      <w:bCs/>
                      <w:color w:val="auto"/>
                      <w:sz w:val="22"/>
                      <w:szCs w:val="22"/>
                      <w:u w:val="single" w:color="auto"/>
                      <w:lang w:eastAsia="zh-CN"/>
                    </w:rPr>
                  </w:pPr>
                  <w:r>
                    <w:rPr>
                      <w:rFonts w:hint="eastAsia"/>
                      <w:b w:val="0"/>
                      <w:bCs/>
                      <w:color w:val="auto"/>
                      <w:sz w:val="22"/>
                      <w:szCs w:val="22"/>
                      <w:u w:val="single" w:color="auto"/>
                      <w:lang w:eastAsia="zh-CN"/>
                    </w:rPr>
                    <w:t>石棉纤维</w:t>
                  </w:r>
                </w:p>
              </w:tc>
              <w:tc>
                <w:tcPr>
                  <w:tcW w:w="595" w:type="pct"/>
                  <w:tcBorders>
                    <w:tl2br w:val="nil"/>
                    <w:tr2bl w:val="nil"/>
                  </w:tcBorders>
                  <w:vAlign w:val="center"/>
                </w:tcPr>
                <w:p>
                  <w:pPr>
                    <w:spacing w:before="48" w:after="48" w:line="360" w:lineRule="auto"/>
                    <w:jc w:val="center"/>
                    <w:rPr>
                      <w:rFonts w:hint="eastAsia"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t</w:t>
                  </w:r>
                </w:p>
              </w:tc>
              <w:tc>
                <w:tcPr>
                  <w:tcW w:w="785"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color w:val="auto"/>
                      <w:sz w:val="22"/>
                      <w:szCs w:val="22"/>
                      <w:u w:val="single" w:color="auto"/>
                      <w:lang w:val="en-US" w:eastAsia="zh-CN"/>
                    </w:rPr>
                  </w:pPr>
                  <w:r>
                    <w:rPr>
                      <w:rFonts w:hint="eastAsia"/>
                      <w:b w:val="0"/>
                      <w:bCs/>
                      <w:color w:val="auto"/>
                      <w:sz w:val="22"/>
                      <w:szCs w:val="22"/>
                      <w:u w:val="single" w:color="auto"/>
                      <w:lang w:val="en-US" w:eastAsia="zh-CN"/>
                    </w:rPr>
                    <w:t>40</w:t>
                  </w:r>
                </w:p>
              </w:tc>
              <w:tc>
                <w:tcPr>
                  <w:tcW w:w="214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default" w:ascii="Times New Roman" w:hAnsi="Times New Roman" w:eastAsia="宋体" w:cs="Times New Roman"/>
                      <w:b w:val="0"/>
                      <w:bCs w:val="0"/>
                      <w:color w:val="auto"/>
                      <w:sz w:val="22"/>
                      <w:szCs w:val="22"/>
                      <w:u w:val="single" w:color="auto"/>
                    </w:rPr>
                    <w:t>外购</w:t>
                  </w:r>
                  <w:r>
                    <w:rPr>
                      <w:rFonts w:hint="eastAsia" w:cs="Times New Roman"/>
                      <w:b w:val="0"/>
                      <w:bCs w:val="0"/>
                      <w:color w:val="auto"/>
                      <w:sz w:val="22"/>
                      <w:szCs w:val="22"/>
                      <w:u w:val="single" w:color="auto"/>
                      <w:lang w:eastAsia="zh-CN"/>
                    </w:rPr>
                    <w:t>，</w:t>
                  </w:r>
                  <w:r>
                    <w:rPr>
                      <w:rFonts w:hint="eastAsia" w:cs="Times New Roman"/>
                      <w:b w:val="0"/>
                      <w:bCs w:val="0"/>
                      <w:color w:val="auto"/>
                      <w:sz w:val="22"/>
                      <w:szCs w:val="22"/>
                      <w:u w:val="single" w:color="auto"/>
                      <w:lang w:val="en-US" w:eastAsia="zh-CN"/>
                    </w:rPr>
                    <w:t>袋装，最大储存量4吨，位于厂区东南角处的原料储存间，固体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67"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3</w:t>
                  </w:r>
                </w:p>
              </w:tc>
              <w:tc>
                <w:tcPr>
                  <w:tcW w:w="806" w:type="pct"/>
                  <w:tcBorders>
                    <w:tl2br w:val="nil"/>
                    <w:tr2bl w:val="nil"/>
                  </w:tcBorders>
                  <w:vAlign w:val="center"/>
                </w:tcPr>
                <w:p>
                  <w:pPr>
                    <w:adjustRightInd w:val="0"/>
                    <w:snapToGrid w:val="0"/>
                    <w:spacing w:line="360" w:lineRule="auto"/>
                    <w:jc w:val="center"/>
                    <w:rPr>
                      <w:rFonts w:hint="default" w:eastAsia="宋体" w:cs="Times New Roman"/>
                      <w:b w:val="0"/>
                      <w:bCs/>
                      <w:color w:val="auto"/>
                      <w:sz w:val="22"/>
                      <w:szCs w:val="22"/>
                      <w:u w:val="single" w:color="auto"/>
                      <w:lang w:val="en-US" w:eastAsia="zh-CN"/>
                    </w:rPr>
                  </w:pPr>
                  <w:r>
                    <w:rPr>
                      <w:rFonts w:hint="eastAsia"/>
                      <w:b w:val="0"/>
                      <w:bCs/>
                      <w:color w:val="auto"/>
                      <w:sz w:val="22"/>
                      <w:szCs w:val="22"/>
                      <w:u w:val="single" w:color="auto"/>
                      <w:lang w:eastAsia="zh-CN"/>
                    </w:rPr>
                    <w:t>玻璃纤维</w:t>
                  </w:r>
                </w:p>
              </w:tc>
              <w:tc>
                <w:tcPr>
                  <w:tcW w:w="59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rPr>
                  </w:pPr>
                  <w:r>
                    <w:rPr>
                      <w:rFonts w:hint="eastAsia" w:eastAsia="宋体" w:cs="Times New Roman"/>
                      <w:b w:val="0"/>
                      <w:bCs w:val="0"/>
                      <w:color w:val="auto"/>
                      <w:sz w:val="22"/>
                      <w:szCs w:val="22"/>
                      <w:u w:val="single" w:color="auto"/>
                      <w:lang w:val="en-US" w:eastAsia="zh-CN"/>
                    </w:rPr>
                    <w:t>t</w:t>
                  </w:r>
                </w:p>
              </w:tc>
              <w:tc>
                <w:tcPr>
                  <w:tcW w:w="785"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color w:val="auto"/>
                      <w:sz w:val="22"/>
                      <w:szCs w:val="22"/>
                      <w:u w:val="single" w:color="auto"/>
                      <w:lang w:val="en-US" w:eastAsia="zh-CN"/>
                    </w:rPr>
                  </w:pPr>
                  <w:r>
                    <w:rPr>
                      <w:rFonts w:hint="eastAsia"/>
                      <w:b w:val="0"/>
                      <w:bCs/>
                      <w:color w:val="auto"/>
                      <w:sz w:val="22"/>
                      <w:szCs w:val="22"/>
                      <w:u w:val="single" w:color="auto"/>
                      <w:lang w:val="en-US" w:eastAsia="zh-CN"/>
                    </w:rPr>
                    <w:t>300</w:t>
                  </w:r>
                </w:p>
              </w:tc>
              <w:tc>
                <w:tcPr>
                  <w:tcW w:w="214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default" w:ascii="Times New Roman" w:hAnsi="Times New Roman" w:eastAsia="宋体" w:cs="Times New Roman"/>
                      <w:b w:val="0"/>
                      <w:bCs w:val="0"/>
                      <w:color w:val="auto"/>
                      <w:sz w:val="22"/>
                      <w:szCs w:val="22"/>
                      <w:u w:val="single" w:color="auto"/>
                    </w:rPr>
                    <w:t>外购</w:t>
                  </w:r>
                  <w:r>
                    <w:rPr>
                      <w:rFonts w:hint="eastAsia" w:cs="Times New Roman"/>
                      <w:b w:val="0"/>
                      <w:bCs w:val="0"/>
                      <w:color w:val="auto"/>
                      <w:sz w:val="22"/>
                      <w:szCs w:val="22"/>
                      <w:u w:val="single" w:color="auto"/>
                      <w:lang w:eastAsia="zh-CN"/>
                    </w:rPr>
                    <w:t>，</w:t>
                  </w:r>
                  <w:r>
                    <w:rPr>
                      <w:rFonts w:hint="eastAsia" w:cs="Times New Roman"/>
                      <w:b w:val="0"/>
                      <w:bCs w:val="0"/>
                      <w:color w:val="auto"/>
                      <w:sz w:val="22"/>
                      <w:szCs w:val="22"/>
                      <w:u w:val="single" w:color="auto"/>
                      <w:lang w:val="en-US" w:eastAsia="zh-CN"/>
                    </w:rPr>
                    <w:t>袋装，最大储存量为10吨，位于厂区东南角处的原料储存间，固体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67"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4</w:t>
                  </w:r>
                </w:p>
              </w:tc>
              <w:tc>
                <w:tcPr>
                  <w:tcW w:w="806" w:type="pct"/>
                  <w:tcBorders>
                    <w:tl2br w:val="nil"/>
                    <w:tr2bl w:val="nil"/>
                  </w:tcBorders>
                  <w:vAlign w:val="center"/>
                </w:tcPr>
                <w:p>
                  <w:pPr>
                    <w:adjustRightInd w:val="0"/>
                    <w:snapToGrid w:val="0"/>
                    <w:spacing w:line="360" w:lineRule="auto"/>
                    <w:jc w:val="center"/>
                    <w:rPr>
                      <w:rFonts w:hint="eastAsia" w:eastAsia="宋体" w:cs="Times New Roman"/>
                      <w:b w:val="0"/>
                      <w:bCs/>
                      <w:color w:val="auto"/>
                      <w:sz w:val="22"/>
                      <w:szCs w:val="22"/>
                      <w:u w:val="single" w:color="auto"/>
                      <w:lang w:eastAsia="zh-CN"/>
                    </w:rPr>
                  </w:pPr>
                  <w:r>
                    <w:rPr>
                      <w:rFonts w:hint="eastAsia"/>
                      <w:b w:val="0"/>
                      <w:bCs/>
                      <w:color w:val="auto"/>
                      <w:sz w:val="22"/>
                      <w:szCs w:val="22"/>
                      <w:u w:val="single" w:color="auto"/>
                      <w:lang w:eastAsia="zh-CN"/>
                    </w:rPr>
                    <w:t>纸纤维</w:t>
                  </w:r>
                </w:p>
              </w:tc>
              <w:tc>
                <w:tcPr>
                  <w:tcW w:w="59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rPr>
                  </w:pPr>
                  <w:r>
                    <w:rPr>
                      <w:rFonts w:hint="eastAsia" w:eastAsia="宋体" w:cs="Times New Roman"/>
                      <w:b w:val="0"/>
                      <w:bCs w:val="0"/>
                      <w:color w:val="auto"/>
                      <w:sz w:val="22"/>
                      <w:szCs w:val="22"/>
                      <w:u w:val="single" w:color="auto"/>
                      <w:lang w:val="en-US" w:eastAsia="zh-CN"/>
                    </w:rPr>
                    <w:t>t</w:t>
                  </w:r>
                </w:p>
              </w:tc>
              <w:tc>
                <w:tcPr>
                  <w:tcW w:w="785"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color w:val="auto"/>
                      <w:sz w:val="22"/>
                      <w:szCs w:val="22"/>
                      <w:u w:val="single" w:color="auto"/>
                      <w:lang w:val="en-US" w:eastAsia="zh-CN"/>
                    </w:rPr>
                  </w:pPr>
                  <w:r>
                    <w:rPr>
                      <w:rFonts w:hint="eastAsia"/>
                      <w:b w:val="0"/>
                      <w:bCs/>
                      <w:color w:val="auto"/>
                      <w:sz w:val="22"/>
                      <w:szCs w:val="22"/>
                      <w:u w:val="single" w:color="auto"/>
                      <w:lang w:val="en-US" w:eastAsia="zh-CN"/>
                    </w:rPr>
                    <w:t>300</w:t>
                  </w:r>
                </w:p>
              </w:tc>
              <w:tc>
                <w:tcPr>
                  <w:tcW w:w="214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default" w:ascii="Times New Roman" w:hAnsi="Times New Roman" w:eastAsia="宋体" w:cs="Times New Roman"/>
                      <w:b w:val="0"/>
                      <w:bCs w:val="0"/>
                      <w:color w:val="auto"/>
                      <w:sz w:val="22"/>
                      <w:szCs w:val="22"/>
                      <w:u w:val="single" w:color="auto"/>
                    </w:rPr>
                    <w:t>外购</w:t>
                  </w:r>
                  <w:r>
                    <w:rPr>
                      <w:rFonts w:hint="eastAsia" w:cs="Times New Roman"/>
                      <w:b w:val="0"/>
                      <w:bCs w:val="0"/>
                      <w:color w:val="auto"/>
                      <w:sz w:val="22"/>
                      <w:szCs w:val="22"/>
                      <w:u w:val="single" w:color="auto"/>
                      <w:lang w:eastAsia="zh-CN"/>
                    </w:rPr>
                    <w:t>，</w:t>
                  </w:r>
                  <w:r>
                    <w:rPr>
                      <w:rFonts w:hint="eastAsia" w:cs="Times New Roman"/>
                      <w:b w:val="0"/>
                      <w:bCs w:val="0"/>
                      <w:color w:val="auto"/>
                      <w:sz w:val="22"/>
                      <w:szCs w:val="22"/>
                      <w:u w:val="single" w:color="auto"/>
                      <w:lang w:val="en-US" w:eastAsia="zh-CN"/>
                    </w:rPr>
                    <w:t>袋装，最大储存量为10吨，位于厂区东南角处的原料储存间，固体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67"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5</w:t>
                  </w:r>
                </w:p>
              </w:tc>
              <w:tc>
                <w:tcPr>
                  <w:tcW w:w="80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color w:val="auto"/>
                      <w:sz w:val="22"/>
                      <w:szCs w:val="22"/>
                      <w:u w:val="single" w:color="auto"/>
                      <w:lang w:eastAsia="zh-CN"/>
                    </w:rPr>
                  </w:pPr>
                  <w:r>
                    <w:rPr>
                      <w:rFonts w:hint="eastAsia"/>
                      <w:b w:val="0"/>
                      <w:bCs/>
                      <w:color w:val="auto"/>
                      <w:sz w:val="22"/>
                      <w:szCs w:val="22"/>
                      <w:u w:val="single" w:color="auto"/>
                      <w:lang w:eastAsia="zh-CN"/>
                    </w:rPr>
                    <w:t>钢丝</w:t>
                  </w:r>
                </w:p>
              </w:tc>
              <w:tc>
                <w:tcPr>
                  <w:tcW w:w="59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rPr>
                  </w:pPr>
                  <w:r>
                    <w:rPr>
                      <w:rFonts w:hint="eastAsia" w:eastAsia="宋体" w:cs="Times New Roman"/>
                      <w:b w:val="0"/>
                      <w:bCs w:val="0"/>
                      <w:color w:val="auto"/>
                      <w:sz w:val="22"/>
                      <w:szCs w:val="22"/>
                      <w:u w:val="single" w:color="auto"/>
                      <w:lang w:val="en-US" w:eastAsia="zh-CN"/>
                    </w:rPr>
                    <w:t>t</w:t>
                  </w:r>
                </w:p>
              </w:tc>
              <w:tc>
                <w:tcPr>
                  <w:tcW w:w="785"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color w:val="auto"/>
                      <w:sz w:val="22"/>
                      <w:szCs w:val="22"/>
                      <w:u w:val="single" w:color="auto"/>
                      <w:lang w:val="en-US" w:eastAsia="zh-CN"/>
                    </w:rPr>
                  </w:pPr>
                  <w:r>
                    <w:rPr>
                      <w:rFonts w:hint="eastAsia"/>
                      <w:b w:val="0"/>
                      <w:bCs/>
                      <w:color w:val="auto"/>
                      <w:sz w:val="22"/>
                      <w:szCs w:val="22"/>
                      <w:u w:val="single" w:color="auto"/>
                      <w:lang w:val="en-US" w:eastAsia="zh-CN"/>
                    </w:rPr>
                    <w:t>10</w:t>
                  </w:r>
                </w:p>
              </w:tc>
              <w:tc>
                <w:tcPr>
                  <w:tcW w:w="2145" w:type="pct"/>
                  <w:tcBorders>
                    <w:tl2br w:val="nil"/>
                    <w:tr2bl w:val="nil"/>
                  </w:tcBorders>
                  <w:vAlign w:val="center"/>
                </w:tcPr>
                <w:p>
                  <w:pPr>
                    <w:pStyle w:val="172"/>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default" w:ascii="Times New Roman" w:hAnsi="Times New Roman" w:eastAsia="宋体" w:cs="Times New Roman"/>
                      <w:b w:val="0"/>
                      <w:bCs w:val="0"/>
                      <w:color w:val="auto"/>
                      <w:sz w:val="22"/>
                      <w:szCs w:val="22"/>
                      <w:u w:val="single" w:color="auto"/>
                    </w:rPr>
                    <w:t>外购</w:t>
                  </w:r>
                  <w:r>
                    <w:rPr>
                      <w:rFonts w:hint="eastAsia" w:eastAsia="宋体" w:cs="Times New Roman"/>
                      <w:b w:val="0"/>
                      <w:bCs w:val="0"/>
                      <w:color w:val="auto"/>
                      <w:sz w:val="22"/>
                      <w:szCs w:val="22"/>
                      <w:u w:val="single" w:color="auto"/>
                      <w:lang w:eastAsia="zh-CN"/>
                    </w:rPr>
                    <w:t>，</w:t>
                  </w:r>
                  <w:r>
                    <w:rPr>
                      <w:rFonts w:hint="eastAsia" w:eastAsia="宋体" w:cs="Times New Roman"/>
                      <w:b w:val="0"/>
                      <w:bCs w:val="0"/>
                      <w:color w:val="auto"/>
                      <w:sz w:val="22"/>
                      <w:szCs w:val="22"/>
                      <w:u w:val="single" w:color="auto"/>
                      <w:lang w:val="en-US" w:eastAsia="zh-CN"/>
                    </w:rPr>
                    <w:t>袋装</w:t>
                  </w:r>
                  <w:r>
                    <w:rPr>
                      <w:rFonts w:hint="default" w:ascii="Times New Roman" w:hAnsi="Times New Roman" w:eastAsia="宋体" w:cs="Times New Roman"/>
                      <w:b w:val="0"/>
                      <w:bCs w:val="0"/>
                      <w:color w:val="auto"/>
                      <w:sz w:val="22"/>
                      <w:szCs w:val="22"/>
                      <w:u w:val="single" w:color="auto"/>
                      <w:lang w:val="en-US" w:eastAsia="zh-CN"/>
                    </w:rPr>
                    <w:t>，最大储存量为1吨，位于</w:t>
                  </w:r>
                  <w:r>
                    <w:rPr>
                      <w:rFonts w:hint="eastAsia" w:ascii="Times New Roman" w:hAnsi="Times New Roman" w:eastAsia="宋体" w:cs="Times New Roman"/>
                      <w:b w:val="0"/>
                      <w:bCs w:val="0"/>
                      <w:color w:val="auto"/>
                      <w:sz w:val="22"/>
                      <w:szCs w:val="22"/>
                      <w:u w:val="single" w:color="auto"/>
                      <w:lang w:val="en-US" w:eastAsia="zh-CN"/>
                    </w:rPr>
                    <w:t>生产车间中</w:t>
                  </w:r>
                  <w:r>
                    <w:rPr>
                      <w:rFonts w:hint="default" w:ascii="Times New Roman" w:hAnsi="Times New Roman" w:eastAsia="宋体" w:cs="Times New Roman"/>
                      <w:b w:val="0"/>
                      <w:bCs w:val="0"/>
                      <w:color w:val="auto"/>
                      <w:sz w:val="22"/>
                      <w:szCs w:val="22"/>
                      <w:u w:val="single" w:color="auto"/>
                      <w:lang w:val="en-US" w:eastAsia="zh-CN"/>
                    </w:rPr>
                    <w:t>，固体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7"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6</w:t>
                  </w:r>
                </w:p>
              </w:tc>
              <w:tc>
                <w:tcPr>
                  <w:tcW w:w="80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color w:val="auto"/>
                      <w:sz w:val="22"/>
                      <w:szCs w:val="22"/>
                      <w:u w:val="single" w:color="auto"/>
                      <w:lang w:eastAsia="zh-CN"/>
                    </w:rPr>
                  </w:pPr>
                  <w:r>
                    <w:rPr>
                      <w:rFonts w:hint="eastAsia"/>
                      <w:b w:val="0"/>
                      <w:bCs/>
                      <w:color w:val="auto"/>
                      <w:sz w:val="22"/>
                      <w:szCs w:val="22"/>
                      <w:u w:val="single" w:color="auto"/>
                      <w:lang w:eastAsia="zh-CN"/>
                    </w:rPr>
                    <w:t>石粉</w:t>
                  </w:r>
                </w:p>
              </w:tc>
              <w:tc>
                <w:tcPr>
                  <w:tcW w:w="59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t</w:t>
                  </w:r>
                </w:p>
              </w:tc>
              <w:tc>
                <w:tcPr>
                  <w:tcW w:w="785"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color w:val="auto"/>
                      <w:sz w:val="22"/>
                      <w:szCs w:val="22"/>
                      <w:u w:val="single" w:color="auto"/>
                      <w:lang w:val="en-US" w:eastAsia="zh-CN"/>
                    </w:rPr>
                  </w:pPr>
                  <w:r>
                    <w:rPr>
                      <w:rFonts w:hint="eastAsia"/>
                      <w:b w:val="0"/>
                      <w:bCs/>
                      <w:color w:val="auto"/>
                      <w:sz w:val="22"/>
                      <w:szCs w:val="22"/>
                      <w:u w:val="single" w:color="auto"/>
                      <w:lang w:val="en-US" w:eastAsia="zh-CN"/>
                    </w:rPr>
                    <w:t>500</w:t>
                  </w:r>
                </w:p>
              </w:tc>
              <w:tc>
                <w:tcPr>
                  <w:tcW w:w="214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default" w:ascii="Times New Roman" w:hAnsi="Times New Roman" w:eastAsia="宋体" w:cs="Times New Roman"/>
                      <w:b w:val="0"/>
                      <w:bCs w:val="0"/>
                      <w:color w:val="auto"/>
                      <w:sz w:val="22"/>
                      <w:szCs w:val="22"/>
                      <w:u w:val="single" w:color="auto"/>
                    </w:rPr>
                    <w:t>外购</w:t>
                  </w:r>
                  <w:r>
                    <w:rPr>
                      <w:rFonts w:hint="eastAsia" w:eastAsia="宋体" w:cs="Times New Roman"/>
                      <w:b w:val="0"/>
                      <w:bCs w:val="0"/>
                      <w:color w:val="auto"/>
                      <w:sz w:val="22"/>
                      <w:szCs w:val="22"/>
                      <w:u w:val="single" w:color="auto"/>
                      <w:lang w:eastAsia="zh-CN"/>
                    </w:rPr>
                    <w:t>，</w:t>
                  </w:r>
                  <w:r>
                    <w:rPr>
                      <w:rFonts w:hint="eastAsia" w:eastAsia="宋体" w:cs="Times New Roman"/>
                      <w:b w:val="0"/>
                      <w:bCs w:val="0"/>
                      <w:color w:val="auto"/>
                      <w:sz w:val="22"/>
                      <w:szCs w:val="22"/>
                      <w:u w:val="single" w:color="auto"/>
                      <w:lang w:val="en-US" w:eastAsia="zh-CN"/>
                    </w:rPr>
                    <w:t>罐装</w:t>
                  </w:r>
                  <w:r>
                    <w:rPr>
                      <w:rFonts w:hint="eastAsia" w:cs="Times New Roman"/>
                      <w:b w:val="0"/>
                      <w:bCs w:val="0"/>
                      <w:color w:val="auto"/>
                      <w:sz w:val="22"/>
                      <w:szCs w:val="22"/>
                      <w:u w:val="single" w:color="auto"/>
                      <w:lang w:val="en-US" w:eastAsia="zh-CN"/>
                    </w:rPr>
                    <w:t>，</w:t>
                  </w:r>
                  <w:r>
                    <w:rPr>
                      <w:rFonts w:hint="eastAsia" w:eastAsia="宋体" w:cs="Times New Roman"/>
                      <w:b w:val="0"/>
                      <w:bCs w:val="0"/>
                      <w:color w:val="auto"/>
                      <w:sz w:val="22"/>
                      <w:szCs w:val="22"/>
                      <w:u w:val="single" w:color="auto"/>
                      <w:lang w:val="en-US" w:eastAsia="zh-CN"/>
                    </w:rPr>
                    <w:t>最大储存量为</w:t>
                  </w:r>
                  <w:r>
                    <w:rPr>
                      <w:rFonts w:hint="eastAsia" w:cs="Times New Roman"/>
                      <w:b w:val="0"/>
                      <w:bCs w:val="0"/>
                      <w:color w:val="auto"/>
                      <w:sz w:val="22"/>
                      <w:szCs w:val="22"/>
                      <w:u w:val="single" w:color="auto"/>
                      <w:lang w:val="en-US" w:eastAsia="zh-CN"/>
                    </w:rPr>
                    <w:t>5</w:t>
                  </w:r>
                  <w:r>
                    <w:rPr>
                      <w:rFonts w:hint="eastAsia" w:eastAsia="宋体" w:cs="Times New Roman"/>
                      <w:b w:val="0"/>
                      <w:bCs w:val="0"/>
                      <w:color w:val="auto"/>
                      <w:sz w:val="22"/>
                      <w:szCs w:val="22"/>
                      <w:u w:val="single" w:color="auto"/>
                      <w:lang w:val="en-US" w:eastAsia="zh-CN"/>
                    </w:rPr>
                    <w:t>0吨，位于储罐区（厂区东侧中部），粉状固体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7"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7</w:t>
                  </w:r>
                </w:p>
              </w:tc>
              <w:tc>
                <w:tcPr>
                  <w:tcW w:w="806" w:type="pct"/>
                  <w:tcBorders>
                    <w:tl2br w:val="nil"/>
                    <w:tr2bl w:val="nil"/>
                  </w:tcBorders>
                  <w:vAlign w:val="center"/>
                </w:tcPr>
                <w:p>
                  <w:pPr>
                    <w:pStyle w:val="172"/>
                    <w:spacing w:before="48" w:after="48" w:line="360" w:lineRule="auto"/>
                    <w:rPr>
                      <w:rFonts w:hint="eastAsia" w:ascii="Times New Roman" w:hAnsi="Times New Roman" w:eastAsia="宋体" w:cs="Times New Roman"/>
                      <w:b w:val="0"/>
                      <w:bCs w:val="0"/>
                      <w:color w:val="auto"/>
                      <w:sz w:val="22"/>
                      <w:szCs w:val="22"/>
                      <w:u w:val="single" w:color="auto"/>
                      <w:lang w:eastAsia="zh-CN"/>
                    </w:rPr>
                  </w:pPr>
                  <w:r>
                    <w:rPr>
                      <w:rFonts w:hint="eastAsia" w:eastAsia="宋体" w:cs="Times New Roman"/>
                      <w:b w:val="0"/>
                      <w:bCs w:val="0"/>
                      <w:color w:val="auto"/>
                      <w:sz w:val="22"/>
                      <w:szCs w:val="22"/>
                      <w:u w:val="single" w:color="auto"/>
                      <w:lang w:eastAsia="zh-CN"/>
                    </w:rPr>
                    <w:t>水</w:t>
                  </w:r>
                </w:p>
              </w:tc>
              <w:tc>
                <w:tcPr>
                  <w:tcW w:w="595" w:type="pct"/>
                  <w:tcBorders>
                    <w:tl2br w:val="nil"/>
                    <w:tr2bl w:val="nil"/>
                  </w:tcBorders>
                  <w:vAlign w:val="center"/>
                </w:tcPr>
                <w:p>
                  <w:pPr>
                    <w:spacing w:before="48" w:after="48" w:line="360" w:lineRule="auto"/>
                    <w:jc w:val="center"/>
                    <w:rPr>
                      <w:rFonts w:hint="default"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t</w:t>
                  </w:r>
                </w:p>
              </w:tc>
              <w:tc>
                <w:tcPr>
                  <w:tcW w:w="785"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4481.6</w:t>
                  </w:r>
                </w:p>
              </w:tc>
              <w:tc>
                <w:tcPr>
                  <w:tcW w:w="214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自来水厂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8</w:t>
                  </w:r>
                </w:p>
              </w:tc>
              <w:tc>
                <w:tcPr>
                  <w:tcW w:w="806" w:type="pct"/>
                  <w:tcBorders>
                    <w:tl2br w:val="nil"/>
                    <w:tr2bl w:val="nil"/>
                  </w:tcBorders>
                  <w:vAlign w:val="center"/>
                </w:tcPr>
                <w:p>
                  <w:pPr>
                    <w:pStyle w:val="172"/>
                    <w:spacing w:before="48" w:after="48" w:line="360" w:lineRule="auto"/>
                    <w:rPr>
                      <w:rFonts w:hint="eastAsia" w:ascii="Times New Roman" w:hAnsi="Times New Roman" w:eastAsia="宋体" w:cs="Times New Roman"/>
                      <w:b w:val="0"/>
                      <w:bCs w:val="0"/>
                      <w:color w:val="auto"/>
                      <w:sz w:val="22"/>
                      <w:szCs w:val="22"/>
                      <w:u w:val="single" w:color="auto"/>
                      <w:lang w:eastAsia="zh-CN"/>
                    </w:rPr>
                  </w:pPr>
                  <w:r>
                    <w:rPr>
                      <w:rFonts w:hint="eastAsia" w:eastAsia="宋体" w:cs="Times New Roman"/>
                      <w:b w:val="0"/>
                      <w:bCs w:val="0"/>
                      <w:color w:val="auto"/>
                      <w:sz w:val="22"/>
                      <w:szCs w:val="22"/>
                      <w:u w:val="single" w:color="auto"/>
                      <w:lang w:eastAsia="zh-CN"/>
                    </w:rPr>
                    <w:t>电</w:t>
                  </w:r>
                </w:p>
              </w:tc>
              <w:tc>
                <w:tcPr>
                  <w:tcW w:w="595" w:type="pct"/>
                  <w:tcBorders>
                    <w:tl2br w:val="nil"/>
                    <w:tr2bl w:val="nil"/>
                  </w:tcBorders>
                  <w:vAlign w:val="center"/>
                </w:tcPr>
                <w:p>
                  <w:pPr>
                    <w:spacing w:before="48" w:after="48" w:line="360" w:lineRule="auto"/>
                    <w:jc w:val="center"/>
                    <w:rPr>
                      <w:rFonts w:hint="default"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度</w:t>
                  </w:r>
                </w:p>
              </w:tc>
              <w:tc>
                <w:tcPr>
                  <w:tcW w:w="785" w:type="pct"/>
                  <w:tcBorders>
                    <w:tl2br w:val="nil"/>
                    <w:tr2bl w:val="nil"/>
                  </w:tcBorders>
                  <w:vAlign w:val="center"/>
                </w:tcPr>
                <w:p>
                  <w:pPr>
                    <w:pStyle w:val="172"/>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20万</w:t>
                  </w:r>
                </w:p>
              </w:tc>
              <w:tc>
                <w:tcPr>
                  <w:tcW w:w="214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国家电网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67" w:type="pct"/>
                  <w:tcBorders>
                    <w:tl2br w:val="nil"/>
                    <w:tr2bl w:val="nil"/>
                  </w:tcBorders>
                  <w:vAlign w:val="center"/>
                </w:tcPr>
                <w:p>
                  <w:pPr>
                    <w:pStyle w:val="172"/>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9</w:t>
                  </w:r>
                </w:p>
              </w:tc>
              <w:tc>
                <w:tcPr>
                  <w:tcW w:w="806" w:type="pct"/>
                  <w:tcBorders>
                    <w:tl2br w:val="nil"/>
                    <w:tr2bl w:val="nil"/>
                  </w:tcBorders>
                  <w:vAlign w:val="center"/>
                </w:tcPr>
                <w:p>
                  <w:pPr>
                    <w:pStyle w:val="172"/>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水性漆</w:t>
                  </w:r>
                </w:p>
              </w:tc>
              <w:tc>
                <w:tcPr>
                  <w:tcW w:w="595" w:type="pct"/>
                  <w:tcBorders>
                    <w:tl2br w:val="nil"/>
                    <w:tr2bl w:val="nil"/>
                  </w:tcBorders>
                  <w:vAlign w:val="center"/>
                </w:tcPr>
                <w:p>
                  <w:pPr>
                    <w:spacing w:before="48" w:after="48" w:line="360" w:lineRule="auto"/>
                    <w:jc w:val="center"/>
                    <w:rPr>
                      <w:rFonts w:hint="eastAsia"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t</w:t>
                  </w:r>
                </w:p>
              </w:tc>
              <w:tc>
                <w:tcPr>
                  <w:tcW w:w="785" w:type="pct"/>
                  <w:tcBorders>
                    <w:tl2br w:val="nil"/>
                    <w:tr2bl w:val="nil"/>
                  </w:tcBorders>
                  <w:vAlign w:val="center"/>
                </w:tcPr>
                <w:p>
                  <w:pPr>
                    <w:pStyle w:val="172"/>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1.0</w:t>
                  </w:r>
                </w:p>
              </w:tc>
              <w:tc>
                <w:tcPr>
                  <w:tcW w:w="214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rPr>
                  </w:pPr>
                  <w:r>
                    <w:rPr>
                      <w:rFonts w:hint="default" w:ascii="Times New Roman" w:hAnsi="Times New Roman" w:eastAsia="宋体" w:cs="Times New Roman"/>
                      <w:b w:val="0"/>
                      <w:bCs w:val="0"/>
                      <w:color w:val="auto"/>
                      <w:sz w:val="22"/>
                      <w:szCs w:val="22"/>
                      <w:u w:val="single" w:color="auto"/>
                    </w:rPr>
                    <w:t>外购</w:t>
                  </w:r>
                  <w:r>
                    <w:rPr>
                      <w:rFonts w:hint="eastAsia" w:cs="Times New Roman"/>
                      <w:b w:val="0"/>
                      <w:bCs w:val="0"/>
                      <w:color w:val="auto"/>
                      <w:sz w:val="22"/>
                      <w:szCs w:val="22"/>
                      <w:u w:val="single" w:color="auto"/>
                      <w:lang w:eastAsia="zh-CN"/>
                    </w:rPr>
                    <w:t>，</w:t>
                  </w:r>
                  <w:r>
                    <w:rPr>
                      <w:rFonts w:hint="eastAsia" w:cs="Times New Roman"/>
                      <w:b w:val="0"/>
                      <w:bCs w:val="0"/>
                      <w:color w:val="auto"/>
                      <w:sz w:val="22"/>
                      <w:szCs w:val="22"/>
                      <w:u w:val="single" w:color="auto"/>
                      <w:lang w:val="en-US" w:eastAsia="zh-CN"/>
                    </w:rPr>
                    <w:t>桶装，最大储存量为0.1t，位于喷漆烘干一体车间内，液体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67" w:type="pct"/>
                  <w:tcBorders>
                    <w:tl2br w:val="nil"/>
                    <w:tr2bl w:val="nil"/>
                  </w:tcBorders>
                  <w:vAlign w:val="center"/>
                </w:tcPr>
                <w:p>
                  <w:pPr>
                    <w:pStyle w:val="172"/>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10</w:t>
                  </w:r>
                </w:p>
              </w:tc>
              <w:tc>
                <w:tcPr>
                  <w:tcW w:w="806" w:type="pct"/>
                  <w:tcBorders>
                    <w:tl2br w:val="nil"/>
                    <w:tr2bl w:val="nil"/>
                  </w:tcBorders>
                  <w:vAlign w:val="center"/>
                </w:tcPr>
                <w:p>
                  <w:pPr>
                    <w:pStyle w:val="172"/>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农用地膜</w:t>
                  </w:r>
                </w:p>
              </w:tc>
              <w:tc>
                <w:tcPr>
                  <w:tcW w:w="595" w:type="pct"/>
                  <w:tcBorders>
                    <w:tl2br w:val="nil"/>
                    <w:tr2bl w:val="nil"/>
                  </w:tcBorders>
                  <w:vAlign w:val="center"/>
                </w:tcPr>
                <w:p>
                  <w:pPr>
                    <w:spacing w:before="48" w:after="48" w:line="360" w:lineRule="auto"/>
                    <w:jc w:val="center"/>
                    <w:rPr>
                      <w:rFonts w:hint="default"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t</w:t>
                  </w:r>
                </w:p>
              </w:tc>
              <w:tc>
                <w:tcPr>
                  <w:tcW w:w="785" w:type="pct"/>
                  <w:tcBorders>
                    <w:tl2br w:val="nil"/>
                    <w:tr2bl w:val="nil"/>
                  </w:tcBorders>
                  <w:vAlign w:val="center"/>
                </w:tcPr>
                <w:p>
                  <w:pPr>
                    <w:pStyle w:val="172"/>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1.5</w:t>
                  </w:r>
                </w:p>
              </w:tc>
              <w:tc>
                <w:tcPr>
                  <w:tcW w:w="2145"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石棉瓦覆膜，袋装，最大储存量为0.1吨，位于厂区东南角处的原料储存间</w:t>
                  </w:r>
                </w:p>
              </w:tc>
            </w:tr>
          </w:tbl>
          <w:p>
            <w:pPr>
              <w:spacing w:line="360" w:lineRule="auto"/>
              <w:jc w:val="both"/>
              <w:rPr>
                <w:rFonts w:hint="default" w:ascii="Times New Roman" w:hAnsi="Times New Roman" w:cs="Times New Roman"/>
                <w:b/>
                <w:color w:val="auto"/>
                <w:sz w:val="24"/>
                <w:szCs w:val="24"/>
                <w:u w:val="none" w:color="auto"/>
              </w:rPr>
            </w:pPr>
            <w:r>
              <w:rPr>
                <w:rFonts w:hint="eastAsia" w:cs="Times New Roman"/>
                <w:b/>
                <w:color w:val="auto"/>
                <w:sz w:val="24"/>
                <w:szCs w:val="24"/>
                <w:u w:val="single" w:color="auto"/>
                <w:lang w:val="en-US" w:eastAsia="zh-CN"/>
              </w:rPr>
              <w:t>注：项目不得使用油性漆、稀释剂、固化剂等有机溶剂。</w:t>
            </w:r>
          </w:p>
          <w:p>
            <w:pPr>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表1-5</w:t>
            </w:r>
            <w:r>
              <w:rPr>
                <w:rFonts w:hint="default" w:ascii="Times New Roman" w:hAnsi="Times New Roman" w:cs="Times New Roman"/>
                <w:color w:val="auto"/>
                <w:u w:val="none" w:color="auto"/>
              </w:rPr>
              <w:t xml:space="preserve">  </w:t>
            </w:r>
            <w:r>
              <w:rPr>
                <w:rFonts w:hint="default" w:ascii="Times New Roman" w:hAnsi="Times New Roman" w:cs="Times New Roman"/>
                <w:b/>
                <w:color w:val="auto"/>
                <w:sz w:val="24"/>
                <w:szCs w:val="24"/>
                <w:u w:val="none" w:color="auto"/>
              </w:rPr>
              <w:t>主要原辅材料的理化性质</w:t>
            </w:r>
          </w:p>
          <w:tbl>
            <w:tblPr>
              <w:tblStyle w:val="41"/>
              <w:tblW w:w="90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1654"/>
              <w:gridCol w:w="64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945"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b/>
                      <w:color w:val="auto"/>
                      <w:sz w:val="22"/>
                      <w:szCs w:val="22"/>
                      <w:u w:val="none" w:color="auto"/>
                    </w:rPr>
                    <w:t>序号</w:t>
                  </w:r>
                </w:p>
              </w:tc>
              <w:tc>
                <w:tcPr>
                  <w:tcW w:w="1654"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b/>
                      <w:color w:val="auto"/>
                      <w:sz w:val="22"/>
                      <w:szCs w:val="22"/>
                      <w:u w:val="none" w:color="auto"/>
                    </w:rPr>
                    <w:t>类别</w:t>
                  </w:r>
                </w:p>
              </w:tc>
              <w:tc>
                <w:tcPr>
                  <w:tcW w:w="6469"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b/>
                      <w:color w:val="auto"/>
                      <w:sz w:val="22"/>
                      <w:szCs w:val="22"/>
                      <w:u w:val="none" w:color="auto"/>
                    </w:rPr>
                    <w:t>理化性质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5"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1</w:t>
                  </w:r>
                </w:p>
              </w:tc>
              <w:tc>
                <w:tcPr>
                  <w:tcW w:w="1654"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水性漆</w:t>
                  </w:r>
                </w:p>
              </w:tc>
              <w:tc>
                <w:tcPr>
                  <w:tcW w:w="6469"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firstLine="440" w:firstLineChars="200"/>
                    <w:jc w:val="both"/>
                    <w:textAlignment w:val="auto"/>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是以水溶性合成树脂为基料，加水、颜料、填料、助剂等，经研磨、分散而成的涂料。其中水性聚氨酯醇酸树脂 35%，磷酸锌 20%，硫酸钡 12.5%，乙二醇丁醚 1%、乙胺约 1%，去离子水 32.5%</w:t>
                  </w:r>
                  <w:r>
                    <w:rPr>
                      <w:rFonts w:hint="default" w:ascii="Times New Roman" w:hAnsi="Times New Roman" w:eastAsia="宋体" w:cs="Times New Roman"/>
                      <w:color w:val="auto"/>
                      <w:sz w:val="22"/>
                      <w:szCs w:val="22"/>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5"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2</w:t>
                  </w:r>
                </w:p>
              </w:tc>
              <w:tc>
                <w:tcPr>
                  <w:tcW w:w="1654"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i w:val="0"/>
                      <w:caps w:val="0"/>
                      <w:color w:val="auto"/>
                      <w:spacing w:val="0"/>
                      <w:sz w:val="22"/>
                      <w:szCs w:val="22"/>
                      <w:shd w:val="clear" w:fill="FFFFFF"/>
                    </w:rPr>
                    <w:t>石棉纤维</w:t>
                  </w:r>
                </w:p>
              </w:tc>
              <w:tc>
                <w:tcPr>
                  <w:tcW w:w="6469"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firstLine="440" w:firstLineChars="200"/>
                    <w:jc w:val="both"/>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i w:val="0"/>
                      <w:caps w:val="0"/>
                      <w:color w:val="auto"/>
                      <w:spacing w:val="0"/>
                      <w:sz w:val="22"/>
                      <w:szCs w:val="22"/>
                      <w:shd w:val="clear" w:fill="FFFFFF"/>
                    </w:rPr>
                    <w:t>是天然纤维状的</w:t>
                  </w:r>
                  <w:r>
                    <w:rPr>
                      <w:rFonts w:hint="default" w:ascii="Times New Roman" w:hAnsi="Times New Roman" w:eastAsia="宋体" w:cs="Times New Roman"/>
                      <w:i w:val="0"/>
                      <w:caps w:val="0"/>
                      <w:color w:val="auto"/>
                      <w:spacing w:val="0"/>
                      <w:sz w:val="22"/>
                      <w:szCs w:val="22"/>
                      <w:u w:val="none"/>
                      <w:shd w:val="clear" w:fill="FFFFFF"/>
                    </w:rPr>
                    <w:fldChar w:fldCharType="begin"/>
                  </w:r>
                  <w:r>
                    <w:rPr>
                      <w:rFonts w:hint="default" w:ascii="Times New Roman" w:hAnsi="Times New Roman" w:eastAsia="宋体" w:cs="Times New Roman"/>
                      <w:i w:val="0"/>
                      <w:caps w:val="0"/>
                      <w:color w:val="auto"/>
                      <w:spacing w:val="0"/>
                      <w:sz w:val="22"/>
                      <w:szCs w:val="22"/>
                      <w:u w:val="none"/>
                      <w:shd w:val="clear" w:fill="FFFFFF"/>
                    </w:rPr>
                    <w:instrText xml:space="preserve"> HYPERLINK "https://baike.baidu.com/item/%E7%A1%85/2142941" \t "https://baike.baidu.com/item/%E7%9F%B3%E6%A3%89%E7%BA%A4%E7%BB%B4/_blank" </w:instrText>
                  </w:r>
                  <w:r>
                    <w:rPr>
                      <w:rFonts w:hint="default" w:ascii="Times New Roman" w:hAnsi="Times New Roman" w:eastAsia="宋体" w:cs="Times New Roman"/>
                      <w:i w:val="0"/>
                      <w:caps w:val="0"/>
                      <w:color w:val="auto"/>
                      <w:spacing w:val="0"/>
                      <w:sz w:val="22"/>
                      <w:szCs w:val="22"/>
                      <w:u w:val="none"/>
                      <w:shd w:val="clear" w:fill="FFFFFF"/>
                    </w:rPr>
                    <w:fldChar w:fldCharType="separate"/>
                  </w:r>
                  <w:r>
                    <w:rPr>
                      <w:rStyle w:val="49"/>
                      <w:rFonts w:hint="default" w:ascii="Times New Roman" w:hAnsi="Times New Roman" w:eastAsia="宋体" w:cs="Times New Roman"/>
                      <w:i w:val="0"/>
                      <w:caps w:val="0"/>
                      <w:color w:val="auto"/>
                      <w:spacing w:val="0"/>
                      <w:sz w:val="22"/>
                      <w:szCs w:val="22"/>
                      <w:u w:val="none"/>
                      <w:shd w:val="clear" w:fill="FFFFFF"/>
                    </w:rPr>
                    <w:t>硅</w:t>
                  </w:r>
                  <w:r>
                    <w:rPr>
                      <w:rFonts w:hint="default" w:ascii="Times New Roman" w:hAnsi="Times New Roman" w:eastAsia="宋体" w:cs="Times New Roman"/>
                      <w:i w:val="0"/>
                      <w:caps w:val="0"/>
                      <w:color w:val="auto"/>
                      <w:spacing w:val="0"/>
                      <w:sz w:val="22"/>
                      <w:szCs w:val="22"/>
                      <w:u w:val="none"/>
                      <w:shd w:val="clear" w:fill="FFFFFF"/>
                    </w:rPr>
                    <w:fldChar w:fldCharType="end"/>
                  </w:r>
                  <w:r>
                    <w:rPr>
                      <w:rFonts w:hint="default" w:ascii="Times New Roman" w:hAnsi="Times New Roman" w:eastAsia="宋体" w:cs="Times New Roman"/>
                      <w:i w:val="0"/>
                      <w:caps w:val="0"/>
                      <w:color w:val="auto"/>
                      <w:spacing w:val="0"/>
                      <w:sz w:val="22"/>
                      <w:szCs w:val="22"/>
                      <w:shd w:val="clear" w:fill="FFFFFF"/>
                    </w:rPr>
                    <w:t>质矿物的泛称，是一种被广泛应用于建材防火板的硅酸盐类矿 物纤维，也是唯一的天然矿物</w:t>
                  </w:r>
                  <w:r>
                    <w:rPr>
                      <w:rFonts w:hint="default" w:ascii="Times New Roman" w:hAnsi="Times New Roman" w:eastAsia="宋体" w:cs="Times New Roman"/>
                      <w:i w:val="0"/>
                      <w:caps w:val="0"/>
                      <w:color w:val="auto"/>
                      <w:spacing w:val="0"/>
                      <w:sz w:val="22"/>
                      <w:szCs w:val="22"/>
                      <w:u w:val="none"/>
                      <w:shd w:val="clear" w:fill="FFFFFF"/>
                    </w:rPr>
                    <w:fldChar w:fldCharType="begin"/>
                  </w:r>
                  <w:r>
                    <w:rPr>
                      <w:rFonts w:hint="default" w:ascii="Times New Roman" w:hAnsi="Times New Roman" w:eastAsia="宋体" w:cs="Times New Roman"/>
                      <w:i w:val="0"/>
                      <w:caps w:val="0"/>
                      <w:color w:val="auto"/>
                      <w:spacing w:val="0"/>
                      <w:sz w:val="22"/>
                      <w:szCs w:val="22"/>
                      <w:u w:val="none"/>
                      <w:shd w:val="clear" w:fill="FFFFFF"/>
                    </w:rPr>
                    <w:instrText xml:space="preserve"> HYPERLINK "https://baike.baidu.com/item/%E7%BA%A4%E7%BB%B4/3242959" \t "https://baike.baidu.com/item/%E7%9F%B3%E6%A3%89%E7%BA%A4%E7%BB%B4/_blank" </w:instrText>
                  </w:r>
                  <w:r>
                    <w:rPr>
                      <w:rFonts w:hint="default" w:ascii="Times New Roman" w:hAnsi="Times New Roman" w:eastAsia="宋体" w:cs="Times New Roman"/>
                      <w:i w:val="0"/>
                      <w:caps w:val="0"/>
                      <w:color w:val="auto"/>
                      <w:spacing w:val="0"/>
                      <w:sz w:val="22"/>
                      <w:szCs w:val="22"/>
                      <w:u w:val="none"/>
                      <w:shd w:val="clear" w:fill="FFFFFF"/>
                    </w:rPr>
                    <w:fldChar w:fldCharType="separate"/>
                  </w:r>
                  <w:r>
                    <w:rPr>
                      <w:rStyle w:val="49"/>
                      <w:rFonts w:hint="default" w:ascii="Times New Roman" w:hAnsi="Times New Roman" w:eastAsia="宋体" w:cs="Times New Roman"/>
                      <w:i w:val="0"/>
                      <w:caps w:val="0"/>
                      <w:color w:val="auto"/>
                      <w:spacing w:val="0"/>
                      <w:sz w:val="22"/>
                      <w:szCs w:val="22"/>
                      <w:u w:val="none"/>
                      <w:shd w:val="clear" w:fill="FFFFFF"/>
                    </w:rPr>
                    <w:t>纤维</w:t>
                  </w:r>
                  <w:r>
                    <w:rPr>
                      <w:rFonts w:hint="default" w:ascii="Times New Roman" w:hAnsi="Times New Roman" w:eastAsia="宋体" w:cs="Times New Roman"/>
                      <w:i w:val="0"/>
                      <w:caps w:val="0"/>
                      <w:color w:val="auto"/>
                      <w:spacing w:val="0"/>
                      <w:sz w:val="22"/>
                      <w:szCs w:val="22"/>
                      <w:u w:val="none"/>
                      <w:shd w:val="clear" w:fill="FFFFFF"/>
                    </w:rPr>
                    <w:fldChar w:fldCharType="end"/>
                  </w:r>
                  <w:r>
                    <w:rPr>
                      <w:rFonts w:hint="default" w:ascii="Times New Roman" w:hAnsi="Times New Roman" w:eastAsia="宋体" w:cs="Times New Roman"/>
                      <w:i w:val="0"/>
                      <w:caps w:val="0"/>
                      <w:color w:val="auto"/>
                      <w:spacing w:val="0"/>
                      <w:sz w:val="22"/>
                      <w:szCs w:val="22"/>
                      <w:shd w:val="clear" w:fill="FFFFFF"/>
                    </w:rPr>
                    <w:t>。岩石受动力变质条件产生。石棉纤维是指蛇纹岩及角闪石系的无机矿物纤维，基本成分是水合硅酸镁(3MgO·3SiO2·2H2O)。石棉纤维的特点是耐热、不燃、耐水、耐酸、耐化学腐蚀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5"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3</w:t>
                  </w:r>
                </w:p>
              </w:tc>
              <w:tc>
                <w:tcPr>
                  <w:tcW w:w="1654"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i w:val="0"/>
                      <w:caps w:val="0"/>
                      <w:color w:val="auto"/>
                      <w:spacing w:val="0"/>
                      <w:sz w:val="22"/>
                      <w:szCs w:val="22"/>
                      <w:shd w:val="clear" w:fill="FFFFFF"/>
                    </w:rPr>
                  </w:pPr>
                  <w:r>
                    <w:rPr>
                      <w:rFonts w:hint="default" w:ascii="Times New Roman" w:hAnsi="Times New Roman" w:eastAsia="宋体" w:cs="Times New Roman"/>
                      <w:i w:val="0"/>
                      <w:caps w:val="0"/>
                      <w:color w:val="auto"/>
                      <w:spacing w:val="0"/>
                      <w:sz w:val="22"/>
                      <w:szCs w:val="22"/>
                      <w:shd w:val="clear" w:fill="FFFFFF"/>
                    </w:rPr>
                    <w:t>玻璃纤维</w:t>
                  </w:r>
                </w:p>
              </w:tc>
              <w:tc>
                <w:tcPr>
                  <w:tcW w:w="6469"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firstLine="440" w:firstLineChars="200"/>
                    <w:jc w:val="both"/>
                    <w:textAlignment w:val="auto"/>
                    <w:rPr>
                      <w:rFonts w:hint="default" w:ascii="Times New Roman" w:hAnsi="Times New Roman" w:eastAsia="宋体" w:cs="Times New Roman"/>
                      <w:i w:val="0"/>
                      <w:caps w:val="0"/>
                      <w:color w:val="auto"/>
                      <w:spacing w:val="0"/>
                      <w:sz w:val="22"/>
                      <w:szCs w:val="22"/>
                      <w:shd w:val="clear" w:fill="FFFFFF"/>
                    </w:rPr>
                  </w:pPr>
                  <w:r>
                    <w:rPr>
                      <w:rFonts w:hint="default" w:ascii="Times New Roman" w:hAnsi="Times New Roman" w:eastAsia="宋体" w:cs="Times New Roman"/>
                      <w:i w:val="0"/>
                      <w:caps w:val="0"/>
                      <w:color w:val="auto"/>
                      <w:spacing w:val="0"/>
                      <w:sz w:val="22"/>
                      <w:szCs w:val="22"/>
                      <w:shd w:val="clear" w:fill="FFFFFF"/>
                    </w:rPr>
                    <w:t>是一种性能优异的</w:t>
                  </w:r>
                  <w:r>
                    <w:rPr>
                      <w:rFonts w:hint="default" w:ascii="Times New Roman" w:hAnsi="Times New Roman" w:eastAsia="宋体" w:cs="Times New Roman"/>
                      <w:i w:val="0"/>
                      <w:caps w:val="0"/>
                      <w:color w:val="auto"/>
                      <w:spacing w:val="0"/>
                      <w:sz w:val="22"/>
                      <w:szCs w:val="22"/>
                      <w:u w:val="none"/>
                      <w:shd w:val="clear" w:fill="FFFFFF"/>
                    </w:rPr>
                    <w:fldChar w:fldCharType="begin"/>
                  </w:r>
                  <w:r>
                    <w:rPr>
                      <w:rFonts w:hint="default" w:ascii="Times New Roman" w:hAnsi="Times New Roman" w:eastAsia="宋体" w:cs="Times New Roman"/>
                      <w:i w:val="0"/>
                      <w:caps w:val="0"/>
                      <w:color w:val="auto"/>
                      <w:spacing w:val="0"/>
                      <w:sz w:val="22"/>
                      <w:szCs w:val="22"/>
                      <w:u w:val="none"/>
                      <w:shd w:val="clear" w:fill="FFFFFF"/>
                    </w:rPr>
                    <w:instrText xml:space="preserve"> HYPERLINK "https://baike.baidu.com/item/%E6%97%A0%E6%9C%BA%E9%9D%9E%E9%87%91%E5%B1%9E%E6%9D%90%E6%96%99/2502765" \t "https://baike.baidu.com/item/%E7%8E%BB%E7%92%83%E7%BA%A4%E7%BB%B4/_blank" </w:instrText>
                  </w:r>
                  <w:r>
                    <w:rPr>
                      <w:rFonts w:hint="default" w:ascii="Times New Roman" w:hAnsi="Times New Roman" w:eastAsia="宋体" w:cs="Times New Roman"/>
                      <w:i w:val="0"/>
                      <w:caps w:val="0"/>
                      <w:color w:val="auto"/>
                      <w:spacing w:val="0"/>
                      <w:sz w:val="22"/>
                      <w:szCs w:val="22"/>
                      <w:u w:val="none"/>
                      <w:shd w:val="clear" w:fill="FFFFFF"/>
                    </w:rPr>
                    <w:fldChar w:fldCharType="separate"/>
                  </w:r>
                  <w:r>
                    <w:rPr>
                      <w:rStyle w:val="49"/>
                      <w:rFonts w:hint="default" w:ascii="Times New Roman" w:hAnsi="Times New Roman" w:eastAsia="宋体" w:cs="Times New Roman"/>
                      <w:i w:val="0"/>
                      <w:caps w:val="0"/>
                      <w:color w:val="auto"/>
                      <w:spacing w:val="0"/>
                      <w:sz w:val="22"/>
                      <w:szCs w:val="22"/>
                      <w:u w:val="none"/>
                      <w:shd w:val="clear" w:fill="FFFFFF"/>
                    </w:rPr>
                    <w:t>无机非金属材料</w:t>
                  </w:r>
                  <w:r>
                    <w:rPr>
                      <w:rFonts w:hint="default" w:ascii="Times New Roman" w:hAnsi="Times New Roman" w:eastAsia="宋体" w:cs="Times New Roman"/>
                      <w:i w:val="0"/>
                      <w:caps w:val="0"/>
                      <w:color w:val="auto"/>
                      <w:spacing w:val="0"/>
                      <w:sz w:val="22"/>
                      <w:szCs w:val="22"/>
                      <w:u w:val="none"/>
                      <w:shd w:val="clear" w:fill="FFFFFF"/>
                    </w:rPr>
                    <w:fldChar w:fldCharType="end"/>
                  </w:r>
                  <w:r>
                    <w:rPr>
                      <w:rFonts w:hint="default" w:ascii="Times New Roman" w:hAnsi="Times New Roman" w:eastAsia="宋体" w:cs="Times New Roman"/>
                      <w:i w:val="0"/>
                      <w:caps w:val="0"/>
                      <w:color w:val="auto"/>
                      <w:spacing w:val="0"/>
                      <w:sz w:val="22"/>
                      <w:szCs w:val="22"/>
                      <w:shd w:val="clear" w:fill="FFFFFF"/>
                    </w:rPr>
                    <w:t>，种类繁多，优点是</w:t>
                  </w:r>
                  <w:r>
                    <w:rPr>
                      <w:rFonts w:hint="default" w:ascii="Times New Roman" w:hAnsi="Times New Roman" w:eastAsia="宋体" w:cs="Times New Roman"/>
                      <w:i w:val="0"/>
                      <w:caps w:val="0"/>
                      <w:color w:val="auto"/>
                      <w:spacing w:val="0"/>
                      <w:sz w:val="22"/>
                      <w:szCs w:val="22"/>
                      <w:u w:val="none"/>
                      <w:shd w:val="clear" w:fill="FFFFFF"/>
                    </w:rPr>
                    <w:fldChar w:fldCharType="begin"/>
                  </w:r>
                  <w:r>
                    <w:rPr>
                      <w:rFonts w:hint="default" w:ascii="Times New Roman" w:hAnsi="Times New Roman" w:eastAsia="宋体" w:cs="Times New Roman"/>
                      <w:i w:val="0"/>
                      <w:caps w:val="0"/>
                      <w:color w:val="auto"/>
                      <w:spacing w:val="0"/>
                      <w:sz w:val="22"/>
                      <w:szCs w:val="22"/>
                      <w:u w:val="none"/>
                      <w:shd w:val="clear" w:fill="FFFFFF"/>
                    </w:rPr>
                    <w:instrText xml:space="preserve"> HYPERLINK "https://baike.baidu.com/item/%E7%BB%9D%E7%BC%98%E6%80%A7/3454712" \t "https://baike.baidu.com/item/%E7%8E%BB%E7%92%83%E7%BA%A4%E7%BB%B4/_blank" </w:instrText>
                  </w:r>
                  <w:r>
                    <w:rPr>
                      <w:rFonts w:hint="default" w:ascii="Times New Roman" w:hAnsi="Times New Roman" w:eastAsia="宋体" w:cs="Times New Roman"/>
                      <w:i w:val="0"/>
                      <w:caps w:val="0"/>
                      <w:color w:val="auto"/>
                      <w:spacing w:val="0"/>
                      <w:sz w:val="22"/>
                      <w:szCs w:val="22"/>
                      <w:u w:val="none"/>
                      <w:shd w:val="clear" w:fill="FFFFFF"/>
                    </w:rPr>
                    <w:fldChar w:fldCharType="separate"/>
                  </w:r>
                  <w:r>
                    <w:rPr>
                      <w:rStyle w:val="49"/>
                      <w:rFonts w:hint="default" w:ascii="Times New Roman" w:hAnsi="Times New Roman" w:eastAsia="宋体" w:cs="Times New Roman"/>
                      <w:i w:val="0"/>
                      <w:caps w:val="0"/>
                      <w:color w:val="auto"/>
                      <w:spacing w:val="0"/>
                      <w:sz w:val="22"/>
                      <w:szCs w:val="22"/>
                      <w:u w:val="none"/>
                      <w:shd w:val="clear" w:fill="FFFFFF"/>
                    </w:rPr>
                    <w:t>绝缘性</w:t>
                  </w:r>
                  <w:r>
                    <w:rPr>
                      <w:rFonts w:hint="default" w:ascii="Times New Roman" w:hAnsi="Times New Roman" w:eastAsia="宋体" w:cs="Times New Roman"/>
                      <w:i w:val="0"/>
                      <w:caps w:val="0"/>
                      <w:color w:val="auto"/>
                      <w:spacing w:val="0"/>
                      <w:sz w:val="22"/>
                      <w:szCs w:val="22"/>
                      <w:u w:val="none"/>
                      <w:shd w:val="clear" w:fill="FFFFFF"/>
                    </w:rPr>
                    <w:fldChar w:fldCharType="end"/>
                  </w:r>
                  <w:r>
                    <w:rPr>
                      <w:rFonts w:hint="default" w:ascii="Times New Roman" w:hAnsi="Times New Roman" w:eastAsia="宋体" w:cs="Times New Roman"/>
                      <w:i w:val="0"/>
                      <w:caps w:val="0"/>
                      <w:color w:val="auto"/>
                      <w:spacing w:val="0"/>
                      <w:sz w:val="22"/>
                      <w:szCs w:val="22"/>
                      <w:shd w:val="clear" w:fill="FFFFFF"/>
                    </w:rPr>
                    <w:t>好、</w:t>
                  </w:r>
                  <w:r>
                    <w:rPr>
                      <w:rFonts w:hint="default" w:ascii="Times New Roman" w:hAnsi="Times New Roman" w:eastAsia="宋体" w:cs="Times New Roman"/>
                      <w:i w:val="0"/>
                      <w:caps w:val="0"/>
                      <w:color w:val="auto"/>
                      <w:spacing w:val="0"/>
                      <w:sz w:val="22"/>
                      <w:szCs w:val="22"/>
                      <w:u w:val="none"/>
                      <w:shd w:val="clear" w:fill="FFFFFF"/>
                    </w:rPr>
                    <w:fldChar w:fldCharType="begin"/>
                  </w:r>
                  <w:r>
                    <w:rPr>
                      <w:rFonts w:hint="default" w:ascii="Times New Roman" w:hAnsi="Times New Roman" w:eastAsia="宋体" w:cs="Times New Roman"/>
                      <w:i w:val="0"/>
                      <w:caps w:val="0"/>
                      <w:color w:val="auto"/>
                      <w:spacing w:val="0"/>
                      <w:sz w:val="22"/>
                      <w:szCs w:val="22"/>
                      <w:u w:val="none"/>
                      <w:shd w:val="clear" w:fill="FFFFFF"/>
                    </w:rPr>
                    <w:instrText xml:space="preserve"> HYPERLINK "https://baike.baidu.com/item/%E8%80%90%E7%83%AD%E6%80%A7/9397486" \t "https://baike.baidu.com/item/%E7%8E%BB%E7%92%83%E7%BA%A4%E7%BB%B4/_blank" </w:instrText>
                  </w:r>
                  <w:r>
                    <w:rPr>
                      <w:rFonts w:hint="default" w:ascii="Times New Roman" w:hAnsi="Times New Roman" w:eastAsia="宋体" w:cs="Times New Roman"/>
                      <w:i w:val="0"/>
                      <w:caps w:val="0"/>
                      <w:color w:val="auto"/>
                      <w:spacing w:val="0"/>
                      <w:sz w:val="22"/>
                      <w:szCs w:val="22"/>
                      <w:u w:val="none"/>
                      <w:shd w:val="clear" w:fill="FFFFFF"/>
                    </w:rPr>
                    <w:fldChar w:fldCharType="separate"/>
                  </w:r>
                  <w:r>
                    <w:rPr>
                      <w:rStyle w:val="49"/>
                      <w:rFonts w:hint="default" w:ascii="Times New Roman" w:hAnsi="Times New Roman" w:eastAsia="宋体" w:cs="Times New Roman"/>
                      <w:i w:val="0"/>
                      <w:caps w:val="0"/>
                      <w:color w:val="auto"/>
                      <w:spacing w:val="0"/>
                      <w:sz w:val="22"/>
                      <w:szCs w:val="22"/>
                      <w:u w:val="none"/>
                      <w:shd w:val="clear" w:fill="FFFFFF"/>
                    </w:rPr>
                    <w:t>耐热性</w:t>
                  </w:r>
                  <w:r>
                    <w:rPr>
                      <w:rFonts w:hint="default" w:ascii="Times New Roman" w:hAnsi="Times New Roman" w:eastAsia="宋体" w:cs="Times New Roman"/>
                      <w:i w:val="0"/>
                      <w:caps w:val="0"/>
                      <w:color w:val="auto"/>
                      <w:spacing w:val="0"/>
                      <w:sz w:val="22"/>
                      <w:szCs w:val="22"/>
                      <w:u w:val="none"/>
                      <w:shd w:val="clear" w:fill="FFFFFF"/>
                    </w:rPr>
                    <w:fldChar w:fldCharType="end"/>
                  </w:r>
                  <w:r>
                    <w:rPr>
                      <w:rFonts w:hint="default" w:ascii="Times New Roman" w:hAnsi="Times New Roman" w:eastAsia="宋体" w:cs="Times New Roman"/>
                      <w:i w:val="0"/>
                      <w:caps w:val="0"/>
                      <w:color w:val="auto"/>
                      <w:spacing w:val="0"/>
                      <w:sz w:val="22"/>
                      <w:szCs w:val="22"/>
                      <w:shd w:val="clear" w:fill="FFFFFF"/>
                    </w:rPr>
                    <w:t>强、抗腐蚀性好，</w:t>
                  </w:r>
                  <w:r>
                    <w:rPr>
                      <w:rFonts w:hint="default" w:ascii="Times New Roman" w:hAnsi="Times New Roman" w:eastAsia="宋体" w:cs="Times New Roman"/>
                      <w:i w:val="0"/>
                      <w:caps w:val="0"/>
                      <w:color w:val="auto"/>
                      <w:spacing w:val="0"/>
                      <w:sz w:val="22"/>
                      <w:szCs w:val="22"/>
                      <w:u w:val="none"/>
                      <w:shd w:val="clear" w:fill="FFFFFF"/>
                    </w:rPr>
                    <w:fldChar w:fldCharType="begin"/>
                  </w:r>
                  <w:r>
                    <w:rPr>
                      <w:rFonts w:hint="default" w:ascii="Times New Roman" w:hAnsi="Times New Roman" w:eastAsia="宋体" w:cs="Times New Roman"/>
                      <w:i w:val="0"/>
                      <w:caps w:val="0"/>
                      <w:color w:val="auto"/>
                      <w:spacing w:val="0"/>
                      <w:sz w:val="22"/>
                      <w:szCs w:val="22"/>
                      <w:u w:val="none"/>
                      <w:shd w:val="clear" w:fill="FFFFFF"/>
                    </w:rPr>
                    <w:instrText xml:space="preserve"> HYPERLINK "https://baike.baidu.com/item/%E6%9C%BA%E6%A2%B0%E5%BC%BA%E5%BA%A6" \t "https://baike.baidu.com/item/%E7%8E%BB%E7%92%83%E7%BA%A4%E7%BB%B4/_blank" </w:instrText>
                  </w:r>
                  <w:r>
                    <w:rPr>
                      <w:rFonts w:hint="default" w:ascii="Times New Roman" w:hAnsi="Times New Roman" w:eastAsia="宋体" w:cs="Times New Roman"/>
                      <w:i w:val="0"/>
                      <w:caps w:val="0"/>
                      <w:color w:val="auto"/>
                      <w:spacing w:val="0"/>
                      <w:sz w:val="22"/>
                      <w:szCs w:val="22"/>
                      <w:u w:val="none"/>
                      <w:shd w:val="clear" w:fill="FFFFFF"/>
                    </w:rPr>
                    <w:fldChar w:fldCharType="separate"/>
                  </w:r>
                  <w:r>
                    <w:rPr>
                      <w:rStyle w:val="49"/>
                      <w:rFonts w:hint="default" w:ascii="Times New Roman" w:hAnsi="Times New Roman" w:eastAsia="宋体" w:cs="Times New Roman"/>
                      <w:i w:val="0"/>
                      <w:caps w:val="0"/>
                      <w:color w:val="auto"/>
                      <w:spacing w:val="0"/>
                      <w:sz w:val="22"/>
                      <w:szCs w:val="22"/>
                      <w:u w:val="none"/>
                      <w:shd w:val="clear" w:fill="FFFFFF"/>
                    </w:rPr>
                    <w:t>机械强度</w:t>
                  </w:r>
                  <w:r>
                    <w:rPr>
                      <w:rFonts w:hint="default" w:ascii="Times New Roman" w:hAnsi="Times New Roman" w:eastAsia="宋体" w:cs="Times New Roman"/>
                      <w:i w:val="0"/>
                      <w:caps w:val="0"/>
                      <w:color w:val="auto"/>
                      <w:spacing w:val="0"/>
                      <w:sz w:val="22"/>
                      <w:szCs w:val="22"/>
                      <w:u w:val="none"/>
                      <w:shd w:val="clear" w:fill="FFFFFF"/>
                    </w:rPr>
                    <w:fldChar w:fldCharType="end"/>
                  </w:r>
                  <w:r>
                    <w:rPr>
                      <w:rFonts w:hint="default" w:ascii="Times New Roman" w:hAnsi="Times New Roman" w:eastAsia="宋体" w:cs="Times New Roman"/>
                      <w:i w:val="0"/>
                      <w:caps w:val="0"/>
                      <w:color w:val="auto"/>
                      <w:spacing w:val="0"/>
                      <w:sz w:val="22"/>
                      <w:szCs w:val="22"/>
                      <w:shd w:val="clear" w:fill="FFFFFF"/>
                    </w:rPr>
                    <w:t>高，但缺点是性脆，</w:t>
                  </w:r>
                  <w:r>
                    <w:rPr>
                      <w:rFonts w:hint="default" w:ascii="Times New Roman" w:hAnsi="Times New Roman" w:eastAsia="宋体" w:cs="Times New Roman"/>
                      <w:i w:val="0"/>
                      <w:caps w:val="0"/>
                      <w:color w:val="auto"/>
                      <w:spacing w:val="0"/>
                      <w:sz w:val="22"/>
                      <w:szCs w:val="22"/>
                      <w:u w:val="none"/>
                      <w:shd w:val="clear" w:fill="FFFFFF"/>
                    </w:rPr>
                    <w:fldChar w:fldCharType="begin"/>
                  </w:r>
                  <w:r>
                    <w:rPr>
                      <w:rFonts w:hint="default" w:ascii="Times New Roman" w:hAnsi="Times New Roman" w:eastAsia="宋体" w:cs="Times New Roman"/>
                      <w:i w:val="0"/>
                      <w:caps w:val="0"/>
                      <w:color w:val="auto"/>
                      <w:spacing w:val="0"/>
                      <w:sz w:val="22"/>
                      <w:szCs w:val="22"/>
                      <w:u w:val="none"/>
                      <w:shd w:val="clear" w:fill="FFFFFF"/>
                    </w:rPr>
                    <w:instrText xml:space="preserve"> HYPERLINK "https://baike.baidu.com/item/%E8%80%90%E7%A3%A8%E6%80%A7/648992" \t "https://baike.baidu.com/item/%E7%8E%BB%E7%92%83%E7%BA%A4%E7%BB%B4/_blank" </w:instrText>
                  </w:r>
                  <w:r>
                    <w:rPr>
                      <w:rFonts w:hint="default" w:ascii="Times New Roman" w:hAnsi="Times New Roman" w:eastAsia="宋体" w:cs="Times New Roman"/>
                      <w:i w:val="0"/>
                      <w:caps w:val="0"/>
                      <w:color w:val="auto"/>
                      <w:spacing w:val="0"/>
                      <w:sz w:val="22"/>
                      <w:szCs w:val="22"/>
                      <w:u w:val="none"/>
                      <w:shd w:val="clear" w:fill="FFFFFF"/>
                    </w:rPr>
                    <w:fldChar w:fldCharType="separate"/>
                  </w:r>
                  <w:r>
                    <w:rPr>
                      <w:rStyle w:val="49"/>
                      <w:rFonts w:hint="default" w:ascii="Times New Roman" w:hAnsi="Times New Roman" w:eastAsia="宋体" w:cs="Times New Roman"/>
                      <w:i w:val="0"/>
                      <w:caps w:val="0"/>
                      <w:color w:val="auto"/>
                      <w:spacing w:val="0"/>
                      <w:sz w:val="22"/>
                      <w:szCs w:val="22"/>
                      <w:u w:val="none"/>
                      <w:shd w:val="clear" w:fill="FFFFFF"/>
                    </w:rPr>
                    <w:t>耐磨性</w:t>
                  </w:r>
                  <w:r>
                    <w:rPr>
                      <w:rFonts w:hint="default" w:ascii="Times New Roman" w:hAnsi="Times New Roman" w:eastAsia="宋体" w:cs="Times New Roman"/>
                      <w:i w:val="0"/>
                      <w:caps w:val="0"/>
                      <w:color w:val="auto"/>
                      <w:spacing w:val="0"/>
                      <w:sz w:val="22"/>
                      <w:szCs w:val="22"/>
                      <w:u w:val="none"/>
                      <w:shd w:val="clear" w:fill="FFFFFF"/>
                    </w:rPr>
                    <w:fldChar w:fldCharType="end"/>
                  </w:r>
                  <w:r>
                    <w:rPr>
                      <w:rFonts w:hint="default" w:ascii="Times New Roman" w:hAnsi="Times New Roman" w:eastAsia="宋体" w:cs="Times New Roman"/>
                      <w:i w:val="0"/>
                      <w:caps w:val="0"/>
                      <w:color w:val="auto"/>
                      <w:spacing w:val="0"/>
                      <w:sz w:val="22"/>
                      <w:szCs w:val="22"/>
                      <w:shd w:val="clear" w:fill="FFFFFF"/>
                    </w:rPr>
                    <w:t>较差。它是叶腊石、石英砂、石灰石、白云石、硼钙石、硼镁石六种矿石为原料经高温熔制、</w:t>
                  </w:r>
                  <w:r>
                    <w:rPr>
                      <w:rFonts w:hint="default" w:ascii="Times New Roman" w:hAnsi="Times New Roman" w:eastAsia="宋体" w:cs="Times New Roman"/>
                      <w:i w:val="0"/>
                      <w:caps w:val="0"/>
                      <w:color w:val="auto"/>
                      <w:spacing w:val="0"/>
                      <w:sz w:val="22"/>
                      <w:szCs w:val="22"/>
                      <w:u w:val="none"/>
                      <w:shd w:val="clear" w:fill="FFFFFF"/>
                    </w:rPr>
                    <w:fldChar w:fldCharType="begin"/>
                  </w:r>
                  <w:r>
                    <w:rPr>
                      <w:rFonts w:hint="default" w:ascii="Times New Roman" w:hAnsi="Times New Roman" w:eastAsia="宋体" w:cs="Times New Roman"/>
                      <w:i w:val="0"/>
                      <w:caps w:val="0"/>
                      <w:color w:val="auto"/>
                      <w:spacing w:val="0"/>
                      <w:sz w:val="22"/>
                      <w:szCs w:val="22"/>
                      <w:u w:val="none"/>
                      <w:shd w:val="clear" w:fill="FFFFFF"/>
                    </w:rPr>
                    <w:instrText xml:space="preserve"> HYPERLINK "https://baike.baidu.com/item/%E6%8B%89%E4%B8%9D/2387850" \t "https://baike.baidu.com/item/%E7%8E%BB%E7%92%83%E7%BA%A4%E7%BB%B4/_blank" </w:instrText>
                  </w:r>
                  <w:r>
                    <w:rPr>
                      <w:rFonts w:hint="default" w:ascii="Times New Roman" w:hAnsi="Times New Roman" w:eastAsia="宋体" w:cs="Times New Roman"/>
                      <w:i w:val="0"/>
                      <w:caps w:val="0"/>
                      <w:color w:val="auto"/>
                      <w:spacing w:val="0"/>
                      <w:sz w:val="22"/>
                      <w:szCs w:val="22"/>
                      <w:u w:val="none"/>
                      <w:shd w:val="clear" w:fill="FFFFFF"/>
                    </w:rPr>
                    <w:fldChar w:fldCharType="separate"/>
                  </w:r>
                  <w:r>
                    <w:rPr>
                      <w:rStyle w:val="49"/>
                      <w:rFonts w:hint="default" w:ascii="Times New Roman" w:hAnsi="Times New Roman" w:eastAsia="宋体" w:cs="Times New Roman"/>
                      <w:i w:val="0"/>
                      <w:caps w:val="0"/>
                      <w:color w:val="auto"/>
                      <w:spacing w:val="0"/>
                      <w:sz w:val="22"/>
                      <w:szCs w:val="22"/>
                      <w:u w:val="none"/>
                      <w:shd w:val="clear" w:fill="FFFFFF"/>
                    </w:rPr>
                    <w:t>拉丝</w:t>
                  </w:r>
                  <w:r>
                    <w:rPr>
                      <w:rFonts w:hint="default" w:ascii="Times New Roman" w:hAnsi="Times New Roman" w:eastAsia="宋体" w:cs="Times New Roman"/>
                      <w:i w:val="0"/>
                      <w:caps w:val="0"/>
                      <w:color w:val="auto"/>
                      <w:spacing w:val="0"/>
                      <w:sz w:val="22"/>
                      <w:szCs w:val="22"/>
                      <w:u w:val="none"/>
                      <w:shd w:val="clear" w:fill="FFFFFF"/>
                    </w:rPr>
                    <w:fldChar w:fldCharType="end"/>
                  </w:r>
                  <w:r>
                    <w:rPr>
                      <w:rFonts w:hint="default" w:ascii="Times New Roman" w:hAnsi="Times New Roman" w:eastAsia="宋体" w:cs="Times New Roman"/>
                      <w:i w:val="0"/>
                      <w:caps w:val="0"/>
                      <w:color w:val="auto"/>
                      <w:spacing w:val="0"/>
                      <w:sz w:val="22"/>
                      <w:szCs w:val="22"/>
                      <w:shd w:val="clear" w:fill="FFFFFF"/>
                    </w:rPr>
                    <w:t>、络纱、织布等工艺制造成的，其单丝的直径为几个微米到二十几个</w:t>
                  </w:r>
                  <w:r>
                    <w:rPr>
                      <w:rFonts w:hint="default" w:ascii="Times New Roman" w:hAnsi="Times New Roman" w:eastAsia="宋体" w:cs="Times New Roman"/>
                      <w:i w:val="0"/>
                      <w:caps w:val="0"/>
                      <w:color w:val="auto"/>
                      <w:spacing w:val="0"/>
                      <w:sz w:val="22"/>
                      <w:szCs w:val="22"/>
                      <w:u w:val="none"/>
                      <w:shd w:val="clear" w:fill="FFFFFF"/>
                    </w:rPr>
                    <w:fldChar w:fldCharType="begin"/>
                  </w:r>
                  <w:r>
                    <w:rPr>
                      <w:rFonts w:hint="default" w:ascii="Times New Roman" w:hAnsi="Times New Roman" w:eastAsia="宋体" w:cs="Times New Roman"/>
                      <w:i w:val="0"/>
                      <w:caps w:val="0"/>
                      <w:color w:val="auto"/>
                      <w:spacing w:val="0"/>
                      <w:sz w:val="22"/>
                      <w:szCs w:val="22"/>
                      <w:u w:val="none"/>
                      <w:shd w:val="clear" w:fill="FFFFFF"/>
                    </w:rPr>
                    <w:instrText xml:space="preserve"> HYPERLINK "https://baike.baidu.com/item/%E5%BE%AE%E7%B1%B3/84745" \t "https://baike.baidu.com/item/%E7%8E%BB%E7%92%83%E7%BA%A4%E7%BB%B4/_blank" </w:instrText>
                  </w:r>
                  <w:r>
                    <w:rPr>
                      <w:rFonts w:hint="default" w:ascii="Times New Roman" w:hAnsi="Times New Roman" w:eastAsia="宋体" w:cs="Times New Roman"/>
                      <w:i w:val="0"/>
                      <w:caps w:val="0"/>
                      <w:color w:val="auto"/>
                      <w:spacing w:val="0"/>
                      <w:sz w:val="22"/>
                      <w:szCs w:val="22"/>
                      <w:u w:val="none"/>
                      <w:shd w:val="clear" w:fill="FFFFFF"/>
                    </w:rPr>
                    <w:fldChar w:fldCharType="separate"/>
                  </w:r>
                  <w:r>
                    <w:rPr>
                      <w:rStyle w:val="49"/>
                      <w:rFonts w:hint="default" w:ascii="Times New Roman" w:hAnsi="Times New Roman" w:eastAsia="宋体" w:cs="Times New Roman"/>
                      <w:i w:val="0"/>
                      <w:caps w:val="0"/>
                      <w:color w:val="auto"/>
                      <w:spacing w:val="0"/>
                      <w:sz w:val="22"/>
                      <w:szCs w:val="22"/>
                      <w:u w:val="none"/>
                      <w:shd w:val="clear" w:fill="FFFFFF"/>
                    </w:rPr>
                    <w:t>微米</w:t>
                  </w:r>
                  <w:r>
                    <w:rPr>
                      <w:rFonts w:hint="default" w:ascii="Times New Roman" w:hAnsi="Times New Roman" w:eastAsia="宋体" w:cs="Times New Roman"/>
                      <w:i w:val="0"/>
                      <w:caps w:val="0"/>
                      <w:color w:val="auto"/>
                      <w:spacing w:val="0"/>
                      <w:sz w:val="22"/>
                      <w:szCs w:val="22"/>
                      <w:u w:val="none"/>
                      <w:shd w:val="clear" w:fill="FFFFFF"/>
                    </w:rPr>
                    <w:fldChar w:fldCharType="end"/>
                  </w:r>
                  <w:r>
                    <w:rPr>
                      <w:rFonts w:hint="default" w:ascii="Times New Roman" w:hAnsi="Times New Roman" w:eastAsia="宋体" w:cs="Times New Roman"/>
                      <w:i w:val="0"/>
                      <w:caps w:val="0"/>
                      <w:color w:val="auto"/>
                      <w:spacing w:val="0"/>
                      <w:sz w:val="22"/>
                      <w:szCs w:val="22"/>
                      <w:shd w:val="clear" w:fill="FFFFFF"/>
                    </w:rPr>
                    <w:t>，相当于一根头发丝的1/20-1/5 ，每束纤维原丝都由数百根甚至上千根单丝组成。玻璃纤维通常用作</w:t>
                  </w:r>
                  <w:r>
                    <w:rPr>
                      <w:rFonts w:hint="default" w:ascii="Times New Roman" w:hAnsi="Times New Roman" w:eastAsia="宋体" w:cs="Times New Roman"/>
                      <w:i w:val="0"/>
                      <w:caps w:val="0"/>
                      <w:color w:val="auto"/>
                      <w:spacing w:val="0"/>
                      <w:sz w:val="22"/>
                      <w:szCs w:val="22"/>
                      <w:u w:val="none"/>
                      <w:shd w:val="clear" w:fill="FFFFFF"/>
                    </w:rPr>
                    <w:fldChar w:fldCharType="begin"/>
                  </w:r>
                  <w:r>
                    <w:rPr>
                      <w:rFonts w:hint="default" w:ascii="Times New Roman" w:hAnsi="Times New Roman" w:eastAsia="宋体" w:cs="Times New Roman"/>
                      <w:i w:val="0"/>
                      <w:caps w:val="0"/>
                      <w:color w:val="auto"/>
                      <w:spacing w:val="0"/>
                      <w:sz w:val="22"/>
                      <w:szCs w:val="22"/>
                      <w:u w:val="none"/>
                      <w:shd w:val="clear" w:fill="FFFFFF"/>
                    </w:rPr>
                    <w:instrText xml:space="preserve"> HYPERLINK "https://baike.baidu.com/item/%E5%A4%8D%E5%90%88%E6%9D%90%E6%96%99/837682" \t "https://baike.baidu.com/item/%E7%8E%BB%E7%92%83%E7%BA%A4%E7%BB%B4/_blank" </w:instrText>
                  </w:r>
                  <w:r>
                    <w:rPr>
                      <w:rFonts w:hint="default" w:ascii="Times New Roman" w:hAnsi="Times New Roman" w:eastAsia="宋体" w:cs="Times New Roman"/>
                      <w:i w:val="0"/>
                      <w:caps w:val="0"/>
                      <w:color w:val="auto"/>
                      <w:spacing w:val="0"/>
                      <w:sz w:val="22"/>
                      <w:szCs w:val="22"/>
                      <w:u w:val="none"/>
                      <w:shd w:val="clear" w:fill="FFFFFF"/>
                    </w:rPr>
                    <w:fldChar w:fldCharType="separate"/>
                  </w:r>
                  <w:r>
                    <w:rPr>
                      <w:rStyle w:val="49"/>
                      <w:rFonts w:hint="default" w:ascii="Times New Roman" w:hAnsi="Times New Roman" w:eastAsia="宋体" w:cs="Times New Roman"/>
                      <w:i w:val="0"/>
                      <w:caps w:val="0"/>
                      <w:color w:val="auto"/>
                      <w:spacing w:val="0"/>
                      <w:sz w:val="22"/>
                      <w:szCs w:val="22"/>
                      <w:u w:val="none"/>
                      <w:shd w:val="clear" w:fill="FFFFFF"/>
                    </w:rPr>
                    <w:t>复合材料</w:t>
                  </w:r>
                  <w:r>
                    <w:rPr>
                      <w:rFonts w:hint="default" w:ascii="Times New Roman" w:hAnsi="Times New Roman" w:eastAsia="宋体" w:cs="Times New Roman"/>
                      <w:i w:val="0"/>
                      <w:caps w:val="0"/>
                      <w:color w:val="auto"/>
                      <w:spacing w:val="0"/>
                      <w:sz w:val="22"/>
                      <w:szCs w:val="22"/>
                      <w:u w:val="none"/>
                      <w:shd w:val="clear" w:fill="FFFFFF"/>
                    </w:rPr>
                    <w:fldChar w:fldCharType="end"/>
                  </w:r>
                  <w:r>
                    <w:rPr>
                      <w:rFonts w:hint="default" w:ascii="Times New Roman" w:hAnsi="Times New Roman" w:eastAsia="宋体" w:cs="Times New Roman"/>
                      <w:i w:val="0"/>
                      <w:caps w:val="0"/>
                      <w:color w:val="auto"/>
                      <w:spacing w:val="0"/>
                      <w:sz w:val="22"/>
                      <w:szCs w:val="22"/>
                      <w:shd w:val="clear" w:fill="FFFFFF"/>
                    </w:rPr>
                    <w:t>中的增强材料，电绝缘材料和绝热保温材料，电路基板等国民经济各个领域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5"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4</w:t>
                  </w:r>
                </w:p>
              </w:tc>
              <w:tc>
                <w:tcPr>
                  <w:tcW w:w="1654"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i w:val="0"/>
                      <w:caps w:val="0"/>
                      <w:color w:val="auto"/>
                      <w:spacing w:val="0"/>
                      <w:sz w:val="22"/>
                      <w:szCs w:val="22"/>
                      <w:shd w:val="clear" w:fill="FFFFFF"/>
                    </w:rPr>
                  </w:pPr>
                  <w:r>
                    <w:rPr>
                      <w:rFonts w:hint="default" w:ascii="Times New Roman" w:hAnsi="Times New Roman" w:eastAsia="宋体" w:cs="Times New Roman"/>
                      <w:i w:val="0"/>
                      <w:caps w:val="0"/>
                      <w:color w:val="auto"/>
                      <w:spacing w:val="0"/>
                      <w:sz w:val="22"/>
                      <w:szCs w:val="22"/>
                      <w:shd w:val="clear" w:fill="FFFFFF"/>
                    </w:rPr>
                    <w:t>纸纤维</w:t>
                  </w:r>
                </w:p>
              </w:tc>
              <w:tc>
                <w:tcPr>
                  <w:tcW w:w="6469" w:type="dxa"/>
                  <w:vAlign w:val="center"/>
                </w:tcPr>
                <w:p>
                  <w:pPr>
                    <w:pStyle w:val="34"/>
                    <w:keepNext w:val="0"/>
                    <w:keepLines w:val="0"/>
                    <w:pageBreakBefore w:val="0"/>
                    <w:kinsoku/>
                    <w:wordWrap/>
                    <w:overflowPunct/>
                    <w:topLinePunct w:val="0"/>
                    <w:autoSpaceDE/>
                    <w:autoSpaceDN/>
                    <w:bidi w:val="0"/>
                    <w:adjustRightInd/>
                    <w:snapToGrid/>
                    <w:spacing w:line="360" w:lineRule="auto"/>
                    <w:ind w:left="0" w:leftChars="0" w:firstLine="440" w:firstLineChars="200"/>
                    <w:jc w:val="both"/>
                    <w:textAlignment w:val="auto"/>
                    <w:rPr>
                      <w:rFonts w:hint="default" w:ascii="Times New Roman" w:hAnsi="Times New Roman" w:eastAsia="宋体" w:cs="Times New Roman"/>
                      <w:i w:val="0"/>
                      <w:caps w:val="0"/>
                      <w:color w:val="auto"/>
                      <w:spacing w:val="0"/>
                      <w:sz w:val="22"/>
                      <w:szCs w:val="22"/>
                      <w:shd w:val="clear" w:fill="FFFFFF"/>
                    </w:rPr>
                  </w:pPr>
                  <w:r>
                    <w:rPr>
                      <w:rFonts w:hint="default" w:ascii="Times New Roman" w:hAnsi="Times New Roman" w:eastAsia="宋体" w:cs="Times New Roman"/>
                      <w:i w:val="0"/>
                      <w:caps w:val="0"/>
                      <w:color w:val="auto"/>
                      <w:spacing w:val="0"/>
                      <w:sz w:val="22"/>
                      <w:szCs w:val="22"/>
                      <w:shd w:val="clear" w:fill="FFFFFF"/>
                    </w:rPr>
                    <w:t>是由废旧纸屑（纸箱、纸卷、报纸、书纸等材料）经加工设备，加工成纤维状的成品。根据不同的用途与需要可以加工成不同的规格</w:t>
                  </w:r>
                </w:p>
              </w:tc>
            </w:tr>
          </w:tbl>
          <w:p>
            <w:pPr>
              <w:pStyle w:val="34"/>
              <w:spacing w:line="360" w:lineRule="auto"/>
              <w:ind w:left="0" w:leftChars="0" w:firstLine="482" w:firstLineChars="200"/>
              <w:rPr>
                <w:rFonts w:hint="default" w:ascii="Times New Roman" w:hAnsi="Times New Roman" w:cs="Times New Roman"/>
                <w:color w:val="auto"/>
                <w:sz w:val="24"/>
                <w:u w:val="none" w:color="auto"/>
              </w:rPr>
            </w:pPr>
            <w:r>
              <w:rPr>
                <w:rFonts w:hint="default" w:ascii="Times New Roman" w:hAnsi="Times New Roman" w:cs="Times New Roman"/>
                <w:b/>
                <w:color w:val="auto"/>
                <w:sz w:val="24"/>
                <w:u w:val="none" w:color="auto"/>
              </w:rPr>
              <w:t>6、公用工程：</w:t>
            </w:r>
          </w:p>
          <w:p>
            <w:pPr>
              <w:snapToGrid w:val="0"/>
              <w:spacing w:line="360" w:lineRule="auto"/>
              <w:ind w:firstLine="480" w:firstLineChars="200"/>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u w:val="none" w:color="auto"/>
              </w:rPr>
              <w:t>（1）用水</w:t>
            </w:r>
          </w:p>
          <w:p>
            <w:pPr>
              <w:adjustRightInd w:val="0"/>
              <w:spacing w:line="360" w:lineRule="auto"/>
              <w:ind w:firstLine="480" w:firstLineChars="200"/>
              <w:rPr>
                <w:rFonts w:hint="default" w:ascii="Times New Roman" w:hAnsi="Times New Roman" w:cs="Times New Roman"/>
                <w:bCs/>
                <w:color w:val="auto"/>
                <w:sz w:val="24"/>
                <w:u w:val="none" w:color="auto"/>
              </w:rPr>
            </w:pPr>
            <w:r>
              <w:rPr>
                <w:rFonts w:hint="default" w:ascii="Times New Roman" w:hAnsi="Times New Roman" w:cs="Times New Roman"/>
                <w:color w:val="auto"/>
                <w:sz w:val="24"/>
                <w:szCs w:val="24"/>
                <w:u w:val="none" w:color="auto"/>
              </w:rPr>
              <w:t>本项目给水来自市政给水管网，本项目用水包括职工生活</w:t>
            </w:r>
            <w:r>
              <w:rPr>
                <w:rFonts w:hint="eastAsia" w:cs="Times New Roman"/>
                <w:color w:val="auto"/>
                <w:sz w:val="24"/>
                <w:szCs w:val="24"/>
                <w:u w:val="none" w:color="auto"/>
                <w:lang w:eastAsia="zh-CN"/>
              </w:rPr>
              <w:t>、办公</w:t>
            </w:r>
            <w:r>
              <w:rPr>
                <w:rFonts w:hint="default" w:ascii="Times New Roman" w:hAnsi="Times New Roman" w:cs="Times New Roman"/>
                <w:color w:val="auto"/>
                <w:sz w:val="24"/>
                <w:szCs w:val="24"/>
                <w:u w:val="none" w:color="auto"/>
              </w:rPr>
              <w:t>用水</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打料制浆用水</w:t>
            </w:r>
            <w:r>
              <w:rPr>
                <w:rFonts w:hint="default" w:ascii="Times New Roman" w:hAnsi="Times New Roman" w:cs="Times New Roman"/>
                <w:color w:val="auto"/>
                <w:sz w:val="24"/>
                <w:szCs w:val="24"/>
                <w:u w:val="none" w:color="auto"/>
              </w:rPr>
              <w:t>，</w:t>
            </w:r>
            <w:r>
              <w:rPr>
                <w:rFonts w:hint="default" w:ascii="Times New Roman" w:hAnsi="Times New Roman" w:cs="Times New Roman"/>
                <w:bCs/>
                <w:color w:val="auto"/>
                <w:sz w:val="24"/>
                <w:u w:val="none" w:color="auto"/>
              </w:rPr>
              <w:t>本项目营运期劳动定员</w:t>
            </w:r>
            <w:r>
              <w:rPr>
                <w:rFonts w:hint="eastAsia" w:cs="Times New Roman"/>
                <w:bCs/>
                <w:color w:val="auto"/>
                <w:sz w:val="24"/>
                <w:u w:val="none" w:color="auto"/>
                <w:lang w:val="en-US" w:eastAsia="zh-CN"/>
              </w:rPr>
              <w:t>20</w:t>
            </w:r>
            <w:r>
              <w:rPr>
                <w:rFonts w:hint="default" w:ascii="Times New Roman" w:hAnsi="Times New Roman" w:cs="Times New Roman"/>
                <w:bCs/>
                <w:color w:val="auto"/>
                <w:sz w:val="24"/>
                <w:u w:val="none" w:color="auto"/>
              </w:rPr>
              <w:t>人，</w:t>
            </w:r>
            <w:r>
              <w:rPr>
                <w:rFonts w:hint="eastAsia" w:cs="Times New Roman"/>
                <w:bCs/>
                <w:color w:val="auto"/>
                <w:sz w:val="24"/>
                <w:u w:val="none" w:color="auto"/>
                <w:lang w:eastAsia="zh-CN"/>
              </w:rPr>
              <w:t>均</w:t>
            </w:r>
            <w:r>
              <w:rPr>
                <w:rFonts w:hint="eastAsia" w:cs="Times New Roman"/>
                <w:bCs/>
                <w:color w:val="auto"/>
                <w:sz w:val="24"/>
                <w:u w:val="none" w:color="auto"/>
                <w:lang w:val="en-US" w:eastAsia="zh-CN"/>
              </w:rPr>
              <w:t>不</w:t>
            </w:r>
            <w:r>
              <w:rPr>
                <w:rFonts w:hint="eastAsia" w:cs="Times New Roman"/>
                <w:bCs/>
                <w:color w:val="auto"/>
                <w:sz w:val="24"/>
                <w:u w:val="none" w:color="auto"/>
                <w:lang w:eastAsia="zh-CN"/>
              </w:rPr>
              <w:t>在</w:t>
            </w:r>
            <w:r>
              <w:rPr>
                <w:rFonts w:hint="default" w:ascii="Times New Roman" w:hAnsi="Times New Roman" w:cs="Times New Roman"/>
                <w:bCs/>
                <w:color w:val="auto"/>
                <w:sz w:val="24"/>
                <w:u w:val="none" w:color="auto"/>
              </w:rPr>
              <w:t>厂区</w:t>
            </w:r>
            <w:r>
              <w:rPr>
                <w:rFonts w:hint="eastAsia" w:cs="Times New Roman"/>
                <w:bCs/>
                <w:color w:val="auto"/>
                <w:sz w:val="24"/>
                <w:u w:val="none" w:color="auto"/>
                <w:lang w:eastAsia="zh-CN"/>
              </w:rPr>
              <w:t>食宿</w:t>
            </w:r>
            <w:r>
              <w:rPr>
                <w:rFonts w:hint="default" w:ascii="Times New Roman" w:hAnsi="Times New Roman" w:cs="Times New Roman"/>
                <w:bCs/>
                <w:color w:val="auto"/>
                <w:sz w:val="24"/>
                <w:u w:val="none" w:color="auto"/>
              </w:rPr>
              <w:t>，根据《湖南省用水定额》（DB43T388-20</w:t>
            </w:r>
            <w:r>
              <w:rPr>
                <w:rFonts w:hint="eastAsia" w:cs="Times New Roman"/>
                <w:bCs/>
                <w:color w:val="auto"/>
                <w:sz w:val="24"/>
                <w:u w:val="none" w:color="auto"/>
                <w:lang w:val="en-US" w:eastAsia="zh-CN"/>
              </w:rPr>
              <w:t>20</w:t>
            </w:r>
            <w:r>
              <w:rPr>
                <w:rFonts w:hint="default" w:ascii="Times New Roman" w:hAnsi="Times New Roman" w:cs="Times New Roman"/>
                <w:bCs/>
                <w:color w:val="auto"/>
                <w:sz w:val="24"/>
                <w:u w:val="none" w:color="auto"/>
              </w:rPr>
              <w:t>）的规定，生活用水量按</w:t>
            </w:r>
            <w:r>
              <w:rPr>
                <w:rFonts w:hint="eastAsia" w:cs="Times New Roman"/>
                <w:bCs/>
                <w:color w:val="auto"/>
                <w:sz w:val="24"/>
                <w:u w:val="none" w:color="auto"/>
                <w:lang w:val="en-US" w:eastAsia="zh-CN"/>
              </w:rPr>
              <w:t>50</w:t>
            </w:r>
            <w:r>
              <w:rPr>
                <w:rFonts w:hint="default" w:ascii="Times New Roman" w:hAnsi="Times New Roman" w:cs="Times New Roman"/>
                <w:bCs/>
                <w:color w:val="auto"/>
                <w:sz w:val="24"/>
                <w:u w:val="none" w:color="auto"/>
              </w:rPr>
              <w:t>L/人•d计，则生活用水量为</w:t>
            </w:r>
            <w:r>
              <w:rPr>
                <w:rFonts w:hint="eastAsia" w:cs="Times New Roman"/>
                <w:bCs/>
                <w:color w:val="auto"/>
                <w:sz w:val="24"/>
                <w:u w:val="none" w:color="auto"/>
                <w:lang w:val="en-US" w:eastAsia="zh-CN"/>
              </w:rPr>
              <w:t>1</w:t>
            </w:r>
            <w:r>
              <w:rPr>
                <w:rFonts w:hint="default" w:ascii="Times New Roman" w:hAnsi="Times New Roman" w:cs="Times New Roman"/>
                <w:bCs/>
                <w:color w:val="auto"/>
                <w:sz w:val="24"/>
                <w:u w:val="none" w:color="auto"/>
              </w:rPr>
              <w:t>m</w:t>
            </w:r>
            <w:r>
              <w:rPr>
                <w:rFonts w:hint="default" w:ascii="Times New Roman" w:hAnsi="Times New Roman" w:cs="Times New Roman"/>
                <w:bCs/>
                <w:color w:val="auto"/>
                <w:sz w:val="24"/>
                <w:u w:val="none" w:color="auto"/>
                <w:vertAlign w:val="superscript"/>
              </w:rPr>
              <w:t>3</w:t>
            </w:r>
            <w:r>
              <w:rPr>
                <w:rFonts w:hint="default" w:ascii="Times New Roman" w:hAnsi="Times New Roman" w:cs="Times New Roman"/>
                <w:bCs/>
                <w:color w:val="auto"/>
                <w:sz w:val="24"/>
                <w:u w:val="none" w:color="auto"/>
              </w:rPr>
              <w:t>/d，</w:t>
            </w:r>
            <w:r>
              <w:rPr>
                <w:rFonts w:hint="eastAsia" w:cs="Times New Roman"/>
                <w:bCs/>
                <w:color w:val="auto"/>
                <w:sz w:val="24"/>
                <w:u w:val="none" w:color="auto"/>
                <w:lang w:val="en-US" w:eastAsia="zh-CN"/>
              </w:rPr>
              <w:t>300</w:t>
            </w:r>
            <w:r>
              <w:rPr>
                <w:rFonts w:hint="default" w:ascii="Times New Roman" w:hAnsi="Times New Roman" w:cs="Times New Roman"/>
                <w:bCs/>
                <w:color w:val="auto"/>
                <w:sz w:val="24"/>
                <w:u w:val="none" w:color="auto"/>
              </w:rPr>
              <w:t>m</w:t>
            </w:r>
            <w:r>
              <w:rPr>
                <w:rFonts w:hint="default" w:ascii="Times New Roman" w:hAnsi="Times New Roman" w:cs="Times New Roman"/>
                <w:bCs/>
                <w:color w:val="auto"/>
                <w:sz w:val="24"/>
                <w:u w:val="none" w:color="auto"/>
                <w:vertAlign w:val="superscript"/>
              </w:rPr>
              <w:t>3</w:t>
            </w:r>
            <w:r>
              <w:rPr>
                <w:rFonts w:hint="default" w:ascii="Times New Roman" w:hAnsi="Times New Roman" w:cs="Times New Roman"/>
                <w:bCs/>
                <w:color w:val="auto"/>
                <w:sz w:val="24"/>
                <w:u w:val="none" w:color="auto"/>
              </w:rPr>
              <w:t>/a</w:t>
            </w:r>
            <w:r>
              <w:rPr>
                <w:rFonts w:hint="eastAsia" w:cs="Times New Roman"/>
                <w:bCs/>
                <w:color w:val="auto"/>
                <w:sz w:val="24"/>
                <w:u w:val="none" w:color="auto"/>
                <w:lang w:eastAsia="zh-CN"/>
              </w:rPr>
              <w:t>，</w:t>
            </w:r>
            <w:r>
              <w:rPr>
                <w:rFonts w:hint="eastAsia" w:cs="Times New Roman"/>
                <w:bCs/>
                <w:color w:val="auto"/>
                <w:sz w:val="24"/>
                <w:u w:val="none" w:color="auto"/>
                <w:lang w:val="en-US" w:eastAsia="zh-CN"/>
              </w:rPr>
              <w:t>根据业主提供的资料可知，</w:t>
            </w:r>
            <w:r>
              <w:rPr>
                <w:rFonts w:hint="eastAsia"/>
                <w:bCs/>
                <w:color w:val="auto"/>
                <w:sz w:val="24"/>
              </w:rPr>
              <w:t>制浆用水：石粉、水泥、石棉纤维、玻璃纤维和纸纤维（合计</w:t>
            </w:r>
            <w:r>
              <w:rPr>
                <w:rFonts w:hint="eastAsia"/>
                <w:bCs/>
                <w:color w:val="auto"/>
                <w:sz w:val="24"/>
                <w:lang w:val="en-US" w:eastAsia="zh-CN"/>
              </w:rPr>
              <w:t>4140</w:t>
            </w:r>
            <w:r>
              <w:rPr>
                <w:bCs/>
                <w:color w:val="auto"/>
                <w:sz w:val="24"/>
              </w:rPr>
              <w:t>t/a</w:t>
            </w:r>
            <w:r>
              <w:rPr>
                <w:rFonts w:hint="eastAsia"/>
                <w:bCs/>
                <w:color w:val="auto"/>
                <w:sz w:val="24"/>
              </w:rPr>
              <w:t>）加水进行搅拌，搅拌过程含水率约</w:t>
            </w:r>
            <w:r>
              <w:rPr>
                <w:bCs/>
                <w:color w:val="auto"/>
                <w:sz w:val="24"/>
              </w:rPr>
              <w:t>50%</w:t>
            </w:r>
            <w:r>
              <w:rPr>
                <w:rFonts w:hint="eastAsia"/>
                <w:bCs/>
                <w:color w:val="auto"/>
                <w:sz w:val="24"/>
              </w:rPr>
              <w:t>，搅拌用水量</w:t>
            </w:r>
            <w:r>
              <w:rPr>
                <w:rFonts w:hint="eastAsia"/>
                <w:bCs/>
                <w:color w:val="auto"/>
                <w:sz w:val="24"/>
                <w:lang w:val="en-US" w:eastAsia="zh-CN"/>
              </w:rPr>
              <w:t>13.8</w:t>
            </w:r>
            <w:r>
              <w:rPr>
                <w:bCs/>
                <w:color w:val="auto"/>
                <w:sz w:val="24"/>
              </w:rPr>
              <w:t>m</w:t>
            </w:r>
            <w:r>
              <w:rPr>
                <w:bCs/>
                <w:color w:val="auto"/>
                <w:sz w:val="24"/>
                <w:vertAlign w:val="superscript"/>
              </w:rPr>
              <w:t>3</w:t>
            </w:r>
            <w:r>
              <w:rPr>
                <w:bCs/>
                <w:color w:val="auto"/>
                <w:sz w:val="24"/>
              </w:rPr>
              <w:t>/d</w:t>
            </w:r>
            <w:r>
              <w:rPr>
                <w:rFonts w:hint="eastAsia"/>
                <w:bCs/>
                <w:color w:val="auto"/>
                <w:sz w:val="24"/>
              </w:rPr>
              <w:t xml:space="preserve"> 、</w:t>
            </w:r>
            <w:r>
              <w:rPr>
                <w:rFonts w:hint="eastAsia"/>
                <w:bCs/>
                <w:color w:val="auto"/>
                <w:sz w:val="24"/>
                <w:lang w:val="en-US" w:eastAsia="zh-CN"/>
              </w:rPr>
              <w:t>4140</w:t>
            </w:r>
            <w:r>
              <w:rPr>
                <w:bCs/>
                <w:color w:val="auto"/>
                <w:sz w:val="24"/>
              </w:rPr>
              <w:t>m</w:t>
            </w:r>
            <w:r>
              <w:rPr>
                <w:bCs/>
                <w:color w:val="auto"/>
                <w:sz w:val="24"/>
                <w:vertAlign w:val="superscript"/>
              </w:rPr>
              <w:t>3</w:t>
            </w:r>
            <w:r>
              <w:rPr>
                <w:bCs/>
                <w:color w:val="auto"/>
                <w:sz w:val="24"/>
              </w:rPr>
              <w:t>/a</w:t>
            </w:r>
            <w:r>
              <w:rPr>
                <w:rFonts w:hint="eastAsia" w:cs="Times New Roman"/>
                <w:color w:val="auto"/>
                <w:sz w:val="24"/>
                <w:szCs w:val="24"/>
                <w:u w:val="none" w:color="auto"/>
                <w:lang w:val="en-US" w:eastAsia="zh-CN"/>
              </w:rPr>
              <w:t>。</w:t>
            </w:r>
          </w:p>
          <w:p>
            <w:pPr>
              <w:snapToGrid w:val="0"/>
              <w:spacing w:line="360" w:lineRule="auto"/>
              <w:ind w:firstLine="480" w:firstLineChars="200"/>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u w:val="none" w:color="auto"/>
              </w:rPr>
              <w:t>（2）排水</w:t>
            </w:r>
          </w:p>
          <w:p>
            <w:pPr>
              <w:adjustRightInd w:val="0"/>
              <w:spacing w:line="360" w:lineRule="auto"/>
              <w:ind w:firstLine="480" w:firstLineChars="200"/>
              <w:rPr>
                <w:bCs/>
                <w:color w:val="auto"/>
                <w:sz w:val="24"/>
              </w:rPr>
            </w:pPr>
            <w:r>
              <w:rPr>
                <w:rFonts w:hint="default" w:ascii="Times New Roman" w:hAnsi="Times New Roman" w:cs="Times New Roman"/>
                <w:color w:val="auto"/>
                <w:sz w:val="24"/>
                <w:szCs w:val="24"/>
                <w:u w:val="none" w:color="auto"/>
              </w:rPr>
              <w:t>本项目</w:t>
            </w:r>
            <w:r>
              <w:rPr>
                <w:rFonts w:hint="default" w:ascii="Times New Roman" w:hAnsi="Times New Roman" w:cs="Times New Roman"/>
                <w:bCs/>
                <w:color w:val="auto"/>
                <w:sz w:val="24"/>
                <w:szCs w:val="24"/>
                <w:u w:val="none" w:color="auto"/>
              </w:rPr>
              <w:t>生活污水按</w:t>
            </w:r>
            <w:r>
              <w:rPr>
                <w:rFonts w:hint="default" w:ascii="Times New Roman" w:hAnsi="Times New Roman" w:cs="Times New Roman"/>
                <w:color w:val="auto"/>
                <w:sz w:val="24"/>
                <w:szCs w:val="24"/>
                <w:u w:val="none" w:color="auto"/>
              </w:rPr>
              <w:t>产生率按</w:t>
            </w:r>
            <w:r>
              <w:rPr>
                <w:rFonts w:hint="default" w:ascii="Times New Roman" w:hAnsi="Times New Roman" w:eastAsia="Times New Roman" w:cs="Times New Roman"/>
                <w:color w:val="auto"/>
                <w:sz w:val="24"/>
                <w:szCs w:val="24"/>
                <w:u w:val="none" w:color="auto"/>
              </w:rPr>
              <w:t>80%</w:t>
            </w:r>
            <w:r>
              <w:rPr>
                <w:rFonts w:hint="default" w:ascii="Times New Roman" w:hAnsi="Times New Roman" w:cs="Times New Roman"/>
                <w:color w:val="auto"/>
                <w:sz w:val="24"/>
                <w:szCs w:val="24"/>
                <w:u w:val="none" w:color="auto"/>
              </w:rPr>
              <w:t>计，项目营运期生活污水产生量为</w:t>
            </w:r>
            <w:r>
              <w:rPr>
                <w:rFonts w:hint="eastAsia" w:cs="Times New Roman"/>
                <w:color w:val="auto"/>
                <w:sz w:val="24"/>
                <w:szCs w:val="24"/>
                <w:u w:val="none" w:color="auto"/>
                <w:lang w:val="en-US" w:eastAsia="zh-CN"/>
              </w:rPr>
              <w:t>0.8</w:t>
            </w:r>
            <w:r>
              <w:rPr>
                <w:rFonts w:hint="default" w:ascii="Times New Roman" w:hAnsi="Times New Roman" w:cs="Times New Roman"/>
                <w:bCs/>
                <w:color w:val="auto"/>
                <w:sz w:val="24"/>
                <w:szCs w:val="24"/>
                <w:u w:val="none" w:color="auto"/>
              </w:rPr>
              <w:t>m</w:t>
            </w:r>
            <w:r>
              <w:rPr>
                <w:rFonts w:hint="default" w:ascii="Times New Roman" w:hAnsi="Times New Roman" w:cs="Times New Roman"/>
                <w:bCs/>
                <w:color w:val="auto"/>
                <w:sz w:val="24"/>
                <w:szCs w:val="24"/>
                <w:u w:val="none" w:color="auto"/>
                <w:vertAlign w:val="superscript"/>
              </w:rPr>
              <w:t>3</w:t>
            </w:r>
            <w:r>
              <w:rPr>
                <w:rFonts w:hint="default" w:ascii="Times New Roman" w:hAnsi="Times New Roman" w:cs="Times New Roman"/>
                <w:bCs/>
                <w:color w:val="auto"/>
                <w:sz w:val="24"/>
                <w:szCs w:val="24"/>
                <w:u w:val="none" w:color="auto"/>
              </w:rPr>
              <w:t>/d、</w:t>
            </w:r>
            <w:r>
              <w:rPr>
                <w:rFonts w:hint="eastAsia" w:cs="Times New Roman"/>
                <w:bCs/>
                <w:color w:val="auto"/>
                <w:sz w:val="24"/>
                <w:szCs w:val="24"/>
                <w:u w:val="none" w:color="auto"/>
                <w:lang w:val="en-US" w:eastAsia="zh-CN"/>
              </w:rPr>
              <w:t>240</w:t>
            </w:r>
            <w:r>
              <w:rPr>
                <w:rFonts w:hint="default" w:ascii="Times New Roman" w:hAnsi="Times New Roman" w:cs="Times New Roman"/>
                <w:bCs/>
                <w:color w:val="auto"/>
                <w:sz w:val="24"/>
                <w:szCs w:val="24"/>
                <w:u w:val="none" w:color="auto"/>
              </w:rPr>
              <w:t>m</w:t>
            </w:r>
            <w:r>
              <w:rPr>
                <w:rFonts w:hint="default" w:ascii="Times New Roman" w:hAnsi="Times New Roman" w:cs="Times New Roman"/>
                <w:bCs/>
                <w:color w:val="auto"/>
                <w:sz w:val="24"/>
                <w:szCs w:val="24"/>
                <w:u w:val="none" w:color="auto"/>
                <w:vertAlign w:val="superscript"/>
              </w:rPr>
              <w:t>3</w:t>
            </w:r>
            <w:r>
              <w:rPr>
                <w:rFonts w:hint="default" w:ascii="Times New Roman" w:hAnsi="Times New Roman" w:cs="Times New Roman"/>
                <w:bCs/>
                <w:color w:val="auto"/>
                <w:sz w:val="24"/>
                <w:szCs w:val="24"/>
                <w:u w:val="none" w:color="auto"/>
              </w:rPr>
              <w:t>/a。</w:t>
            </w:r>
            <w:r>
              <w:rPr>
                <w:rFonts w:hint="eastAsia" w:cs="Times New Roman"/>
                <w:bCs/>
                <w:color w:val="auto"/>
                <w:sz w:val="24"/>
                <w:szCs w:val="24"/>
                <w:u w:val="none" w:color="auto"/>
                <w:lang w:val="en-US" w:eastAsia="zh-CN"/>
              </w:rPr>
              <w:t>生活污水经三级化粪池处理后回用于周边绿化、农田施肥不外排；打料</w:t>
            </w:r>
            <w:r>
              <w:rPr>
                <w:rFonts w:hint="eastAsia" w:cs="Times New Roman"/>
                <w:color w:val="auto"/>
                <w:sz w:val="24"/>
                <w:szCs w:val="24"/>
                <w:u w:val="none" w:color="auto"/>
                <w:lang w:val="en-US" w:eastAsia="zh-CN"/>
              </w:rPr>
              <w:t>制浆用水在</w:t>
            </w:r>
            <w:r>
              <w:rPr>
                <w:rFonts w:hint="eastAsia"/>
                <w:bCs/>
                <w:color w:val="auto"/>
                <w:sz w:val="24"/>
              </w:rPr>
              <w:t>经过真空脱水和挤压脱水后，产品含水率约</w:t>
            </w:r>
            <w:r>
              <w:rPr>
                <w:bCs/>
                <w:color w:val="auto"/>
                <w:sz w:val="24"/>
              </w:rPr>
              <w:t>20%</w:t>
            </w:r>
            <w:r>
              <w:rPr>
                <w:rFonts w:hint="eastAsia"/>
                <w:bCs/>
                <w:color w:val="auto"/>
                <w:sz w:val="24"/>
              </w:rPr>
              <w:t>（</w:t>
            </w:r>
            <w:r>
              <w:rPr>
                <w:rFonts w:hint="eastAsia"/>
                <w:bCs/>
                <w:color w:val="auto"/>
                <w:sz w:val="24"/>
                <w:lang w:val="en-US" w:eastAsia="zh-CN"/>
              </w:rPr>
              <w:t>828</w:t>
            </w:r>
            <w:r>
              <w:rPr>
                <w:bCs/>
                <w:color w:val="auto"/>
                <w:sz w:val="24"/>
              </w:rPr>
              <w:t>m</w:t>
            </w:r>
            <w:r>
              <w:rPr>
                <w:bCs/>
                <w:color w:val="auto"/>
                <w:sz w:val="24"/>
                <w:vertAlign w:val="superscript"/>
              </w:rPr>
              <w:t>3</w:t>
            </w:r>
            <w:r>
              <w:rPr>
                <w:bCs/>
                <w:color w:val="auto"/>
                <w:sz w:val="24"/>
              </w:rPr>
              <w:t>/a</w:t>
            </w:r>
            <w:r>
              <w:rPr>
                <w:rFonts w:hint="eastAsia"/>
                <w:bCs/>
                <w:color w:val="auto"/>
                <w:sz w:val="24"/>
              </w:rPr>
              <w:t>），脱除水分约</w:t>
            </w:r>
            <w:r>
              <w:rPr>
                <w:rFonts w:hint="eastAsia"/>
                <w:bCs/>
                <w:color w:val="auto"/>
                <w:sz w:val="24"/>
                <w:lang w:val="en-US" w:eastAsia="zh-CN"/>
              </w:rPr>
              <w:t>11.04</w:t>
            </w:r>
            <w:r>
              <w:rPr>
                <w:bCs/>
                <w:color w:val="auto"/>
                <w:sz w:val="24"/>
              </w:rPr>
              <w:t>m</w:t>
            </w:r>
            <w:r>
              <w:rPr>
                <w:bCs/>
                <w:color w:val="auto"/>
                <w:sz w:val="24"/>
                <w:vertAlign w:val="superscript"/>
              </w:rPr>
              <w:t>3</w:t>
            </w:r>
            <w:r>
              <w:rPr>
                <w:bCs/>
                <w:color w:val="auto"/>
                <w:sz w:val="24"/>
              </w:rPr>
              <w:t>/d</w:t>
            </w:r>
            <w:r>
              <w:rPr>
                <w:rFonts w:hint="eastAsia"/>
                <w:bCs/>
                <w:color w:val="auto"/>
                <w:sz w:val="24"/>
              </w:rPr>
              <w:t xml:space="preserve"> 、</w:t>
            </w:r>
            <w:r>
              <w:rPr>
                <w:rFonts w:hint="eastAsia"/>
                <w:bCs/>
                <w:color w:val="auto"/>
                <w:sz w:val="24"/>
                <w:lang w:val="en-US" w:eastAsia="zh-CN"/>
              </w:rPr>
              <w:t>3312</w:t>
            </w:r>
            <w:r>
              <w:rPr>
                <w:bCs/>
                <w:color w:val="auto"/>
                <w:sz w:val="24"/>
              </w:rPr>
              <w:t>m</w:t>
            </w:r>
            <w:r>
              <w:rPr>
                <w:bCs/>
                <w:color w:val="auto"/>
                <w:sz w:val="24"/>
                <w:vertAlign w:val="superscript"/>
              </w:rPr>
              <w:t>3</w:t>
            </w:r>
            <w:r>
              <w:rPr>
                <w:bCs/>
                <w:color w:val="auto"/>
                <w:sz w:val="24"/>
              </w:rPr>
              <w:t>/a</w:t>
            </w:r>
            <w:r>
              <w:rPr>
                <w:rFonts w:hint="eastAsia"/>
                <w:bCs/>
                <w:color w:val="auto"/>
                <w:sz w:val="24"/>
              </w:rPr>
              <w:t>。沉淀蒸发损耗按</w:t>
            </w:r>
            <w:r>
              <w:rPr>
                <w:bCs/>
                <w:color w:val="auto"/>
                <w:sz w:val="24"/>
              </w:rPr>
              <w:t>10%</w:t>
            </w:r>
            <w:r>
              <w:rPr>
                <w:rFonts w:hint="eastAsia"/>
                <w:bCs/>
                <w:color w:val="auto"/>
                <w:sz w:val="24"/>
              </w:rPr>
              <w:t>估算，产生废水</w:t>
            </w:r>
            <w:r>
              <w:rPr>
                <w:rFonts w:hint="eastAsia"/>
                <w:bCs/>
                <w:color w:val="auto"/>
                <w:sz w:val="24"/>
                <w:lang w:val="en-US" w:eastAsia="zh-CN"/>
              </w:rPr>
              <w:t>9.936</w:t>
            </w:r>
            <w:r>
              <w:rPr>
                <w:bCs/>
                <w:color w:val="auto"/>
                <w:sz w:val="24"/>
              </w:rPr>
              <w:t>m</w:t>
            </w:r>
            <w:r>
              <w:rPr>
                <w:bCs/>
                <w:color w:val="auto"/>
                <w:sz w:val="24"/>
                <w:vertAlign w:val="superscript"/>
              </w:rPr>
              <w:t>3</w:t>
            </w:r>
            <w:r>
              <w:rPr>
                <w:bCs/>
                <w:color w:val="auto"/>
                <w:sz w:val="24"/>
              </w:rPr>
              <w:t>/d</w:t>
            </w:r>
            <w:r>
              <w:rPr>
                <w:rFonts w:hint="eastAsia"/>
                <w:bCs/>
                <w:color w:val="auto"/>
                <w:sz w:val="24"/>
              </w:rPr>
              <w:t>、</w:t>
            </w:r>
            <w:r>
              <w:rPr>
                <w:bCs/>
                <w:color w:val="auto"/>
                <w:sz w:val="24"/>
              </w:rPr>
              <w:t xml:space="preserve"> </w:t>
            </w:r>
            <w:r>
              <w:rPr>
                <w:rFonts w:hint="eastAsia"/>
                <w:bCs/>
                <w:color w:val="auto"/>
                <w:sz w:val="24"/>
                <w:lang w:val="en-US" w:eastAsia="zh-CN"/>
              </w:rPr>
              <w:t>2980.8</w:t>
            </w:r>
            <w:r>
              <w:rPr>
                <w:bCs/>
                <w:color w:val="auto"/>
                <w:sz w:val="24"/>
              </w:rPr>
              <w:t>m</w:t>
            </w:r>
            <w:r>
              <w:rPr>
                <w:bCs/>
                <w:color w:val="auto"/>
                <w:sz w:val="24"/>
                <w:vertAlign w:val="superscript"/>
              </w:rPr>
              <w:t>3</w:t>
            </w:r>
            <w:r>
              <w:rPr>
                <w:bCs/>
                <w:color w:val="auto"/>
                <w:sz w:val="24"/>
              </w:rPr>
              <w:t>/a</w:t>
            </w:r>
            <w:r>
              <w:rPr>
                <w:rFonts w:hint="eastAsia"/>
                <w:bCs/>
                <w:color w:val="auto"/>
                <w:sz w:val="24"/>
              </w:rPr>
              <w:t>。该部分废水全部</w:t>
            </w:r>
            <w:r>
              <w:rPr>
                <w:rFonts w:hint="eastAsia"/>
                <w:bCs/>
                <w:color w:val="auto"/>
                <w:sz w:val="24"/>
                <w:lang w:val="en-US" w:eastAsia="zh-CN"/>
              </w:rPr>
              <w:t>抽回水罐内</w:t>
            </w:r>
            <w:r>
              <w:rPr>
                <w:rFonts w:hint="eastAsia"/>
                <w:bCs/>
                <w:color w:val="auto"/>
                <w:sz w:val="24"/>
              </w:rPr>
              <w:t>作为</w:t>
            </w:r>
            <w:r>
              <w:rPr>
                <w:rFonts w:hint="eastAsia"/>
                <w:bCs/>
                <w:color w:val="auto"/>
                <w:sz w:val="24"/>
                <w:lang w:val="en-US" w:eastAsia="zh-CN"/>
              </w:rPr>
              <w:t>打料制浆</w:t>
            </w:r>
            <w:r>
              <w:rPr>
                <w:rFonts w:hint="eastAsia"/>
                <w:bCs/>
                <w:color w:val="auto"/>
                <w:sz w:val="24"/>
              </w:rPr>
              <w:t>水循环利用，不外排。</w:t>
            </w:r>
          </w:p>
          <w:p>
            <w:pPr>
              <w:snapToGrid w:val="0"/>
              <w:spacing w:line="360" w:lineRule="auto"/>
              <w:ind w:firstLine="480" w:firstLineChars="200"/>
              <w:rPr>
                <w:rFonts w:hint="eastAsia" w:ascii="Times New Roman" w:hAnsi="Times New Roman" w:eastAsia="宋体" w:cs="Times New Roman"/>
                <w:bCs/>
                <w:color w:val="auto"/>
                <w:sz w:val="24"/>
                <w:u w:val="none" w:color="auto"/>
                <w:lang w:eastAsia="zh-CN"/>
              </w:rPr>
            </w:pPr>
            <w:r>
              <w:rPr>
                <w:rFonts w:hint="eastAsia"/>
                <w:bCs/>
                <w:color w:val="auto"/>
                <w:sz w:val="24"/>
              </w:rPr>
              <w:t>自然养护过程水分进一步蒸发，产品含水率约</w:t>
            </w:r>
            <w:r>
              <w:rPr>
                <w:bCs/>
                <w:color w:val="auto"/>
                <w:sz w:val="24"/>
              </w:rPr>
              <w:t>10%</w:t>
            </w:r>
            <w:r>
              <w:rPr>
                <w:rFonts w:hint="eastAsia"/>
                <w:bCs/>
                <w:color w:val="auto"/>
                <w:sz w:val="24"/>
              </w:rPr>
              <w:t>，蒸发损耗约</w:t>
            </w:r>
            <w:r>
              <w:rPr>
                <w:rFonts w:hint="eastAsia"/>
                <w:bCs/>
                <w:color w:val="auto"/>
                <w:sz w:val="24"/>
                <w:lang w:val="en-US" w:eastAsia="zh-CN"/>
              </w:rPr>
              <w:t>414</w:t>
            </w:r>
            <w:r>
              <w:rPr>
                <w:bCs/>
                <w:color w:val="auto"/>
                <w:sz w:val="24"/>
              </w:rPr>
              <w:t>m</w:t>
            </w:r>
            <w:r>
              <w:rPr>
                <w:bCs/>
                <w:color w:val="auto"/>
                <w:sz w:val="24"/>
                <w:vertAlign w:val="superscript"/>
              </w:rPr>
              <w:t>3</w:t>
            </w:r>
            <w:r>
              <w:rPr>
                <w:bCs/>
                <w:color w:val="auto"/>
                <w:sz w:val="24"/>
              </w:rPr>
              <w:t>/a</w:t>
            </w:r>
            <w:r>
              <w:rPr>
                <w:rFonts w:hint="eastAsia"/>
                <w:bCs/>
                <w:color w:val="auto"/>
                <w:sz w:val="24"/>
                <w:lang w:eastAsia="zh-CN"/>
              </w:rPr>
              <w:t>。</w:t>
            </w:r>
          </w:p>
          <w:p>
            <w:pPr>
              <w:snapToGrid w:val="0"/>
              <w:spacing w:line="360" w:lineRule="auto"/>
              <w:ind w:firstLine="470" w:firstLineChars="196"/>
              <w:rPr>
                <w:rFonts w:hint="eastAsia" w:ascii="Times New Roman" w:hAnsi="Times New Roman" w:eastAsia="宋体" w:cs="Times New Roman"/>
                <w:bCs/>
                <w:color w:val="auto"/>
                <w:sz w:val="24"/>
                <w:u w:val="none" w:color="auto"/>
                <w:lang w:eastAsia="zh-CN"/>
              </w:rPr>
            </w:pPr>
            <w:r>
              <w:rPr>
                <w:rFonts w:hint="eastAsia"/>
                <w:bCs/>
                <w:color w:val="auto"/>
                <w:sz w:val="24"/>
              </w:rPr>
              <w:t>生产车间定期进行冲洗，用水量按</w:t>
            </w:r>
            <w:r>
              <w:rPr>
                <w:rFonts w:hint="eastAsia"/>
                <w:bCs/>
                <w:color w:val="auto"/>
                <w:sz w:val="24"/>
                <w:lang w:val="en-US" w:eastAsia="zh-CN"/>
              </w:rPr>
              <w:t>2</w:t>
            </w:r>
            <w:r>
              <w:rPr>
                <w:bCs/>
                <w:color w:val="auto"/>
                <w:sz w:val="24"/>
              </w:rPr>
              <w:t>L/m</w:t>
            </w:r>
            <w:r>
              <w:rPr>
                <w:bCs/>
                <w:color w:val="auto"/>
                <w:sz w:val="24"/>
                <w:vertAlign w:val="superscript"/>
              </w:rPr>
              <w:t>2</w:t>
            </w:r>
            <w:r>
              <w:rPr>
                <w:rFonts w:hint="eastAsia"/>
                <w:bCs/>
                <w:color w:val="auto"/>
                <w:sz w:val="24"/>
              </w:rPr>
              <w:t>·</w:t>
            </w:r>
            <w:r>
              <w:rPr>
                <w:rFonts w:hint="eastAsia"/>
                <w:bCs/>
                <w:color w:val="auto"/>
                <w:sz w:val="24"/>
                <w:lang w:val="en-US" w:eastAsia="zh-CN"/>
              </w:rPr>
              <w:t>周</w:t>
            </w:r>
            <w:r>
              <w:rPr>
                <w:rFonts w:hint="eastAsia"/>
                <w:bCs/>
                <w:color w:val="auto"/>
                <w:sz w:val="24"/>
              </w:rPr>
              <w:t>计算，生产车间面积</w:t>
            </w:r>
            <w:r>
              <w:rPr>
                <w:rFonts w:hint="eastAsia"/>
                <w:bCs/>
                <w:color w:val="auto"/>
                <w:sz w:val="24"/>
                <w:lang w:val="en-US" w:eastAsia="zh-CN"/>
              </w:rPr>
              <w:t>400</w:t>
            </w:r>
            <w:r>
              <w:rPr>
                <w:bCs/>
                <w:color w:val="auto"/>
                <w:sz w:val="24"/>
              </w:rPr>
              <w:t>m</w:t>
            </w:r>
            <w:r>
              <w:rPr>
                <w:bCs/>
                <w:color w:val="auto"/>
                <w:sz w:val="24"/>
                <w:vertAlign w:val="superscript"/>
              </w:rPr>
              <w:t>2</w:t>
            </w:r>
            <w:r>
              <w:rPr>
                <w:rFonts w:hint="eastAsia"/>
                <w:bCs/>
                <w:color w:val="auto"/>
                <w:sz w:val="24"/>
              </w:rPr>
              <w:t>，车间清洁用水量</w:t>
            </w:r>
            <w:r>
              <w:rPr>
                <w:rFonts w:hint="eastAsia"/>
                <w:bCs/>
                <w:color w:val="auto"/>
                <w:sz w:val="24"/>
                <w:lang w:val="en-US" w:eastAsia="zh-CN"/>
              </w:rPr>
              <w:t>41.6</w:t>
            </w:r>
            <w:r>
              <w:rPr>
                <w:bCs/>
                <w:color w:val="auto"/>
                <w:sz w:val="24"/>
              </w:rPr>
              <w:t>m</w:t>
            </w:r>
            <w:r>
              <w:rPr>
                <w:bCs/>
                <w:color w:val="auto"/>
                <w:sz w:val="24"/>
                <w:vertAlign w:val="superscript"/>
              </w:rPr>
              <w:t>3</w:t>
            </w:r>
            <w:r>
              <w:rPr>
                <w:bCs/>
                <w:color w:val="auto"/>
                <w:sz w:val="24"/>
              </w:rPr>
              <w:t>/a</w:t>
            </w:r>
            <w:r>
              <w:rPr>
                <w:rFonts w:hint="eastAsia"/>
                <w:bCs/>
                <w:color w:val="auto"/>
                <w:sz w:val="24"/>
              </w:rPr>
              <w:t>。废水产生量按</w:t>
            </w:r>
            <w:r>
              <w:rPr>
                <w:bCs/>
                <w:color w:val="auto"/>
                <w:sz w:val="24"/>
              </w:rPr>
              <w:t>80%</w:t>
            </w:r>
            <w:r>
              <w:rPr>
                <w:rFonts w:hint="eastAsia"/>
                <w:bCs/>
                <w:color w:val="auto"/>
                <w:sz w:val="24"/>
              </w:rPr>
              <w:t>计算，车间清洁废水量为</w:t>
            </w:r>
            <w:r>
              <w:rPr>
                <w:rFonts w:hint="eastAsia"/>
                <w:bCs/>
                <w:color w:val="auto"/>
                <w:sz w:val="24"/>
                <w:lang w:val="en-US" w:eastAsia="zh-CN"/>
              </w:rPr>
              <w:t>33.28</w:t>
            </w:r>
            <w:r>
              <w:rPr>
                <w:bCs/>
                <w:color w:val="auto"/>
                <w:sz w:val="24"/>
              </w:rPr>
              <w:t>m</w:t>
            </w:r>
            <w:r>
              <w:rPr>
                <w:bCs/>
                <w:color w:val="auto"/>
                <w:sz w:val="24"/>
                <w:vertAlign w:val="superscript"/>
              </w:rPr>
              <w:t>3</w:t>
            </w:r>
            <w:r>
              <w:rPr>
                <w:bCs/>
                <w:color w:val="auto"/>
                <w:sz w:val="24"/>
              </w:rPr>
              <w:t>/a</w:t>
            </w:r>
            <w:r>
              <w:rPr>
                <w:rFonts w:hint="eastAsia"/>
                <w:bCs/>
                <w:color w:val="auto"/>
                <w:sz w:val="24"/>
              </w:rPr>
              <w:t>。该部分废水排入</w:t>
            </w:r>
            <w:r>
              <w:rPr>
                <w:rFonts w:hint="eastAsia"/>
                <w:bCs/>
                <w:color w:val="auto"/>
                <w:sz w:val="24"/>
                <w:lang w:val="en-US" w:eastAsia="zh-CN"/>
              </w:rPr>
              <w:t>搅拌池内</w:t>
            </w:r>
            <w:r>
              <w:rPr>
                <w:rFonts w:hint="eastAsia"/>
                <w:bCs/>
                <w:color w:val="auto"/>
                <w:sz w:val="24"/>
              </w:rPr>
              <w:t>，作为</w:t>
            </w:r>
            <w:r>
              <w:rPr>
                <w:rFonts w:hint="eastAsia"/>
                <w:bCs/>
                <w:color w:val="auto"/>
                <w:sz w:val="24"/>
                <w:lang w:val="en-US" w:eastAsia="zh-CN"/>
              </w:rPr>
              <w:t>打料制浆用</w:t>
            </w:r>
            <w:r>
              <w:rPr>
                <w:rFonts w:hint="eastAsia"/>
                <w:bCs/>
                <w:color w:val="auto"/>
                <w:sz w:val="24"/>
              </w:rPr>
              <w:t>水利用，不外排</w:t>
            </w:r>
            <w:r>
              <w:rPr>
                <w:rFonts w:hint="eastAsia"/>
                <w:bCs/>
                <w:color w:val="auto"/>
                <w:sz w:val="24"/>
                <w:lang w:eastAsia="zh-CN"/>
              </w:rPr>
              <w:t>。</w:t>
            </w:r>
          </w:p>
          <w:p>
            <w:pPr>
              <w:snapToGrid w:val="0"/>
              <w:spacing w:line="360" w:lineRule="auto"/>
              <w:ind w:firstLine="470" w:firstLineChars="196"/>
              <w:rPr>
                <w:rFonts w:hint="default" w:ascii="Times New Roman" w:hAnsi="Times New Roman" w:eastAsia="宋体" w:cs="Times New Roman"/>
                <w:bCs/>
                <w:color w:val="auto"/>
                <w:sz w:val="24"/>
                <w:u w:val="none" w:color="auto"/>
                <w:lang w:val="en-US" w:eastAsia="zh-CN"/>
              </w:rPr>
            </w:pPr>
            <w:r>
              <w:rPr>
                <w:rFonts w:hint="eastAsia" w:cs="Times New Roman"/>
                <w:bCs/>
                <w:color w:val="auto"/>
                <w:sz w:val="24"/>
                <w:u w:val="none" w:color="auto"/>
                <w:lang w:val="en-US" w:eastAsia="zh-CN"/>
              </w:rPr>
              <w:t>初期雨水经初期雨水池收集沉淀处理后排入西南侧农灌渠。</w:t>
            </w:r>
          </w:p>
          <w:p>
            <w:pPr>
              <w:snapToGrid w:val="0"/>
              <w:spacing w:line="360" w:lineRule="auto"/>
              <w:ind w:firstLine="470" w:firstLineChars="196"/>
              <w:rPr>
                <w:rFonts w:hint="default" w:ascii="Times New Roman" w:hAnsi="Times New Roman" w:cs="Times New Roman"/>
                <w:bCs/>
                <w:color w:val="auto"/>
                <w:sz w:val="24"/>
                <w:u w:val="none" w:color="auto"/>
              </w:rPr>
            </w:pPr>
          </w:p>
          <w:p>
            <w:pPr>
              <w:snapToGrid w:val="0"/>
              <w:spacing w:line="360" w:lineRule="auto"/>
              <w:ind w:firstLine="470" w:firstLineChars="196"/>
              <w:rPr>
                <w:rFonts w:hint="default" w:ascii="Times New Roman" w:hAnsi="Times New Roman" w:cs="Times New Roman"/>
                <w:bCs/>
                <w:color w:val="auto"/>
                <w:sz w:val="24"/>
                <w:u w:val="none" w:color="auto"/>
              </w:rPr>
            </w:pPr>
          </w:p>
          <w:p>
            <w:pPr>
              <w:snapToGrid w:val="0"/>
              <w:spacing w:line="360" w:lineRule="auto"/>
              <w:ind w:firstLine="470" w:firstLineChars="196"/>
              <w:rPr>
                <w:rFonts w:hint="default" w:ascii="Times New Roman" w:hAnsi="Times New Roman" w:cs="Times New Roman"/>
                <w:bCs/>
                <w:color w:val="auto"/>
                <w:sz w:val="24"/>
                <w:u w:val="none" w:color="auto"/>
              </w:rPr>
            </w:pPr>
          </w:p>
          <w:p>
            <w:pPr>
              <w:snapToGrid w:val="0"/>
              <w:spacing w:line="360" w:lineRule="auto"/>
              <w:ind w:firstLine="470" w:firstLineChars="196"/>
              <w:rPr>
                <w:rFonts w:hint="default" w:ascii="Times New Roman" w:hAnsi="Times New Roman" w:cs="Times New Roman"/>
                <w:bCs/>
                <w:color w:val="auto"/>
                <w:sz w:val="24"/>
                <w:u w:val="none" w:color="auto"/>
              </w:rPr>
            </w:pPr>
          </w:p>
          <w:p>
            <w:pPr>
              <w:snapToGrid w:val="0"/>
              <w:spacing w:line="360" w:lineRule="auto"/>
              <w:ind w:firstLine="470" w:firstLineChars="196"/>
              <w:rPr>
                <w:rFonts w:hint="default" w:ascii="Times New Roman" w:hAnsi="Times New Roman" w:cs="Times New Roman"/>
                <w:bCs/>
                <w:color w:val="auto"/>
                <w:sz w:val="24"/>
                <w:u w:val="none" w:color="auto"/>
              </w:rPr>
            </w:pPr>
          </w:p>
          <w:p>
            <w:pPr>
              <w:snapToGrid w:val="0"/>
              <w:spacing w:line="360" w:lineRule="auto"/>
              <w:ind w:firstLine="470" w:firstLineChars="196"/>
              <w:rPr>
                <w:rFonts w:hint="default" w:ascii="Times New Roman" w:hAnsi="Times New Roman" w:cs="Times New Roman"/>
                <w:b/>
                <w:bCs/>
                <w:color w:val="auto"/>
                <w:u w:val="none" w:color="auto"/>
              </w:rPr>
            </w:pPr>
            <w:r>
              <w:rPr>
                <w:rFonts w:hint="default" w:ascii="Times New Roman" w:hAnsi="Times New Roman" w:cs="Times New Roman"/>
                <w:color w:val="auto"/>
                <w:sz w:val="24"/>
                <w:u w:val="none" w:color="auto"/>
                <w:lang w:eastAsia="zh-CN"/>
              </w:rPr>
              <w:pict>
                <v:shape id="_x0000_s2053" o:spid="_x0000_s2053" o:spt="75" type="#_x0000_t75" style="position:absolute;left:0pt;margin-left:-6.6pt;margin-top:10.6pt;height:263.4pt;width:471.3pt;z-index:-2112727040;mso-width-relative:page;mso-height-relative:page;" o:ole="t" filled="f" o:preferrelative="t" stroked="f" coordsize="21600,21600">
                  <v:path/>
                  <v:fill on="f" focussize="0,0"/>
                  <v:stroke on="f"/>
                  <v:imagedata r:id="rId11" o:title=""/>
                  <o:lock v:ext="edit" aspectratio="f"/>
                </v:shape>
                <o:OLEObject Type="Embed" ProgID="Visio.Drawing.11" ShapeID="_x0000_s2053" DrawAspect="Content" ObjectID="_1468075725" r:id="rId10">
                  <o:LockedField>false</o:LockedField>
                </o:OLEObject>
              </w:pict>
            </w:r>
            <w:r>
              <w:rPr>
                <w:rFonts w:hint="default" w:ascii="Times New Roman" w:hAnsi="Times New Roman" w:cs="Times New Roman"/>
                <w:bCs/>
                <w:color w:val="auto"/>
                <w:sz w:val="24"/>
                <w:u w:val="none" w:color="auto"/>
              </w:rPr>
              <w:t>本项目水平衡情况如图1-1所示。</w:t>
            </w:r>
          </w:p>
          <w:p>
            <w:pPr>
              <w:pStyle w:val="173"/>
              <w:spacing w:line="360" w:lineRule="auto"/>
              <w:ind w:firstLineChars="83"/>
              <w:jc w:val="center"/>
              <w:rPr>
                <w:rFonts w:hint="default" w:ascii="Times New Roman" w:hAnsi="Times New Roman" w:cs="Times New Roman"/>
                <w:b/>
                <w:bCs/>
                <w:color w:val="auto"/>
                <w:u w:val="none" w:color="auto"/>
              </w:rPr>
            </w:pPr>
          </w:p>
          <w:p>
            <w:pPr>
              <w:pStyle w:val="173"/>
              <w:spacing w:line="360" w:lineRule="auto"/>
              <w:ind w:firstLineChars="83"/>
              <w:jc w:val="center"/>
              <w:rPr>
                <w:rFonts w:hint="default" w:ascii="Times New Roman" w:hAnsi="Times New Roman" w:cs="Times New Roman"/>
                <w:b/>
                <w:bCs/>
                <w:color w:val="auto"/>
                <w:u w:val="none" w:color="auto"/>
              </w:rPr>
            </w:pPr>
          </w:p>
          <w:p>
            <w:pPr>
              <w:pStyle w:val="173"/>
              <w:spacing w:line="360" w:lineRule="auto"/>
              <w:ind w:firstLineChars="83"/>
              <w:jc w:val="center"/>
              <w:rPr>
                <w:rFonts w:hint="default" w:ascii="Times New Roman" w:hAnsi="Times New Roman" w:cs="Times New Roman"/>
                <w:b/>
                <w:bCs/>
                <w:color w:val="auto"/>
                <w:u w:val="none" w:color="auto"/>
              </w:rPr>
            </w:pPr>
          </w:p>
          <w:p>
            <w:pPr>
              <w:pStyle w:val="173"/>
              <w:spacing w:line="360" w:lineRule="auto"/>
              <w:ind w:firstLineChars="83"/>
              <w:jc w:val="center"/>
              <w:rPr>
                <w:rFonts w:hint="default" w:ascii="Times New Roman" w:hAnsi="Times New Roman" w:cs="Times New Roman"/>
                <w:b/>
                <w:bCs/>
                <w:color w:val="auto"/>
                <w:u w:val="none" w:color="auto"/>
              </w:rPr>
            </w:pPr>
          </w:p>
          <w:p>
            <w:pPr>
              <w:pStyle w:val="173"/>
              <w:spacing w:line="360" w:lineRule="auto"/>
              <w:ind w:firstLineChars="83"/>
              <w:jc w:val="center"/>
              <w:rPr>
                <w:rFonts w:hint="default" w:ascii="Times New Roman" w:hAnsi="Times New Roman" w:cs="Times New Roman"/>
                <w:b/>
                <w:bCs/>
                <w:color w:val="auto"/>
                <w:u w:val="none" w:color="auto"/>
              </w:rPr>
            </w:pPr>
          </w:p>
          <w:p>
            <w:pPr>
              <w:pStyle w:val="173"/>
              <w:spacing w:line="360" w:lineRule="auto"/>
              <w:ind w:firstLineChars="83"/>
              <w:jc w:val="center"/>
              <w:rPr>
                <w:rFonts w:hint="default" w:ascii="Times New Roman" w:hAnsi="Times New Roman" w:cs="Times New Roman"/>
                <w:b/>
                <w:bCs/>
                <w:color w:val="auto"/>
                <w:u w:val="none" w:color="auto"/>
              </w:rPr>
            </w:pPr>
          </w:p>
          <w:p>
            <w:pPr>
              <w:pStyle w:val="173"/>
              <w:spacing w:line="360" w:lineRule="auto"/>
              <w:ind w:firstLineChars="83"/>
              <w:jc w:val="center"/>
              <w:rPr>
                <w:rFonts w:hint="default" w:ascii="Times New Roman" w:hAnsi="Times New Roman" w:cs="Times New Roman"/>
                <w:b/>
                <w:bCs/>
                <w:color w:val="auto"/>
                <w:u w:val="none" w:color="auto"/>
              </w:rPr>
            </w:pPr>
          </w:p>
          <w:p>
            <w:pPr>
              <w:pStyle w:val="173"/>
              <w:spacing w:line="360" w:lineRule="auto"/>
              <w:ind w:left="0" w:leftChars="0" w:firstLine="0" w:firstLineChars="0"/>
              <w:jc w:val="both"/>
              <w:rPr>
                <w:rFonts w:hint="default" w:ascii="Times New Roman" w:hAnsi="Times New Roman" w:cs="Times New Roman"/>
                <w:b/>
                <w:bCs/>
                <w:color w:val="auto"/>
                <w:u w:val="none" w:color="auto"/>
              </w:rPr>
            </w:pPr>
          </w:p>
          <w:p>
            <w:pPr>
              <w:pStyle w:val="173"/>
              <w:spacing w:line="360" w:lineRule="auto"/>
              <w:ind w:firstLineChars="83"/>
              <w:jc w:val="center"/>
              <w:rPr>
                <w:rFonts w:hint="default" w:ascii="Times New Roman" w:hAnsi="Times New Roman" w:cs="Times New Roman"/>
                <w:b/>
                <w:bCs/>
                <w:color w:val="auto"/>
                <w:u w:val="none" w:color="auto"/>
              </w:rPr>
            </w:pPr>
          </w:p>
          <w:p>
            <w:pPr>
              <w:pStyle w:val="173"/>
              <w:spacing w:line="360" w:lineRule="auto"/>
              <w:ind w:firstLineChars="83"/>
              <w:jc w:val="center"/>
              <w:rPr>
                <w:rFonts w:hint="default" w:ascii="Times New Roman" w:hAnsi="Times New Roman" w:cs="Times New Roman"/>
                <w:b/>
                <w:bCs/>
                <w:color w:val="auto"/>
                <w:u w:val="none" w:color="auto"/>
              </w:rPr>
            </w:pPr>
          </w:p>
          <w:p>
            <w:pPr>
              <w:pStyle w:val="173"/>
              <w:spacing w:line="360" w:lineRule="auto"/>
              <w:ind w:firstLineChars="83"/>
              <w:jc w:val="center"/>
              <w:rPr>
                <w:rFonts w:hint="default" w:ascii="Times New Roman" w:hAnsi="Times New Roman" w:cs="Times New Roman"/>
                <w:b/>
                <w:bCs/>
                <w:color w:val="auto"/>
                <w:u w:val="none" w:color="auto"/>
              </w:rPr>
            </w:pPr>
          </w:p>
          <w:p>
            <w:pPr>
              <w:pStyle w:val="173"/>
              <w:spacing w:line="360" w:lineRule="auto"/>
              <w:ind w:left="0" w:leftChars="0" w:firstLine="0" w:firstLineChars="0"/>
              <w:jc w:val="both"/>
              <w:rPr>
                <w:rFonts w:hint="default" w:ascii="Times New Roman" w:hAnsi="Times New Roman" w:cs="Times New Roman"/>
                <w:b/>
                <w:bCs/>
                <w:color w:val="auto"/>
                <w:u w:val="none" w:color="auto"/>
              </w:rPr>
            </w:pPr>
          </w:p>
          <w:p>
            <w:pPr>
              <w:pStyle w:val="173"/>
              <w:spacing w:line="360" w:lineRule="auto"/>
              <w:ind w:firstLineChars="83"/>
              <w:jc w:val="center"/>
              <w:rPr>
                <w:rFonts w:hint="default" w:ascii="Times New Roman" w:hAnsi="Times New Roman" w:cs="Times New Roman"/>
                <w:b/>
                <w:color w:val="auto"/>
                <w:sz w:val="24"/>
                <w:szCs w:val="24"/>
                <w:u w:val="none" w:color="auto"/>
              </w:rPr>
            </w:pPr>
            <w:r>
              <w:rPr>
                <w:rFonts w:hint="default" w:ascii="Times New Roman" w:hAnsi="Times New Roman" w:cs="Times New Roman"/>
                <w:b/>
                <w:bCs/>
                <w:color w:val="auto"/>
                <w:u w:val="none" w:color="auto"/>
              </w:rPr>
              <w:t>图1-1  项目水平衡图（单位：m</w:t>
            </w:r>
            <w:r>
              <w:rPr>
                <w:rFonts w:hint="default" w:ascii="Times New Roman" w:hAnsi="Times New Roman" w:cs="Times New Roman"/>
                <w:b/>
                <w:bCs/>
                <w:color w:val="auto"/>
                <w:u w:val="none" w:color="auto"/>
                <w:vertAlign w:val="superscript"/>
              </w:rPr>
              <w:t>3</w:t>
            </w:r>
            <w:r>
              <w:rPr>
                <w:rFonts w:hint="default" w:ascii="Times New Roman" w:hAnsi="Times New Roman" w:cs="Times New Roman"/>
                <w:b/>
                <w:bCs/>
                <w:color w:val="auto"/>
                <w:u w:val="none" w:color="auto"/>
              </w:rPr>
              <w:t>/d）</w:t>
            </w:r>
          </w:p>
          <w:p>
            <w:pPr>
              <w:snapToGrid w:val="0"/>
              <w:spacing w:line="360" w:lineRule="auto"/>
              <w:ind w:firstLine="482" w:firstLineChars="200"/>
              <w:rPr>
                <w:rFonts w:hint="default" w:ascii="Times New Roman" w:hAnsi="Times New Roman" w:cs="Times New Roman"/>
                <w:b/>
                <w:bCs w:val="0"/>
                <w:color w:val="auto"/>
                <w:sz w:val="24"/>
                <w:szCs w:val="24"/>
                <w:u w:val="none" w:color="auto"/>
              </w:rPr>
            </w:pPr>
            <w:r>
              <w:rPr>
                <w:rFonts w:hint="eastAsia" w:cs="Times New Roman"/>
                <w:b/>
                <w:bCs w:val="0"/>
                <w:color w:val="auto"/>
                <w:sz w:val="24"/>
                <w:szCs w:val="24"/>
                <w:u w:val="none" w:color="auto"/>
                <w:lang w:val="en-US" w:eastAsia="zh-CN"/>
              </w:rPr>
              <w:t>7</w:t>
            </w:r>
            <w:r>
              <w:rPr>
                <w:rFonts w:hint="default" w:ascii="Times New Roman" w:hAnsi="Times New Roman" w:cs="Times New Roman"/>
                <w:b/>
                <w:bCs w:val="0"/>
                <w:color w:val="auto"/>
                <w:sz w:val="24"/>
                <w:szCs w:val="24"/>
                <w:u w:val="none" w:color="auto"/>
              </w:rPr>
              <w:t>、</w:t>
            </w:r>
            <w:r>
              <w:rPr>
                <w:rFonts w:hint="eastAsia" w:cs="Times New Roman"/>
                <w:b/>
                <w:bCs w:val="0"/>
                <w:color w:val="auto"/>
                <w:sz w:val="24"/>
                <w:szCs w:val="24"/>
                <w:u w:val="none" w:color="auto"/>
                <w:lang w:val="en-US" w:eastAsia="zh-CN"/>
              </w:rPr>
              <w:t>总</w:t>
            </w:r>
            <w:r>
              <w:rPr>
                <w:rFonts w:hint="default" w:ascii="Times New Roman" w:hAnsi="Times New Roman" w:cs="Times New Roman"/>
                <w:b/>
                <w:bCs w:val="0"/>
                <w:color w:val="auto"/>
                <w:sz w:val="24"/>
                <w:szCs w:val="24"/>
                <w:u w:val="none" w:color="auto"/>
              </w:rPr>
              <w:t>平面布置</w:t>
            </w:r>
          </w:p>
          <w:p>
            <w:pPr>
              <w:spacing w:line="360" w:lineRule="auto"/>
              <w:ind w:firstLine="480" w:firstLineChars="200"/>
              <w:jc w:val="left"/>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val="en-US" w:eastAsia="zh-CN"/>
              </w:rPr>
              <w:t>选址于</w:t>
            </w:r>
            <w:r>
              <w:rPr>
                <w:rFonts w:hint="eastAsia" w:cs="Times New Roman"/>
                <w:color w:val="auto"/>
                <w:sz w:val="24"/>
                <w:szCs w:val="24"/>
                <w:u w:val="none" w:color="auto"/>
                <w:lang w:eastAsia="zh-CN"/>
              </w:rPr>
              <w:t>湘阴县</w:t>
            </w:r>
            <w:r>
              <w:rPr>
                <w:rFonts w:hint="eastAsia" w:cs="Times New Roman"/>
                <w:color w:val="auto"/>
                <w:sz w:val="24"/>
                <w:szCs w:val="24"/>
                <w:u w:val="none" w:color="auto"/>
                <w:lang w:val="en-US" w:eastAsia="zh-CN"/>
              </w:rPr>
              <w:t>白泥湖园艺场现有厂房进行生产建设</w:t>
            </w:r>
            <w:r>
              <w:rPr>
                <w:rFonts w:hint="default" w:ascii="Times New Roman" w:hAnsi="Times New Roman" w:cs="Times New Roman"/>
                <w:color w:val="auto"/>
                <w:sz w:val="24"/>
                <w:szCs w:val="24"/>
                <w:u w:val="none" w:color="auto"/>
              </w:rPr>
              <w:t>，根据现场调查，</w:t>
            </w:r>
            <w:r>
              <w:rPr>
                <w:rFonts w:hint="eastAsia" w:cs="Times New Roman"/>
                <w:color w:val="auto"/>
                <w:sz w:val="24"/>
                <w:szCs w:val="24"/>
                <w:u w:val="none" w:color="auto"/>
                <w:lang w:val="en-US" w:eastAsia="zh-CN"/>
              </w:rPr>
              <w:t>本项目北面为装货区及办公区，中间为制浆、脱水、成型区和喷漆烘干一体区，南侧为养护区、东南角为原料堆放区，东侧为储罐区，西南角为成品堆放区。</w:t>
            </w:r>
          </w:p>
          <w:p>
            <w:pPr>
              <w:spacing w:line="360" w:lineRule="auto"/>
              <w:ind w:firstLine="482" w:firstLineChars="200"/>
              <w:jc w:val="left"/>
              <w:rPr>
                <w:rFonts w:hint="default" w:ascii="Times New Roman" w:hAnsi="Times New Roman" w:cs="Times New Roman"/>
                <w:b/>
                <w:color w:val="auto"/>
                <w:sz w:val="24"/>
                <w:szCs w:val="24"/>
                <w:u w:val="none" w:color="auto"/>
              </w:rPr>
            </w:pPr>
            <w:r>
              <w:rPr>
                <w:rFonts w:hint="eastAsia" w:cs="Times New Roman"/>
                <w:b/>
                <w:color w:val="auto"/>
                <w:sz w:val="24"/>
                <w:szCs w:val="24"/>
                <w:u w:val="none" w:color="auto"/>
                <w:lang w:val="en-US" w:eastAsia="zh-CN"/>
              </w:rPr>
              <w:t>8、</w:t>
            </w:r>
            <w:r>
              <w:rPr>
                <w:rFonts w:hint="default" w:ascii="Times New Roman" w:hAnsi="Times New Roman" w:cs="Times New Roman"/>
                <w:b/>
                <w:color w:val="auto"/>
                <w:sz w:val="24"/>
                <w:szCs w:val="24"/>
                <w:u w:val="none" w:color="auto"/>
              </w:rPr>
              <w:t>劳动定员及生产制度</w:t>
            </w:r>
          </w:p>
          <w:p>
            <w:pPr>
              <w:tabs>
                <w:tab w:val="left" w:pos="630"/>
              </w:tabs>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劳动定员：项目劳动定员总数为</w:t>
            </w:r>
            <w:r>
              <w:rPr>
                <w:rFonts w:hint="eastAsia" w:cs="Times New Roman"/>
                <w:color w:val="auto"/>
                <w:sz w:val="24"/>
                <w:u w:val="none" w:color="auto"/>
                <w:lang w:val="en-US" w:eastAsia="zh-CN"/>
              </w:rPr>
              <w:t>20</w:t>
            </w:r>
            <w:r>
              <w:rPr>
                <w:rFonts w:hint="default" w:ascii="Times New Roman" w:hAnsi="Times New Roman" w:cs="Times New Roman"/>
                <w:color w:val="auto"/>
                <w:sz w:val="24"/>
                <w:u w:val="none" w:color="auto"/>
              </w:rPr>
              <w:t>人。年工作300天，每班运行8小时。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1549" w:hRule="atLeast"/>
          <w:jc w:val="center"/>
        </w:trPr>
        <w:tc>
          <w:tcPr>
            <w:tcW w:w="9278" w:type="dxa"/>
            <w:gridSpan w:val="7"/>
          </w:tcPr>
          <w:p>
            <w:pPr>
              <w:adjustRightInd w:val="0"/>
              <w:snapToGrid w:val="0"/>
              <w:spacing w:line="360" w:lineRule="auto"/>
              <w:rPr>
                <w:rFonts w:hint="default" w:ascii="Times New Roman" w:hAnsi="Times New Roman" w:cs="Times New Roman"/>
                <w:b/>
                <w:bCs/>
                <w:color w:val="auto"/>
                <w:sz w:val="30"/>
                <w:szCs w:val="30"/>
                <w:u w:val="none" w:color="auto"/>
              </w:rPr>
            </w:pPr>
            <w:r>
              <w:rPr>
                <w:rFonts w:hint="default" w:ascii="Times New Roman" w:hAnsi="Times New Roman" w:cs="Times New Roman"/>
                <w:b/>
                <w:bCs/>
                <w:color w:val="auto"/>
                <w:sz w:val="30"/>
                <w:szCs w:val="30"/>
                <w:u w:val="none" w:color="auto"/>
              </w:rPr>
              <w:t>与本项目有关的原有污染情况及主要环境问题：</w:t>
            </w:r>
          </w:p>
          <w:p>
            <w:pPr>
              <w:spacing w:line="360" w:lineRule="auto"/>
              <w:ind w:firstLine="600" w:firstLineChars="250"/>
              <w:rPr>
                <w:rFonts w:hint="default" w:ascii="Times New Roman" w:hAnsi="Times New Roman" w:eastAsia="宋体" w:cs="Times New Roman"/>
                <w:bCs/>
                <w:color w:val="auto"/>
                <w:sz w:val="24"/>
                <w:u w:val="none" w:color="auto"/>
                <w:lang w:val="en-US" w:eastAsia="zh-CN"/>
              </w:rPr>
            </w:pPr>
            <w:r>
              <w:rPr>
                <w:rFonts w:hint="default" w:ascii="Times New Roman" w:hAnsi="Times New Roman" w:cs="Times New Roman"/>
                <w:bCs/>
                <w:color w:val="auto"/>
                <w:sz w:val="24"/>
                <w:szCs w:val="24"/>
                <w:u w:val="none" w:color="auto"/>
              </w:rPr>
              <w:t>本项目租赁</w:t>
            </w:r>
            <w:r>
              <w:rPr>
                <w:rFonts w:hint="eastAsia" w:cs="Times New Roman"/>
                <w:color w:val="auto"/>
                <w:sz w:val="24"/>
                <w:szCs w:val="22"/>
                <w:u w:val="none" w:color="auto"/>
                <w:lang w:eastAsia="zh-CN"/>
              </w:rPr>
              <w:t>湖南省岳阳市湘阴县白泥湖园艺场</w:t>
            </w:r>
            <w:r>
              <w:rPr>
                <w:rFonts w:hint="eastAsia" w:cs="Times New Roman"/>
                <w:color w:val="auto"/>
                <w:sz w:val="24"/>
                <w:szCs w:val="22"/>
                <w:u w:val="none" w:color="auto"/>
                <w:lang w:val="en-US" w:eastAsia="zh-CN"/>
              </w:rPr>
              <w:t>土地进行</w:t>
            </w:r>
            <w:r>
              <w:rPr>
                <w:rFonts w:hint="default" w:ascii="Times New Roman" w:hAnsi="Times New Roman" w:cs="Times New Roman"/>
                <w:bCs/>
                <w:color w:val="auto"/>
                <w:sz w:val="24"/>
                <w:u w:val="none" w:color="auto"/>
                <w:lang w:eastAsia="zh-CN"/>
              </w:rPr>
              <w:t>建设</w:t>
            </w:r>
            <w:r>
              <w:rPr>
                <w:rFonts w:hint="default" w:ascii="Times New Roman" w:hAnsi="Times New Roman" w:cs="Times New Roman"/>
                <w:bCs/>
                <w:color w:val="auto"/>
                <w:sz w:val="24"/>
                <w:u w:val="none" w:color="auto"/>
              </w:rPr>
              <w:t>生产</w:t>
            </w:r>
            <w:r>
              <w:rPr>
                <w:rFonts w:hint="default" w:ascii="Times New Roman" w:hAnsi="Times New Roman" w:cs="Times New Roman"/>
                <w:bCs/>
                <w:color w:val="auto"/>
                <w:sz w:val="24"/>
                <w:u w:val="none" w:color="auto"/>
                <w:lang w:val="en-US" w:eastAsia="zh-CN"/>
              </w:rPr>
              <w:t>。</w:t>
            </w:r>
          </w:p>
          <w:p>
            <w:pPr>
              <w:spacing w:line="360" w:lineRule="auto"/>
              <w:ind w:firstLine="600" w:firstLineChars="25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1、</w:t>
            </w:r>
            <w:r>
              <w:rPr>
                <w:rFonts w:hint="default" w:ascii="Times New Roman" w:hAnsi="Times New Roman" w:cs="Times New Roman"/>
                <w:color w:val="auto"/>
                <w:sz w:val="24"/>
                <w:u w:val="none" w:color="auto"/>
              </w:rPr>
              <w:t>与项目有关的原有污染情况</w:t>
            </w:r>
          </w:p>
          <w:p>
            <w:pPr>
              <w:spacing w:line="360" w:lineRule="auto"/>
              <w:ind w:firstLine="600" w:firstLineChars="25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项目已投产运营，与项目有关的原有污染情况主要为项目生产过程中产生的</w:t>
            </w:r>
            <w:r>
              <w:rPr>
                <w:rFonts w:hint="eastAsia" w:cs="Times New Roman"/>
                <w:color w:val="auto"/>
                <w:sz w:val="24"/>
                <w:u w:val="none" w:color="auto"/>
                <w:lang w:val="en-US" w:eastAsia="zh-CN"/>
              </w:rPr>
              <w:t>废气、废水</w:t>
            </w:r>
            <w:r>
              <w:rPr>
                <w:rFonts w:hint="default" w:ascii="Times New Roman" w:hAnsi="Times New Roman" w:cs="Times New Roman"/>
                <w:color w:val="auto"/>
                <w:sz w:val="24"/>
                <w:u w:val="none" w:color="auto"/>
              </w:rPr>
              <w:t>、噪声及固体废物对环境的影响，投产至今运行较好暂未接到周边居民投诉。</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val="en-US" w:eastAsia="zh-CN"/>
              </w:rPr>
              <w:t>2、</w:t>
            </w:r>
            <w:r>
              <w:rPr>
                <w:rFonts w:hint="default" w:ascii="Times New Roman" w:hAnsi="Times New Roman" w:cs="Times New Roman"/>
                <w:color w:val="auto"/>
                <w:sz w:val="24"/>
                <w:u w:val="none" w:color="auto"/>
                <w:lang w:eastAsia="zh-CN"/>
              </w:rPr>
              <w:t>项目周边污染源</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项目周边主要环境问题为附近居民生活污水、生活垃圾</w:t>
            </w:r>
            <w:r>
              <w:rPr>
                <w:rFonts w:hint="eastAsia" w:cs="Times New Roman"/>
                <w:color w:val="auto"/>
                <w:sz w:val="24"/>
                <w:u w:val="none" w:color="auto"/>
                <w:lang w:eastAsia="zh-CN"/>
              </w:rPr>
              <w:t>，</w:t>
            </w:r>
            <w:r>
              <w:rPr>
                <w:rFonts w:hint="eastAsia" w:cs="Times New Roman"/>
                <w:color w:val="auto"/>
                <w:sz w:val="24"/>
                <w:u w:val="none" w:color="auto"/>
                <w:lang w:val="en-US" w:eastAsia="zh-CN"/>
              </w:rPr>
              <w:t>湘阴县佳欣树脂瓦厂</w:t>
            </w:r>
            <w:r>
              <w:rPr>
                <w:rFonts w:hint="eastAsia" w:ascii="宋体" w:hAnsi="宋体" w:eastAsia="宋体" w:cs="宋体"/>
                <w:b w:val="0"/>
                <w:bCs/>
                <w:color w:val="auto"/>
                <w:sz w:val="24"/>
                <w:szCs w:val="24"/>
                <w:u w:val="none" w:color="auto"/>
                <w:lang w:val="en-US" w:eastAsia="zh-CN"/>
              </w:rPr>
              <w:t>废水、废气、噪声、固废</w:t>
            </w:r>
            <w:r>
              <w:rPr>
                <w:rFonts w:hint="default" w:ascii="Times New Roman" w:hAnsi="Times New Roman" w:cs="Times New Roman"/>
                <w:color w:val="auto"/>
                <w:sz w:val="24"/>
                <w:u w:val="none" w:color="auto"/>
                <w:lang w:eastAsia="zh-CN"/>
              </w:rPr>
              <w:t>。根据走访了解，附近居民生活污水经三级化粪池处理后作为农田、绿化施肥，生活垃圾交由环卫部门进行处理</w:t>
            </w:r>
            <w:r>
              <w:rPr>
                <w:rFonts w:hint="eastAsia" w:cs="Times New Roman"/>
                <w:color w:val="auto"/>
                <w:sz w:val="24"/>
                <w:u w:val="none" w:color="auto"/>
                <w:lang w:eastAsia="zh-CN"/>
              </w:rPr>
              <w:t>，</w:t>
            </w:r>
            <w:r>
              <w:rPr>
                <w:rFonts w:hint="eastAsia" w:cs="Times New Roman"/>
                <w:color w:val="auto"/>
                <w:sz w:val="24"/>
                <w:u w:val="none" w:color="auto"/>
                <w:lang w:val="en-US" w:eastAsia="zh-CN"/>
              </w:rPr>
              <w:t>湘阴县佳欣树脂瓦厂</w:t>
            </w:r>
            <w:r>
              <w:rPr>
                <w:rFonts w:hint="eastAsia" w:ascii="宋体" w:hAnsi="宋体" w:eastAsia="宋体" w:cs="宋体"/>
                <w:b w:val="0"/>
                <w:bCs/>
                <w:color w:val="auto"/>
                <w:sz w:val="24"/>
                <w:szCs w:val="24"/>
                <w:u w:val="none" w:color="auto"/>
                <w:lang w:val="en-US" w:eastAsia="zh-CN"/>
              </w:rPr>
              <w:t>废水、废气、噪声、固废均经有效处理</w:t>
            </w:r>
            <w:r>
              <w:rPr>
                <w:rFonts w:hint="default" w:ascii="Times New Roman" w:hAnsi="Times New Roman" w:cs="Times New Roman"/>
                <w:color w:val="auto"/>
                <w:sz w:val="24"/>
                <w:u w:val="none" w:color="auto"/>
                <w:lang w:eastAsia="zh-CN"/>
              </w:rPr>
              <w:t>。故可知，项目周边无明显污染。</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val="en-US" w:eastAsia="zh-CN"/>
              </w:rPr>
              <w:t>3、</w:t>
            </w:r>
            <w:r>
              <w:rPr>
                <w:rFonts w:hint="default" w:ascii="Times New Roman" w:hAnsi="Times New Roman" w:cs="Times New Roman"/>
                <w:color w:val="auto"/>
                <w:sz w:val="24"/>
                <w:u w:val="none" w:color="auto"/>
                <w:lang w:eastAsia="zh-CN"/>
              </w:rPr>
              <w:t>项目污染现状及现有环保措施</w:t>
            </w:r>
          </w:p>
          <w:p>
            <w:pPr>
              <w:spacing w:line="360" w:lineRule="auto"/>
              <w:ind w:firstLine="480" w:firstLineChars="200"/>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1</w:t>
            </w:r>
            <w:r>
              <w:rPr>
                <w:rFonts w:hint="default" w:ascii="Times New Roman" w:hAnsi="Times New Roman" w:cs="Times New Roman"/>
                <w:color w:val="auto"/>
                <w:sz w:val="24"/>
                <w:u w:val="none" w:color="auto"/>
                <w:lang w:eastAsia="zh-CN"/>
              </w:rPr>
              <w:t>）废水污染及现有的环保措施</w:t>
            </w:r>
            <w:r>
              <w:rPr>
                <w:rFonts w:hint="default" w:ascii="Times New Roman" w:hAnsi="Times New Roman" w:cs="Times New Roman"/>
                <w:color w:val="auto"/>
                <w:sz w:val="24"/>
                <w:u w:val="none" w:color="auto"/>
                <w:lang w:val="en-US" w:eastAsia="zh-CN"/>
              </w:rPr>
              <w:t xml:space="preserve"> </w:t>
            </w:r>
          </w:p>
          <w:p>
            <w:pPr>
              <w:spacing w:line="360" w:lineRule="auto"/>
              <w:ind w:firstLine="720" w:firstLineChars="3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2"/>
                <w:u w:val="none" w:color="auto"/>
                <w:lang w:val="en-US" w:eastAsia="zh-CN"/>
              </w:rPr>
              <w:t>项目</w:t>
            </w:r>
            <w:r>
              <w:rPr>
                <w:rFonts w:hint="default" w:ascii="Times New Roman" w:hAnsi="Times New Roman" w:cs="Times New Roman"/>
                <w:color w:val="auto"/>
                <w:sz w:val="24"/>
                <w:u w:val="none" w:color="auto"/>
                <w:lang w:eastAsia="zh-CN"/>
              </w:rPr>
              <w:t>生活污水</w:t>
            </w:r>
            <w:r>
              <w:rPr>
                <w:rFonts w:hint="default" w:ascii="Times New Roman" w:hAnsi="Times New Roman" w:cs="Times New Roman"/>
                <w:color w:val="auto"/>
                <w:sz w:val="24"/>
                <w:szCs w:val="22"/>
                <w:u w:val="none" w:color="auto"/>
                <w:lang w:val="en-US" w:eastAsia="zh-CN"/>
              </w:rPr>
              <w:t>经三级化粪池处理后用于周边绿化施肥，不直接外排。</w:t>
            </w:r>
          </w:p>
          <w:p>
            <w:pPr>
              <w:spacing w:line="360" w:lineRule="auto"/>
              <w:ind w:firstLine="600" w:firstLineChars="250"/>
              <w:rPr>
                <w:rFonts w:hint="default" w:ascii="Times New Roman" w:hAnsi="Times New Roman" w:cs="Times New Roman"/>
                <w:color w:val="auto"/>
                <w:sz w:val="24"/>
                <w:szCs w:val="24"/>
                <w:u w:val="none" w:color="auto"/>
                <w:lang w:eastAsia="zh-CN"/>
              </w:rPr>
            </w:pPr>
            <w:r>
              <w:rPr>
                <w:rFonts w:hint="eastAsia"/>
                <w:color w:val="auto"/>
                <w:sz w:val="24"/>
                <w:szCs w:val="24"/>
                <w:u w:val="none" w:color="auto"/>
                <w:lang w:val="en-US" w:eastAsia="zh-CN"/>
              </w:rPr>
              <w:t>真空脱水、挤压脱水、地面清洗废水经收集后回用于打料制浆工序，不外排</w:t>
            </w:r>
            <w:r>
              <w:rPr>
                <w:rFonts w:hint="default" w:ascii="Times New Roman" w:hAnsi="Times New Roman" w:cs="Times New Roman"/>
                <w:color w:val="auto"/>
                <w:sz w:val="24"/>
                <w:szCs w:val="24"/>
                <w:u w:val="none" w:color="auto"/>
                <w:lang w:eastAsia="zh-CN"/>
              </w:rPr>
              <w:t>。</w:t>
            </w:r>
          </w:p>
          <w:p>
            <w:pPr>
              <w:spacing w:line="360" w:lineRule="auto"/>
              <w:ind w:firstLine="600" w:firstLineChars="25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综上所述，项目生活污水</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生产废水</w:t>
            </w:r>
            <w:r>
              <w:rPr>
                <w:rFonts w:hint="default" w:ascii="Times New Roman" w:hAnsi="Times New Roman" w:cs="Times New Roman"/>
                <w:color w:val="auto"/>
                <w:sz w:val="24"/>
                <w:szCs w:val="24"/>
                <w:u w:val="none" w:color="auto"/>
                <w:lang w:eastAsia="zh-CN"/>
              </w:rPr>
              <w:t>均能够得到妥善处理</w:t>
            </w:r>
            <w:r>
              <w:rPr>
                <w:rFonts w:hint="default" w:ascii="Times New Roman" w:hAnsi="Times New Roman" w:eastAsia="宋体" w:cs="Times New Roman"/>
                <w:bCs/>
                <w:color w:val="auto"/>
                <w:sz w:val="24"/>
                <w:szCs w:val="24"/>
                <w:u w:val="none" w:color="auto"/>
                <w:lang w:val="en-US" w:eastAsia="zh-CN"/>
              </w:rPr>
              <w:t>。</w:t>
            </w:r>
          </w:p>
          <w:p>
            <w:pPr>
              <w:spacing w:line="360" w:lineRule="auto"/>
              <w:ind w:firstLine="600" w:firstLineChars="250"/>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eastAsia="zh-CN"/>
              </w:rPr>
              <w:t>）废气污染及现有的环保措施</w:t>
            </w:r>
          </w:p>
          <w:p>
            <w:pPr>
              <w:spacing w:line="360" w:lineRule="auto"/>
              <w:ind w:firstLine="600" w:firstLineChars="250"/>
              <w:rPr>
                <w:rFonts w:hint="eastAsia"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项目生产过程中废气主要为</w:t>
            </w:r>
            <w:r>
              <w:rPr>
                <w:rFonts w:hint="eastAsia" w:cs="Times New Roman"/>
                <w:color w:val="auto"/>
                <w:sz w:val="24"/>
                <w:szCs w:val="24"/>
                <w:u w:val="none" w:color="auto"/>
                <w:lang w:val="en-US" w:eastAsia="zh-CN"/>
              </w:rPr>
              <w:t>喷漆烘干废气、水泥筒仓粉尘、石粉筒仓粉尘，项目现喷漆烘干废气为无组排放，水泥筒仓粉尘经仓顶自带的布袋除尘器处理后由呼吸阀排放，石粉筒仓粉尘经仓顶自带的布袋除尘器处理后由呼吸阀排放。</w:t>
            </w:r>
          </w:p>
          <w:p>
            <w:pPr>
              <w:spacing w:line="360" w:lineRule="auto"/>
              <w:ind w:firstLine="600" w:firstLineChars="250"/>
              <w:rPr>
                <w:rFonts w:hint="default"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val="en-US" w:eastAsia="zh-CN"/>
              </w:rPr>
              <w:t>综上所述，项目喷漆烘干废气需增加废气处理设施（集气罩+过滤棉+活性炭吸附设施）处理后在由新增的一根15m高的排气筒高空排放，水泥筒仓粉尘、石粉筒仓粉尘均能得到妥善处理</w:t>
            </w:r>
            <w:r>
              <w:rPr>
                <w:rFonts w:hint="default" w:ascii="Times New Roman" w:hAnsi="Times New Roman" w:cs="Times New Roman"/>
                <w:color w:val="auto"/>
                <w:sz w:val="24"/>
                <w:szCs w:val="24"/>
                <w:u w:val="none" w:color="auto"/>
                <w:lang w:eastAsia="zh-CN"/>
              </w:rPr>
              <w:t>。</w:t>
            </w:r>
          </w:p>
          <w:p>
            <w:pPr>
              <w:spacing w:line="360" w:lineRule="auto"/>
              <w:ind w:firstLine="600" w:firstLineChars="250"/>
              <w:rPr>
                <w:rFonts w:hint="default" w:ascii="Times New Roman" w:hAnsi="Times New Roman" w:cs="Times New Roman"/>
                <w:color w:val="auto"/>
                <w:sz w:val="24"/>
                <w:szCs w:val="24"/>
                <w:u w:val="none" w:color="auto"/>
                <w:lang w:val="en-US" w:eastAsia="zh-CN"/>
              </w:rPr>
            </w:pPr>
            <w:r>
              <w:rPr>
                <w:rFonts w:hint="eastAsia" w:cs="Times New Roman"/>
                <w:color w:val="auto"/>
                <w:sz w:val="24"/>
                <w:u w:val="none" w:color="auto"/>
                <w:lang w:val="en-US" w:eastAsia="zh-CN"/>
              </w:rPr>
              <w:t>由于本项目现已建设完成且进行了生产，</w:t>
            </w:r>
            <w:r>
              <w:rPr>
                <w:rFonts w:hint="eastAsia" w:ascii="Times New Roman" w:hAnsi="Times New Roman" w:cs="Times New Roman"/>
                <w:color w:val="auto"/>
                <w:sz w:val="24"/>
                <w:u w:val="none" w:color="auto"/>
                <w:lang w:eastAsia="zh-CN"/>
              </w:rPr>
              <w:t>为了了解项目在生产过程中，厂界粉尘</w:t>
            </w:r>
            <w:r>
              <w:rPr>
                <w:rFonts w:hint="eastAsia" w:cs="Times New Roman"/>
                <w:color w:val="auto"/>
                <w:sz w:val="24"/>
                <w:u w:val="none" w:color="auto"/>
                <w:lang w:eastAsia="zh-CN"/>
              </w:rPr>
              <w:t>、</w:t>
            </w:r>
            <w:r>
              <w:rPr>
                <w:rFonts w:hint="eastAsia" w:cs="Times New Roman"/>
                <w:color w:val="auto"/>
                <w:sz w:val="24"/>
                <w:u w:val="none" w:color="auto"/>
                <w:lang w:val="en-US" w:eastAsia="zh-CN"/>
              </w:rPr>
              <w:t>VOC</w:t>
            </w:r>
            <w:r>
              <w:rPr>
                <w:rFonts w:hint="eastAsia" w:cs="Times New Roman"/>
                <w:color w:val="auto"/>
                <w:sz w:val="24"/>
                <w:u w:val="none" w:color="auto"/>
                <w:vertAlign w:val="subscript"/>
                <w:lang w:val="en-US" w:eastAsia="zh-CN"/>
              </w:rPr>
              <w:t>S</w:t>
            </w:r>
            <w:r>
              <w:rPr>
                <w:rFonts w:hint="eastAsia" w:cs="Times New Roman"/>
                <w:color w:val="auto"/>
                <w:sz w:val="24"/>
                <w:u w:val="none" w:color="auto"/>
                <w:lang w:val="en-US" w:eastAsia="zh-CN"/>
              </w:rPr>
              <w:t>排放</w:t>
            </w:r>
            <w:r>
              <w:rPr>
                <w:rFonts w:hint="eastAsia" w:ascii="Times New Roman" w:hAnsi="Times New Roman" w:cs="Times New Roman"/>
                <w:color w:val="auto"/>
                <w:sz w:val="24"/>
                <w:u w:val="none" w:color="auto"/>
                <w:lang w:eastAsia="zh-CN"/>
              </w:rPr>
              <w:t>浓度</w:t>
            </w:r>
            <w:r>
              <w:rPr>
                <w:rFonts w:hint="eastAsia" w:cs="Times New Roman"/>
                <w:color w:val="auto"/>
                <w:sz w:val="24"/>
                <w:u w:val="none" w:color="auto"/>
                <w:lang w:val="en-US" w:eastAsia="zh-CN"/>
              </w:rPr>
              <w:t>情况</w:t>
            </w:r>
            <w:r>
              <w:rPr>
                <w:rFonts w:hint="eastAsia" w:ascii="Times New Roman" w:hAnsi="Times New Roman" w:cs="Times New Roman"/>
                <w:color w:val="auto"/>
                <w:sz w:val="24"/>
                <w:u w:val="none" w:color="auto"/>
                <w:lang w:eastAsia="zh-CN"/>
              </w:rPr>
              <w:t>，因此委托</w:t>
            </w:r>
            <w:r>
              <w:rPr>
                <w:rFonts w:hint="eastAsia" w:cs="Times New Roman"/>
                <w:color w:val="auto"/>
                <w:sz w:val="24"/>
                <w:u w:val="none" w:color="auto"/>
                <w:lang w:val="en-US" w:eastAsia="zh-CN"/>
              </w:rPr>
              <w:t>湖南中骏高新科技股份有限公司</w:t>
            </w:r>
            <w:r>
              <w:rPr>
                <w:rFonts w:hint="default" w:ascii="Times New Roman" w:hAnsi="Times New Roman" w:cs="Times New Roman"/>
                <w:color w:val="auto"/>
                <w:sz w:val="24"/>
                <w:u w:val="none" w:color="auto"/>
                <w:lang w:eastAsia="zh-CN"/>
              </w:rPr>
              <w:t>于</w:t>
            </w:r>
            <w:r>
              <w:rPr>
                <w:rFonts w:hint="default" w:ascii="Times New Roman" w:hAnsi="Times New Roman" w:cs="Times New Roman"/>
                <w:color w:val="auto"/>
                <w:sz w:val="24"/>
                <w:u w:val="none" w:color="auto"/>
                <w:lang w:val="en-US" w:eastAsia="zh-CN"/>
              </w:rPr>
              <w:t>20</w:t>
            </w:r>
            <w:r>
              <w:rPr>
                <w:rFonts w:hint="eastAsia" w:ascii="Times New Roman" w:hAnsi="Times New Roman" w:cs="Times New Roman"/>
                <w:color w:val="auto"/>
                <w:sz w:val="24"/>
                <w:u w:val="none" w:color="auto"/>
                <w:lang w:val="en-US" w:eastAsia="zh-CN"/>
              </w:rPr>
              <w:t>20</w:t>
            </w:r>
            <w:r>
              <w:rPr>
                <w:rFonts w:hint="default" w:ascii="Times New Roman" w:hAnsi="Times New Roman" w:cs="Times New Roman"/>
                <w:color w:val="auto"/>
                <w:sz w:val="24"/>
                <w:u w:val="none" w:color="auto"/>
                <w:lang w:val="en-US" w:eastAsia="zh-CN"/>
              </w:rPr>
              <w:t>年</w:t>
            </w:r>
            <w:r>
              <w:rPr>
                <w:rFonts w:hint="eastAsia" w:cs="Times New Roman"/>
                <w:color w:val="auto"/>
                <w:sz w:val="24"/>
                <w:u w:val="none" w:color="auto"/>
                <w:lang w:val="en-US" w:eastAsia="zh-CN"/>
              </w:rPr>
              <w:t>7</w:t>
            </w:r>
            <w:r>
              <w:rPr>
                <w:rFonts w:hint="default" w:ascii="Times New Roman" w:hAnsi="Times New Roman" w:cs="Times New Roman"/>
                <w:color w:val="auto"/>
                <w:sz w:val="24"/>
                <w:u w:val="none" w:color="auto"/>
                <w:lang w:val="en-US" w:eastAsia="zh-CN"/>
              </w:rPr>
              <w:t>月</w:t>
            </w:r>
            <w:r>
              <w:rPr>
                <w:rFonts w:hint="eastAsia" w:cs="Times New Roman"/>
                <w:color w:val="auto"/>
                <w:sz w:val="24"/>
                <w:u w:val="none" w:color="auto"/>
                <w:lang w:val="en-US" w:eastAsia="zh-CN"/>
              </w:rPr>
              <w:t>10-11</w:t>
            </w:r>
            <w:r>
              <w:rPr>
                <w:rFonts w:hint="default" w:ascii="Times New Roman" w:hAnsi="Times New Roman" w:cs="Times New Roman"/>
                <w:color w:val="auto"/>
                <w:sz w:val="24"/>
                <w:u w:val="none" w:color="auto"/>
                <w:lang w:val="en-US" w:eastAsia="zh-CN"/>
              </w:rPr>
              <w:t>日对其厂界上风向、下风向</w:t>
            </w:r>
            <w:r>
              <w:rPr>
                <w:rFonts w:hint="eastAsia" w:ascii="Times New Roman" w:hAnsi="Times New Roman" w:cs="Times New Roman"/>
                <w:color w:val="auto"/>
                <w:sz w:val="24"/>
                <w:u w:val="none" w:color="auto"/>
                <w:lang w:val="en-US" w:eastAsia="zh-CN"/>
              </w:rPr>
              <w:t>颗粒物</w:t>
            </w:r>
            <w:r>
              <w:rPr>
                <w:rFonts w:hint="eastAsia" w:cs="Times New Roman"/>
                <w:color w:val="auto"/>
                <w:sz w:val="24"/>
                <w:u w:val="none" w:color="auto"/>
                <w:lang w:val="en-US" w:eastAsia="zh-CN"/>
              </w:rPr>
              <w:t>、VOC</w:t>
            </w:r>
            <w:r>
              <w:rPr>
                <w:rFonts w:hint="eastAsia" w:cs="Times New Roman"/>
                <w:color w:val="auto"/>
                <w:sz w:val="24"/>
                <w:u w:val="none" w:color="auto"/>
                <w:vertAlign w:val="subscript"/>
                <w:lang w:val="en-US" w:eastAsia="zh-CN"/>
              </w:rPr>
              <w:t>S</w:t>
            </w:r>
            <w:r>
              <w:rPr>
                <w:rFonts w:hint="eastAsia" w:cs="Times New Roman"/>
                <w:color w:val="auto"/>
                <w:sz w:val="24"/>
                <w:u w:val="none" w:color="auto"/>
                <w:vertAlign w:val="baseline"/>
                <w:lang w:val="en-US" w:eastAsia="zh-CN"/>
              </w:rPr>
              <w:t>及东侧居民点TSP</w:t>
            </w:r>
            <w:r>
              <w:rPr>
                <w:rFonts w:hint="default" w:ascii="Times New Roman" w:hAnsi="Times New Roman" w:cs="Times New Roman"/>
                <w:color w:val="auto"/>
                <w:sz w:val="24"/>
                <w:u w:val="none" w:color="auto"/>
                <w:lang w:val="en-US" w:eastAsia="zh-CN"/>
              </w:rPr>
              <w:t>进行了监测，</w:t>
            </w:r>
            <w:r>
              <w:rPr>
                <w:rFonts w:hint="default" w:ascii="Times New Roman" w:hAnsi="Times New Roman" w:cs="Times New Roman"/>
                <w:color w:val="auto"/>
                <w:sz w:val="24"/>
                <w:szCs w:val="24"/>
                <w:u w:val="none" w:color="auto"/>
                <w:lang w:eastAsia="zh-CN"/>
              </w:rPr>
              <w:t>监测期间项目正常运行，其工况约为</w:t>
            </w:r>
            <w:r>
              <w:rPr>
                <w:rFonts w:hint="default" w:ascii="Times New Roman" w:hAnsi="Times New Roman" w:cs="Times New Roman"/>
                <w:color w:val="auto"/>
                <w:sz w:val="24"/>
                <w:szCs w:val="24"/>
                <w:u w:val="none" w:color="auto"/>
                <w:lang w:val="en-US" w:eastAsia="zh-CN"/>
              </w:rPr>
              <w:t>7</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lang w:eastAsia="zh-CN"/>
              </w:rPr>
              <w:t>，具体监测结果详见表</w:t>
            </w:r>
            <w:r>
              <w:rPr>
                <w:rFonts w:hint="default" w:ascii="Times New Roman" w:hAnsi="Times New Roman" w:cs="Times New Roman"/>
                <w:color w:val="auto"/>
                <w:sz w:val="24"/>
                <w:szCs w:val="24"/>
                <w:u w:val="none" w:color="auto"/>
                <w:lang w:val="en-US" w:eastAsia="zh-CN"/>
              </w:rPr>
              <w:t>1-</w:t>
            </w: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val="en-US" w:eastAsia="zh-CN"/>
              </w:rPr>
              <w:t>。</w:t>
            </w:r>
          </w:p>
          <w:p>
            <w:pPr>
              <w:bidi w:val="0"/>
              <w:spacing w:line="360" w:lineRule="auto"/>
              <w:jc w:val="center"/>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表1-</w:t>
            </w: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val="en-US" w:eastAsia="zh-CN"/>
              </w:rPr>
              <w:t xml:space="preserve"> 厂界无组</w:t>
            </w:r>
            <w:r>
              <w:rPr>
                <w:rFonts w:hint="eastAsia" w:ascii="Times New Roman" w:hAnsi="Times New Roman" w:cs="Times New Roman"/>
                <w:color w:val="auto"/>
                <w:sz w:val="24"/>
                <w:szCs w:val="24"/>
                <w:u w:val="none" w:color="auto"/>
                <w:lang w:val="en-US" w:eastAsia="zh-CN"/>
              </w:rPr>
              <w:t>织</w:t>
            </w:r>
            <w:r>
              <w:rPr>
                <w:rFonts w:hint="default" w:ascii="Times New Roman" w:hAnsi="Times New Roman" w:cs="Times New Roman"/>
                <w:color w:val="auto"/>
                <w:sz w:val="24"/>
                <w:szCs w:val="24"/>
                <w:u w:val="none" w:color="auto"/>
                <w:lang w:val="en-US" w:eastAsia="zh-CN"/>
              </w:rPr>
              <w:t>废气</w:t>
            </w:r>
            <w:r>
              <w:rPr>
                <w:rFonts w:hint="eastAsia" w:ascii="Times New Roman" w:hAnsi="Times New Roman" w:cs="Times New Roman"/>
                <w:color w:val="auto"/>
                <w:sz w:val="24"/>
                <w:szCs w:val="24"/>
                <w:u w:val="none" w:color="auto"/>
                <w:lang w:val="en-US" w:eastAsia="zh-CN"/>
              </w:rPr>
              <w:t>及环境空气</w:t>
            </w:r>
            <w:r>
              <w:rPr>
                <w:rFonts w:hint="default" w:ascii="Times New Roman" w:hAnsi="Times New Roman" w:cs="Times New Roman"/>
                <w:color w:val="auto"/>
                <w:sz w:val="24"/>
                <w:szCs w:val="24"/>
                <w:u w:val="none" w:color="auto"/>
                <w:lang w:val="en-US" w:eastAsia="zh-CN"/>
              </w:rPr>
              <w:t>检测结果一览表</w:t>
            </w:r>
          </w:p>
          <w:tbl>
            <w:tblPr>
              <w:tblStyle w:val="41"/>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203"/>
              <w:gridCol w:w="2436"/>
              <w:gridCol w:w="1085"/>
              <w:gridCol w:w="11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21"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监测点位</w:t>
                  </w:r>
                </w:p>
              </w:tc>
              <w:tc>
                <w:tcPr>
                  <w:tcW w:w="2547" w:type="pct"/>
                  <w:gridSpan w:val="2"/>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采样日期</w:t>
                  </w:r>
                </w:p>
              </w:tc>
              <w:tc>
                <w:tcPr>
                  <w:tcW w:w="1230" w:type="pct"/>
                  <w:gridSpan w:val="2"/>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检测结果mg/m</w:t>
                  </w:r>
                  <w:r>
                    <w:rPr>
                      <w:rFonts w:hint="default" w:ascii="Times New Roman" w:hAnsi="Times New Roman" w:cs="Times New Roman"/>
                      <w:color w:val="auto"/>
                      <w:sz w:val="22"/>
                      <w:szCs w:val="22"/>
                      <w:u w:val="none" w:color="auto"/>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2547" w:type="pct"/>
                  <w:gridSpan w:val="2"/>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颗粒物</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4"/>
                      <w:u w:val="none" w:color="auto"/>
                      <w:lang w:val="en-US" w:eastAsia="zh-CN"/>
                    </w:rPr>
                    <w:t>VOC</w:t>
                  </w:r>
                  <w:r>
                    <w:rPr>
                      <w:rFonts w:hint="eastAsia" w:cs="Times New Roman"/>
                      <w:color w:val="auto"/>
                      <w:sz w:val="24"/>
                      <w:u w:val="none" w:color="auto"/>
                      <w:vertAlign w:val="subscript"/>
                      <w:lang w:val="en-US" w:eastAsia="zh-CN"/>
                    </w:rPr>
                    <w:t>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1"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厂界上风向</w:t>
                  </w:r>
                </w:p>
              </w:tc>
              <w:tc>
                <w:tcPr>
                  <w:tcW w:w="1210"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0.090</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48"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0.080</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0.101</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0.080</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8"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0.090</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0.100</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21"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厂界下风向1#</w:t>
                  </w:r>
                </w:p>
              </w:tc>
              <w:tc>
                <w:tcPr>
                  <w:tcW w:w="1210"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0.123</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0.125</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0.126</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0.128</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0.124</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0.129</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221"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厂界下风向2#</w:t>
                  </w:r>
                </w:p>
              </w:tc>
              <w:tc>
                <w:tcPr>
                  <w:tcW w:w="1210"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0.126</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0.129</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0.124</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0.129</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0.125</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0.127</w:t>
                  </w:r>
                </w:p>
              </w:tc>
              <w:tc>
                <w:tcPr>
                  <w:tcW w:w="634"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769" w:type="pct"/>
                  <w:gridSpan w:val="3"/>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标准限值</w:t>
                  </w:r>
                </w:p>
              </w:tc>
              <w:tc>
                <w:tcPr>
                  <w:tcW w:w="596" w:type="pct"/>
                  <w:tcBorders>
                    <w:tl2br w:val="nil"/>
                    <w:tr2bl w:val="nil"/>
                  </w:tcBorders>
                  <w:noWrap w:val="0"/>
                  <w:vAlign w:val="center"/>
                </w:tcPr>
                <w:p>
                  <w:pPr>
                    <w:pStyle w:val="39"/>
                    <w:spacing w:line="360" w:lineRule="auto"/>
                    <w:ind w:left="0" w:leftChars="0" w:firstLine="0" w:firstLineChars="0"/>
                    <w:jc w:val="center"/>
                    <w:rPr>
                      <w:rFonts w:hint="eastAsia"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w:t>
                  </w:r>
                </w:p>
              </w:tc>
              <w:tc>
                <w:tcPr>
                  <w:tcW w:w="634" w:type="pct"/>
                  <w:tcBorders>
                    <w:tl2br w:val="nil"/>
                    <w:tr2bl w:val="nil"/>
                  </w:tcBorders>
                  <w:noWrap w:val="0"/>
                  <w:vAlign w:val="center"/>
                </w:tcPr>
                <w:p>
                  <w:pPr>
                    <w:pStyle w:val="39"/>
                    <w:spacing w:line="360" w:lineRule="auto"/>
                    <w:ind w:left="0" w:leftChars="0" w:firstLine="0" w:firstLineChars="0"/>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221"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东侧居民点</w:t>
                  </w:r>
                </w:p>
              </w:tc>
              <w:tc>
                <w:tcPr>
                  <w:tcW w:w="121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TSP（日均值）</w:t>
                  </w:r>
                </w:p>
              </w:tc>
              <w:tc>
                <w:tcPr>
                  <w:tcW w:w="1230" w:type="pct"/>
                  <w:gridSpan w:val="2"/>
                  <w:tcBorders>
                    <w:tl2br w:val="nil"/>
                    <w:tr2bl w:val="nil"/>
                  </w:tcBorders>
                  <w:noWrap w:val="0"/>
                  <w:vAlign w:val="center"/>
                </w:tcPr>
                <w:p>
                  <w:pPr>
                    <w:pStyle w:val="39"/>
                    <w:spacing w:line="360" w:lineRule="auto"/>
                    <w:ind w:left="0" w:leftChars="0" w:firstLine="0" w:firstLineChars="0"/>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21"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1337"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TSP（日均值）</w:t>
                  </w:r>
                </w:p>
              </w:tc>
              <w:tc>
                <w:tcPr>
                  <w:tcW w:w="1230" w:type="pct"/>
                  <w:gridSpan w:val="2"/>
                  <w:tcBorders>
                    <w:tl2br w:val="nil"/>
                    <w:tr2bl w:val="nil"/>
                  </w:tcBorders>
                  <w:noWrap w:val="0"/>
                  <w:vAlign w:val="center"/>
                </w:tcPr>
                <w:p>
                  <w:pPr>
                    <w:pStyle w:val="39"/>
                    <w:spacing w:line="360" w:lineRule="auto"/>
                    <w:ind w:left="0" w:leftChars="0" w:firstLine="0" w:firstLineChars="0"/>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0.128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69" w:type="pct"/>
                  <w:gridSpan w:val="3"/>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标准限值</w:t>
                  </w:r>
                </w:p>
              </w:tc>
              <w:tc>
                <w:tcPr>
                  <w:tcW w:w="1230" w:type="pct"/>
                  <w:gridSpan w:val="2"/>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w:t>
                  </w:r>
                </w:p>
              </w:tc>
            </w:tr>
          </w:tbl>
          <w:p>
            <w:pPr>
              <w:spacing w:line="360" w:lineRule="auto"/>
              <w:ind w:firstLine="600" w:firstLineChars="250"/>
              <w:rPr>
                <w:rFonts w:hint="default" w:ascii="Times New Roman" w:hAnsi="Times New Roman" w:cs="Times New Roman"/>
                <w:color w:val="auto"/>
                <w:sz w:val="24"/>
                <w:u w:val="none" w:color="auto"/>
                <w:lang w:eastAsia="zh-CN"/>
              </w:rPr>
            </w:pPr>
            <w:r>
              <w:rPr>
                <w:rFonts w:hint="eastAsia" w:cs="Times New Roman"/>
                <w:color w:val="auto"/>
                <w:sz w:val="24"/>
                <w:u w:val="none" w:color="auto"/>
                <w:lang w:eastAsia="zh-CN"/>
              </w:rPr>
              <w:t>由上表可知，厂界无组织排放点中挥发性有机物检测结果达到了（参照执行）《表面涂装（汽车制造及维修）挥发性有机物、镍排放标准》（</w:t>
            </w:r>
            <w:r>
              <w:rPr>
                <w:rFonts w:hint="eastAsia" w:cs="Times New Roman"/>
                <w:color w:val="auto"/>
                <w:sz w:val="24"/>
                <w:u w:val="none" w:color="auto"/>
                <w:lang w:val="en-US" w:eastAsia="zh-CN"/>
              </w:rPr>
              <w:t>DB43/1356-2017</w:t>
            </w:r>
            <w:r>
              <w:rPr>
                <w:rFonts w:hint="eastAsia" w:cs="Times New Roman"/>
                <w:color w:val="auto"/>
                <w:sz w:val="24"/>
                <w:u w:val="none" w:color="auto"/>
                <w:lang w:eastAsia="zh-CN"/>
              </w:rPr>
              <w:t>）中排放标准、颗粒物检测结果达到了《大气污染物综合排放标准》（</w:t>
            </w:r>
            <w:r>
              <w:rPr>
                <w:rFonts w:hint="eastAsia" w:cs="Times New Roman"/>
                <w:color w:val="auto"/>
                <w:sz w:val="24"/>
                <w:u w:val="none" w:color="auto"/>
                <w:lang w:val="en-US" w:eastAsia="zh-CN"/>
              </w:rPr>
              <w:t>GB16297-1996</w:t>
            </w:r>
            <w:r>
              <w:rPr>
                <w:rFonts w:hint="eastAsia" w:cs="Times New Roman"/>
                <w:color w:val="auto"/>
                <w:sz w:val="24"/>
                <w:u w:val="none" w:color="auto"/>
                <w:lang w:eastAsia="zh-CN"/>
              </w:rPr>
              <w:t>）中无组织排放标准限值要求；</w:t>
            </w:r>
            <w:r>
              <w:rPr>
                <w:rFonts w:hint="eastAsia" w:cs="Times New Roman"/>
                <w:color w:val="auto"/>
                <w:sz w:val="24"/>
                <w:u w:val="none" w:color="auto"/>
                <w:lang w:val="en-US" w:eastAsia="zh-CN"/>
              </w:rPr>
              <w:t>东侧居民点TSP检测结果达到了《环境空气质量标准》（GB3095-2012）二级标准要求</w:t>
            </w:r>
            <w:r>
              <w:rPr>
                <w:rFonts w:hint="default" w:ascii="Times New Roman" w:hAnsi="Times New Roman" w:cs="Times New Roman"/>
                <w:color w:val="auto"/>
                <w:sz w:val="24"/>
                <w:szCs w:val="24"/>
                <w:u w:val="none" w:color="auto"/>
                <w:lang w:eastAsia="zh-CN"/>
              </w:rPr>
              <w:t>。</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3</w:t>
            </w:r>
            <w:r>
              <w:rPr>
                <w:rFonts w:hint="default" w:ascii="Times New Roman" w:hAnsi="Times New Roman" w:cs="Times New Roman"/>
                <w:color w:val="auto"/>
                <w:sz w:val="24"/>
                <w:u w:val="none" w:color="auto"/>
                <w:lang w:eastAsia="zh-CN"/>
              </w:rPr>
              <w:t>）噪声污染及现有的环保措施</w:t>
            </w:r>
          </w:p>
          <w:p>
            <w:pPr>
              <w:spacing w:line="360" w:lineRule="auto"/>
              <w:ind w:firstLine="600" w:firstLineChars="25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lang w:eastAsia="zh-CN"/>
              </w:rPr>
              <w:t>项目噪声污染源主要来自车间设备的运行噪声</w:t>
            </w:r>
            <w:r>
              <w:rPr>
                <w:rFonts w:hint="eastAsia" w:cs="Times New Roman"/>
                <w:color w:val="auto"/>
                <w:sz w:val="24"/>
                <w:u w:val="none" w:color="auto"/>
                <w:lang w:eastAsia="zh-CN"/>
              </w:rPr>
              <w:t>，</w:t>
            </w:r>
            <w:r>
              <w:rPr>
                <w:rFonts w:hint="eastAsia" w:cs="Times New Roman"/>
                <w:color w:val="auto"/>
                <w:sz w:val="24"/>
                <w:u w:val="none" w:color="auto"/>
                <w:lang w:val="en-US" w:eastAsia="zh-CN"/>
              </w:rPr>
              <w:t>经隔音、减震、消声等处理措施处理后对周边影响较小</w:t>
            </w:r>
            <w:r>
              <w:rPr>
                <w:rFonts w:hint="default" w:ascii="Times New Roman" w:hAnsi="Times New Roman" w:cs="Times New Roman"/>
                <w:color w:val="auto"/>
                <w:sz w:val="24"/>
                <w:u w:val="none" w:color="auto"/>
                <w:lang w:eastAsia="zh-CN"/>
              </w:rPr>
              <w:t>。根据</w:t>
            </w:r>
            <w:r>
              <w:rPr>
                <w:rFonts w:hint="eastAsia" w:cs="Times New Roman"/>
                <w:color w:val="auto"/>
                <w:sz w:val="24"/>
                <w:u w:val="none" w:color="auto"/>
                <w:lang w:val="en-US" w:eastAsia="zh-CN"/>
              </w:rPr>
              <w:t>湖南中骏高新科技股份有限公司</w:t>
            </w:r>
            <w:r>
              <w:rPr>
                <w:rFonts w:hint="default" w:ascii="Times New Roman" w:hAnsi="Times New Roman" w:cs="Times New Roman"/>
                <w:color w:val="auto"/>
                <w:sz w:val="24"/>
                <w:u w:val="none" w:color="auto"/>
                <w:lang w:eastAsia="zh-CN"/>
              </w:rPr>
              <w:t>于</w:t>
            </w:r>
            <w:r>
              <w:rPr>
                <w:rFonts w:hint="default" w:ascii="Times New Roman" w:hAnsi="Times New Roman" w:cs="Times New Roman"/>
                <w:color w:val="auto"/>
                <w:sz w:val="24"/>
                <w:u w:val="none" w:color="auto"/>
                <w:lang w:val="en-US" w:eastAsia="zh-CN"/>
              </w:rPr>
              <w:t>20</w:t>
            </w:r>
            <w:r>
              <w:rPr>
                <w:rFonts w:hint="eastAsia" w:ascii="Times New Roman" w:hAnsi="Times New Roman" w:cs="Times New Roman"/>
                <w:color w:val="auto"/>
                <w:sz w:val="24"/>
                <w:u w:val="none" w:color="auto"/>
                <w:lang w:val="en-US" w:eastAsia="zh-CN"/>
              </w:rPr>
              <w:t>20</w:t>
            </w:r>
            <w:r>
              <w:rPr>
                <w:rFonts w:hint="default" w:ascii="Times New Roman" w:hAnsi="Times New Roman" w:cs="Times New Roman"/>
                <w:color w:val="auto"/>
                <w:sz w:val="24"/>
                <w:u w:val="none" w:color="auto"/>
                <w:lang w:val="en-US" w:eastAsia="zh-CN"/>
              </w:rPr>
              <w:t>年</w:t>
            </w:r>
            <w:r>
              <w:rPr>
                <w:rFonts w:hint="eastAsia" w:cs="Times New Roman"/>
                <w:color w:val="auto"/>
                <w:sz w:val="24"/>
                <w:u w:val="none" w:color="auto"/>
                <w:lang w:val="en-US" w:eastAsia="zh-CN"/>
              </w:rPr>
              <w:t>7</w:t>
            </w:r>
            <w:r>
              <w:rPr>
                <w:rFonts w:hint="default" w:ascii="Times New Roman" w:hAnsi="Times New Roman" w:cs="Times New Roman"/>
                <w:color w:val="auto"/>
                <w:sz w:val="24"/>
                <w:u w:val="none" w:color="auto"/>
                <w:lang w:val="en-US" w:eastAsia="zh-CN"/>
              </w:rPr>
              <w:t>月</w:t>
            </w:r>
            <w:r>
              <w:rPr>
                <w:rFonts w:hint="eastAsia" w:cs="Times New Roman"/>
                <w:color w:val="auto"/>
                <w:sz w:val="24"/>
                <w:u w:val="none" w:color="auto"/>
                <w:lang w:val="en-US" w:eastAsia="zh-CN"/>
              </w:rPr>
              <w:t>10-11</w:t>
            </w:r>
            <w:r>
              <w:rPr>
                <w:rFonts w:hint="default" w:ascii="Times New Roman" w:hAnsi="Times New Roman" w:cs="Times New Roman"/>
                <w:color w:val="auto"/>
                <w:sz w:val="24"/>
                <w:u w:val="none" w:color="auto"/>
                <w:lang w:val="en-US" w:eastAsia="zh-CN"/>
              </w:rPr>
              <w:t>日对其厂界四周进行了监测，监测期间项目正常运行，</w:t>
            </w:r>
            <w:r>
              <w:rPr>
                <w:rFonts w:hint="default" w:ascii="Times New Roman" w:hAnsi="Times New Roman" w:cs="Times New Roman"/>
                <w:color w:val="auto"/>
                <w:sz w:val="24"/>
                <w:szCs w:val="24"/>
                <w:u w:val="none" w:color="auto"/>
                <w:lang w:eastAsia="zh-CN"/>
              </w:rPr>
              <w:t>其工况约为</w:t>
            </w:r>
            <w:r>
              <w:rPr>
                <w:rFonts w:hint="default" w:ascii="Times New Roman" w:hAnsi="Times New Roman" w:cs="Times New Roman"/>
                <w:color w:val="auto"/>
                <w:sz w:val="24"/>
                <w:szCs w:val="24"/>
                <w:u w:val="none" w:color="auto"/>
                <w:lang w:val="en-US" w:eastAsia="zh-CN"/>
              </w:rPr>
              <w:t>7</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u w:val="none" w:color="auto"/>
                <w:lang w:val="en-US" w:eastAsia="zh-CN"/>
              </w:rPr>
              <w:t>。</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w:t>
            </w:r>
            <w:r>
              <w:rPr>
                <w:rFonts w:hint="default" w:ascii="Times New Roman" w:hAnsi="Times New Roman" w:cs="Times New Roman"/>
                <w:color w:val="auto"/>
                <w:sz w:val="24"/>
                <w:szCs w:val="24"/>
                <w:u w:val="none" w:color="auto"/>
                <w:lang w:val="en-US" w:eastAsia="zh-CN"/>
              </w:rPr>
              <w:t>1-</w:t>
            </w:r>
            <w:r>
              <w:rPr>
                <w:rFonts w:hint="eastAsia" w:ascii="Times New Roman" w:hAnsi="Times New Roman"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rPr>
              <w:t xml:space="preserve">  </w:t>
            </w:r>
            <w:r>
              <w:rPr>
                <w:rFonts w:hint="default" w:ascii="Times New Roman" w:hAnsi="Times New Roman" w:cs="Times New Roman"/>
                <w:color w:val="auto"/>
                <w:sz w:val="24"/>
                <w:szCs w:val="24"/>
                <w:u w:val="none" w:color="auto"/>
                <w:lang w:eastAsia="zh-CN"/>
              </w:rPr>
              <w:t>噪声监测结果一览表</w:t>
            </w:r>
            <w:r>
              <w:rPr>
                <w:rFonts w:hint="default" w:ascii="Times New Roman" w:hAnsi="Times New Roman" w:cs="Times New Roman"/>
                <w:color w:val="auto"/>
                <w:sz w:val="24"/>
                <w:szCs w:val="24"/>
                <w:u w:val="none" w:color="auto"/>
              </w:rPr>
              <w:t xml:space="preserve">    单位：dB(A)</w:t>
            </w:r>
          </w:p>
          <w:tbl>
            <w:tblPr>
              <w:tblStyle w:val="40"/>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56.6</w:t>
                  </w:r>
                </w:p>
              </w:tc>
              <w:tc>
                <w:tcPr>
                  <w:tcW w:w="97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47.6</w:t>
                  </w:r>
                </w:p>
              </w:tc>
              <w:tc>
                <w:tcPr>
                  <w:tcW w:w="9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57.0</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47.4</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48.5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46.5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47.9</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szCs w:val="24"/>
                <w:u w:val="none" w:color="auto"/>
                <w:lang w:eastAsia="zh-CN"/>
              </w:rPr>
              <w:t>监测结果表明，本项目厂界四周噪声满足</w:t>
            </w:r>
            <w:r>
              <w:rPr>
                <w:rFonts w:hint="default" w:ascii="Times New Roman" w:hAnsi="Times New Roman" w:cs="Times New Roman"/>
                <w:color w:val="auto"/>
                <w:sz w:val="24"/>
                <w:szCs w:val="24"/>
                <w:u w:val="none" w:color="auto"/>
              </w:rPr>
              <w:t>《工业企业厂界环境噪声排放标准》（GB12348-2008）</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类标准</w:t>
            </w:r>
            <w:r>
              <w:rPr>
                <w:rFonts w:hint="default" w:ascii="Times New Roman" w:hAnsi="Times New Roman" w:cs="Times New Roman"/>
                <w:color w:val="auto"/>
                <w:sz w:val="24"/>
                <w:u w:val="none" w:color="auto"/>
                <w:lang w:eastAsia="zh-CN"/>
              </w:rPr>
              <w:t>。</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lang w:eastAsia="zh-CN"/>
              </w:rPr>
              <w:t>）固体废物污染及现有的环保措施</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本项目运营期固体废物主要为</w:t>
            </w:r>
            <w:r>
              <w:rPr>
                <w:rFonts w:hint="eastAsia" w:cs="Times New Roman"/>
                <w:color w:val="auto"/>
                <w:sz w:val="24"/>
                <w:u w:val="none" w:color="auto"/>
                <w:lang w:val="en-US" w:eastAsia="zh-CN"/>
              </w:rPr>
              <w:t>生活垃圾、废边角料及不合格产品、水罐内沉渣、除尘器收集的粉尘、废活性炭、废过滤棉、废水性漆桶、废漆渣、废包装袋</w:t>
            </w:r>
            <w:r>
              <w:rPr>
                <w:rFonts w:hint="default" w:ascii="Times New Roman" w:hAnsi="Times New Roman" w:cs="Times New Roman"/>
                <w:color w:val="auto"/>
                <w:sz w:val="24"/>
                <w:u w:val="none" w:color="auto"/>
                <w:lang w:eastAsia="zh-CN"/>
              </w:rPr>
              <w:t>。</w:t>
            </w:r>
          </w:p>
          <w:p>
            <w:pPr>
              <w:spacing w:line="360" w:lineRule="auto"/>
              <w:ind w:firstLine="600" w:firstLineChars="250"/>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lang w:eastAsia="zh-CN"/>
              </w:rPr>
              <w:t>根据现场勘查，项目一般固废无集中收集点</w:t>
            </w:r>
            <w:r>
              <w:rPr>
                <w:rFonts w:hint="eastAsia" w:cs="Times New Roman"/>
                <w:color w:val="auto"/>
                <w:sz w:val="24"/>
                <w:u w:val="none" w:color="auto"/>
                <w:lang w:eastAsia="zh-CN"/>
              </w:rPr>
              <w:t>，</w:t>
            </w:r>
            <w:r>
              <w:rPr>
                <w:rFonts w:hint="default" w:ascii="Times New Roman" w:hAnsi="Times New Roman" w:cs="Times New Roman"/>
                <w:color w:val="auto"/>
                <w:sz w:val="24"/>
                <w:u w:val="none" w:color="auto"/>
                <w:lang w:eastAsia="zh-CN"/>
              </w:rPr>
              <w:t>但均按照相关要求进行处理</w:t>
            </w:r>
            <w:r>
              <w:rPr>
                <w:rFonts w:hint="eastAsia" w:cs="Times New Roman"/>
                <w:color w:val="auto"/>
                <w:sz w:val="24"/>
                <w:u w:val="none" w:color="auto"/>
                <w:lang w:eastAsia="zh-CN"/>
              </w:rPr>
              <w:t>；</w:t>
            </w:r>
            <w:r>
              <w:rPr>
                <w:rFonts w:hint="eastAsia" w:cs="Times New Roman"/>
                <w:color w:val="auto"/>
                <w:sz w:val="24"/>
                <w:u w:val="none" w:color="auto"/>
                <w:lang w:val="en-US" w:eastAsia="zh-CN"/>
              </w:rPr>
              <w:t>危险废物无危险废物储存间，且未签订危险废物处理合同</w:t>
            </w:r>
            <w:r>
              <w:rPr>
                <w:rFonts w:hint="default" w:ascii="Times New Roman" w:hAnsi="Times New Roman" w:cs="Times New Roman"/>
                <w:color w:val="auto"/>
                <w:sz w:val="24"/>
                <w:u w:val="none" w:color="auto"/>
                <w:lang w:eastAsia="zh-CN"/>
              </w:rPr>
              <w:t>。</w:t>
            </w:r>
          </w:p>
          <w:p>
            <w:pPr>
              <w:spacing w:line="360" w:lineRule="auto"/>
              <w:ind w:firstLine="600" w:firstLineChars="25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lang w:val="en-US" w:eastAsia="zh-CN"/>
              </w:rPr>
              <w:t>4、</w:t>
            </w:r>
            <w:r>
              <w:rPr>
                <w:rFonts w:hint="default" w:ascii="Times New Roman" w:hAnsi="Times New Roman" w:cs="Times New Roman"/>
                <w:color w:val="auto"/>
                <w:sz w:val="24"/>
                <w:u w:val="single" w:color="auto"/>
              </w:rPr>
              <w:t>存在的主要问题及整改措施</w:t>
            </w:r>
          </w:p>
          <w:p>
            <w:pPr>
              <w:spacing w:line="360" w:lineRule="auto"/>
              <w:ind w:firstLine="480" w:firstLineChars="200"/>
              <w:rPr>
                <w:rFonts w:hint="default" w:ascii="Times New Roman" w:hAnsi="Times New Roman" w:cs="Times New Roman"/>
                <w:color w:val="auto"/>
                <w:sz w:val="24"/>
                <w:u w:val="single" w:color="auto"/>
                <w:lang w:eastAsia="zh-CN"/>
              </w:rPr>
            </w:pPr>
            <w:r>
              <w:rPr>
                <w:rFonts w:hint="default" w:ascii="Times New Roman" w:hAnsi="Times New Roman" w:cs="Times New Roman"/>
                <w:color w:val="auto"/>
                <w:sz w:val="24"/>
                <w:u w:val="single" w:color="auto"/>
                <w:lang w:eastAsia="zh-CN"/>
              </w:rPr>
              <w:t>根据</w:t>
            </w:r>
            <w:r>
              <w:rPr>
                <w:rFonts w:hint="default" w:ascii="Times New Roman" w:hAnsi="Times New Roman" w:cs="Times New Roman"/>
                <w:color w:val="auto"/>
                <w:sz w:val="24"/>
                <w:u w:val="single" w:color="auto"/>
              </w:rPr>
              <w:t>现场踏察，</w:t>
            </w:r>
            <w:r>
              <w:rPr>
                <w:rFonts w:hint="default" w:ascii="Times New Roman" w:hAnsi="Times New Roman" w:cs="Times New Roman"/>
                <w:color w:val="auto"/>
                <w:sz w:val="24"/>
                <w:u w:val="single" w:color="auto"/>
                <w:lang w:eastAsia="zh-CN"/>
              </w:rPr>
              <w:t>项目存在的问题主要见表</w:t>
            </w:r>
            <w:r>
              <w:rPr>
                <w:rFonts w:hint="default" w:ascii="Times New Roman" w:hAnsi="Times New Roman" w:cs="Times New Roman"/>
                <w:color w:val="auto"/>
                <w:sz w:val="24"/>
                <w:u w:val="single" w:color="auto"/>
                <w:lang w:val="en-US" w:eastAsia="zh-CN"/>
              </w:rPr>
              <w:t>1-</w:t>
            </w:r>
            <w:r>
              <w:rPr>
                <w:rFonts w:hint="eastAsia" w:ascii="Times New Roman" w:hAnsi="Times New Roman" w:cs="Times New Roman"/>
                <w:color w:val="auto"/>
                <w:sz w:val="24"/>
                <w:u w:val="single" w:color="auto"/>
                <w:lang w:val="en-US" w:eastAsia="zh-CN"/>
              </w:rPr>
              <w:t>8</w:t>
            </w:r>
          </w:p>
          <w:p>
            <w:pPr>
              <w:spacing w:line="360" w:lineRule="auto"/>
              <w:ind w:firstLine="480" w:firstLineChars="200"/>
              <w:jc w:val="center"/>
              <w:rPr>
                <w:rFonts w:hint="default" w:ascii="Times New Roman" w:hAnsi="Times New Roman" w:eastAsia="宋体" w:cs="Times New Roman"/>
                <w:color w:val="auto"/>
                <w:sz w:val="24"/>
                <w:u w:val="single" w:color="auto"/>
                <w:lang w:val="en-US" w:eastAsia="zh-CN"/>
              </w:rPr>
            </w:pPr>
            <w:r>
              <w:rPr>
                <w:rFonts w:hint="default" w:ascii="Times New Roman" w:hAnsi="Times New Roman" w:cs="Times New Roman"/>
                <w:color w:val="auto"/>
                <w:sz w:val="24"/>
                <w:u w:val="single" w:color="auto"/>
                <w:lang w:eastAsia="zh-CN"/>
              </w:rPr>
              <w:t>表</w:t>
            </w:r>
            <w:r>
              <w:rPr>
                <w:rFonts w:hint="default" w:ascii="Times New Roman" w:hAnsi="Times New Roman" w:cs="Times New Roman"/>
                <w:color w:val="auto"/>
                <w:sz w:val="24"/>
                <w:u w:val="single" w:color="auto"/>
                <w:lang w:val="en-US" w:eastAsia="zh-CN"/>
              </w:rPr>
              <w:t>1-</w:t>
            </w:r>
            <w:r>
              <w:rPr>
                <w:rFonts w:hint="eastAsia" w:ascii="Times New Roman" w:hAnsi="Times New Roman" w:cs="Times New Roman"/>
                <w:color w:val="auto"/>
                <w:sz w:val="24"/>
                <w:u w:val="single" w:color="auto"/>
                <w:lang w:val="en-US" w:eastAsia="zh-CN"/>
              </w:rPr>
              <w:t>8</w:t>
            </w:r>
            <w:r>
              <w:rPr>
                <w:rFonts w:hint="default" w:ascii="Times New Roman" w:hAnsi="Times New Roman" w:cs="Times New Roman"/>
                <w:color w:val="auto"/>
                <w:sz w:val="24"/>
                <w:u w:val="single" w:color="auto"/>
                <w:lang w:val="en-US" w:eastAsia="zh-CN"/>
              </w:rPr>
              <w:t xml:space="preserve"> 项目存在的问题及解决措施</w:t>
            </w:r>
          </w:p>
          <w:tbl>
            <w:tblPr>
              <w:tblStyle w:val="41"/>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52"/>
              <w:gridCol w:w="4319"/>
              <w:gridCol w:w="28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43"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序号</w:t>
                  </w:r>
                </w:p>
              </w:tc>
              <w:tc>
                <w:tcPr>
                  <w:tcW w:w="63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类别</w:t>
                  </w:r>
                </w:p>
              </w:tc>
              <w:tc>
                <w:tcPr>
                  <w:tcW w:w="237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现有的措施</w:t>
                  </w:r>
                </w:p>
              </w:tc>
              <w:tc>
                <w:tcPr>
                  <w:tcW w:w="155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整改措施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43"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val="en-US" w:eastAsia="zh-CN"/>
                    </w:rPr>
                    <w:t>1</w:t>
                  </w:r>
                </w:p>
              </w:tc>
              <w:tc>
                <w:tcPr>
                  <w:tcW w:w="632"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废水</w:t>
                  </w:r>
                </w:p>
              </w:tc>
              <w:tc>
                <w:tcPr>
                  <w:tcW w:w="2372"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真空脱水、挤压脱水及地面清洗废水经收集后</w:t>
                  </w:r>
                  <w:r>
                    <w:rPr>
                      <w:rFonts w:hint="eastAsia"/>
                      <w:color w:val="auto"/>
                      <w:sz w:val="24"/>
                      <w:szCs w:val="24"/>
                      <w:u w:val="single" w:color="auto"/>
                      <w:lang w:val="en-US" w:eastAsia="zh-CN"/>
                    </w:rPr>
                    <w:t>回用于打料制浆工序</w:t>
                  </w:r>
                  <w:r>
                    <w:rPr>
                      <w:rFonts w:hint="eastAsia" w:cs="Times New Roman"/>
                      <w:color w:val="auto"/>
                      <w:sz w:val="24"/>
                      <w:szCs w:val="24"/>
                      <w:u w:val="single" w:color="auto"/>
                      <w:vertAlign w:val="baseline"/>
                      <w:lang w:val="en-US" w:eastAsia="zh-CN"/>
                    </w:rPr>
                    <w:t>，不外排</w:t>
                  </w:r>
                </w:p>
              </w:tc>
              <w:tc>
                <w:tcPr>
                  <w:tcW w:w="155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定期进行清理沉渣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443"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val="en-US" w:eastAsia="zh-CN"/>
                    </w:rPr>
                    <w:t>2</w:t>
                  </w:r>
                </w:p>
              </w:tc>
              <w:tc>
                <w:tcPr>
                  <w:tcW w:w="632"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237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生活污水经三级化粪池处理后回用于周边绿化、</w:t>
                  </w:r>
                  <w:r>
                    <w:rPr>
                      <w:rFonts w:hint="eastAsia" w:cs="Times New Roman"/>
                      <w:color w:val="auto"/>
                      <w:sz w:val="24"/>
                      <w:szCs w:val="24"/>
                      <w:u w:val="single" w:color="auto"/>
                      <w:vertAlign w:val="baseline"/>
                      <w:lang w:val="en-US" w:eastAsia="zh-CN"/>
                    </w:rPr>
                    <w:t>农田</w:t>
                  </w:r>
                  <w:r>
                    <w:rPr>
                      <w:rFonts w:hint="default" w:ascii="Times New Roman" w:hAnsi="Times New Roman" w:cs="Times New Roman"/>
                      <w:color w:val="auto"/>
                      <w:sz w:val="24"/>
                      <w:szCs w:val="24"/>
                      <w:u w:val="single" w:color="auto"/>
                      <w:vertAlign w:val="baseline"/>
                      <w:lang w:eastAsia="zh-CN"/>
                    </w:rPr>
                    <w:t>施肥，不外排</w:t>
                  </w:r>
                </w:p>
              </w:tc>
              <w:tc>
                <w:tcPr>
                  <w:tcW w:w="155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val="en-US" w:eastAsia="zh-CN"/>
                    </w:rPr>
                    <w:t xml:space="preserve"> </w:t>
                  </w:r>
                  <w:r>
                    <w:rPr>
                      <w:rFonts w:hint="default" w:ascii="Times New Roman" w:hAnsi="Times New Roman" w:cs="Times New Roman"/>
                      <w:color w:val="auto"/>
                      <w:sz w:val="24"/>
                      <w:szCs w:val="24"/>
                      <w:u w:val="single" w:color="auto"/>
                      <w:vertAlign w:val="baseli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43"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632"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237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项目现</w:t>
                  </w:r>
                  <w:r>
                    <w:rPr>
                      <w:rFonts w:hint="default" w:ascii="Times New Roman" w:hAnsi="Times New Roman" w:cs="Times New Roman"/>
                      <w:color w:val="auto"/>
                      <w:sz w:val="24"/>
                      <w:szCs w:val="24"/>
                      <w:u w:val="single" w:color="auto"/>
                      <w:vertAlign w:val="baseline"/>
                      <w:lang w:eastAsia="zh-CN"/>
                    </w:rPr>
                    <w:t>雨污分流</w:t>
                  </w:r>
                  <w:r>
                    <w:rPr>
                      <w:rFonts w:hint="eastAsia" w:cs="Times New Roman"/>
                      <w:color w:val="auto"/>
                      <w:sz w:val="24"/>
                      <w:szCs w:val="24"/>
                      <w:u w:val="single" w:color="auto"/>
                      <w:vertAlign w:val="baseline"/>
                      <w:lang w:val="en-US" w:eastAsia="zh-CN"/>
                    </w:rPr>
                    <w:t>不完善，无初期雨水池</w:t>
                  </w:r>
                </w:p>
              </w:tc>
              <w:tc>
                <w:tcPr>
                  <w:tcW w:w="155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进行雨污分流</w:t>
                  </w:r>
                  <w:r>
                    <w:rPr>
                      <w:rFonts w:hint="eastAsia" w:cs="Times New Roman"/>
                      <w:color w:val="auto"/>
                      <w:sz w:val="24"/>
                      <w:szCs w:val="24"/>
                      <w:u w:val="single" w:color="auto"/>
                      <w:vertAlign w:val="baseline"/>
                      <w:lang w:eastAsia="zh-CN"/>
                    </w:rPr>
                    <w:t>，</w:t>
                  </w:r>
                  <w:r>
                    <w:rPr>
                      <w:rFonts w:hint="eastAsia" w:cs="Times New Roman"/>
                      <w:color w:val="auto"/>
                      <w:sz w:val="24"/>
                      <w:szCs w:val="24"/>
                      <w:u w:val="single" w:color="auto"/>
                      <w:vertAlign w:val="baseline"/>
                      <w:lang w:val="en-US" w:eastAsia="zh-CN"/>
                    </w:rPr>
                    <w:t>增加初期雨水沉淀池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43"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val="en-US" w:eastAsia="zh-CN"/>
                    </w:rPr>
                    <w:t>3</w:t>
                  </w:r>
                </w:p>
              </w:tc>
              <w:tc>
                <w:tcPr>
                  <w:tcW w:w="632"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废气</w:t>
                  </w:r>
                </w:p>
              </w:tc>
              <w:tc>
                <w:tcPr>
                  <w:tcW w:w="2372"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cs="Times New Roman"/>
                      <w:bCs/>
                      <w:color w:val="auto"/>
                      <w:sz w:val="24"/>
                      <w:szCs w:val="24"/>
                      <w:u w:val="single" w:color="auto"/>
                      <w:lang w:val="en-US" w:eastAsia="zh-CN"/>
                    </w:rPr>
                    <w:t>水泥储罐粉尘经自带的脉冲式布袋除尘器</w:t>
                  </w:r>
                  <w:r>
                    <w:rPr>
                      <w:rFonts w:hint="eastAsia" w:cs="Times New Roman"/>
                      <w:bCs/>
                      <w:color w:val="auto"/>
                      <w:sz w:val="24"/>
                      <w:szCs w:val="24"/>
                      <w:u w:val="single" w:color="auto"/>
                      <w:lang w:eastAsia="zh-CN"/>
                    </w:rPr>
                    <w:t>处理后无组织排放</w:t>
                  </w:r>
                </w:p>
              </w:tc>
              <w:tc>
                <w:tcPr>
                  <w:tcW w:w="155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43"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632"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p>
              </w:tc>
              <w:tc>
                <w:tcPr>
                  <w:tcW w:w="2372" w:type="pct"/>
                  <w:tcBorders>
                    <w:tl2br w:val="nil"/>
                    <w:tr2bl w:val="nil"/>
                  </w:tcBorders>
                  <w:noWrap w:val="0"/>
                  <w:vAlign w:val="center"/>
                </w:tcPr>
                <w:p>
                  <w:pPr>
                    <w:adjustRightInd w:val="0"/>
                    <w:snapToGrid w:val="0"/>
                    <w:spacing w:line="360" w:lineRule="auto"/>
                    <w:jc w:val="center"/>
                    <w:rPr>
                      <w:rFonts w:hint="eastAsia" w:ascii="Times New Roman" w:hAnsi="Times New Roman" w:cs="Times New Roman"/>
                      <w:color w:val="auto"/>
                      <w:sz w:val="24"/>
                      <w:szCs w:val="24"/>
                      <w:u w:val="single" w:color="auto"/>
                      <w:lang w:eastAsia="zh-CN"/>
                    </w:rPr>
                  </w:pPr>
                  <w:r>
                    <w:rPr>
                      <w:rFonts w:hint="eastAsia" w:cs="Times New Roman"/>
                      <w:bCs/>
                      <w:color w:val="auto"/>
                      <w:sz w:val="24"/>
                      <w:szCs w:val="24"/>
                      <w:u w:val="single" w:color="auto"/>
                      <w:lang w:val="en-US" w:eastAsia="zh-CN"/>
                    </w:rPr>
                    <w:t>石粉罐粉尘经自带的脉冲式布袋除尘器处理后无组织排放</w:t>
                  </w:r>
                </w:p>
              </w:tc>
              <w:tc>
                <w:tcPr>
                  <w:tcW w:w="1550" w:type="pct"/>
                  <w:tcBorders>
                    <w:tl2br w:val="nil"/>
                    <w:tr2bl w:val="nil"/>
                  </w:tcBorders>
                  <w:noWrap w:val="0"/>
                  <w:vAlign w:val="center"/>
                </w:tcPr>
                <w:p>
                  <w:pPr>
                    <w:spacing w:line="360" w:lineRule="auto"/>
                    <w:jc w:val="center"/>
                    <w:rPr>
                      <w:rFonts w:hint="default" w:ascii="Times New Roman" w:hAnsi="Times New Roman" w:cs="Times New Roman"/>
                      <w:color w:val="auto"/>
                      <w:sz w:val="24"/>
                      <w:u w:val="single" w:color="auto"/>
                      <w:lang w:val="en-US" w:eastAsia="zh-CN"/>
                    </w:rPr>
                  </w:pPr>
                  <w:r>
                    <w:rPr>
                      <w:rFonts w:hint="eastAsia" w:cs="Times New Roman"/>
                      <w:color w:val="auto"/>
                      <w:sz w:val="24"/>
                      <w:szCs w:val="24"/>
                      <w:u w:val="single" w:color="auto"/>
                      <w:vertAlign w:val="baseline"/>
                      <w:lang w:val="en-US"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43"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632"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p>
              </w:tc>
              <w:tc>
                <w:tcPr>
                  <w:tcW w:w="2372"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val="en-US" w:eastAsia="zh-CN"/>
                    </w:rPr>
                    <w:t>喷漆、烘干</w:t>
                  </w:r>
                  <w:r>
                    <w:rPr>
                      <w:rFonts w:hint="eastAsia" w:cs="Times New Roman"/>
                      <w:color w:val="auto"/>
                      <w:sz w:val="24"/>
                      <w:szCs w:val="24"/>
                      <w:u w:val="single" w:color="auto"/>
                      <w:lang w:eastAsia="zh-CN"/>
                    </w:rPr>
                    <w:t>废气</w:t>
                  </w:r>
                  <w:r>
                    <w:rPr>
                      <w:rFonts w:hint="eastAsia" w:cs="Times New Roman"/>
                      <w:color w:val="auto"/>
                      <w:sz w:val="24"/>
                      <w:szCs w:val="24"/>
                      <w:u w:val="single" w:color="auto"/>
                      <w:lang w:val="en-US" w:eastAsia="zh-CN"/>
                    </w:rPr>
                    <w:t>现为</w:t>
                  </w:r>
                  <w:r>
                    <w:rPr>
                      <w:rFonts w:hint="eastAsia" w:ascii="Times New Roman" w:hAnsi="Times New Roman" w:cs="Times New Roman"/>
                      <w:color w:val="auto"/>
                      <w:sz w:val="24"/>
                      <w:szCs w:val="24"/>
                      <w:u w:val="single" w:color="auto"/>
                      <w:lang w:val="en-US" w:eastAsia="zh-CN"/>
                    </w:rPr>
                    <w:t>无组织排放</w:t>
                  </w:r>
                </w:p>
              </w:tc>
              <w:tc>
                <w:tcPr>
                  <w:tcW w:w="1550" w:type="pct"/>
                  <w:tcBorders>
                    <w:tl2br w:val="nil"/>
                    <w:tr2bl w:val="nil"/>
                  </w:tcBorders>
                  <w:noWrap w:val="0"/>
                  <w:vAlign w:val="center"/>
                </w:tcPr>
                <w:p>
                  <w:pPr>
                    <w:spacing w:line="360" w:lineRule="auto"/>
                    <w:jc w:val="center"/>
                    <w:rPr>
                      <w:rFonts w:hint="eastAsia" w:ascii="Times New Roman" w:hAnsi="Times New Roman" w:cs="Times New Roman"/>
                      <w:color w:val="auto"/>
                      <w:sz w:val="24"/>
                      <w:u w:val="single" w:color="auto"/>
                      <w:lang w:val="en-US" w:eastAsia="zh-CN"/>
                    </w:rPr>
                  </w:pPr>
                  <w:r>
                    <w:rPr>
                      <w:rFonts w:hint="eastAsia" w:cs="Times New Roman"/>
                      <w:color w:val="auto"/>
                      <w:sz w:val="24"/>
                      <w:szCs w:val="24"/>
                      <w:u w:val="single" w:color="auto"/>
                      <w:lang w:val="en-US" w:eastAsia="zh-CN"/>
                    </w:rPr>
                    <w:t>需增加集气罩收集+</w:t>
                  </w:r>
                  <w:r>
                    <w:rPr>
                      <w:rFonts w:hint="eastAsia" w:cs="Times New Roman"/>
                      <w:color w:val="auto"/>
                      <w:sz w:val="24"/>
                      <w:szCs w:val="24"/>
                      <w:u w:val="single" w:color="auto"/>
                      <w:lang w:eastAsia="zh-CN"/>
                    </w:rPr>
                    <w:t>过滤棉装置</w:t>
                  </w:r>
                  <w:r>
                    <w:rPr>
                      <w:rFonts w:hint="eastAsia" w:cs="Times New Roman"/>
                      <w:color w:val="auto"/>
                      <w:sz w:val="24"/>
                      <w:szCs w:val="24"/>
                      <w:u w:val="single" w:color="auto"/>
                      <w:lang w:val="en-US" w:eastAsia="zh-CN"/>
                    </w:rPr>
                    <w:t>+活性炭处理设施</w:t>
                  </w:r>
                  <w:r>
                    <w:rPr>
                      <w:rFonts w:hint="default" w:ascii="Times New Roman" w:hAnsi="Times New Roman" w:cs="Times New Roman"/>
                      <w:color w:val="auto"/>
                      <w:sz w:val="24"/>
                      <w:szCs w:val="24"/>
                      <w:u w:val="single" w:color="auto"/>
                      <w:lang w:eastAsia="zh-CN"/>
                    </w:rPr>
                    <w:t>处理后</w:t>
                  </w:r>
                  <w:r>
                    <w:rPr>
                      <w:rFonts w:hint="default" w:ascii="Times New Roman" w:hAnsi="Times New Roman" w:eastAsia="宋体" w:cs="Times New Roman"/>
                      <w:color w:val="auto"/>
                      <w:sz w:val="24"/>
                      <w:szCs w:val="24"/>
                      <w:u w:val="single" w:color="auto"/>
                    </w:rPr>
                    <w:t>通过15m</w:t>
                  </w:r>
                  <w:r>
                    <w:rPr>
                      <w:rFonts w:hint="eastAsia" w:ascii="Times New Roman" w:hAnsi="Times New Roman" w:eastAsia="宋体" w:cs="Times New Roman"/>
                      <w:color w:val="auto"/>
                      <w:sz w:val="24"/>
                      <w:szCs w:val="24"/>
                      <w:u w:val="single" w:color="auto"/>
                      <w:lang w:val="en-US" w:eastAsia="zh-CN"/>
                    </w:rPr>
                    <w:t>高</w:t>
                  </w:r>
                  <w:r>
                    <w:rPr>
                      <w:rFonts w:hint="default" w:ascii="Times New Roman" w:hAnsi="Times New Roman" w:eastAsia="宋体" w:cs="Times New Roman"/>
                      <w:color w:val="auto"/>
                      <w:sz w:val="24"/>
                      <w:szCs w:val="24"/>
                      <w:u w:val="single" w:color="auto"/>
                    </w:rPr>
                    <w:t>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43"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val="en-US" w:eastAsia="zh-CN"/>
                    </w:rPr>
                    <w:t>4</w:t>
                  </w:r>
                </w:p>
              </w:tc>
              <w:tc>
                <w:tcPr>
                  <w:tcW w:w="63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噪声</w:t>
                  </w:r>
                </w:p>
              </w:tc>
              <w:tc>
                <w:tcPr>
                  <w:tcW w:w="237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经减震垫、隔声门窗、绿化</w:t>
                  </w:r>
                </w:p>
              </w:tc>
              <w:tc>
                <w:tcPr>
                  <w:tcW w:w="155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43"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val="en-US" w:eastAsia="zh-CN"/>
                    </w:rPr>
                    <w:t>5</w:t>
                  </w:r>
                </w:p>
              </w:tc>
              <w:tc>
                <w:tcPr>
                  <w:tcW w:w="63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固废</w:t>
                  </w:r>
                </w:p>
              </w:tc>
              <w:tc>
                <w:tcPr>
                  <w:tcW w:w="237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eastAsia="zh-CN"/>
                    </w:rPr>
                    <w:t>生活垃圾收集于垃圾桶中再交由环卫部门进行处理，一般固废无集中式收集点，</w:t>
                  </w:r>
                  <w:r>
                    <w:rPr>
                      <w:rFonts w:hint="eastAsia" w:cs="Times New Roman"/>
                      <w:color w:val="auto"/>
                      <w:sz w:val="24"/>
                      <w:szCs w:val="24"/>
                      <w:u w:val="single" w:color="auto"/>
                      <w:vertAlign w:val="baseline"/>
                      <w:lang w:val="en-US" w:eastAsia="zh-CN"/>
                    </w:rPr>
                    <w:t>但均按照相关要求进行了处理，无危险废物储存间及危险废物处理合同</w:t>
                  </w:r>
                </w:p>
              </w:tc>
              <w:tc>
                <w:tcPr>
                  <w:tcW w:w="155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eastAsia="zh-CN"/>
                    </w:rPr>
                    <w:t>一般工业固废增加</w:t>
                  </w:r>
                  <w:r>
                    <w:rPr>
                      <w:rFonts w:hint="eastAsia" w:ascii="Times New Roman" w:hAnsi="Times New Roman" w:cs="Times New Roman"/>
                      <w:color w:val="auto"/>
                      <w:sz w:val="24"/>
                      <w:szCs w:val="24"/>
                      <w:u w:val="single" w:color="auto"/>
                      <w:vertAlign w:val="baseline"/>
                      <w:lang w:eastAsia="zh-CN"/>
                    </w:rPr>
                    <w:t>固废储存间</w:t>
                  </w:r>
                  <w:r>
                    <w:rPr>
                      <w:rFonts w:hint="eastAsia" w:cs="Times New Roman"/>
                      <w:color w:val="auto"/>
                      <w:sz w:val="24"/>
                      <w:szCs w:val="24"/>
                      <w:u w:val="single" w:color="auto"/>
                      <w:vertAlign w:val="baseline"/>
                      <w:lang w:eastAsia="zh-CN"/>
                    </w:rPr>
                    <w:t>，</w:t>
                  </w:r>
                  <w:r>
                    <w:rPr>
                      <w:rFonts w:hint="eastAsia" w:cs="Times New Roman"/>
                      <w:color w:val="auto"/>
                      <w:sz w:val="24"/>
                      <w:szCs w:val="24"/>
                      <w:u w:val="single" w:color="auto"/>
                      <w:vertAlign w:val="baseline"/>
                      <w:lang w:val="en-US" w:eastAsia="zh-CN"/>
                    </w:rPr>
                    <w:t>增加危险废物储存间及危险废物处理合同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43"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val="en-US" w:eastAsia="zh-CN"/>
                    </w:rPr>
                    <w:t>6</w:t>
                  </w:r>
                </w:p>
              </w:tc>
              <w:tc>
                <w:tcPr>
                  <w:tcW w:w="632"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其他</w:t>
                  </w:r>
                </w:p>
              </w:tc>
              <w:tc>
                <w:tcPr>
                  <w:tcW w:w="237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厂区卫生较差、废边角料、原辅材料乱堆乱放</w:t>
                  </w:r>
                  <w:r>
                    <w:rPr>
                      <w:rFonts w:hint="eastAsia" w:ascii="Times New Roman" w:hAnsi="Times New Roman" w:cs="Times New Roman"/>
                      <w:color w:val="auto"/>
                      <w:sz w:val="24"/>
                      <w:szCs w:val="24"/>
                      <w:u w:val="single" w:color="auto"/>
                      <w:vertAlign w:val="baseline"/>
                      <w:lang w:val="en-US" w:eastAsia="zh-CN"/>
                    </w:rPr>
                    <w:t xml:space="preserve"> </w:t>
                  </w:r>
                </w:p>
              </w:tc>
              <w:tc>
                <w:tcPr>
                  <w:tcW w:w="155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eastAsia="zh-CN"/>
                    </w:rPr>
                    <w:t>需设置专门的存放区域（防风、防雨、放流失等措施），</w:t>
                  </w:r>
                  <w:r>
                    <w:rPr>
                      <w:rFonts w:hint="eastAsia" w:ascii="Times New Roman" w:hAnsi="Times New Roman" w:cs="Times New Roman"/>
                      <w:color w:val="auto"/>
                      <w:sz w:val="24"/>
                      <w:szCs w:val="24"/>
                      <w:u w:val="single" w:color="auto"/>
                      <w:vertAlign w:val="baseline"/>
                      <w:lang w:val="en-US" w:eastAsia="zh-CN"/>
                    </w:rPr>
                    <w:t>定期打扫厂内卫生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43"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val="en-US" w:eastAsia="zh-CN"/>
                    </w:rPr>
                    <w:t>7</w:t>
                  </w:r>
                </w:p>
              </w:tc>
              <w:tc>
                <w:tcPr>
                  <w:tcW w:w="632" w:type="pct"/>
                  <w:vMerge w:val="continue"/>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p>
              </w:tc>
              <w:tc>
                <w:tcPr>
                  <w:tcW w:w="2372" w:type="pct"/>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厂区无环保标识标牌</w:t>
                  </w:r>
                </w:p>
              </w:tc>
              <w:tc>
                <w:tcPr>
                  <w:tcW w:w="1550" w:type="pct"/>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增加标识标牌</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u w:val="none" w:color="auto"/>
                <w:lang w:val="en-US" w:eastAsia="zh-CN"/>
              </w:rPr>
            </w:pPr>
          </w:p>
        </w:tc>
      </w:tr>
    </w:tbl>
    <w:p>
      <w:pPr>
        <w:snapToGrid w:val="0"/>
        <w:spacing w:before="120"/>
        <w:outlineLvl w:val="0"/>
        <w:rPr>
          <w:rFonts w:eastAsia="黑体"/>
          <w:color w:val="auto"/>
          <w:sz w:val="32"/>
          <w:u w:val="none" w:color="auto"/>
        </w:rPr>
        <w:sectPr>
          <w:headerReference r:id="rId6" w:type="default"/>
          <w:footerReference r:id="rId7" w:type="default"/>
          <w:pgSz w:w="11906" w:h="16838"/>
          <w:pgMar w:top="1418" w:right="1134" w:bottom="1418" w:left="1474" w:header="851" w:footer="992" w:gutter="0"/>
          <w:pgBorders>
            <w:top w:val="none" w:sz="0" w:space="0"/>
            <w:left w:val="none" w:sz="0" w:space="0"/>
            <w:bottom w:val="none" w:sz="0" w:space="0"/>
            <w:right w:val="none" w:sz="0" w:space="0"/>
          </w:pgBorders>
          <w:pgNumType w:start="1"/>
          <w:cols w:space="720" w:num="1"/>
          <w:docGrid w:linePitch="312" w:charSpace="55034"/>
        </w:sectPr>
      </w:pPr>
    </w:p>
    <w:p>
      <w:pPr>
        <w:snapToGrid w:val="0"/>
        <w:outlineLvl w:val="0"/>
        <w:rPr>
          <w:rFonts w:eastAsia="黑体"/>
          <w:color w:val="auto"/>
          <w:kern w:val="24"/>
          <w:sz w:val="32"/>
          <w:u w:val="none" w:color="auto"/>
        </w:rPr>
      </w:pPr>
      <w:bookmarkStart w:id="3" w:name="_Toc20228"/>
      <w:r>
        <w:rPr>
          <w:rFonts w:hint="eastAsia" w:eastAsia="黑体"/>
          <w:color w:val="auto"/>
          <w:sz w:val="32"/>
          <w:u w:val="none" w:color="auto"/>
        </w:rPr>
        <w:t>二、</w:t>
      </w:r>
      <w:r>
        <w:rPr>
          <w:rFonts w:eastAsia="黑体"/>
          <w:color w:val="auto"/>
          <w:sz w:val="32"/>
          <w:u w:val="none" w:color="auto"/>
        </w:rPr>
        <w:t>建设项目所在地自然环境社会环境简况</w:t>
      </w:r>
      <w:bookmarkEnd w:id="3"/>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85" w:type="dxa"/>
            <w:bottom w:w="0" w:type="dxa"/>
            <w:right w:w="85" w:type="dxa"/>
          </w:tblCellMar>
        </w:tblPrEx>
        <w:trPr>
          <w:trHeight w:val="13005" w:hRule="atLeast"/>
          <w:jc w:val="center"/>
        </w:trPr>
        <w:tc>
          <w:tcPr>
            <w:tcW w:w="9268" w:type="dxa"/>
          </w:tcPr>
          <w:p>
            <w:pPr>
              <w:adjustRightInd w:val="0"/>
              <w:snapToGrid w:val="0"/>
              <w:spacing w:line="360" w:lineRule="auto"/>
              <w:rPr>
                <w:b/>
                <w:bCs/>
                <w:color w:val="auto"/>
                <w:sz w:val="24"/>
                <w:szCs w:val="24"/>
                <w:u w:val="none" w:color="auto"/>
              </w:rPr>
            </w:pPr>
            <w:r>
              <w:rPr>
                <w:rFonts w:hint="eastAsia"/>
                <w:b/>
                <w:bCs/>
                <w:color w:val="auto"/>
                <w:sz w:val="24"/>
                <w:szCs w:val="24"/>
                <w:u w:val="none" w:color="auto"/>
              </w:rPr>
              <w:t>一、</w:t>
            </w:r>
            <w:r>
              <w:rPr>
                <w:b/>
                <w:bCs/>
                <w:color w:val="auto"/>
                <w:sz w:val="24"/>
                <w:szCs w:val="24"/>
                <w:u w:val="none" w:color="auto"/>
              </w:rPr>
              <w:t>自然环境简况（地形、地貌、地质、气候、气象、水文、植被、生物多样性等）：</w:t>
            </w:r>
          </w:p>
          <w:p>
            <w:pPr>
              <w:adjustRightInd w:val="0"/>
              <w:snapToGrid w:val="0"/>
              <w:spacing w:line="360" w:lineRule="auto"/>
              <w:ind w:firstLine="466" w:firstLineChars="200"/>
              <w:rPr>
                <w:b/>
                <w:bCs/>
                <w:color w:val="auto"/>
                <w:sz w:val="24"/>
                <w:szCs w:val="24"/>
                <w:u w:val="none" w:color="auto"/>
              </w:rPr>
            </w:pPr>
            <w:r>
              <w:rPr>
                <w:b/>
                <w:bCs/>
                <w:color w:val="auto"/>
                <w:sz w:val="24"/>
                <w:szCs w:val="24"/>
                <w:u w:val="none" w:color="auto"/>
              </w:rPr>
              <w:t>1、地理位置与交通</w:t>
            </w:r>
          </w:p>
          <w:p>
            <w:pPr>
              <w:spacing w:line="360" w:lineRule="auto"/>
              <w:ind w:firstLine="480"/>
              <w:rPr>
                <w:bCs/>
                <w:color w:val="auto"/>
                <w:sz w:val="24"/>
                <w:u w:val="none" w:color="auto"/>
              </w:rPr>
            </w:pPr>
            <w:r>
              <w:rPr>
                <w:bCs/>
                <w:color w:val="auto"/>
                <w:sz w:val="24"/>
                <w:u w:val="none" w:color="auto"/>
              </w:rPr>
              <w:t>湘阴县位于湖南省东北部、居湘、资两水尾间，濒南洞庭湖。东邻汨罗市、西接湘阴县，南界望城县，北抵沅江市、屈原行政区，介于东经112°30′~113°02′，北纬28°30′~29°03′之间。南北长61公里，东西宽51.3公里，面积1581.5平方公里，距湘阴县区仅50公里，岳阳市区110公里，经长湘公路至长沙仅45公里，交通十分便利。</w:t>
            </w:r>
          </w:p>
          <w:p>
            <w:pPr>
              <w:snapToGrid w:val="0"/>
              <w:spacing w:line="360" w:lineRule="auto"/>
              <w:ind w:firstLine="457" w:firstLineChars="196"/>
              <w:rPr>
                <w:bCs/>
                <w:color w:val="auto"/>
                <w:sz w:val="24"/>
                <w:u w:val="none" w:color="auto"/>
              </w:rPr>
            </w:pPr>
            <w:r>
              <w:rPr>
                <w:bCs/>
                <w:color w:val="auto"/>
                <w:sz w:val="24"/>
                <w:u w:val="none" w:color="auto"/>
              </w:rPr>
              <w:t>本项目位于</w:t>
            </w:r>
            <w:r>
              <w:rPr>
                <w:rFonts w:hint="eastAsia"/>
                <w:bCs/>
                <w:color w:val="auto"/>
                <w:sz w:val="24"/>
                <w:u w:val="none" w:color="auto"/>
                <w:lang w:eastAsia="zh-CN"/>
              </w:rPr>
              <w:t>湖南省岳阳市湘阴县白泥湖园艺场</w:t>
            </w:r>
            <w:r>
              <w:rPr>
                <w:bCs/>
                <w:color w:val="auto"/>
                <w:sz w:val="24"/>
                <w:u w:val="none" w:color="auto"/>
              </w:rPr>
              <w:t>，其具体位置见附图1所示。</w:t>
            </w:r>
          </w:p>
          <w:p>
            <w:pPr>
              <w:adjustRightInd w:val="0"/>
              <w:snapToGrid w:val="0"/>
              <w:spacing w:line="360" w:lineRule="auto"/>
              <w:ind w:firstLine="466" w:firstLineChars="200"/>
              <w:rPr>
                <w:b/>
                <w:bCs/>
                <w:color w:val="auto"/>
                <w:sz w:val="24"/>
                <w:szCs w:val="24"/>
                <w:u w:val="none" w:color="auto"/>
              </w:rPr>
            </w:pPr>
            <w:r>
              <w:rPr>
                <w:b/>
                <w:bCs/>
                <w:color w:val="auto"/>
                <w:sz w:val="24"/>
                <w:szCs w:val="24"/>
                <w:u w:val="none" w:color="auto"/>
              </w:rPr>
              <w:t>2、地形、地貌、地质</w:t>
            </w:r>
          </w:p>
          <w:p>
            <w:pPr>
              <w:spacing w:line="360" w:lineRule="auto"/>
              <w:ind w:firstLine="480"/>
              <w:rPr>
                <w:bCs/>
                <w:color w:val="auto"/>
                <w:sz w:val="24"/>
                <w:u w:val="none" w:color="auto"/>
              </w:rPr>
            </w:pPr>
            <w:r>
              <w:rPr>
                <w:rFonts w:hint="eastAsia"/>
                <w:bCs/>
                <w:color w:val="auto"/>
                <w:sz w:val="24"/>
                <w:u w:val="none" w:color="auto"/>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w:t>
            </w:r>
            <w:r>
              <w:rPr>
                <w:bCs/>
                <w:color w:val="auto"/>
                <w:sz w:val="24"/>
                <w:u w:val="none" w:color="auto"/>
              </w:rPr>
              <w:t>702.11</w:t>
            </w:r>
            <w:r>
              <w:rPr>
                <w:rFonts w:hint="eastAsia"/>
                <w:bCs/>
                <w:color w:val="auto"/>
                <w:sz w:val="24"/>
                <w:u w:val="none" w:color="auto"/>
              </w:rPr>
              <w:t>平方公里，占全县总面积的</w:t>
            </w:r>
            <w:r>
              <w:rPr>
                <w:bCs/>
                <w:color w:val="auto"/>
                <w:sz w:val="24"/>
                <w:u w:val="none" w:color="auto"/>
              </w:rPr>
              <w:t>44.4%</w:t>
            </w:r>
            <w:r>
              <w:rPr>
                <w:rFonts w:hint="eastAsia"/>
                <w:bCs/>
                <w:color w:val="auto"/>
                <w:sz w:val="24"/>
                <w:u w:val="none" w:color="auto"/>
              </w:rPr>
              <w:t>；岗地占</w:t>
            </w:r>
            <w:r>
              <w:rPr>
                <w:bCs/>
                <w:color w:val="auto"/>
                <w:sz w:val="24"/>
                <w:u w:val="none" w:color="auto"/>
              </w:rPr>
              <w:t>13.59%</w:t>
            </w:r>
            <w:r>
              <w:rPr>
                <w:rFonts w:hint="eastAsia"/>
                <w:bCs/>
                <w:color w:val="auto"/>
                <w:sz w:val="24"/>
                <w:u w:val="none" w:color="auto"/>
              </w:rPr>
              <w:t>；低山占</w:t>
            </w:r>
            <w:r>
              <w:rPr>
                <w:bCs/>
                <w:color w:val="auto"/>
                <w:sz w:val="24"/>
                <w:u w:val="none" w:color="auto"/>
              </w:rPr>
              <w:t>1.51%</w:t>
            </w:r>
            <w:r>
              <w:rPr>
                <w:rFonts w:hint="eastAsia"/>
                <w:bCs/>
                <w:color w:val="auto"/>
                <w:sz w:val="24"/>
                <w:u w:val="none" w:color="auto"/>
              </w:rPr>
              <w:t>。其三、河湖交会，水域广阔。湘江自南而北贯穿全景，自然分成东西两部，江东为东乡，为低山岗丘地，岗丘婉蜒，地形起伏；江西为西乡，属滨湖平原地，河渠纵横，湖沼塘堰星罗棋布。全县国土总面积</w:t>
            </w:r>
            <w:r>
              <w:rPr>
                <w:bCs/>
                <w:color w:val="auto"/>
                <w:sz w:val="24"/>
                <w:u w:val="none" w:color="auto"/>
              </w:rPr>
              <w:t>1581.5</w:t>
            </w:r>
            <w:r>
              <w:rPr>
                <w:rFonts w:hint="eastAsia"/>
                <w:bCs/>
                <w:color w:val="auto"/>
                <w:sz w:val="24"/>
                <w:u w:val="none" w:color="auto"/>
              </w:rPr>
              <w:t>平方公里，湖区、山丘区、湖洲分别为</w:t>
            </w:r>
            <w:r>
              <w:rPr>
                <w:bCs/>
                <w:color w:val="auto"/>
                <w:sz w:val="24"/>
                <w:u w:val="none" w:color="auto"/>
              </w:rPr>
              <w:t>675.0</w:t>
            </w:r>
            <w:r>
              <w:rPr>
                <w:rFonts w:hint="eastAsia"/>
                <w:bCs/>
                <w:color w:val="auto"/>
                <w:sz w:val="24"/>
                <w:u w:val="none" w:color="auto"/>
              </w:rPr>
              <w:t>平方公里、</w:t>
            </w:r>
            <w:r>
              <w:rPr>
                <w:bCs/>
                <w:color w:val="auto"/>
                <w:sz w:val="24"/>
                <w:u w:val="none" w:color="auto"/>
              </w:rPr>
              <w:t>484.6</w:t>
            </w:r>
            <w:r>
              <w:rPr>
                <w:rFonts w:hint="eastAsia"/>
                <w:bCs/>
                <w:color w:val="auto"/>
                <w:sz w:val="24"/>
                <w:u w:val="none" w:color="auto"/>
              </w:rPr>
              <w:t>平方公里、</w:t>
            </w:r>
            <w:r>
              <w:rPr>
                <w:bCs/>
                <w:color w:val="auto"/>
                <w:sz w:val="24"/>
                <w:u w:val="none" w:color="auto"/>
              </w:rPr>
              <w:t>421.9</w:t>
            </w:r>
            <w:r>
              <w:rPr>
                <w:rFonts w:hint="eastAsia"/>
                <w:bCs/>
                <w:color w:val="auto"/>
                <w:sz w:val="24"/>
                <w:u w:val="none" w:color="auto"/>
              </w:rPr>
              <w:t>平方公里。水域面积</w:t>
            </w:r>
            <w:r>
              <w:rPr>
                <w:bCs/>
                <w:color w:val="auto"/>
                <w:sz w:val="24"/>
                <w:u w:val="none" w:color="auto"/>
              </w:rPr>
              <w:t>98.56</w:t>
            </w:r>
            <w:r>
              <w:rPr>
                <w:rFonts w:hint="eastAsia"/>
                <w:bCs/>
                <w:color w:val="auto"/>
                <w:sz w:val="24"/>
                <w:u w:val="none" w:color="auto"/>
              </w:rPr>
              <w:t>万亩，占全县总面积的</w:t>
            </w:r>
            <w:r>
              <w:rPr>
                <w:bCs/>
                <w:color w:val="auto"/>
                <w:sz w:val="24"/>
                <w:u w:val="none" w:color="auto"/>
              </w:rPr>
              <w:t>41.56%</w:t>
            </w:r>
            <w:r>
              <w:rPr>
                <w:rFonts w:hint="eastAsia"/>
                <w:bCs/>
                <w:color w:val="auto"/>
                <w:sz w:val="24"/>
                <w:u w:val="none" w:color="auto"/>
              </w:rPr>
              <w:t>。各类地貌中的水面面积占总面积的百分比分别为：滨湖平原为</w:t>
            </w:r>
            <w:r>
              <w:rPr>
                <w:bCs/>
                <w:color w:val="auto"/>
                <w:sz w:val="24"/>
                <w:u w:val="none" w:color="auto"/>
              </w:rPr>
              <w:t>89.06</w:t>
            </w:r>
            <w:r>
              <w:rPr>
                <w:rFonts w:hint="eastAsia"/>
                <w:bCs/>
                <w:color w:val="auto"/>
                <w:sz w:val="24"/>
                <w:u w:val="none" w:color="auto"/>
              </w:rPr>
              <w:t>万亩，占</w:t>
            </w:r>
            <w:r>
              <w:rPr>
                <w:bCs/>
                <w:color w:val="auto"/>
                <w:sz w:val="24"/>
                <w:u w:val="none" w:color="auto"/>
              </w:rPr>
              <w:t>53.99%</w:t>
            </w:r>
            <w:r>
              <w:rPr>
                <w:rFonts w:hint="eastAsia"/>
                <w:bCs/>
                <w:color w:val="auto"/>
                <w:sz w:val="24"/>
                <w:u w:val="none" w:color="auto"/>
              </w:rPr>
              <w:t>；江河平原为</w:t>
            </w:r>
            <w:r>
              <w:rPr>
                <w:bCs/>
                <w:color w:val="auto"/>
                <w:sz w:val="24"/>
                <w:u w:val="none" w:color="auto"/>
              </w:rPr>
              <w:t>2.37</w:t>
            </w:r>
            <w:r>
              <w:rPr>
                <w:rFonts w:hint="eastAsia"/>
                <w:bCs/>
                <w:color w:val="auto"/>
                <w:sz w:val="24"/>
                <w:u w:val="none" w:color="auto"/>
              </w:rPr>
              <w:t>万亩，占</w:t>
            </w:r>
            <w:r>
              <w:rPr>
                <w:bCs/>
                <w:color w:val="auto"/>
                <w:sz w:val="24"/>
                <w:u w:val="none" w:color="auto"/>
              </w:rPr>
              <w:t>21.68%</w:t>
            </w:r>
            <w:r>
              <w:rPr>
                <w:rFonts w:hint="eastAsia"/>
                <w:bCs/>
                <w:color w:val="auto"/>
                <w:sz w:val="24"/>
                <w:u w:val="none" w:color="auto"/>
              </w:rPr>
              <w:t>；溪谷平原为</w:t>
            </w:r>
            <w:r>
              <w:rPr>
                <w:bCs/>
                <w:color w:val="auto"/>
                <w:sz w:val="24"/>
                <w:u w:val="none" w:color="auto"/>
              </w:rPr>
              <w:t>3.82</w:t>
            </w:r>
            <w:r>
              <w:rPr>
                <w:rFonts w:hint="eastAsia"/>
                <w:bCs/>
                <w:color w:val="auto"/>
                <w:sz w:val="24"/>
                <w:u w:val="none" w:color="auto"/>
              </w:rPr>
              <w:t>万亩，占</w:t>
            </w:r>
            <w:r>
              <w:rPr>
                <w:bCs/>
                <w:color w:val="auto"/>
                <w:sz w:val="24"/>
                <w:u w:val="none" w:color="auto"/>
              </w:rPr>
              <w:t>15.54%</w:t>
            </w:r>
            <w:r>
              <w:rPr>
                <w:rFonts w:hint="eastAsia"/>
                <w:bCs/>
                <w:color w:val="auto"/>
                <w:sz w:val="24"/>
                <w:u w:val="none" w:color="auto"/>
              </w:rPr>
              <w:t>；岗地为</w:t>
            </w:r>
            <w:r>
              <w:rPr>
                <w:bCs/>
                <w:color w:val="auto"/>
                <w:sz w:val="24"/>
                <w:u w:val="none" w:color="auto"/>
              </w:rPr>
              <w:t>2.95</w:t>
            </w:r>
            <w:r>
              <w:rPr>
                <w:rFonts w:hint="eastAsia"/>
                <w:bCs/>
                <w:color w:val="auto"/>
                <w:sz w:val="24"/>
                <w:u w:val="none" w:color="auto"/>
              </w:rPr>
              <w:t>万亩，占</w:t>
            </w:r>
            <w:r>
              <w:rPr>
                <w:bCs/>
                <w:color w:val="auto"/>
                <w:sz w:val="24"/>
                <w:u w:val="none" w:color="auto"/>
              </w:rPr>
              <w:t>8.92%</w:t>
            </w:r>
            <w:r>
              <w:rPr>
                <w:rFonts w:hint="eastAsia"/>
                <w:bCs/>
                <w:color w:val="auto"/>
                <w:sz w:val="24"/>
                <w:u w:val="none" w:color="auto"/>
              </w:rPr>
              <w:t>，低山为</w:t>
            </w:r>
            <w:r>
              <w:rPr>
                <w:bCs/>
                <w:color w:val="auto"/>
                <w:sz w:val="24"/>
                <w:u w:val="none" w:color="auto"/>
              </w:rPr>
              <w:t>3600</w:t>
            </w:r>
            <w:r>
              <w:rPr>
                <w:rFonts w:hint="eastAsia"/>
                <w:bCs/>
                <w:color w:val="auto"/>
                <w:sz w:val="24"/>
                <w:u w:val="none" w:color="auto"/>
              </w:rPr>
              <w:t>亩，占</w:t>
            </w:r>
            <w:r>
              <w:rPr>
                <w:bCs/>
                <w:color w:val="auto"/>
                <w:sz w:val="24"/>
                <w:u w:val="none" w:color="auto"/>
              </w:rPr>
              <w:t>10.08%</w:t>
            </w:r>
            <w:r>
              <w:rPr>
                <w:rFonts w:hint="eastAsia"/>
                <w:bCs/>
                <w:color w:val="auto"/>
                <w:sz w:val="24"/>
                <w:u w:val="none" w:color="auto"/>
              </w:rPr>
              <w:t>。</w:t>
            </w:r>
          </w:p>
          <w:p>
            <w:pPr>
              <w:spacing w:line="360" w:lineRule="auto"/>
              <w:ind w:firstLine="480"/>
              <w:rPr>
                <w:bCs/>
                <w:color w:val="auto"/>
                <w:sz w:val="24"/>
                <w:u w:val="none" w:color="auto"/>
              </w:rPr>
            </w:pPr>
            <w:r>
              <w:rPr>
                <w:rFonts w:hint="eastAsia"/>
                <w:bCs/>
                <w:color w:val="auto"/>
                <w:sz w:val="24"/>
                <w:u w:val="none" w:color="auto"/>
              </w:rPr>
              <w:t>根据《建筑抗震设计规范》</w:t>
            </w:r>
            <w:r>
              <w:rPr>
                <w:bCs/>
                <w:color w:val="auto"/>
                <w:sz w:val="24"/>
                <w:u w:val="none" w:color="auto"/>
              </w:rPr>
              <w:t>GB50011—2001</w:t>
            </w:r>
            <w:r>
              <w:rPr>
                <w:rFonts w:hint="eastAsia"/>
                <w:bCs/>
                <w:color w:val="auto"/>
                <w:sz w:val="24"/>
                <w:u w:val="none" w:color="auto"/>
              </w:rPr>
              <w:t>附录</w:t>
            </w:r>
            <w:r>
              <w:rPr>
                <w:bCs/>
                <w:color w:val="auto"/>
                <w:sz w:val="24"/>
                <w:u w:val="none" w:color="auto"/>
              </w:rPr>
              <w:t>A</w:t>
            </w:r>
            <w:r>
              <w:rPr>
                <w:rFonts w:hint="eastAsia"/>
                <w:bCs/>
                <w:color w:val="auto"/>
                <w:sz w:val="24"/>
                <w:u w:val="none" w:color="auto"/>
              </w:rPr>
              <w:t>及相关规定，湘阴为</w:t>
            </w:r>
            <w:r>
              <w:rPr>
                <w:bCs/>
                <w:color w:val="auto"/>
                <w:sz w:val="24"/>
                <w:u w:val="none" w:color="auto"/>
              </w:rPr>
              <w:t>Ⅶ</w:t>
            </w:r>
            <w:r>
              <w:rPr>
                <w:rFonts w:hint="eastAsia"/>
                <w:bCs/>
                <w:color w:val="auto"/>
                <w:sz w:val="24"/>
                <w:u w:val="none" w:color="auto"/>
              </w:rPr>
              <w:t>度烈度区。</w:t>
            </w:r>
          </w:p>
          <w:p>
            <w:pPr>
              <w:adjustRightInd w:val="0"/>
              <w:snapToGrid w:val="0"/>
              <w:spacing w:line="360" w:lineRule="auto"/>
              <w:ind w:firstLine="466" w:firstLineChars="200"/>
              <w:rPr>
                <w:b/>
                <w:bCs/>
                <w:color w:val="auto"/>
                <w:sz w:val="24"/>
                <w:szCs w:val="24"/>
                <w:u w:val="none" w:color="auto"/>
              </w:rPr>
            </w:pPr>
            <w:r>
              <w:rPr>
                <w:b/>
                <w:bCs/>
                <w:color w:val="auto"/>
                <w:sz w:val="24"/>
                <w:szCs w:val="24"/>
                <w:u w:val="none" w:color="auto"/>
              </w:rPr>
              <w:t>3、气候气象</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湘阴县地处中亚热带向北亚热带过渡的季风气候区，县域内地貌类型简单，东西两部分气候差异不显著，气候温和，雨量充沛，光照充足，四季分明。主要灾害性天气有暴雨、干旱、大风、雷雹、低温、冰冻。县气象站记载，1959～1985年的27年间，共发生此类天气141次，年均5.2次。各种灾害性天气发生次数及占此类天气总数的百分比为：暴雨25次，占17.85%；干旱23次，占16.42%，低温31次，占22.17%；大风26次，占18.57%；雷雹13次，占9.28%，冰冻23次，占15.71%。</w:t>
            </w:r>
          </w:p>
          <w:p>
            <w:pPr>
              <w:spacing w:line="360" w:lineRule="auto"/>
              <w:ind w:firstLine="480"/>
              <w:rPr>
                <w:color w:val="auto"/>
                <w:sz w:val="24"/>
                <w:u w:val="none" w:color="auto"/>
              </w:rPr>
            </w:pPr>
            <w:r>
              <w:rPr>
                <w:bCs/>
                <w:color w:val="auto"/>
                <w:sz w:val="24"/>
                <w:u w:val="none" w:color="auto"/>
              </w:rPr>
              <w:t>湘阴县区域</w:t>
            </w:r>
            <w:r>
              <w:rPr>
                <w:color w:val="auto"/>
                <w:sz w:val="24"/>
                <w:u w:val="none" w:color="auto"/>
              </w:rPr>
              <w:t>主要气象数据；</w:t>
            </w:r>
          </w:p>
          <w:p>
            <w:pPr>
              <w:autoSpaceDE w:val="0"/>
              <w:spacing w:line="360" w:lineRule="auto"/>
              <w:ind w:firstLine="480"/>
              <w:rPr>
                <w:color w:val="auto"/>
                <w:sz w:val="24"/>
                <w:u w:val="none" w:color="auto"/>
              </w:rPr>
            </w:pPr>
            <w:r>
              <w:rPr>
                <w:color w:val="auto"/>
                <w:sz w:val="24"/>
                <w:u w:val="none" w:color="auto"/>
              </w:rPr>
              <w:t>年平均气温                     16.9℃</w:t>
            </w:r>
          </w:p>
          <w:p>
            <w:pPr>
              <w:tabs>
                <w:tab w:val="center" w:pos="4849"/>
              </w:tabs>
              <w:autoSpaceDE w:val="0"/>
              <w:spacing w:line="360" w:lineRule="auto"/>
              <w:ind w:firstLine="480"/>
              <w:rPr>
                <w:color w:val="auto"/>
                <w:sz w:val="24"/>
                <w:u w:val="none" w:color="auto"/>
              </w:rPr>
            </w:pPr>
            <w:r>
              <w:rPr>
                <w:color w:val="auto"/>
                <w:sz w:val="24"/>
                <w:u w:val="none" w:color="auto"/>
              </w:rPr>
              <w:t>最热月平均气温                 29.0℃</w:t>
            </w:r>
          </w:p>
          <w:p>
            <w:pPr>
              <w:tabs>
                <w:tab w:val="center" w:pos="4849"/>
              </w:tabs>
              <w:autoSpaceDE w:val="0"/>
              <w:spacing w:line="360" w:lineRule="auto"/>
              <w:ind w:firstLine="480"/>
              <w:rPr>
                <w:color w:val="auto"/>
                <w:sz w:val="24"/>
                <w:u w:val="none" w:color="auto"/>
              </w:rPr>
            </w:pPr>
            <w:r>
              <w:rPr>
                <w:color w:val="auto"/>
                <w:sz w:val="24"/>
                <w:u w:val="none" w:color="auto"/>
              </w:rPr>
              <w:t>最冷月平均气温                 4.4℃</w:t>
            </w:r>
          </w:p>
          <w:p>
            <w:pPr>
              <w:tabs>
                <w:tab w:val="center" w:pos="4849"/>
              </w:tabs>
              <w:autoSpaceDE w:val="0"/>
              <w:spacing w:line="360" w:lineRule="auto"/>
              <w:ind w:firstLine="480"/>
              <w:rPr>
                <w:color w:val="auto"/>
                <w:sz w:val="24"/>
                <w:u w:val="none" w:color="auto"/>
              </w:rPr>
            </w:pPr>
            <w:r>
              <w:rPr>
                <w:color w:val="auto"/>
                <w:sz w:val="24"/>
                <w:u w:val="none" w:color="auto"/>
              </w:rPr>
              <w:t>极端最高气温                   38.4℃</w:t>
            </w:r>
          </w:p>
          <w:p>
            <w:pPr>
              <w:tabs>
                <w:tab w:val="center" w:pos="4849"/>
              </w:tabs>
              <w:autoSpaceDE w:val="0"/>
              <w:spacing w:line="360" w:lineRule="auto"/>
              <w:ind w:firstLine="480"/>
              <w:rPr>
                <w:color w:val="auto"/>
                <w:sz w:val="24"/>
                <w:u w:val="none" w:color="auto"/>
              </w:rPr>
            </w:pPr>
            <w:r>
              <w:rPr>
                <w:color w:val="auto"/>
                <w:sz w:val="24"/>
                <w:u w:val="none" w:color="auto"/>
              </w:rPr>
              <w:t>极端最低气温                   -12.0℃</w:t>
            </w:r>
          </w:p>
          <w:p>
            <w:pPr>
              <w:tabs>
                <w:tab w:val="center" w:pos="4849"/>
              </w:tabs>
              <w:autoSpaceDE w:val="0"/>
              <w:spacing w:line="360" w:lineRule="auto"/>
              <w:ind w:firstLine="480"/>
              <w:rPr>
                <w:color w:val="auto"/>
                <w:sz w:val="24"/>
                <w:u w:val="none" w:color="auto"/>
              </w:rPr>
            </w:pPr>
            <w:r>
              <w:rPr>
                <w:color w:val="auto"/>
                <w:sz w:val="24"/>
                <w:u w:val="none" w:color="auto"/>
              </w:rPr>
              <w:t>年总降水量                     1410.8mm</w:t>
            </w:r>
          </w:p>
          <w:p>
            <w:pPr>
              <w:tabs>
                <w:tab w:val="center" w:pos="4849"/>
              </w:tabs>
              <w:autoSpaceDE w:val="0"/>
              <w:spacing w:line="360" w:lineRule="auto"/>
              <w:ind w:firstLine="480"/>
              <w:rPr>
                <w:color w:val="auto"/>
                <w:sz w:val="24"/>
                <w:u w:val="none" w:color="auto"/>
              </w:rPr>
            </w:pPr>
            <w:r>
              <w:rPr>
                <w:color w:val="auto"/>
                <w:sz w:val="24"/>
                <w:u w:val="none" w:color="auto"/>
              </w:rPr>
              <w:t>年总日照                       1610.5h</w:t>
            </w:r>
          </w:p>
          <w:p>
            <w:pPr>
              <w:spacing w:line="360" w:lineRule="auto"/>
              <w:ind w:firstLine="480"/>
              <w:rPr>
                <w:color w:val="auto"/>
                <w:sz w:val="24"/>
                <w:u w:val="none" w:color="auto"/>
              </w:rPr>
            </w:pPr>
            <w:r>
              <w:rPr>
                <w:color w:val="auto"/>
                <w:sz w:val="24"/>
                <w:u w:val="none" w:color="auto"/>
              </w:rPr>
              <w:t>年总辐射量                     1410.4千卡/平方厘米</w:t>
            </w:r>
          </w:p>
          <w:p>
            <w:pPr>
              <w:spacing w:line="360" w:lineRule="auto"/>
              <w:ind w:firstLine="480"/>
              <w:rPr>
                <w:bCs/>
                <w:color w:val="auto"/>
                <w:sz w:val="24"/>
                <w:u w:val="none" w:color="auto"/>
              </w:rPr>
            </w:pPr>
            <w:r>
              <w:rPr>
                <w:bCs/>
                <w:color w:val="auto"/>
                <w:sz w:val="24"/>
                <w:u w:val="none" w:color="auto"/>
              </w:rPr>
              <w:t>年主导风向                     西北风</w:t>
            </w:r>
          </w:p>
          <w:p>
            <w:pPr>
              <w:spacing w:line="360" w:lineRule="auto"/>
              <w:ind w:firstLine="480"/>
              <w:rPr>
                <w:bCs/>
                <w:color w:val="auto"/>
                <w:sz w:val="24"/>
                <w:u w:val="none" w:color="auto"/>
              </w:rPr>
            </w:pPr>
            <w:r>
              <w:rPr>
                <w:color w:val="auto"/>
                <w:sz w:val="24"/>
                <w:u w:val="none" w:color="auto"/>
              </w:rPr>
              <w:t>年平均风速                     2.5m/s</w:t>
            </w:r>
          </w:p>
          <w:p>
            <w:pPr>
              <w:tabs>
                <w:tab w:val="center" w:pos="4849"/>
              </w:tabs>
              <w:autoSpaceDE w:val="0"/>
              <w:spacing w:line="360" w:lineRule="auto"/>
              <w:ind w:firstLine="480"/>
              <w:rPr>
                <w:color w:val="auto"/>
                <w:sz w:val="24"/>
                <w:u w:val="none" w:color="auto"/>
              </w:rPr>
            </w:pPr>
            <w:r>
              <w:rPr>
                <w:color w:val="auto"/>
                <w:sz w:val="24"/>
                <w:u w:val="none" w:color="auto"/>
              </w:rPr>
              <w:t>年相对湿度                     81%</w:t>
            </w:r>
          </w:p>
          <w:p>
            <w:pPr>
              <w:spacing w:line="360" w:lineRule="auto"/>
              <w:ind w:firstLine="480"/>
              <w:rPr>
                <w:bCs/>
                <w:color w:val="auto"/>
                <w:sz w:val="24"/>
                <w:u w:val="none" w:color="auto"/>
              </w:rPr>
            </w:pPr>
            <w:r>
              <w:rPr>
                <w:bCs/>
                <w:color w:val="auto"/>
                <w:sz w:val="24"/>
                <w:u w:val="none" w:color="auto"/>
              </w:rPr>
              <w:t>年平均降雨量                   1383毫米</w:t>
            </w:r>
          </w:p>
          <w:p>
            <w:pPr>
              <w:spacing w:line="360" w:lineRule="auto"/>
              <w:ind w:firstLine="480"/>
              <w:rPr>
                <w:bCs/>
                <w:color w:val="auto"/>
                <w:sz w:val="24"/>
                <w:u w:val="none" w:color="auto"/>
              </w:rPr>
            </w:pPr>
            <w:r>
              <w:rPr>
                <w:color w:val="auto"/>
                <w:sz w:val="24"/>
                <w:u w:val="none" w:color="auto"/>
              </w:rPr>
              <w:t>年总蒸发量                     1329.4mm</w:t>
            </w:r>
          </w:p>
          <w:p>
            <w:pPr>
              <w:spacing w:line="360" w:lineRule="auto"/>
              <w:ind w:firstLine="480"/>
              <w:rPr>
                <w:color w:val="auto"/>
                <w:sz w:val="24"/>
                <w:u w:val="none" w:color="auto"/>
              </w:rPr>
            </w:pPr>
            <w:r>
              <w:rPr>
                <w:color w:val="auto"/>
                <w:sz w:val="24"/>
                <w:u w:val="none" w:color="auto"/>
              </w:rPr>
              <w:t>全年无霜期                     274天</w:t>
            </w:r>
          </w:p>
          <w:p>
            <w:pPr>
              <w:adjustRightInd w:val="0"/>
              <w:snapToGrid w:val="0"/>
              <w:spacing w:line="360" w:lineRule="auto"/>
              <w:ind w:firstLine="466" w:firstLineChars="200"/>
              <w:rPr>
                <w:b/>
                <w:bCs/>
                <w:color w:val="auto"/>
                <w:sz w:val="24"/>
                <w:szCs w:val="24"/>
                <w:u w:val="none" w:color="auto"/>
              </w:rPr>
            </w:pPr>
            <w:r>
              <w:rPr>
                <w:b/>
                <w:bCs/>
                <w:color w:val="auto"/>
                <w:sz w:val="24"/>
                <w:szCs w:val="24"/>
                <w:u w:val="none" w:color="auto"/>
              </w:rPr>
              <w:t>4、水文</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湘阴县位于湘江尾闾，洞庭湖滨。湘阴地区江湖甚多，水域面积占总面积的42%左右，河流主要有湘江、资江和白水江等，其直流纵横，河网密布，湖泊星罗棋布。湘资两水在湘阴县内流经长度达250余公里，内江流经长度70余公里，计有外湖81个，内湖78个，塘堰3372个，水坝2249座，主要外湖有横岭湖、团林湖、淳湖和荷叶湖等，主要内湖有鹤龙湖、洋沙湖、范家坝、白洋湖和南湖垸哑河等。水域面积98.56万多亩，占全县总面积的41.56%以上，为养殖、捕捞、灌溉、航运、工业用水提供了十分充裕的水源。</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湘阴县区域地表水发达，主要水系有洋沙湖、白水江、资江、湘江。湘江是我省的最大河流，其发源于湖南省永州市蓝山县紫良瑶族乡蓝山国家森林公园的野狗岭，流经湖南省永州市、衡阳市、株洲市、湘潭市、长沙市，至岳阳市的湘阴县注入长江水系的洞庭湖，于城陵矶入长江，全长856km。湘江江面宽500～1500m，一般水深6～15m，河床多砂砾石且坡度平缓，河水流速慢。其流量分平、洪、丰、枯四个水期，有明显的季节变化，洪水期多出现在5～7月，枯水期多出现在12～翌年2月。湘江是湘阴县的一条景观河流和主要供水水源，保护好湘江水环境质量，是保证湘阴县可持续发展战略的重要因素之一。</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项目所在区域湘江主要水文参数如下：</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年平均水位                    27.31m</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平均最高水位                  36.65m</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平均最低水位                  23.25m</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历史最高洪峰水位              37.37m</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平均径流深                    7.76m</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年平均流量                    2131m</w:t>
            </w:r>
            <w:r>
              <w:rPr>
                <w:rFonts w:hint="eastAsia" w:hAnsi="宋体"/>
                <w:bCs/>
                <w:color w:val="auto"/>
                <w:sz w:val="24"/>
                <w:u w:val="none" w:color="auto"/>
                <w:vertAlign w:val="superscript"/>
              </w:rPr>
              <w:t>3</w:t>
            </w:r>
            <w:r>
              <w:rPr>
                <w:rFonts w:hint="eastAsia" w:hAnsi="宋体"/>
                <w:bCs/>
                <w:color w:val="auto"/>
                <w:sz w:val="24"/>
                <w:u w:val="none" w:color="auto"/>
              </w:rPr>
              <w:t>/s</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平均最大流量                  12900m</w:t>
            </w:r>
            <w:r>
              <w:rPr>
                <w:rFonts w:hint="eastAsia" w:hAnsi="宋体"/>
                <w:bCs/>
                <w:color w:val="auto"/>
                <w:sz w:val="24"/>
                <w:u w:val="none" w:color="auto"/>
                <w:vertAlign w:val="superscript"/>
              </w:rPr>
              <w:t>3</w:t>
            </w:r>
            <w:r>
              <w:rPr>
                <w:rFonts w:hint="eastAsia" w:hAnsi="宋体"/>
                <w:bCs/>
                <w:color w:val="auto"/>
                <w:sz w:val="24"/>
                <w:u w:val="none" w:color="auto"/>
              </w:rPr>
              <w:t>/s</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平均最小流量                  248m</w:t>
            </w:r>
            <w:r>
              <w:rPr>
                <w:rFonts w:hint="eastAsia" w:hAnsi="宋体"/>
                <w:bCs/>
                <w:color w:val="auto"/>
                <w:sz w:val="24"/>
                <w:u w:val="none" w:color="auto"/>
                <w:vertAlign w:val="superscript"/>
              </w:rPr>
              <w:t>3</w:t>
            </w:r>
            <w:r>
              <w:rPr>
                <w:rFonts w:hint="eastAsia" w:hAnsi="宋体"/>
                <w:bCs/>
                <w:color w:val="auto"/>
                <w:sz w:val="24"/>
                <w:u w:val="none" w:color="auto"/>
              </w:rPr>
              <w:t>/s</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最大流速                      2.6m/s</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年平均流速                    0.45m/s</w:t>
            </w:r>
          </w:p>
          <w:p>
            <w:pPr>
              <w:snapToGrid w:val="0"/>
              <w:spacing w:line="360" w:lineRule="auto"/>
              <w:ind w:firstLine="457" w:firstLineChars="196"/>
              <w:rPr>
                <w:rFonts w:hint="eastAsia" w:hAnsi="宋体" w:eastAsia="宋体"/>
                <w:bCs/>
                <w:color w:val="auto"/>
                <w:sz w:val="24"/>
                <w:u w:val="none" w:color="auto"/>
                <w:lang w:eastAsia="zh-CN"/>
              </w:rPr>
            </w:pPr>
            <w:r>
              <w:rPr>
                <w:rFonts w:hint="eastAsia" w:hAnsi="宋体"/>
                <w:bCs/>
                <w:color w:val="auto"/>
                <w:sz w:val="24"/>
                <w:u w:val="none" w:color="auto"/>
              </w:rPr>
              <w:t xml:space="preserve">枯水期平均流速              </w:t>
            </w:r>
            <w:r>
              <w:rPr>
                <w:rFonts w:hAnsi="宋体"/>
                <w:bCs/>
                <w:color w:val="auto"/>
                <w:sz w:val="24"/>
                <w:u w:val="none" w:color="auto"/>
              </w:rPr>
              <w:t xml:space="preserve"> </w:t>
            </w:r>
            <w:r>
              <w:rPr>
                <w:rFonts w:hint="eastAsia" w:hAnsi="宋体"/>
                <w:bCs/>
                <w:color w:val="auto"/>
                <w:sz w:val="24"/>
                <w:u w:val="none" w:color="auto"/>
              </w:rPr>
              <w:t xml:space="preserve"> 0.18m/s</w:t>
            </w:r>
          </w:p>
          <w:p>
            <w:pPr>
              <w:adjustRightInd w:val="0"/>
              <w:snapToGrid w:val="0"/>
              <w:spacing w:line="360" w:lineRule="auto"/>
              <w:ind w:firstLine="466" w:firstLineChars="200"/>
              <w:rPr>
                <w:b/>
                <w:bCs/>
                <w:color w:val="auto"/>
                <w:sz w:val="24"/>
                <w:szCs w:val="24"/>
                <w:u w:val="none" w:color="auto"/>
              </w:rPr>
            </w:pPr>
            <w:r>
              <w:rPr>
                <w:b/>
                <w:bCs/>
                <w:color w:val="auto"/>
                <w:sz w:val="24"/>
                <w:szCs w:val="24"/>
                <w:u w:val="none" w:color="auto"/>
              </w:rPr>
              <w:t xml:space="preserve">5、植被与生物 </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湘阴县农业生物资源极为丰富，全县有以水稻、红薯为主的11种粮食作物，有以茶叶、棉花、藠头为主的15种经济作物，有以芦苇、湘莲为主的10余种水生经济作物，有以松、杉、樟、柳为主的228个树种，有以青、草、鲢、鳙、鲤和湘去鲫(鲤)为主的114个鱼类品种，有以猪、牛、山羊、鸡、鸭、鹅为主的9个畜禽种类。</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全县山林24万亩，林业用地占陆地面积的16%，森林覆盖率为12.5%，用林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30余种，珍禽异兽有鹿、獐、獾、锦鸡、鸳鸯等。珍贵的鱼有中华鲟、白鲟、银鱼、胭脂鱼、非洲鲫等，还有特种水产甲鱼、乌龟、泥蛙、龙虾、河蟹、贝类以及世界珍稀的白鳍豚。</w:t>
            </w:r>
          </w:p>
          <w:p>
            <w:pPr>
              <w:snapToGrid w:val="0"/>
              <w:spacing w:line="360" w:lineRule="auto"/>
              <w:ind w:firstLine="480"/>
              <w:rPr>
                <w:rFonts w:hAnsi="宋体"/>
                <w:color w:val="auto"/>
                <w:sz w:val="24"/>
                <w:szCs w:val="24"/>
                <w:u w:val="none" w:color="auto"/>
              </w:rPr>
            </w:pPr>
            <w:r>
              <w:rPr>
                <w:rFonts w:hint="eastAsia" w:hAnsi="宋体"/>
                <w:color w:val="auto"/>
                <w:sz w:val="24"/>
                <w:szCs w:val="24"/>
                <w:u w:val="none" w:color="auto"/>
              </w:rPr>
              <w:t>项目区受人类活动的影响较大，人为开发程度高，工程区土壤主要为板、页岩发育的红壤、黄壤；因人类活动，原始植被已遭破坏，残存仅有少数壳丰科及樟科的常绿阔叶林和次生马尾松林，被覆地表的主要是人造的用材林、经济林、及栽培农作物，如油茶林、果木林、杉木林等，林下植被有灌木及茅草等；陆生动物主要为一些小型的啮齿类动物、两栖类动物、昆虫及一些常见鸟类。</w:t>
            </w:r>
          </w:p>
          <w:p>
            <w:pPr>
              <w:snapToGrid w:val="0"/>
              <w:spacing w:line="360" w:lineRule="auto"/>
              <w:ind w:firstLine="466" w:firstLineChars="200"/>
              <w:jc w:val="left"/>
              <w:rPr>
                <w:rFonts w:hint="default" w:hAnsi="宋体" w:eastAsia="宋体"/>
                <w:color w:val="auto"/>
                <w:sz w:val="24"/>
                <w:szCs w:val="24"/>
                <w:u w:val="none" w:color="auto"/>
                <w:lang w:val="en-US" w:eastAsia="zh-CN"/>
              </w:rPr>
            </w:pPr>
            <w:r>
              <w:rPr>
                <w:rFonts w:hint="eastAsia" w:hAnsi="宋体"/>
                <w:color w:val="auto"/>
                <w:sz w:val="24"/>
                <w:szCs w:val="24"/>
                <w:u w:val="none" w:color="auto"/>
                <w:lang w:val="en-US" w:eastAsia="zh-CN"/>
              </w:rPr>
              <w:t>6、湘阴县白泥湖园艺场简况</w:t>
            </w:r>
          </w:p>
          <w:p>
            <w:pPr>
              <w:snapToGrid w:val="0"/>
              <w:spacing w:line="360" w:lineRule="auto"/>
              <w:ind w:firstLine="480"/>
              <w:rPr>
                <w:rFonts w:hint="default" w:hAnsi="宋体"/>
                <w:color w:val="auto"/>
                <w:sz w:val="24"/>
                <w:szCs w:val="24"/>
                <w:u w:val="none" w:color="auto"/>
              </w:rPr>
            </w:pPr>
            <w:r>
              <w:rPr>
                <w:rFonts w:hint="default" w:hAnsi="宋体"/>
                <w:color w:val="auto"/>
                <w:sz w:val="24"/>
                <w:szCs w:val="24"/>
                <w:u w:val="none" w:color="auto"/>
              </w:rPr>
              <w:t>湖南白泥湖园艺场</w:t>
            </w:r>
            <w:r>
              <w:rPr>
                <w:rFonts w:hint="eastAsia" w:hAnsi="宋体"/>
                <w:color w:val="auto"/>
                <w:sz w:val="24"/>
                <w:szCs w:val="24"/>
                <w:u w:val="none" w:color="auto"/>
                <w:lang w:val="en-US" w:eastAsia="zh-CN"/>
              </w:rPr>
              <w:t>位于湖南省湘阴县白泥湖乡，</w:t>
            </w:r>
            <w:r>
              <w:rPr>
                <w:rFonts w:hint="default" w:hAnsi="宋体"/>
                <w:color w:val="auto"/>
                <w:sz w:val="24"/>
                <w:szCs w:val="24"/>
                <w:u w:val="none" w:color="auto"/>
                <w:lang w:val="en-US" w:eastAsia="zh-CN"/>
              </w:rPr>
              <w:t>白泥湖乡地处</w:t>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"https://baike.baidu.com/item/%E6%B9%98%E6%B1%9F/1710"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湘江</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t>尾闾，紧邻湘阴县城，南接长沙45公里，北距屈原15公里，水陆</w:t>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"https://baike.baidu.com/item/%E4%BA%A4%E9%80%9A/30183"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交通</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t>便利，属湖区与山区地貌特征相结合的农业大乡，辖楠竹、杨家山、横村、夹河、唐阳套、里湖、</w:t>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"https://baike.baidu.com/item/%E9%95%BF%E6%B9%96/9126108"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长湖</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t>、许家台、钟家台、箭毛嘴、哑港、港口、马头山、大冲14个行政村，136个村民小组，4147户农户， 其中耕地面积32792.3亩，山林丘岗面积12100亩，水面7000亩，是富庶的“</w:t>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"https://baike.baidu.com/item/%E9%B1%BC%E7%B1%B3%E4%B9%8B%E4%B9%A1/3130597"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鱼米之乡</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t>”，2015年11月20日起，白泥湖乡并入</w:t>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"https://baike.baidu.com/item/%E6%B9%98%E9%98%B4%E5%8E%BF/10369324"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湘阴县</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"https://baike.baidu.com/item/%E5%8E%BF%E5%9F%8E/33483"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县城</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"https://baike.baidu.com/item/%E6%96%87%E6%98%9F%E9%95%87/2489572"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文星镇</w:t>
            </w:r>
            <w:r>
              <w:rPr>
                <w:rFonts w:hint="default" w:hAnsi="宋体"/>
                <w:color w:val="auto"/>
                <w:sz w:val="24"/>
                <w:szCs w:val="24"/>
                <w:u w:val="none" w:color="auto"/>
                <w:lang w:val="en-US" w:eastAsia="zh-CN"/>
              </w:rPr>
              <w:fldChar w:fldCharType="end"/>
            </w:r>
            <w:r>
              <w:rPr>
                <w:rFonts w:hint="eastAsia" w:hAnsi="宋体"/>
                <w:color w:val="auto"/>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hAnsi="宋体"/>
                <w:color w:val="auto"/>
                <w:sz w:val="24"/>
                <w:szCs w:val="24"/>
                <w:u w:val="none" w:color="auto"/>
              </w:rPr>
            </w:pPr>
            <w:r>
              <w:rPr>
                <w:rFonts w:hint="eastAsia" w:ascii="Times New Roman" w:hAnsi="Times New Roman" w:eastAsia="宋体" w:cs="Times New Roman"/>
                <w:i w:val="0"/>
                <w:caps w:val="0"/>
                <w:color w:val="333333"/>
                <w:spacing w:val="0"/>
                <w:sz w:val="24"/>
                <w:szCs w:val="24"/>
                <w:shd w:val="clear" w:fill="FFFFFF"/>
                <w:lang w:val="en-US" w:eastAsia="zh-CN"/>
              </w:rPr>
              <w:t>白泥湖园艺场现主要用作</w:t>
            </w:r>
            <w:r>
              <w:rPr>
                <w:rFonts w:hint="default" w:ascii="Times New Roman" w:hAnsi="Times New Roman" w:eastAsia="宋体" w:cs="Times New Roman"/>
                <w:i w:val="0"/>
                <w:caps w:val="0"/>
                <w:color w:val="333333"/>
                <w:spacing w:val="0"/>
                <w:sz w:val="24"/>
                <w:szCs w:val="24"/>
                <w:shd w:val="clear" w:fill="FFFFFF"/>
              </w:rPr>
              <w:t>谷物、豆类、油料和薯类、蔬菜、食用菌及园艺作物的种植，乡村观光旅游等</w:t>
            </w:r>
            <w:r>
              <w:rPr>
                <w:rFonts w:hint="eastAsia" w:ascii="Times New Roman" w:hAnsi="Times New Roman" w:eastAsia="宋体" w:cs="Times New Roman"/>
                <w:i w:val="0"/>
                <w:caps w:val="0"/>
                <w:color w:val="333333"/>
                <w:spacing w:val="0"/>
                <w:sz w:val="24"/>
                <w:szCs w:val="24"/>
                <w:shd w:val="clear" w:fill="FFFFFF"/>
                <w:lang w:eastAsia="zh-CN"/>
              </w:rPr>
              <w:t>。</w:t>
            </w:r>
          </w:p>
          <w:p>
            <w:pPr>
              <w:snapToGrid w:val="0"/>
              <w:spacing w:line="360" w:lineRule="auto"/>
              <w:ind w:firstLine="466" w:firstLineChars="200"/>
              <w:jc w:val="left"/>
              <w:rPr>
                <w:rFonts w:hAnsi="宋体"/>
                <w:color w:val="auto"/>
                <w:sz w:val="24"/>
                <w:szCs w:val="24"/>
                <w:u w:val="none" w:color="auto"/>
              </w:rPr>
            </w:pPr>
            <w:r>
              <w:rPr>
                <w:rFonts w:hint="eastAsia" w:hAnsi="宋体"/>
                <w:color w:val="auto"/>
                <w:sz w:val="24"/>
                <w:szCs w:val="24"/>
                <w:u w:val="none" w:color="auto"/>
              </w:rPr>
              <w:t>根据实地调查，评价区域内无名胜古迹、风景名胜区、文物保护区等需要特殊保护的目标，无需特殊保护的珍稀动植物。</w:t>
            </w:r>
          </w:p>
          <w:p>
            <w:pPr>
              <w:adjustRightInd w:val="0"/>
              <w:snapToGrid w:val="0"/>
              <w:spacing w:line="360" w:lineRule="auto"/>
              <w:ind w:firstLine="466" w:firstLineChars="200"/>
              <w:rPr>
                <w:b/>
                <w:color w:val="auto"/>
                <w:sz w:val="24"/>
                <w:u w:val="none" w:color="auto"/>
              </w:rPr>
            </w:pPr>
            <w:r>
              <w:rPr>
                <w:color w:val="auto"/>
                <w:sz w:val="24"/>
                <w:u w:val="none" w:color="auto"/>
              </w:rPr>
              <w:t>本项目所在地环境功能属性见表</w:t>
            </w:r>
            <w:r>
              <w:rPr>
                <w:rFonts w:hint="eastAsia"/>
                <w:color w:val="auto"/>
                <w:sz w:val="24"/>
                <w:u w:val="none" w:color="auto"/>
                <w:lang w:val="en-US" w:eastAsia="zh-CN"/>
              </w:rPr>
              <w:t>2-1</w:t>
            </w:r>
            <w:r>
              <w:rPr>
                <w:color w:val="auto"/>
                <w:sz w:val="24"/>
                <w:u w:val="none" w:color="auto"/>
              </w:rPr>
              <w:t>：</w:t>
            </w:r>
          </w:p>
          <w:p>
            <w:pPr>
              <w:snapToGrid w:val="0"/>
              <w:spacing w:line="360" w:lineRule="auto"/>
              <w:ind w:firstLine="466" w:firstLineChars="200"/>
              <w:jc w:val="center"/>
              <w:rPr>
                <w:b/>
                <w:color w:val="auto"/>
                <w:sz w:val="24"/>
                <w:u w:val="none" w:color="auto"/>
              </w:rPr>
            </w:pPr>
            <w:r>
              <w:rPr>
                <w:b/>
                <w:color w:val="auto"/>
                <w:sz w:val="24"/>
                <w:u w:val="none" w:color="auto"/>
              </w:rPr>
              <w:t>表</w:t>
            </w:r>
            <w:r>
              <w:rPr>
                <w:rFonts w:hint="eastAsia"/>
                <w:b/>
                <w:color w:val="auto"/>
                <w:sz w:val="24"/>
                <w:u w:val="none" w:color="auto"/>
                <w:lang w:val="en-US" w:eastAsia="zh-CN"/>
              </w:rPr>
              <w:t>2-1</w:t>
            </w:r>
            <w:r>
              <w:rPr>
                <w:b/>
                <w:color w:val="auto"/>
                <w:sz w:val="24"/>
                <w:u w:val="none" w:color="auto"/>
              </w:rPr>
              <w:t xml:space="preserve"> 本区域环境功能区划</w:t>
            </w:r>
          </w:p>
          <w:tbl>
            <w:tblPr>
              <w:tblStyle w:val="40"/>
              <w:tblW w:w="903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57"/>
              <w:gridCol w:w="2910"/>
              <w:gridCol w:w="516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编号</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项目</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功能属性及执行标准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1</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水环境功能区</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执行《地表水环境质量标准》（G</w:t>
                  </w:r>
                  <w:r>
                    <w:rPr>
                      <w:rFonts w:hint="eastAsia"/>
                      <w:color w:val="auto"/>
                      <w:sz w:val="22"/>
                      <w:szCs w:val="22"/>
                      <w:u w:val="none" w:color="auto"/>
                      <w:lang w:val="en-US" w:eastAsia="zh-CN"/>
                    </w:rPr>
                    <w:t>B</w:t>
                  </w:r>
                  <w:r>
                    <w:rPr>
                      <w:color w:val="auto"/>
                      <w:sz w:val="22"/>
                      <w:szCs w:val="22"/>
                      <w:u w:val="none" w:color="auto"/>
                    </w:rPr>
                    <w:t>3838-2002）</w:t>
                  </w:r>
                </w:p>
                <w:p>
                  <w:pPr>
                    <w:adjustRightInd w:val="0"/>
                    <w:snapToGrid w:val="0"/>
                    <w:spacing w:line="360" w:lineRule="auto"/>
                    <w:jc w:val="center"/>
                    <w:rPr>
                      <w:color w:val="auto"/>
                      <w:sz w:val="22"/>
                      <w:szCs w:val="22"/>
                      <w:u w:val="none" w:color="auto"/>
                    </w:rPr>
                  </w:pPr>
                  <w:r>
                    <w:rPr>
                      <w:color w:val="auto"/>
                      <w:sz w:val="22"/>
                      <w:szCs w:val="22"/>
                      <w:u w:val="none" w:color="auto"/>
                    </w:rPr>
                    <w:t>Ⅲ类标准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2</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环境空气质量功能区</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二类区，环境空气质量执行《环境空气质量标准》</w:t>
                  </w:r>
                </w:p>
                <w:p>
                  <w:pPr>
                    <w:adjustRightInd w:val="0"/>
                    <w:snapToGrid w:val="0"/>
                    <w:spacing w:line="360" w:lineRule="auto"/>
                    <w:jc w:val="center"/>
                    <w:rPr>
                      <w:color w:val="auto"/>
                      <w:sz w:val="22"/>
                      <w:szCs w:val="22"/>
                      <w:u w:val="none" w:color="auto"/>
                    </w:rPr>
                  </w:pPr>
                  <w:r>
                    <w:rPr>
                      <w:color w:val="auto"/>
                      <w:sz w:val="22"/>
                      <w:szCs w:val="22"/>
                      <w:u w:val="none" w:color="auto"/>
                    </w:rPr>
                    <w:t>（GB3095-2012）中的二级标准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3</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声环境功能区</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执行《声环境质量标准》</w:t>
                  </w:r>
                </w:p>
                <w:p>
                  <w:pPr>
                    <w:adjustRightInd w:val="0"/>
                    <w:snapToGrid w:val="0"/>
                    <w:spacing w:line="360" w:lineRule="auto"/>
                    <w:jc w:val="center"/>
                    <w:rPr>
                      <w:color w:val="auto"/>
                      <w:sz w:val="22"/>
                      <w:szCs w:val="22"/>
                      <w:u w:val="none" w:color="auto"/>
                    </w:rPr>
                  </w:pPr>
                  <w:r>
                    <w:rPr>
                      <w:color w:val="auto"/>
                      <w:sz w:val="22"/>
                      <w:szCs w:val="22"/>
                      <w:u w:val="none" w:color="auto"/>
                    </w:rPr>
                    <w:t>（GB3096-2008）</w:t>
                  </w:r>
                  <w:r>
                    <w:rPr>
                      <w:rFonts w:hint="eastAsia"/>
                      <w:color w:val="auto"/>
                      <w:sz w:val="22"/>
                      <w:szCs w:val="22"/>
                      <w:u w:val="none" w:color="auto"/>
                      <w:lang w:val="en-US" w:eastAsia="zh-CN"/>
                    </w:rPr>
                    <w:t>2</w:t>
                  </w:r>
                  <w:r>
                    <w:rPr>
                      <w:color w:val="auto"/>
                      <w:sz w:val="22"/>
                      <w:szCs w:val="22"/>
                      <w:u w:val="none" w:color="auto"/>
                    </w:rPr>
                    <w:t>类环境噪声限值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4</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是否基本农田保护区</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5</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是否森林公园</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6</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是否生态功能保护区</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7</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是否水土流失重点防治区</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8</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是否人口密集区</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9</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是否重点文物保护单位</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10</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是否三河、三湖、两控区</w:t>
                  </w:r>
                </w:p>
              </w:tc>
              <w:tc>
                <w:tcPr>
                  <w:tcW w:w="5165" w:type="dxa"/>
                  <w:noWrap w:val="0"/>
                  <w:vAlign w:val="center"/>
                </w:tcPr>
                <w:p>
                  <w:pPr>
                    <w:adjustRightInd w:val="0"/>
                    <w:snapToGrid w:val="0"/>
                    <w:spacing w:line="360" w:lineRule="auto"/>
                    <w:jc w:val="center"/>
                    <w:rPr>
                      <w:rFonts w:hint="eastAsia" w:eastAsia="宋体"/>
                      <w:color w:val="auto"/>
                      <w:sz w:val="22"/>
                      <w:szCs w:val="22"/>
                      <w:u w:val="none" w:color="auto"/>
                      <w:lang w:eastAsia="zh-CN"/>
                    </w:rPr>
                  </w:pPr>
                  <w:r>
                    <w:rPr>
                      <w:color w:val="auto"/>
                      <w:sz w:val="22"/>
                      <w:szCs w:val="22"/>
                      <w:u w:val="none" w:color="auto"/>
                    </w:rPr>
                    <w:t>两控区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11</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是否水库库区</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12</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是否污水处理厂集水范围</w:t>
                  </w:r>
                </w:p>
              </w:tc>
              <w:tc>
                <w:tcPr>
                  <w:tcW w:w="5165" w:type="dxa"/>
                  <w:noWrap w:val="0"/>
                  <w:vAlign w:val="center"/>
                </w:tcPr>
                <w:p>
                  <w:pPr>
                    <w:adjustRightInd w:val="0"/>
                    <w:snapToGrid w:val="0"/>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57"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13</w:t>
                  </w:r>
                </w:p>
              </w:tc>
              <w:tc>
                <w:tcPr>
                  <w:tcW w:w="2910"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是否属于生态敏感与脆弱区</w:t>
                  </w:r>
                </w:p>
              </w:tc>
              <w:tc>
                <w:tcPr>
                  <w:tcW w:w="5165" w:type="dxa"/>
                  <w:noWrap w:val="0"/>
                  <w:vAlign w:val="center"/>
                </w:tcPr>
                <w:p>
                  <w:pPr>
                    <w:adjustRightInd w:val="0"/>
                    <w:snapToGrid w:val="0"/>
                    <w:spacing w:line="360" w:lineRule="auto"/>
                    <w:jc w:val="center"/>
                    <w:rPr>
                      <w:color w:val="auto"/>
                      <w:sz w:val="22"/>
                      <w:szCs w:val="22"/>
                      <w:u w:val="none" w:color="auto"/>
                    </w:rPr>
                  </w:pPr>
                  <w:r>
                    <w:rPr>
                      <w:color w:val="auto"/>
                      <w:sz w:val="22"/>
                      <w:szCs w:val="22"/>
                      <w:u w:val="none" w:color="auto"/>
                    </w:rPr>
                    <w:t>否</w:t>
                  </w:r>
                </w:p>
              </w:tc>
            </w:tr>
          </w:tbl>
          <w:p>
            <w:pPr>
              <w:rPr>
                <w:color w:val="auto"/>
                <w:u w:val="none" w:color="auto"/>
              </w:rPr>
            </w:pPr>
          </w:p>
        </w:tc>
      </w:tr>
    </w:tbl>
    <w:p>
      <w:pPr>
        <w:snapToGrid w:val="0"/>
        <w:textAlignment w:val="baseline"/>
        <w:outlineLvl w:val="0"/>
        <w:rPr>
          <w:rFonts w:eastAsia="黑体"/>
          <w:color w:val="auto"/>
          <w:sz w:val="32"/>
          <w:u w:val="none" w:color="auto"/>
        </w:rPr>
      </w:pPr>
      <w:r>
        <w:rPr>
          <w:rFonts w:eastAsia="黑体"/>
          <w:color w:val="auto"/>
          <w:sz w:val="32"/>
          <w:u w:val="none" w:color="auto"/>
        </w:rPr>
        <w:br w:type="page"/>
      </w:r>
      <w:bookmarkStart w:id="4" w:name="_Toc28028"/>
      <w:r>
        <w:rPr>
          <w:rFonts w:hint="eastAsia" w:eastAsia="黑体"/>
          <w:color w:val="auto"/>
          <w:sz w:val="32"/>
          <w:u w:val="none" w:color="auto"/>
        </w:rPr>
        <w:t>三、</w:t>
      </w:r>
      <w:r>
        <w:rPr>
          <w:rFonts w:eastAsia="黑体"/>
          <w:color w:val="auto"/>
          <w:sz w:val="32"/>
          <w:u w:val="none" w:color="auto"/>
        </w:rPr>
        <w:t>环境质量状况</w:t>
      </w:r>
      <w:bookmarkEnd w:id="4"/>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9268" w:type="dxa"/>
            <w:vAlign w:val="center"/>
          </w:tcPr>
          <w:p>
            <w:pPr>
              <w:snapToGrid w:val="0"/>
              <w:spacing w:before="162" w:beforeLines="50" w:line="360" w:lineRule="auto"/>
              <w:ind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建设项目所在地区域环境质量现状及主要环境问题(环境空气、地</w:t>
            </w:r>
            <w:r>
              <w:rPr>
                <w:rFonts w:hint="eastAsia" w:cs="Times New Roman"/>
                <w:b/>
                <w:bCs/>
                <w:color w:val="auto"/>
                <w:sz w:val="24"/>
                <w:szCs w:val="24"/>
                <w:u w:val="none" w:color="auto"/>
                <w:lang w:val="en-US" w:eastAsia="zh-CN"/>
              </w:rPr>
              <w:t>表</w:t>
            </w:r>
            <w:r>
              <w:rPr>
                <w:rFonts w:hint="default" w:ascii="Times New Roman" w:hAnsi="Times New Roman" w:cs="Times New Roman"/>
                <w:b/>
                <w:bCs/>
                <w:color w:val="auto"/>
                <w:sz w:val="24"/>
                <w:szCs w:val="24"/>
                <w:u w:val="none" w:color="auto"/>
              </w:rPr>
              <w:t>水、声环境</w:t>
            </w:r>
            <w:r>
              <w:rPr>
                <w:rFonts w:hint="eastAsia" w:cs="Times New Roman"/>
                <w:b/>
                <w:bCs/>
                <w:color w:val="auto"/>
                <w:sz w:val="24"/>
                <w:szCs w:val="24"/>
                <w:u w:val="none" w:color="auto"/>
                <w:lang w:eastAsia="zh-CN"/>
              </w:rPr>
              <w:t>、</w:t>
            </w:r>
            <w:r>
              <w:rPr>
                <w:rFonts w:hint="eastAsia" w:cs="Times New Roman"/>
                <w:b/>
                <w:bCs/>
                <w:color w:val="auto"/>
                <w:sz w:val="24"/>
                <w:szCs w:val="24"/>
                <w:u w:val="none" w:color="auto"/>
                <w:lang w:val="en-US" w:eastAsia="zh-CN"/>
              </w:rPr>
              <w:t>地下水、土壤</w:t>
            </w:r>
            <w:r>
              <w:rPr>
                <w:rFonts w:hint="default" w:ascii="Times New Roman" w:hAnsi="Times New Roman" w:cs="Times New Roman"/>
                <w:b/>
                <w:bCs/>
                <w:color w:val="auto"/>
                <w:sz w:val="24"/>
                <w:szCs w:val="24"/>
                <w:u w:val="none" w:color="auto"/>
              </w:rPr>
              <w:t>、生态环境等)：</w:t>
            </w:r>
          </w:p>
          <w:p>
            <w:pPr>
              <w:spacing w:line="360" w:lineRule="auto"/>
              <w:ind w:firstLine="233" w:firstLineChars="100"/>
              <w:rPr>
                <w:rFonts w:hint="default" w:ascii="Times New Roman" w:hAnsi="Times New Roman" w:cs="Times New Roman"/>
                <w:color w:val="auto"/>
                <w:u w:val="none" w:color="auto"/>
              </w:rPr>
            </w:pPr>
            <w:r>
              <w:rPr>
                <w:rFonts w:hint="default" w:ascii="Times New Roman" w:hAnsi="Times New Roman" w:cs="Times New Roman"/>
                <w:b/>
                <w:bCs/>
                <w:color w:val="auto"/>
                <w:sz w:val="24"/>
                <w:szCs w:val="24"/>
                <w:u w:val="none" w:color="auto"/>
              </w:rPr>
              <w:t>3.1环境空气质量现状</w:t>
            </w:r>
          </w:p>
          <w:p>
            <w:pPr>
              <w:pStyle w:val="181"/>
              <w:spacing w:before="124" w:line="360" w:lineRule="auto"/>
              <w:ind w:right="77" w:firstLine="466" w:firstLineChars="200"/>
              <w:jc w:val="left"/>
              <w:rPr>
                <w:rFonts w:hint="default" w:ascii="Times New Roman" w:hAnsi="Times New Roman" w:cs="Times New Roman"/>
                <w:color w:val="auto"/>
                <w:kern w:val="0"/>
                <w:sz w:val="24"/>
                <w:szCs w:val="24"/>
                <w:u w:val="none" w:color="auto"/>
                <w:lang w:val="en-US" w:eastAsia="zh-CN" w:bidi="ar-SA"/>
              </w:rPr>
            </w:pPr>
            <w:bookmarkStart w:id="5" w:name="OLE_LINK3"/>
            <w:r>
              <w:rPr>
                <w:rFonts w:hint="default" w:ascii="Times New Roman" w:hAnsi="Times New Roman" w:cs="Times New Roman"/>
                <w:color w:val="auto"/>
                <w:sz w:val="24"/>
                <w:szCs w:val="24"/>
                <w:u w:val="none" w:color="auto"/>
              </w:rPr>
              <w:t>项目所在区域执行《环境空气质量标准》（GB3095-2012）的二级标准。</w:t>
            </w:r>
            <w:r>
              <w:rPr>
                <w:rFonts w:hint="default" w:ascii="Times New Roman" w:hAnsi="Times New Roman" w:eastAsia="宋体" w:cs="Times New Roman"/>
                <w:color w:val="auto"/>
                <w:kern w:val="0"/>
                <w:sz w:val="24"/>
                <w:szCs w:val="24"/>
                <w:u w:val="none" w:color="auto"/>
                <w:lang w:val="en-US" w:eastAsia="en-US" w:bidi="ar-SA"/>
              </w:rPr>
              <w:t>根据《环境影响评价技术导则-大气环境》（HJ2.2-2018）中“6.2.1.1 项目所在区域达标判定，优先采用国家或生态环境主管部门发布的平均基准年环境质量公告或环境质量报告中的数据或结论”，基本因子采用</w:t>
            </w:r>
            <w:r>
              <w:rPr>
                <w:rFonts w:hint="default"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eastAsia="宋体" w:cs="Times New Roman"/>
                <w:color w:val="auto"/>
                <w:kern w:val="0"/>
                <w:sz w:val="24"/>
                <w:szCs w:val="24"/>
                <w:u w:val="none" w:color="auto"/>
                <w:lang w:val="en-US" w:eastAsia="en-US" w:bidi="ar-SA"/>
              </w:rPr>
              <w:t>生态环境部门发布的</w:t>
            </w:r>
            <w:r>
              <w:rPr>
                <w:rFonts w:hint="default"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eastAsia="宋体" w:cs="Times New Roman"/>
                <w:color w:val="auto"/>
                <w:kern w:val="0"/>
                <w:sz w:val="24"/>
                <w:szCs w:val="24"/>
                <w:u w:val="none" w:color="auto"/>
                <w:lang w:val="en-US" w:eastAsia="en-US" w:bidi="ar-SA"/>
              </w:rPr>
              <w:t>环境空气质量情况进行评价</w:t>
            </w:r>
            <w:r>
              <w:rPr>
                <w:rFonts w:hint="default" w:ascii="Times New Roman" w:hAnsi="Times New Roman" w:cs="Times New Roman"/>
                <w:color w:val="auto"/>
                <w:kern w:val="0"/>
                <w:sz w:val="24"/>
                <w:szCs w:val="24"/>
                <w:u w:val="none" w:color="auto"/>
                <w:lang w:val="en-US" w:eastAsia="zh-CN" w:bidi="ar-SA"/>
              </w:rPr>
              <w:t xml:space="preserve">。     </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根据</w:t>
            </w:r>
            <w:r>
              <w:rPr>
                <w:rFonts w:hint="default" w:ascii="Times New Roman" w:hAnsi="Times New Roman" w:cs="Times New Roman"/>
                <w:color w:val="auto"/>
                <w:sz w:val="24"/>
                <w:szCs w:val="24"/>
                <w:u w:val="none" w:color="auto"/>
                <w:lang w:val="en-US" w:eastAsia="zh-CN"/>
              </w:rPr>
              <w:t>2018年湘阴县环境空气质量公告中湘阴县环境空气质量数据（如下表所示），湘阴县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rPr>
              <w:t>10</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年平均质量浓度和</w:t>
            </w:r>
            <w:r>
              <w:rPr>
                <w:rFonts w:hint="default"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lang w:val="en-US" w:eastAsia="zh-CN"/>
              </w:rPr>
              <w:t>95百分位数</w:t>
            </w:r>
            <w:r>
              <w:rPr>
                <w:rFonts w:hint="default" w:ascii="Times New Roman" w:hAnsi="Times New Roman" w:cs="Times New Roman"/>
                <w:color w:val="auto"/>
                <w:sz w:val="24"/>
                <w:szCs w:val="24"/>
                <w:u w:val="none" w:color="auto"/>
                <w:lang w:eastAsia="zh-CN"/>
              </w:rPr>
              <w:t>日平均质量浓度、</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90百分位数</w:t>
            </w:r>
            <w:r>
              <w:rPr>
                <w:rFonts w:hint="default" w:ascii="Times New Roman" w:hAnsi="Times New Roman" w:cs="Times New Roman"/>
                <w:color w:val="auto"/>
                <w:sz w:val="24"/>
                <w:szCs w:val="24"/>
                <w:u w:val="none" w:color="auto"/>
                <w:lang w:eastAsia="zh-CN"/>
              </w:rPr>
              <w:t>最大</w:t>
            </w:r>
            <w:r>
              <w:rPr>
                <w:rFonts w:hint="default" w:ascii="Times New Roman" w:hAnsi="Times New Roman" w:cs="Times New Roman"/>
                <w:color w:val="auto"/>
                <w:sz w:val="24"/>
                <w:szCs w:val="24"/>
                <w:u w:val="none" w:color="auto"/>
                <w:lang w:val="en-US" w:eastAsia="zh-CN"/>
              </w:rPr>
              <w:t>8小时平均质量浓度</w:t>
            </w:r>
            <w:r>
              <w:rPr>
                <w:rFonts w:hint="default" w:ascii="Times New Roman" w:hAnsi="Times New Roman" w:cs="Times New Roman"/>
                <w:color w:val="auto"/>
                <w:sz w:val="24"/>
                <w:szCs w:val="24"/>
                <w:u w:val="none" w:color="auto"/>
                <w:lang w:eastAsia="zh-CN"/>
              </w:rPr>
              <w:t>可达到</w:t>
            </w:r>
            <w:r>
              <w:rPr>
                <w:rFonts w:hint="default" w:ascii="Times New Roman" w:hAnsi="Times New Roman" w:cs="Times New Roman"/>
                <w:color w:val="auto"/>
                <w:sz w:val="24"/>
                <w:szCs w:val="24"/>
                <w:u w:val="none" w:color="auto"/>
              </w:rPr>
              <w:t>《环境空气质量标准》（GB3095-2012）中二级标准。PM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eastAsia="zh-CN"/>
              </w:rPr>
              <w:t>年平均质量浓度尚未达到</w:t>
            </w:r>
            <w:r>
              <w:rPr>
                <w:rFonts w:hint="default" w:ascii="Times New Roman" w:hAnsi="Times New Roman" w:cs="Times New Roman"/>
                <w:color w:val="auto"/>
                <w:sz w:val="24"/>
                <w:szCs w:val="24"/>
                <w:u w:val="none" w:color="auto"/>
              </w:rPr>
              <w:t>《环境空气质量标准》（GB3095-2012）中二级标准。</w:t>
            </w:r>
          </w:p>
          <w:p>
            <w:pPr>
              <w:pStyle w:val="188"/>
              <w:rPr>
                <w:rFonts w:hint="default" w:ascii="Times New Roman" w:hAnsi="Times New Roman" w:cs="Times New Roman"/>
                <w:color w:val="auto"/>
                <w:sz w:val="24"/>
                <w:szCs w:val="22"/>
                <w:u w:val="none" w:color="auto"/>
                <w:lang w:val="en-US" w:eastAsia="zh-CN"/>
              </w:rPr>
            </w:pPr>
            <w:r>
              <w:rPr>
                <w:rFonts w:hint="default" w:ascii="Times New Roman" w:hAnsi="Times New Roman" w:cs="Times New Roman"/>
                <w:color w:val="auto"/>
                <w:sz w:val="24"/>
                <w:szCs w:val="22"/>
                <w:u w:val="none" w:color="auto"/>
              </w:rPr>
              <w:t>表</w:t>
            </w:r>
            <w:r>
              <w:rPr>
                <w:rFonts w:hint="default" w:ascii="Times New Roman" w:hAnsi="Times New Roman" w:cs="Times New Roman"/>
                <w:color w:val="auto"/>
                <w:sz w:val="24"/>
                <w:szCs w:val="22"/>
                <w:u w:val="none" w:color="auto"/>
                <w:lang w:val="en-US" w:eastAsia="zh-CN"/>
              </w:rPr>
              <w:t>3-1</w:t>
            </w:r>
            <w:r>
              <w:rPr>
                <w:rFonts w:hint="default" w:ascii="Times New Roman" w:hAnsi="Times New Roman" w:cs="Times New Roman"/>
                <w:color w:val="auto"/>
                <w:sz w:val="24"/>
                <w:szCs w:val="22"/>
                <w:u w:val="none" w:color="auto"/>
              </w:rPr>
              <w:t xml:space="preserve">  </w:t>
            </w:r>
            <w:r>
              <w:rPr>
                <w:rFonts w:hint="default" w:ascii="Times New Roman" w:hAnsi="Times New Roman" w:cs="Times New Roman"/>
                <w:color w:val="auto"/>
                <w:sz w:val="24"/>
                <w:szCs w:val="22"/>
                <w:u w:val="none" w:color="auto"/>
                <w:lang w:val="en-US" w:eastAsia="zh-CN"/>
              </w:rPr>
              <w:t>2018年</w:t>
            </w:r>
            <w:r>
              <w:rPr>
                <w:rFonts w:hint="default" w:ascii="Times New Roman" w:hAnsi="Times New Roman" w:cs="Times New Roman"/>
                <w:color w:val="auto"/>
                <w:sz w:val="24"/>
                <w:szCs w:val="22"/>
                <w:u w:val="none" w:color="auto"/>
                <w:lang w:eastAsia="zh-CN"/>
              </w:rPr>
              <w:t>区域空气质量现状评价</w:t>
            </w:r>
            <w:r>
              <w:rPr>
                <w:rFonts w:hint="default" w:ascii="Times New Roman" w:hAnsi="Times New Roman" w:cs="Times New Roman"/>
                <w:color w:val="auto"/>
                <w:sz w:val="24"/>
                <w:szCs w:val="22"/>
                <w:u w:val="none" w:color="auto"/>
                <w:lang w:val="en-US" w:eastAsia="zh-CN"/>
              </w:rPr>
              <w:t>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123"/>
              <w:gridCol w:w="1917"/>
              <w:gridCol w:w="1405"/>
              <w:gridCol w:w="1293"/>
              <w:gridCol w:w="1209"/>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所在</w:t>
                  </w:r>
                </w:p>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区域</w:t>
                  </w: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年评价指标</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现状浓度（u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1294"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r>
                    <w:rPr>
                      <w:rFonts w:hint="default" w:ascii="Times New Roman" w:hAnsi="Times New Roman" w:cs="Times New Roman"/>
                      <w:color w:val="auto"/>
                      <w:sz w:val="22"/>
                      <w:szCs w:val="22"/>
                      <w:u w:val="none" w:color="auto"/>
                      <w:lang w:val="en-US" w:eastAsia="zh-CN"/>
                    </w:rPr>
                    <w:t>（u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超标倍数</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湘阴县</w:t>
                  </w: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SO</w:t>
                  </w:r>
                  <w:r>
                    <w:rPr>
                      <w:rFonts w:hint="default" w:ascii="Times New Roman" w:hAnsi="Times New Roman" w:cs="Times New Roman"/>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8.09</w:t>
                  </w:r>
                </w:p>
              </w:tc>
              <w:tc>
                <w:tcPr>
                  <w:tcW w:w="1294"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NO</w:t>
                  </w:r>
                  <w:r>
                    <w:rPr>
                      <w:rFonts w:hint="default" w:ascii="Times New Roman" w:hAnsi="Times New Roman" w:cs="Times New Roman"/>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19.09</w:t>
                  </w:r>
                </w:p>
              </w:tc>
              <w:tc>
                <w:tcPr>
                  <w:tcW w:w="1294"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rPr>
                    <w:t>10</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55.54</w:t>
                  </w:r>
                </w:p>
              </w:tc>
              <w:tc>
                <w:tcPr>
                  <w:tcW w:w="1294"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70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40.27</w:t>
                  </w:r>
                </w:p>
              </w:tc>
              <w:tc>
                <w:tcPr>
                  <w:tcW w:w="1294" w:type="dxa"/>
                  <w:tcBorders>
                    <w:tl2br w:val="nil"/>
                    <w:tr2bl w:val="nil"/>
                  </w:tcBorders>
                  <w:noWrap w:val="0"/>
                  <w:vAlign w:val="center"/>
                </w:tcPr>
                <w:p>
                  <w:pPr>
                    <w:pStyle w:val="186"/>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35</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0.15</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lang w:eastAsia="zh-CN"/>
                    </w:rPr>
                    <w:t>不</w:t>
                  </w:r>
                  <w:r>
                    <w:rPr>
                      <w:rFonts w:hint="default" w:ascii="Times New Roman" w:hAnsi="Times New Roman" w:cs="Times New Roman"/>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C</w:t>
                  </w:r>
                  <w:r>
                    <w:rPr>
                      <w:rFonts w:hint="default" w:ascii="Times New Roman" w:hAnsi="Times New Roman" w:cs="Times New Roman"/>
                      <w:color w:val="auto"/>
                      <w:sz w:val="22"/>
                      <w:szCs w:val="22"/>
                      <w:u w:val="none" w:color="auto"/>
                    </w:rPr>
                    <w:t>O</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95百分位数</w:t>
                  </w:r>
                  <w:r>
                    <w:rPr>
                      <w:rFonts w:hint="default" w:ascii="Times New Roman" w:hAnsi="Times New Roman" w:cs="Times New Roman"/>
                      <w:color w:val="auto"/>
                      <w:sz w:val="22"/>
                      <w:szCs w:val="22"/>
                      <w:u w:val="none" w:color="auto"/>
                      <w:lang w:eastAsia="zh-CN"/>
                    </w:rPr>
                    <w:t>日平均质量浓度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0.93</w:t>
                  </w:r>
                </w:p>
              </w:tc>
              <w:tc>
                <w:tcPr>
                  <w:tcW w:w="1294"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4000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O</w:t>
                  </w:r>
                  <w:r>
                    <w:rPr>
                      <w:rFonts w:hint="default" w:ascii="Times New Roman" w:hAnsi="Times New Roman" w:cs="Times New Roman"/>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90百分位数</w:t>
                  </w:r>
                  <w:r>
                    <w:rPr>
                      <w:rFonts w:hint="default" w:ascii="Times New Roman" w:hAnsi="Times New Roman" w:cs="Times New Roman"/>
                      <w:color w:val="auto"/>
                      <w:sz w:val="22"/>
                      <w:szCs w:val="22"/>
                      <w:u w:val="none" w:color="auto"/>
                      <w:lang w:eastAsia="zh-CN"/>
                    </w:rPr>
                    <w:t>最大</w:t>
                  </w:r>
                  <w:r>
                    <w:rPr>
                      <w:rFonts w:hint="default" w:ascii="Times New Roman" w:hAnsi="Times New Roman" w:cs="Times New Roman"/>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89.18</w:t>
                  </w:r>
                </w:p>
              </w:tc>
              <w:tc>
                <w:tcPr>
                  <w:tcW w:w="1294"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160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根据</w:t>
            </w:r>
            <w:r>
              <w:rPr>
                <w:rFonts w:hint="default" w:ascii="Times New Roman" w:hAnsi="Times New Roman" w:cs="Times New Roman"/>
                <w:color w:val="auto"/>
                <w:sz w:val="24"/>
                <w:szCs w:val="24"/>
                <w:u w:val="none" w:color="auto"/>
                <w:lang w:val="en-US" w:eastAsia="zh-CN"/>
              </w:rPr>
              <w:t>2019年湘阴县环境空气质量公告中湘阴县环境空气质量数据（如下表所示），湘阴县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rPr>
              <w:t>10</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年平均质量浓度和</w:t>
            </w:r>
            <w:r>
              <w:rPr>
                <w:rFonts w:hint="default"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lang w:val="en-US" w:eastAsia="zh-CN"/>
              </w:rPr>
              <w:t>95百分位数</w:t>
            </w:r>
            <w:r>
              <w:rPr>
                <w:rFonts w:hint="default" w:ascii="Times New Roman" w:hAnsi="Times New Roman" w:cs="Times New Roman"/>
                <w:color w:val="auto"/>
                <w:sz w:val="24"/>
                <w:szCs w:val="24"/>
                <w:u w:val="none" w:color="auto"/>
                <w:lang w:eastAsia="zh-CN"/>
              </w:rPr>
              <w:t>日平均质量浓度、</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90百分位数</w:t>
            </w:r>
            <w:r>
              <w:rPr>
                <w:rFonts w:hint="default" w:ascii="Times New Roman" w:hAnsi="Times New Roman" w:cs="Times New Roman"/>
                <w:color w:val="auto"/>
                <w:sz w:val="24"/>
                <w:szCs w:val="24"/>
                <w:u w:val="none" w:color="auto"/>
                <w:lang w:eastAsia="zh-CN"/>
              </w:rPr>
              <w:t>最大</w:t>
            </w:r>
            <w:r>
              <w:rPr>
                <w:rFonts w:hint="default" w:ascii="Times New Roman" w:hAnsi="Times New Roman" w:cs="Times New Roman"/>
                <w:color w:val="auto"/>
                <w:sz w:val="24"/>
                <w:szCs w:val="24"/>
                <w:u w:val="none" w:color="auto"/>
                <w:lang w:val="en-US" w:eastAsia="zh-CN"/>
              </w:rPr>
              <w:t>8小时平均质量浓度</w:t>
            </w:r>
            <w:r>
              <w:rPr>
                <w:rFonts w:hint="default" w:ascii="Times New Roman" w:hAnsi="Times New Roman" w:cs="Times New Roman"/>
                <w:color w:val="auto"/>
                <w:sz w:val="24"/>
                <w:szCs w:val="24"/>
                <w:u w:val="none" w:color="auto"/>
                <w:lang w:eastAsia="zh-CN"/>
              </w:rPr>
              <w:t>可达到</w:t>
            </w:r>
            <w:r>
              <w:rPr>
                <w:rFonts w:hint="default" w:ascii="Times New Roman" w:hAnsi="Times New Roman" w:cs="Times New Roman"/>
                <w:color w:val="auto"/>
                <w:sz w:val="24"/>
                <w:szCs w:val="24"/>
                <w:u w:val="none" w:color="auto"/>
              </w:rPr>
              <w:t>《环境空气质量标准》（GB3095-2012）中二级标准。PM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eastAsia="zh-CN"/>
              </w:rPr>
              <w:t>年平均质量浓度尚未达到</w:t>
            </w:r>
            <w:r>
              <w:rPr>
                <w:rFonts w:hint="default" w:ascii="Times New Roman" w:hAnsi="Times New Roman" w:cs="Times New Roman"/>
                <w:color w:val="auto"/>
                <w:sz w:val="24"/>
                <w:szCs w:val="24"/>
                <w:u w:val="none" w:color="auto"/>
              </w:rPr>
              <w:t>《环境空气质量标准》（GB3095-2012）中二级标准。</w:t>
            </w:r>
          </w:p>
          <w:p>
            <w:pPr>
              <w:pStyle w:val="188"/>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                </w:t>
            </w:r>
          </w:p>
          <w:p>
            <w:pPr>
              <w:pStyle w:val="188"/>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        </w:t>
            </w:r>
            <w:r>
              <w:rPr>
                <w:rFonts w:hint="default" w:ascii="Times New Roman" w:hAnsi="Times New Roman" w:cs="Times New Roman"/>
                <w:color w:val="auto"/>
                <w:sz w:val="24"/>
                <w:szCs w:val="24"/>
                <w:u w:val="none" w:color="auto"/>
              </w:rPr>
              <w:t>表</w:t>
            </w:r>
            <w:r>
              <w:rPr>
                <w:rFonts w:hint="default" w:ascii="Times New Roman" w:hAnsi="Times New Roman" w:cs="Times New Roman"/>
                <w:color w:val="auto"/>
                <w:sz w:val="24"/>
                <w:szCs w:val="24"/>
                <w:u w:val="none" w:color="auto"/>
                <w:lang w:val="en-US" w:eastAsia="zh-CN"/>
              </w:rPr>
              <w:t>3-2</w:t>
            </w:r>
            <w:r>
              <w:rPr>
                <w:rFonts w:hint="default" w:ascii="Times New Roman" w:hAnsi="Times New Roman" w:cs="Times New Roman"/>
                <w:color w:val="auto"/>
                <w:sz w:val="24"/>
                <w:szCs w:val="24"/>
                <w:u w:val="none" w:color="auto"/>
              </w:rPr>
              <w:t xml:space="preserve">  </w:t>
            </w:r>
            <w:r>
              <w:rPr>
                <w:rFonts w:hint="default" w:ascii="Times New Roman" w:hAnsi="Times New Roman" w:cs="Times New Roman"/>
                <w:color w:val="auto"/>
                <w:sz w:val="24"/>
                <w:szCs w:val="24"/>
                <w:u w:val="none" w:color="auto"/>
                <w:lang w:val="en-US" w:eastAsia="zh-CN"/>
              </w:rPr>
              <w:t>2019年</w:t>
            </w:r>
            <w:r>
              <w:rPr>
                <w:rFonts w:hint="default" w:ascii="Times New Roman" w:hAnsi="Times New Roman" w:cs="Times New Roman"/>
                <w:color w:val="auto"/>
                <w:sz w:val="24"/>
                <w:szCs w:val="24"/>
                <w:u w:val="none" w:color="auto"/>
                <w:lang w:eastAsia="zh-CN"/>
              </w:rPr>
              <w:t>区域空气质量现状评价</w:t>
            </w:r>
            <w:r>
              <w:rPr>
                <w:rFonts w:hint="default" w:ascii="Times New Roman" w:hAnsi="Times New Roman" w:cs="Times New Roman"/>
                <w:color w:val="auto"/>
                <w:sz w:val="24"/>
                <w:szCs w:val="24"/>
                <w:u w:val="none" w:color="auto"/>
                <w:lang w:val="en-US" w:eastAsia="zh-CN"/>
              </w:rPr>
              <w:t>表           单位u</w:t>
            </w:r>
            <w:r>
              <w:rPr>
                <w:rFonts w:hint="default" w:ascii="Times New Roman" w:hAnsi="Times New Roman" w:cs="Times New Roman"/>
                <w:color w:val="auto"/>
                <w:sz w:val="24"/>
                <w:szCs w:val="24"/>
                <w:u w:val="none" w:color="auto"/>
              </w:rPr>
              <w:t>g/m</w:t>
            </w:r>
            <w:r>
              <w:rPr>
                <w:rFonts w:hint="default" w:ascii="Times New Roman" w:hAnsi="Times New Roman" w:cs="Times New Roman"/>
                <w:color w:val="auto"/>
                <w:sz w:val="24"/>
                <w:szCs w:val="24"/>
                <w:u w:val="none" w:color="auto"/>
                <w:vertAlign w:val="superscript"/>
              </w:rPr>
              <w:t>3</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123"/>
              <w:gridCol w:w="1916"/>
              <w:gridCol w:w="1405"/>
              <w:gridCol w:w="1293"/>
              <w:gridCol w:w="1210"/>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所在</w:t>
                  </w:r>
                </w:p>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区域</w:t>
                  </w: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年评价指标</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现状浓度（u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1294"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r>
                    <w:rPr>
                      <w:rFonts w:hint="default" w:ascii="Times New Roman" w:hAnsi="Times New Roman" w:cs="Times New Roman"/>
                      <w:color w:val="auto"/>
                      <w:sz w:val="22"/>
                      <w:szCs w:val="22"/>
                      <w:u w:val="none" w:color="auto"/>
                      <w:lang w:val="en-US" w:eastAsia="zh-CN"/>
                    </w:rPr>
                    <w:t>（u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超标倍数%</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湘阴县</w:t>
                  </w: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SO</w:t>
                  </w:r>
                  <w:r>
                    <w:rPr>
                      <w:rFonts w:hint="default" w:ascii="Times New Roman" w:hAnsi="Times New Roman" w:cs="Times New Roman"/>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5.67</w:t>
                  </w:r>
                </w:p>
              </w:tc>
              <w:tc>
                <w:tcPr>
                  <w:tcW w:w="1294"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NO</w:t>
                  </w:r>
                  <w:r>
                    <w:rPr>
                      <w:rFonts w:hint="default" w:ascii="Times New Roman" w:hAnsi="Times New Roman" w:cs="Times New Roman"/>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23.00</w:t>
                  </w:r>
                </w:p>
              </w:tc>
              <w:tc>
                <w:tcPr>
                  <w:tcW w:w="1294"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rPr>
                    <w:t>10</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51.42</w:t>
                  </w:r>
                </w:p>
              </w:tc>
              <w:tc>
                <w:tcPr>
                  <w:tcW w:w="1294"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70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39.33</w:t>
                  </w:r>
                </w:p>
              </w:tc>
              <w:tc>
                <w:tcPr>
                  <w:tcW w:w="1294" w:type="dxa"/>
                  <w:tcBorders>
                    <w:tl2br w:val="nil"/>
                    <w:tr2bl w:val="nil"/>
                  </w:tcBorders>
                  <w:noWrap w:val="0"/>
                  <w:vAlign w:val="center"/>
                </w:tcPr>
                <w:p>
                  <w:pPr>
                    <w:pStyle w:val="186"/>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35</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0.12</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lang w:eastAsia="zh-CN"/>
                    </w:rPr>
                    <w:t>不</w:t>
                  </w:r>
                  <w:r>
                    <w:rPr>
                      <w:rFonts w:hint="default" w:ascii="Times New Roman" w:hAnsi="Times New Roman" w:cs="Times New Roman"/>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C</w:t>
                  </w:r>
                  <w:r>
                    <w:rPr>
                      <w:rFonts w:hint="default" w:ascii="Times New Roman" w:hAnsi="Times New Roman" w:cs="Times New Roman"/>
                      <w:color w:val="auto"/>
                      <w:sz w:val="22"/>
                      <w:szCs w:val="22"/>
                      <w:u w:val="none" w:color="auto"/>
                    </w:rPr>
                    <w:t>O</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95百分位数</w:t>
                  </w:r>
                  <w:r>
                    <w:rPr>
                      <w:rFonts w:hint="default" w:ascii="Times New Roman" w:hAnsi="Times New Roman" w:cs="Times New Roman"/>
                      <w:color w:val="auto"/>
                      <w:sz w:val="22"/>
                      <w:szCs w:val="22"/>
                      <w:u w:val="none" w:color="auto"/>
                      <w:lang w:eastAsia="zh-CN"/>
                    </w:rPr>
                    <w:t>日平均质量浓度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1.04</w:t>
                  </w:r>
                </w:p>
              </w:tc>
              <w:tc>
                <w:tcPr>
                  <w:tcW w:w="1294"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4000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O</w:t>
                  </w:r>
                  <w:r>
                    <w:rPr>
                      <w:rFonts w:hint="default" w:ascii="Times New Roman" w:hAnsi="Times New Roman" w:cs="Times New Roman"/>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90百分位数</w:t>
                  </w:r>
                  <w:r>
                    <w:rPr>
                      <w:rFonts w:hint="default" w:ascii="Times New Roman" w:hAnsi="Times New Roman" w:cs="Times New Roman"/>
                      <w:color w:val="auto"/>
                      <w:sz w:val="22"/>
                      <w:szCs w:val="22"/>
                      <w:u w:val="none" w:color="auto"/>
                      <w:lang w:eastAsia="zh-CN"/>
                    </w:rPr>
                    <w:t>最大</w:t>
                  </w:r>
                  <w:r>
                    <w:rPr>
                      <w:rFonts w:hint="default" w:ascii="Times New Roman" w:hAnsi="Times New Roman" w:cs="Times New Roman"/>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101.67</w:t>
                  </w:r>
                </w:p>
              </w:tc>
              <w:tc>
                <w:tcPr>
                  <w:tcW w:w="1294"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160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pStyle w:val="174"/>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由上表可知，湘阴县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出现超标，</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的超标倍数为0.12，项目所在区域为环境空气质量不达标区。</w:t>
            </w:r>
          </w:p>
          <w:p>
            <w:pPr>
              <w:pStyle w:val="37"/>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根据</w:t>
            </w:r>
            <w:r>
              <w:rPr>
                <w:rFonts w:hint="default" w:ascii="Times New Roman" w:hAnsi="Times New Roman" w:cs="Times New Roman"/>
                <w:color w:val="auto"/>
                <w:sz w:val="24"/>
                <w:szCs w:val="24"/>
                <w:u w:val="none" w:color="auto"/>
                <w:lang w:eastAsia="zh-CN"/>
              </w:rPr>
              <w:t>《湖南省污染防治攻坚战三年行动计划(2018—2020年)》、《岳阳市洞庭湖生态环境专项整治三年行动实施方案（2018—2020年）》及《湘阴县城镇（乡）黑臭水体治理三年行动（2018-2020年）初步实施计划》，湘阴县近期采取产业和能源结构调整措施、大气污染治理的措施等一系列措施，同时</w:t>
            </w:r>
            <w:r>
              <w:rPr>
                <w:rFonts w:hint="default" w:ascii="Times New Roman" w:hAnsi="Times New Roman" w:cs="Times New Roman"/>
                <w:color w:val="auto"/>
                <w:sz w:val="24"/>
                <w:szCs w:val="24"/>
                <w:u w:val="none" w:color="auto"/>
                <w:lang w:val="en-US" w:eastAsia="zh-CN"/>
              </w:rPr>
              <w:t>根据表3-1及3-2中2018年和2019年环境空气质量现状对比可知，</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lang w:val="en-US" w:eastAsia="zh-CN"/>
              </w:rPr>
              <w:t>环境空气质量正在逐步改善。</w:t>
            </w:r>
            <w:bookmarkEnd w:id="5"/>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本项目特征因子为“</w:t>
            </w:r>
            <w:r>
              <w:rPr>
                <w:rFonts w:hint="default" w:ascii="Times New Roman" w:hAnsi="Times New Roman" w:cs="Times New Roman"/>
                <w:color w:val="auto"/>
                <w:sz w:val="24"/>
                <w:szCs w:val="24"/>
                <w:u w:val="none" w:color="auto"/>
              </w:rPr>
              <w:t>TVOC</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eastAsia="zh-CN"/>
              </w:rPr>
              <w:t>故</w:t>
            </w:r>
            <w:r>
              <w:rPr>
                <w:rFonts w:hint="default" w:ascii="Times New Roman" w:hAnsi="Times New Roman" w:cs="Times New Roman"/>
                <w:color w:val="auto"/>
                <w:sz w:val="24"/>
                <w:szCs w:val="24"/>
                <w:u w:val="none" w:color="auto"/>
              </w:rPr>
              <w:t>本环评</w:t>
            </w:r>
            <w:r>
              <w:rPr>
                <w:rFonts w:hint="eastAsia" w:cs="Times New Roman"/>
                <w:color w:val="auto"/>
                <w:sz w:val="24"/>
                <w:szCs w:val="24"/>
                <w:u w:val="none" w:color="auto"/>
                <w:lang w:val="en-US" w:eastAsia="zh-CN"/>
              </w:rPr>
              <w:t>引用《湖南仝一机械有限公司年产双层直管5000根、双层弯管5000根、眼镜板1000套、切割环1000套建设项目》中湖南中额环保科技有限公司</w:t>
            </w:r>
            <w:r>
              <w:rPr>
                <w:rFonts w:hint="default" w:ascii="Times New Roman" w:hAnsi="Times New Roman" w:cs="Times New Roman"/>
                <w:color w:val="auto"/>
                <w:sz w:val="24"/>
                <w:szCs w:val="24"/>
                <w:u w:val="none" w:color="auto"/>
                <w:lang w:val="en-US" w:eastAsia="zh-CN"/>
              </w:rPr>
              <w:t>于2020年8月27日-9月2日对</w:t>
            </w:r>
            <w:r>
              <w:rPr>
                <w:rFonts w:hint="eastAsia" w:cs="Times New Roman"/>
                <w:color w:val="auto"/>
                <w:sz w:val="24"/>
                <w:szCs w:val="24"/>
                <w:u w:val="none" w:color="auto"/>
                <w:lang w:val="en-US" w:eastAsia="zh-CN"/>
              </w:rPr>
              <w:t>该</w:t>
            </w:r>
            <w:r>
              <w:rPr>
                <w:rFonts w:hint="default" w:ascii="Times New Roman" w:hAnsi="Times New Roman" w:cs="Times New Roman"/>
                <w:color w:val="auto"/>
                <w:sz w:val="24"/>
                <w:szCs w:val="24"/>
                <w:u w:val="none" w:color="auto"/>
                <w:lang w:val="en-US" w:eastAsia="zh-CN"/>
              </w:rPr>
              <w:t>项目西侧白泥湖戒毒康复所进行了TVOC监测</w:t>
            </w:r>
            <w:r>
              <w:rPr>
                <w:rFonts w:hint="default" w:ascii="Times New Roman" w:hAnsi="Times New Roman" w:cs="Times New Roman"/>
                <w:color w:val="auto"/>
                <w:sz w:val="24"/>
                <w:szCs w:val="24"/>
                <w:u w:val="none" w:color="auto"/>
              </w:rPr>
              <w:t>。</w:t>
            </w:r>
          </w:p>
          <w:p>
            <w:pPr>
              <w:pStyle w:val="174"/>
              <w:numPr>
                <w:ilvl w:val="0"/>
                <w:numId w:val="5"/>
              </w:numPr>
              <w:spacing w:line="360" w:lineRule="auto"/>
              <w:ind w:firstLine="48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监测点位</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该</w:t>
            </w:r>
            <w:r>
              <w:rPr>
                <w:rFonts w:hint="default" w:ascii="Times New Roman" w:hAnsi="Times New Roman" w:cs="Times New Roman"/>
                <w:color w:val="auto"/>
                <w:sz w:val="24"/>
                <w:szCs w:val="24"/>
                <w:u w:val="none" w:color="auto"/>
              </w:rPr>
              <w:t>项目</w:t>
            </w:r>
            <w:r>
              <w:rPr>
                <w:rFonts w:hint="default" w:ascii="Times New Roman" w:hAnsi="Times New Roman" w:cs="Times New Roman"/>
                <w:color w:val="auto"/>
                <w:sz w:val="24"/>
                <w:szCs w:val="24"/>
                <w:u w:val="none" w:color="auto"/>
                <w:lang w:eastAsia="zh-CN"/>
              </w:rPr>
              <w:t>所在地</w:t>
            </w:r>
            <w:r>
              <w:rPr>
                <w:rFonts w:hint="default" w:ascii="Times New Roman" w:hAnsi="Times New Roman" w:cs="Times New Roman"/>
                <w:color w:val="auto"/>
                <w:sz w:val="24"/>
                <w:szCs w:val="24"/>
                <w:u w:val="none" w:color="auto"/>
                <w:lang w:val="en-US" w:eastAsia="zh-CN"/>
              </w:rPr>
              <w:t>西侧19</w:t>
            </w:r>
            <w:r>
              <w:rPr>
                <w:rFonts w:hint="eastAsia"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lang w:val="en-US" w:eastAsia="zh-CN"/>
              </w:rPr>
              <w:t>m处白泥湖戒毒康复所</w:t>
            </w:r>
            <w:r>
              <w:rPr>
                <w:rFonts w:hint="eastAsia" w:cs="Times New Roman"/>
                <w:color w:val="auto"/>
                <w:sz w:val="24"/>
                <w:szCs w:val="24"/>
                <w:u w:val="none" w:color="auto"/>
                <w:lang w:val="en-US" w:eastAsia="zh-CN"/>
              </w:rPr>
              <w:t>（位于本项目西侧1800m处）</w:t>
            </w:r>
            <w:r>
              <w:rPr>
                <w:rFonts w:hint="default" w:ascii="Times New Roman" w:hAnsi="Times New Roman" w:cs="Times New Roman"/>
                <w:color w:val="auto"/>
                <w:sz w:val="24"/>
                <w:szCs w:val="24"/>
                <w:u w:val="none" w:color="auto"/>
                <w:lang w:eastAsia="zh-CN"/>
              </w:rPr>
              <w:t>。</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）监测因子：TVOC。</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）监测结果统计与评价：</w:t>
            </w:r>
            <w:r>
              <w:rPr>
                <w:rFonts w:hint="default" w:ascii="Times New Roman" w:hAnsi="Times New Roman" w:cs="Times New Roman"/>
                <w:color w:val="auto"/>
                <w:sz w:val="24"/>
                <w:szCs w:val="24"/>
                <w:u w:val="none" w:color="auto"/>
                <w:lang w:eastAsia="zh-CN"/>
              </w:rPr>
              <w:t>引用</w:t>
            </w:r>
            <w:r>
              <w:rPr>
                <w:rFonts w:hint="default" w:ascii="Times New Roman" w:hAnsi="Times New Roman" w:cs="Times New Roman"/>
                <w:color w:val="auto"/>
                <w:sz w:val="24"/>
                <w:szCs w:val="24"/>
                <w:u w:val="none" w:color="auto"/>
              </w:rPr>
              <w:t>监测结果统计见表3-</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w:t>
            </w:r>
          </w:p>
          <w:p>
            <w:pPr>
              <w:pStyle w:val="199"/>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表3-</w:t>
            </w:r>
            <w:r>
              <w:rPr>
                <w:rFonts w:hint="default" w:ascii="Times New Roman" w:hAnsi="Times New Roman" w:cs="Times New Roman"/>
                <w:color w:val="auto"/>
                <w:u w:val="none" w:color="auto"/>
                <w:lang w:val="en-US" w:eastAsia="zh-CN"/>
              </w:rPr>
              <w:t>3</w:t>
            </w:r>
            <w:r>
              <w:rPr>
                <w:rFonts w:hint="default" w:ascii="Times New Roman" w:hAnsi="Times New Roman" w:cs="Times New Roman"/>
                <w:color w:val="auto"/>
                <w:u w:val="none" w:color="auto"/>
              </w:rPr>
              <w:t xml:space="preserve"> </w:t>
            </w:r>
            <w:r>
              <w:rPr>
                <w:rFonts w:hint="default" w:ascii="Times New Roman" w:hAnsi="Times New Roman" w:cs="Times New Roman"/>
                <w:color w:val="auto"/>
                <w:u w:val="none" w:color="auto"/>
                <w:lang w:eastAsia="zh-CN"/>
              </w:rPr>
              <w:t>引用数据</w:t>
            </w:r>
            <w:r>
              <w:rPr>
                <w:rFonts w:hint="default" w:ascii="Times New Roman" w:hAnsi="Times New Roman" w:cs="Times New Roman"/>
                <w:color w:val="auto"/>
                <w:u w:val="none" w:color="auto"/>
              </w:rPr>
              <w:t>统计结果  单位：（mg/m</w:t>
            </w:r>
            <w:r>
              <w:rPr>
                <w:rFonts w:hint="default" w:ascii="Times New Roman" w:hAnsi="Times New Roman" w:cs="Times New Roman"/>
                <w:color w:val="auto"/>
                <w:u w:val="none" w:color="auto"/>
                <w:vertAlign w:val="superscript"/>
              </w:rPr>
              <w:t>3</w:t>
            </w:r>
            <w:r>
              <w:rPr>
                <w:rFonts w:hint="default" w:ascii="Times New Roman" w:hAnsi="Times New Roman" w:cs="Times New Roman"/>
                <w:color w:val="auto"/>
                <w:u w:val="none" w:color="auto"/>
              </w:rPr>
              <w:t>）</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3925"/>
              <w:gridCol w:w="2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3947"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p>
              </w:tc>
              <w:tc>
                <w:tcPr>
                  <w:tcW w:w="2263"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TVOC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restart"/>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G1</w:t>
                  </w:r>
                </w:p>
              </w:tc>
              <w:tc>
                <w:tcPr>
                  <w:tcW w:w="3947"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浓度范围</w:t>
                  </w:r>
                </w:p>
              </w:tc>
              <w:tc>
                <w:tcPr>
                  <w:tcW w:w="2263" w:type="dxa"/>
                  <w:noWrap w:val="0"/>
                  <w:vAlign w:val="center"/>
                </w:tcPr>
                <w:p>
                  <w:pPr>
                    <w:pStyle w:val="186"/>
                    <w:spacing w:line="360" w:lineRule="auto"/>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0.333-0.341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continue"/>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3947"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超标率（%）</w:t>
                  </w:r>
                </w:p>
              </w:tc>
              <w:tc>
                <w:tcPr>
                  <w:tcW w:w="2263"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continue"/>
                  <w:noWrap w:val="0"/>
                  <w:vAlign w:val="center"/>
                </w:tcPr>
                <w:p>
                  <w:pPr>
                    <w:pStyle w:val="186"/>
                    <w:spacing w:line="360" w:lineRule="auto"/>
                    <w:rPr>
                      <w:rFonts w:hint="default" w:ascii="Times New Roman" w:hAnsi="Times New Roman" w:cs="Times New Roman"/>
                      <w:color w:val="auto"/>
                      <w:sz w:val="22"/>
                      <w:szCs w:val="22"/>
                      <w:u w:val="none" w:color="auto"/>
                    </w:rPr>
                  </w:pPr>
                </w:p>
              </w:tc>
              <w:tc>
                <w:tcPr>
                  <w:tcW w:w="3947"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最大超标倍数</w:t>
                  </w:r>
                </w:p>
              </w:tc>
              <w:tc>
                <w:tcPr>
                  <w:tcW w:w="2263"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3947"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TVOC为八小时值</w:t>
                  </w:r>
                </w:p>
              </w:tc>
              <w:tc>
                <w:tcPr>
                  <w:tcW w:w="2263" w:type="dxa"/>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0.6</w:t>
                  </w:r>
                </w:p>
              </w:tc>
            </w:tr>
          </w:tbl>
          <w:p>
            <w:pPr>
              <w:bidi w:val="0"/>
              <w:spacing w:line="360" w:lineRule="auto"/>
              <w:ind w:firstLine="699" w:firstLineChars="300"/>
              <w:rPr>
                <w:rFonts w:hint="default" w:ascii="Times New Roman" w:hAnsi="Times New Roman" w:cs="Times New Roman"/>
                <w:b/>
                <w:bCs/>
                <w:color w:val="auto"/>
                <w:sz w:val="24"/>
                <w:szCs w:val="24"/>
                <w:u w:val="none" w:color="auto"/>
              </w:rPr>
            </w:pPr>
            <w:r>
              <w:rPr>
                <w:rFonts w:hint="default" w:ascii="Times New Roman" w:hAnsi="Times New Roman" w:cs="Times New Roman"/>
                <w:color w:val="auto"/>
                <w:sz w:val="24"/>
                <w:szCs w:val="24"/>
                <w:u w:val="none" w:color="auto"/>
              </w:rPr>
              <w:t>由上表</w:t>
            </w:r>
            <w:r>
              <w:rPr>
                <w:rFonts w:hint="default" w:ascii="Times New Roman" w:hAnsi="Times New Roman" w:cs="Times New Roman"/>
                <w:color w:val="auto"/>
                <w:sz w:val="24"/>
                <w:szCs w:val="24"/>
                <w:u w:val="none" w:color="auto"/>
                <w:lang w:val="en-US" w:eastAsia="zh-CN"/>
              </w:rPr>
              <w:t>3-3</w:t>
            </w:r>
            <w:r>
              <w:rPr>
                <w:rFonts w:hint="default" w:ascii="Times New Roman" w:hAnsi="Times New Roman" w:cs="Times New Roman"/>
                <w:color w:val="auto"/>
                <w:sz w:val="24"/>
                <w:szCs w:val="24"/>
                <w:u w:val="none" w:color="auto"/>
              </w:rPr>
              <w:t>可见，TVOC满足</w:t>
            </w:r>
            <w:r>
              <w:rPr>
                <w:rFonts w:hint="default" w:ascii="Times New Roman" w:hAnsi="Times New Roman" w:cs="Times New Roman"/>
                <w:color w:val="auto"/>
                <w:sz w:val="24"/>
                <w:szCs w:val="24"/>
                <w:u w:val="none" w:color="auto"/>
                <w:lang w:eastAsia="zh-CN"/>
              </w:rPr>
              <w:t>《环境影响评价技术导则 大气环境》（HJ2.2-2018）附录D中相应的标准。</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3.2地表水环境质量现状</w:t>
            </w:r>
          </w:p>
          <w:p>
            <w:pPr>
              <w:spacing w:line="360" w:lineRule="auto"/>
              <w:ind w:firstLine="466" w:firstLineChars="200"/>
              <w:textAlignment w:val="baseline"/>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生活污水经三级化粪池处理后回用于周边农田、绿化施肥，不外排；</w:t>
            </w:r>
            <w:r>
              <w:rPr>
                <w:rFonts w:hint="eastAsia" w:cs="Times New Roman"/>
                <w:color w:val="auto"/>
                <w:sz w:val="24"/>
                <w:szCs w:val="24"/>
                <w:u w:val="none" w:color="auto"/>
                <w:lang w:val="en-US" w:eastAsia="zh-CN"/>
              </w:rPr>
              <w:t>生产</w:t>
            </w:r>
            <w:r>
              <w:rPr>
                <w:rFonts w:hint="default" w:ascii="Times New Roman" w:hAnsi="Times New Roman" w:cs="Times New Roman"/>
                <w:color w:val="auto"/>
                <w:sz w:val="24"/>
                <w:szCs w:val="24"/>
                <w:u w:val="none" w:color="auto"/>
                <w:lang w:val="en-US" w:eastAsia="zh-CN"/>
              </w:rPr>
              <w:t>废水经收集后循环使用，不外排。</w:t>
            </w:r>
            <w:r>
              <w:rPr>
                <w:rFonts w:hint="default" w:ascii="Times New Roman" w:hAnsi="Times New Roman" w:cs="Times New Roman"/>
                <w:color w:val="auto"/>
                <w:sz w:val="24"/>
                <w:szCs w:val="24"/>
                <w:u w:val="none" w:color="auto"/>
              </w:rPr>
              <w:t>为了解建设项目所在地的地表水环境状况</w:t>
            </w:r>
            <w:r>
              <w:rPr>
                <w:rFonts w:hint="default" w:ascii="Times New Roman" w:hAnsi="Times New Roman" w:cs="Times New Roman"/>
                <w:color w:val="auto"/>
                <w:sz w:val="24"/>
                <w:szCs w:val="24"/>
                <w:u w:val="none" w:color="auto"/>
                <w:lang w:eastAsia="zh-CN"/>
              </w:rPr>
              <w:t>，本次环评</w:t>
            </w:r>
            <w:r>
              <w:rPr>
                <w:rFonts w:hint="eastAsia" w:cs="Times New Roman"/>
                <w:color w:val="auto"/>
                <w:sz w:val="24"/>
                <w:szCs w:val="24"/>
                <w:u w:val="none" w:color="auto"/>
                <w:lang w:val="en-US" w:eastAsia="zh-CN"/>
              </w:rPr>
              <w:t>委托湖南中骏高新科技股份有限公司</w:t>
            </w:r>
            <w:r>
              <w:rPr>
                <w:rFonts w:hint="default" w:ascii="Times New Roman" w:hAnsi="Times New Roman" w:cs="Times New Roman"/>
                <w:color w:val="auto"/>
                <w:sz w:val="24"/>
                <w:szCs w:val="24"/>
                <w:u w:val="none" w:color="auto"/>
                <w:lang w:val="en-US" w:eastAsia="zh-CN"/>
              </w:rPr>
              <w:t>对</w:t>
            </w:r>
            <w:r>
              <w:rPr>
                <w:rFonts w:hint="default" w:ascii="Times New Roman" w:hAnsi="Times New Roman" w:eastAsia="宋体" w:cs="Times New Roman"/>
                <w:color w:val="auto"/>
                <w:sz w:val="24"/>
                <w:szCs w:val="24"/>
                <w:u w:val="none" w:color="auto"/>
                <w:vertAlign w:val="baseline"/>
                <w:lang w:val="en-US" w:eastAsia="zh-CN"/>
              </w:rPr>
              <w:t>项目附近地表水</w:t>
            </w:r>
            <w:r>
              <w:rPr>
                <w:rFonts w:hint="eastAsia" w:cs="Times New Roman"/>
                <w:color w:val="auto"/>
                <w:sz w:val="24"/>
                <w:szCs w:val="24"/>
                <w:u w:val="none" w:color="auto"/>
                <w:vertAlign w:val="baseline"/>
                <w:lang w:val="en-US" w:eastAsia="zh-CN"/>
              </w:rPr>
              <w:t>（西南侧农灌渠、东南侧夹河）</w:t>
            </w:r>
            <w:r>
              <w:rPr>
                <w:rFonts w:hint="default" w:ascii="Times New Roman" w:hAnsi="Times New Roman" w:cs="Times New Roman"/>
                <w:color w:val="auto"/>
                <w:sz w:val="24"/>
                <w:szCs w:val="24"/>
                <w:u w:val="none" w:color="auto"/>
                <w:lang w:val="en-US" w:eastAsia="zh-CN"/>
              </w:rPr>
              <w:t>进行监测</w:t>
            </w:r>
            <w:r>
              <w:rPr>
                <w:rStyle w:val="204"/>
                <w:rFonts w:hint="default" w:ascii="Times New Roman" w:hAnsi="Times New Roman" w:eastAsia="宋体" w:cs="Times New Roman"/>
                <w:bCs/>
                <w:color w:val="auto"/>
                <w:sz w:val="24"/>
                <w:szCs w:val="24"/>
                <w:u w:val="none" w:color="auto"/>
                <w:lang w:eastAsia="zh-CN"/>
              </w:rPr>
              <w:t>。</w:t>
            </w:r>
            <w:r>
              <w:rPr>
                <w:rFonts w:hint="default" w:ascii="Times New Roman" w:hAnsi="Times New Roman" w:cs="Times New Roman"/>
                <w:color w:val="auto"/>
                <w:sz w:val="24"/>
                <w:szCs w:val="24"/>
                <w:u w:val="none" w:color="auto"/>
              </w:rPr>
              <w:t>具体监测情况</w:t>
            </w:r>
            <w:r>
              <w:rPr>
                <w:rFonts w:hint="default" w:ascii="Times New Roman" w:hAnsi="Times New Roman" w:cs="Times New Roman"/>
                <w:color w:val="auto"/>
                <w:sz w:val="24"/>
                <w:szCs w:val="24"/>
                <w:u w:val="none" w:color="auto"/>
                <w:lang w:val="en-US" w:eastAsia="zh-CN"/>
              </w:rPr>
              <w:t>及监测点位</w:t>
            </w:r>
            <w:r>
              <w:rPr>
                <w:rFonts w:hint="default" w:ascii="Times New Roman" w:hAnsi="Times New Roman" w:cs="Times New Roman"/>
                <w:color w:val="auto"/>
                <w:sz w:val="24"/>
                <w:szCs w:val="24"/>
                <w:u w:val="none" w:color="auto"/>
              </w:rPr>
              <w:t>详见下表。</w:t>
            </w:r>
          </w:p>
          <w:p>
            <w:pPr>
              <w:keepNext w:val="0"/>
              <w:keepLines w:val="0"/>
              <w:widowControl/>
              <w:suppressLineNumbers w:val="0"/>
              <w:jc w:val="center"/>
              <w:rPr>
                <w:rFonts w:hint="default" w:ascii="Times New Roman" w:hAnsi="Times New Roman" w:eastAsia="宋体" w:cs="Times New Roman"/>
                <w:b/>
                <w:color w:val="auto"/>
                <w:kern w:val="0"/>
                <w:sz w:val="22"/>
                <w:szCs w:val="22"/>
                <w:u w:val="none" w:color="auto"/>
                <w:lang w:val="en-US" w:eastAsia="zh-CN" w:bidi="ar"/>
              </w:rPr>
            </w:pPr>
            <w:r>
              <w:rPr>
                <w:rFonts w:hint="default" w:ascii="Times New Roman" w:hAnsi="Times New Roman" w:eastAsia="宋体" w:cs="Times New Roman"/>
                <w:b/>
                <w:color w:val="auto"/>
                <w:kern w:val="0"/>
                <w:sz w:val="22"/>
                <w:szCs w:val="22"/>
                <w:u w:val="none" w:color="auto"/>
                <w:lang w:val="en-US" w:eastAsia="zh-CN" w:bidi="ar"/>
              </w:rPr>
              <w:t>表 3-</w:t>
            </w:r>
            <w:r>
              <w:rPr>
                <w:rFonts w:hint="eastAsia" w:ascii="Times New Roman" w:hAnsi="Times New Roman" w:cs="Times New Roman"/>
                <w:b/>
                <w:color w:val="auto"/>
                <w:kern w:val="0"/>
                <w:sz w:val="22"/>
                <w:szCs w:val="22"/>
                <w:u w:val="none" w:color="auto"/>
                <w:lang w:val="en-US" w:eastAsia="zh-CN" w:bidi="ar"/>
              </w:rPr>
              <w:t>4</w:t>
            </w:r>
            <w:r>
              <w:rPr>
                <w:rFonts w:hint="default" w:ascii="Times New Roman" w:hAnsi="Times New Roman" w:eastAsia="宋体" w:cs="Times New Roman"/>
                <w:b/>
                <w:color w:val="auto"/>
                <w:kern w:val="0"/>
                <w:sz w:val="22"/>
                <w:szCs w:val="22"/>
                <w:u w:val="none" w:color="auto"/>
                <w:lang w:val="en-US" w:eastAsia="zh-CN" w:bidi="ar"/>
              </w:rPr>
              <w:t xml:space="preserve"> 项目地表水现状监测点位一览表</w:t>
            </w:r>
          </w:p>
          <w:tbl>
            <w:tblPr>
              <w:tblStyle w:val="4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3000"/>
              <w:gridCol w:w="45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3" w:type="dxa"/>
                  <w:tcBorders>
                    <w:tl2br w:val="nil"/>
                    <w:tr2bl w:val="nil"/>
                  </w:tcBorders>
                  <w:noWrap w:val="0"/>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sz w:val="22"/>
                      <w:szCs w:val="22"/>
                      <w:u w:val="none" w:color="auto"/>
                      <w:vertAlign w:val="baseline"/>
                      <w:lang w:eastAsia="zh-CN"/>
                    </w:rPr>
                    <w:t>监测时间</w:t>
                  </w:r>
                </w:p>
              </w:tc>
              <w:tc>
                <w:tcPr>
                  <w:tcW w:w="3000" w:type="dxa"/>
                  <w:tcBorders>
                    <w:tl2br w:val="nil"/>
                    <w:tr2bl w:val="nil"/>
                  </w:tcBorders>
                  <w:noWrap w:val="0"/>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sz w:val="22"/>
                      <w:szCs w:val="22"/>
                      <w:u w:val="none" w:color="auto"/>
                      <w:vertAlign w:val="baseline"/>
                      <w:lang w:eastAsia="zh-CN"/>
                    </w:rPr>
                    <w:t>监测点位</w:t>
                  </w:r>
                </w:p>
              </w:tc>
              <w:tc>
                <w:tcPr>
                  <w:tcW w:w="4550" w:type="dxa"/>
                  <w:tcBorders>
                    <w:tl2br w:val="nil"/>
                    <w:tr2bl w:val="nil"/>
                  </w:tcBorders>
                  <w:noWrap w:val="0"/>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sz w:val="22"/>
                      <w:szCs w:val="22"/>
                      <w:u w:val="none" w:color="auto"/>
                      <w:vertAlign w:val="baseline"/>
                      <w:lang w:eastAsia="zh-CN"/>
                    </w:rPr>
                    <w:t>监测因子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63" w:type="dxa"/>
                  <w:vMerge w:val="restart"/>
                  <w:tcBorders>
                    <w:tl2br w:val="nil"/>
                    <w:tr2bl w:val="nil"/>
                  </w:tcBorders>
                  <w:noWrap w:val="0"/>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sz w:val="22"/>
                      <w:szCs w:val="22"/>
                      <w:u w:val="none" w:color="auto"/>
                      <w:vertAlign w:val="baseline"/>
                      <w:lang w:val="en-US" w:eastAsia="zh-CN"/>
                    </w:rPr>
                    <w:t>20</w:t>
                  </w:r>
                  <w:r>
                    <w:rPr>
                      <w:rFonts w:hint="eastAsia" w:cs="Times New Roman"/>
                      <w:color w:val="auto"/>
                      <w:sz w:val="22"/>
                      <w:szCs w:val="22"/>
                      <w:u w:val="none" w:color="auto"/>
                      <w:vertAlign w:val="baseline"/>
                      <w:lang w:val="en-US" w:eastAsia="zh-CN"/>
                    </w:rPr>
                    <w:t>20</w:t>
                  </w:r>
                  <w:r>
                    <w:rPr>
                      <w:rFonts w:hint="default" w:ascii="Times New Roman" w:hAnsi="Times New Roman" w:eastAsia="宋体" w:cs="Times New Roman"/>
                      <w:color w:val="auto"/>
                      <w:sz w:val="22"/>
                      <w:szCs w:val="22"/>
                      <w:u w:val="none" w:color="auto"/>
                      <w:vertAlign w:val="baseline"/>
                      <w:lang w:val="en-US" w:eastAsia="zh-CN"/>
                    </w:rPr>
                    <w:t>年</w:t>
                  </w:r>
                  <w:r>
                    <w:rPr>
                      <w:rFonts w:hint="eastAsia" w:cs="Times New Roman"/>
                      <w:color w:val="auto"/>
                      <w:sz w:val="22"/>
                      <w:szCs w:val="22"/>
                      <w:u w:val="none" w:color="auto"/>
                      <w:vertAlign w:val="baseline"/>
                      <w:lang w:val="en-US" w:eastAsia="zh-CN"/>
                    </w:rPr>
                    <w:t>7</w:t>
                  </w:r>
                  <w:r>
                    <w:rPr>
                      <w:rFonts w:hint="default" w:ascii="Times New Roman" w:hAnsi="Times New Roman" w:eastAsia="宋体" w:cs="Times New Roman"/>
                      <w:color w:val="auto"/>
                      <w:sz w:val="22"/>
                      <w:szCs w:val="22"/>
                      <w:u w:val="none" w:color="auto"/>
                      <w:vertAlign w:val="baseline"/>
                      <w:lang w:val="en-US" w:eastAsia="zh-CN"/>
                    </w:rPr>
                    <w:t>月</w:t>
                  </w:r>
                  <w:r>
                    <w:rPr>
                      <w:rFonts w:hint="eastAsia" w:cs="Times New Roman"/>
                      <w:color w:val="auto"/>
                      <w:sz w:val="22"/>
                      <w:szCs w:val="22"/>
                      <w:u w:val="none" w:color="auto"/>
                      <w:vertAlign w:val="baseline"/>
                      <w:lang w:val="en-US" w:eastAsia="zh-CN"/>
                    </w:rPr>
                    <w:t>10-11</w:t>
                  </w:r>
                  <w:r>
                    <w:rPr>
                      <w:rFonts w:hint="default" w:ascii="Times New Roman" w:hAnsi="Times New Roman" w:eastAsia="宋体" w:cs="Times New Roman"/>
                      <w:color w:val="auto"/>
                      <w:sz w:val="22"/>
                      <w:szCs w:val="22"/>
                      <w:u w:val="none" w:color="auto"/>
                      <w:vertAlign w:val="baseline"/>
                      <w:lang w:val="en-US" w:eastAsia="zh-CN"/>
                    </w:rPr>
                    <w:t>日</w:t>
                  </w:r>
                </w:p>
              </w:tc>
              <w:tc>
                <w:tcPr>
                  <w:tcW w:w="3000" w:type="dxa"/>
                  <w:tcBorders>
                    <w:tl2br w:val="nil"/>
                    <w:tr2bl w:val="nil"/>
                  </w:tcBorders>
                  <w:noWrap w:val="0"/>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val="en-US" w:eastAsia="zh-CN"/>
                    </w:rPr>
                  </w:pPr>
                  <w:r>
                    <w:rPr>
                      <w:rFonts w:hint="default" w:ascii="Times New Roman" w:hAnsi="Times New Roman" w:eastAsia="宋体" w:cs="Times New Roman"/>
                      <w:color w:val="auto"/>
                      <w:sz w:val="22"/>
                      <w:szCs w:val="22"/>
                      <w:u w:val="none" w:color="auto"/>
                      <w:vertAlign w:val="baseline"/>
                      <w:lang w:val="en-US" w:eastAsia="zh-CN"/>
                    </w:rPr>
                    <w:t>项目所在区域</w:t>
                  </w:r>
                  <w:r>
                    <w:rPr>
                      <w:rFonts w:hint="eastAsia" w:cs="Times New Roman"/>
                      <w:color w:val="auto"/>
                      <w:sz w:val="22"/>
                      <w:szCs w:val="22"/>
                      <w:u w:val="none" w:color="auto"/>
                      <w:vertAlign w:val="baseline"/>
                      <w:lang w:val="en-US" w:eastAsia="zh-CN"/>
                    </w:rPr>
                    <w:t>西南侧农灌渠</w:t>
                  </w:r>
                </w:p>
              </w:tc>
              <w:tc>
                <w:tcPr>
                  <w:tcW w:w="4550" w:type="dxa"/>
                  <w:vMerge w:val="restart"/>
                  <w:tcBorders>
                    <w:tl2br w:val="nil"/>
                    <w:tr2bl w:val="nil"/>
                  </w:tcBorders>
                  <w:noWrap w:val="0"/>
                  <w:vAlign w:val="center"/>
                </w:tcPr>
                <w:p>
                  <w:pPr>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ascii="Times New Roman" w:hAnsi="Times New Roman" w:eastAsia="宋体" w:cs="Times New Roman"/>
                      <w:color w:val="auto"/>
                      <w:sz w:val="22"/>
                      <w:szCs w:val="22"/>
                      <w:u w:val="none" w:color="auto"/>
                      <w:vertAlign w:val="baseline"/>
                      <w:lang w:val="en-US" w:eastAsia="zh-CN"/>
                    </w:rPr>
                  </w:pPr>
                  <w:r>
                    <w:rPr>
                      <w:rFonts w:hint="default" w:ascii="Times New Roman" w:hAnsi="Times New Roman" w:eastAsia="宋体" w:cs="Times New Roman"/>
                      <w:color w:val="auto"/>
                      <w:kern w:val="2"/>
                      <w:sz w:val="22"/>
                      <w:szCs w:val="22"/>
                      <w:u w:val="none" w:color="auto"/>
                      <w:vertAlign w:val="baseline"/>
                      <w:lang w:val="en-US" w:eastAsia="zh-CN" w:bidi="ar-SA"/>
                    </w:rPr>
                    <w:t>PH</w:t>
                  </w:r>
                  <w:r>
                    <w:rPr>
                      <w:rFonts w:hint="eastAsia" w:cs="Times New Roman"/>
                      <w:color w:val="auto"/>
                      <w:kern w:val="2"/>
                      <w:sz w:val="22"/>
                      <w:szCs w:val="22"/>
                      <w:u w:val="none" w:color="auto"/>
                      <w:vertAlign w:val="baseline"/>
                      <w:lang w:val="en-US" w:eastAsia="zh-CN" w:bidi="ar-SA"/>
                    </w:rPr>
                    <w:t>值</w:t>
                  </w:r>
                  <w:r>
                    <w:rPr>
                      <w:rFonts w:hint="default" w:ascii="Times New Roman" w:hAnsi="Times New Roman" w:eastAsia="宋体" w:cs="Times New Roman"/>
                      <w:color w:val="auto"/>
                      <w:kern w:val="2"/>
                      <w:sz w:val="22"/>
                      <w:szCs w:val="22"/>
                      <w:u w:val="none" w:color="auto"/>
                      <w:vertAlign w:val="baseline"/>
                      <w:lang w:val="en-US" w:eastAsia="zh-CN" w:bidi="ar-SA"/>
                    </w:rPr>
                    <w:t>、COD、BOD</w:t>
                  </w:r>
                  <w:r>
                    <w:rPr>
                      <w:rFonts w:hint="default" w:ascii="Times New Roman" w:hAnsi="Times New Roman" w:eastAsia="宋体" w:cs="Times New Roman"/>
                      <w:color w:val="auto"/>
                      <w:kern w:val="2"/>
                      <w:sz w:val="22"/>
                      <w:szCs w:val="22"/>
                      <w:u w:val="none" w:color="auto"/>
                      <w:vertAlign w:val="subscript"/>
                      <w:lang w:val="en-US" w:eastAsia="zh-CN" w:bidi="ar-SA"/>
                    </w:rPr>
                    <w:t>5</w:t>
                  </w:r>
                  <w:r>
                    <w:rPr>
                      <w:rFonts w:hint="default" w:ascii="Times New Roman" w:hAnsi="Times New Roman" w:eastAsia="宋体" w:cs="Times New Roman"/>
                      <w:color w:val="auto"/>
                      <w:kern w:val="2"/>
                      <w:sz w:val="22"/>
                      <w:szCs w:val="22"/>
                      <w:u w:val="none" w:color="auto"/>
                      <w:vertAlign w:val="baseline"/>
                      <w:lang w:val="en-US" w:eastAsia="zh-CN" w:bidi="ar-SA"/>
                    </w:rPr>
                    <w:t>、NH</w:t>
                  </w:r>
                  <w:r>
                    <w:rPr>
                      <w:rFonts w:hint="default" w:ascii="Times New Roman" w:hAnsi="Times New Roman" w:eastAsia="宋体" w:cs="Times New Roman"/>
                      <w:color w:val="auto"/>
                      <w:kern w:val="2"/>
                      <w:sz w:val="22"/>
                      <w:szCs w:val="22"/>
                      <w:u w:val="none" w:color="auto"/>
                      <w:vertAlign w:val="subscript"/>
                      <w:lang w:val="en-US" w:eastAsia="zh-CN" w:bidi="ar-SA"/>
                    </w:rPr>
                    <w:t>3</w:t>
                  </w:r>
                  <w:r>
                    <w:rPr>
                      <w:rFonts w:hint="default" w:ascii="Times New Roman" w:hAnsi="Times New Roman" w:eastAsia="宋体" w:cs="Times New Roman"/>
                      <w:color w:val="auto"/>
                      <w:kern w:val="2"/>
                      <w:sz w:val="22"/>
                      <w:szCs w:val="22"/>
                      <w:u w:val="none" w:color="auto"/>
                      <w:vertAlign w:val="baseline"/>
                      <w:lang w:val="en-US" w:eastAsia="zh-CN" w:bidi="ar-SA"/>
                    </w:rPr>
                    <w:t>-N、SS、总磷</w:t>
                  </w:r>
                  <w:r>
                    <w:rPr>
                      <w:rFonts w:hint="default" w:ascii="Times New Roman" w:hAnsi="Times New Roman" w:eastAsia="宋体" w:cs="Times New Roman"/>
                      <w:color w:val="auto"/>
                      <w:sz w:val="22"/>
                      <w:szCs w:val="22"/>
                      <w:u w:val="none" w:color="auto"/>
                      <w:lang w:eastAsia="zh-CN"/>
                    </w:rPr>
                    <w:t>、石油类</w:t>
                  </w:r>
                  <w:r>
                    <w:rPr>
                      <w:rFonts w:hint="eastAsia" w:cs="Times New Roman"/>
                      <w:color w:val="auto"/>
                      <w:sz w:val="22"/>
                      <w:szCs w:val="22"/>
                      <w:u w:val="none" w:color="auto"/>
                      <w:lang w:eastAsia="zh-CN"/>
                    </w:rPr>
                    <w:t>、</w:t>
                  </w:r>
                  <w:r>
                    <w:rPr>
                      <w:rFonts w:hint="eastAsia" w:cs="Times New Roman"/>
                      <w:color w:val="auto"/>
                      <w:sz w:val="22"/>
                      <w:szCs w:val="22"/>
                      <w:u w:val="none" w:color="auto"/>
                      <w:lang w:val="en-US" w:eastAsia="zh-CN"/>
                    </w:rPr>
                    <w:t>粪大肠菌群、高锰酸盐指数、挥发酚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vMerge w:val="continue"/>
                  <w:tcBorders>
                    <w:tl2br w:val="nil"/>
                    <w:tr2bl w:val="nil"/>
                  </w:tcBorders>
                  <w:noWrap w:val="0"/>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p>
              </w:tc>
              <w:tc>
                <w:tcPr>
                  <w:tcW w:w="3000" w:type="dxa"/>
                  <w:tcBorders>
                    <w:tl2br w:val="nil"/>
                    <w:tr2bl w:val="nil"/>
                  </w:tcBorders>
                  <w:noWrap w:val="0"/>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val="en-US" w:eastAsia="zh-CN"/>
                    </w:rPr>
                  </w:pPr>
                  <w:r>
                    <w:rPr>
                      <w:rFonts w:hint="default" w:ascii="Times New Roman" w:hAnsi="Times New Roman" w:eastAsia="宋体" w:cs="Times New Roman"/>
                      <w:color w:val="auto"/>
                      <w:sz w:val="22"/>
                      <w:szCs w:val="22"/>
                      <w:u w:val="none" w:color="auto"/>
                      <w:vertAlign w:val="baseline"/>
                      <w:lang w:val="en-US" w:eastAsia="zh-CN"/>
                    </w:rPr>
                    <w:t>项目</w:t>
                  </w:r>
                  <w:r>
                    <w:rPr>
                      <w:rFonts w:hint="eastAsia" w:cs="Times New Roman"/>
                      <w:color w:val="auto"/>
                      <w:sz w:val="22"/>
                      <w:szCs w:val="22"/>
                      <w:u w:val="none" w:color="auto"/>
                      <w:vertAlign w:val="baseline"/>
                      <w:lang w:val="en-US" w:eastAsia="zh-CN"/>
                    </w:rPr>
                    <w:t>东南侧夹河</w:t>
                  </w:r>
                </w:p>
              </w:tc>
              <w:tc>
                <w:tcPr>
                  <w:tcW w:w="4550" w:type="dxa"/>
                  <w:vMerge w:val="continue"/>
                  <w:tcBorders>
                    <w:tl2br w:val="nil"/>
                    <w:tr2bl w:val="nil"/>
                  </w:tcBorders>
                  <w:noWrap w:val="0"/>
                  <w:vAlign w:val="center"/>
                </w:tcPr>
                <w:p>
                  <w:pPr>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ascii="Times New Roman" w:hAnsi="Times New Roman" w:eastAsia="宋体" w:cs="Times New Roman"/>
                      <w:color w:val="auto"/>
                      <w:sz w:val="22"/>
                      <w:szCs w:val="22"/>
                      <w:u w:val="none" w:color="auto"/>
                      <w:vertAlign w:val="baseline"/>
                    </w:rPr>
                  </w:pPr>
                </w:p>
              </w:tc>
            </w:tr>
          </w:tbl>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426" w:firstLineChars="200"/>
              <w:jc w:val="center"/>
              <w:textAlignment w:val="auto"/>
              <w:rPr>
                <w:rFonts w:hint="default" w:ascii="Times New Roman" w:hAnsi="Times New Roman" w:eastAsia="宋体" w:cs="Times New Roman"/>
                <w:b/>
                <w:bCs/>
                <w:color w:val="auto"/>
                <w:sz w:val="22"/>
                <w:szCs w:val="22"/>
                <w:u w:val="none" w:color="auto"/>
                <w:lang w:val="en-US" w:eastAsia="zh-CN"/>
              </w:rPr>
            </w:pPr>
            <w:r>
              <w:rPr>
                <w:rFonts w:hint="default" w:ascii="Times New Roman" w:hAnsi="Times New Roman" w:eastAsia="宋体" w:cs="Times New Roman"/>
                <w:b/>
                <w:bCs/>
                <w:color w:val="auto"/>
                <w:sz w:val="22"/>
                <w:szCs w:val="22"/>
                <w:u w:val="none" w:color="auto"/>
                <w:lang w:val="en-US" w:eastAsia="zh-CN"/>
              </w:rPr>
              <w:t>表3-</w:t>
            </w:r>
            <w:r>
              <w:rPr>
                <w:rFonts w:hint="eastAsia" w:ascii="Times New Roman" w:hAnsi="Times New Roman" w:cs="Times New Roman"/>
                <w:b/>
                <w:bCs/>
                <w:color w:val="auto"/>
                <w:sz w:val="22"/>
                <w:szCs w:val="22"/>
                <w:u w:val="none" w:color="auto"/>
                <w:lang w:val="en-US" w:eastAsia="zh-CN"/>
              </w:rPr>
              <w:t>5</w:t>
            </w:r>
            <w:r>
              <w:rPr>
                <w:rFonts w:hint="default" w:ascii="Times New Roman" w:hAnsi="Times New Roman" w:eastAsia="宋体" w:cs="Times New Roman"/>
                <w:b/>
                <w:bCs/>
                <w:color w:val="auto"/>
                <w:sz w:val="22"/>
                <w:szCs w:val="22"/>
                <w:u w:val="none" w:color="auto"/>
                <w:lang w:val="en-US" w:eastAsia="zh-CN"/>
              </w:rPr>
              <w:t xml:space="preserve">  项目所在区域地表水水质监测结果一览表</w:t>
            </w:r>
          </w:p>
          <w:tbl>
            <w:tblPr>
              <w:tblStyle w:val="40"/>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547"/>
              <w:gridCol w:w="965"/>
              <w:gridCol w:w="1125"/>
              <w:gridCol w:w="1235"/>
              <w:gridCol w:w="741"/>
              <w:gridCol w:w="770"/>
              <w:gridCol w:w="770"/>
              <w:gridCol w:w="7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23"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采样位置</w:t>
                  </w:r>
                </w:p>
              </w:tc>
              <w:tc>
                <w:tcPr>
                  <w:tcW w:w="854"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检测项目</w:t>
                  </w:r>
                </w:p>
              </w:tc>
              <w:tc>
                <w:tcPr>
                  <w:tcW w:w="533"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单位</w:t>
                  </w:r>
                </w:p>
              </w:tc>
              <w:tc>
                <w:tcPr>
                  <w:tcW w:w="1303" w:type="pct"/>
                  <w:gridSpan w:val="2"/>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检测结果</w:t>
                  </w:r>
                </w:p>
              </w:tc>
              <w:tc>
                <w:tcPr>
                  <w:tcW w:w="409"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标准限值</w:t>
                  </w:r>
                </w:p>
              </w:tc>
              <w:tc>
                <w:tcPr>
                  <w:tcW w:w="425"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sz w:val="21"/>
                      <w:szCs w:val="21"/>
                      <w:u w:val="none" w:color="auto"/>
                    </w:rPr>
                  </w:pPr>
                  <w:r>
                    <w:rPr>
                      <w:rFonts w:hint="eastAsia"/>
                      <w:color w:val="auto"/>
                      <w:kern w:val="0"/>
                      <w:szCs w:val="21"/>
                    </w:rPr>
                    <w:t>超标率</w:t>
                  </w:r>
                </w:p>
              </w:tc>
              <w:tc>
                <w:tcPr>
                  <w:tcW w:w="425"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sz w:val="21"/>
                      <w:szCs w:val="21"/>
                      <w:u w:val="none" w:color="auto"/>
                    </w:rPr>
                  </w:pPr>
                  <w:r>
                    <w:rPr>
                      <w:rFonts w:hint="eastAsia"/>
                      <w:color w:val="auto"/>
                      <w:kern w:val="0"/>
                      <w:szCs w:val="21"/>
                    </w:rPr>
                    <w:t>超标倍数</w:t>
                  </w:r>
                </w:p>
              </w:tc>
              <w:tc>
                <w:tcPr>
                  <w:tcW w:w="425" w:type="pct"/>
                  <w:vMerge w:val="restart"/>
                  <w:tcBorders>
                    <w:tl2br w:val="nil"/>
                    <w:tr2bl w:val="nil"/>
                  </w:tcBorders>
                  <w:noWrap w:val="0"/>
                  <w:vAlign w:val="center"/>
                </w:tcPr>
                <w:p>
                  <w:pPr>
                    <w:widowControl/>
                    <w:adjustRightInd w:val="0"/>
                    <w:snapToGrid w:val="0"/>
                    <w:jc w:val="center"/>
                    <w:rPr>
                      <w:color w:val="auto"/>
                      <w:kern w:val="0"/>
                      <w:szCs w:val="21"/>
                    </w:rPr>
                  </w:pPr>
                  <w:r>
                    <w:rPr>
                      <w:rFonts w:hint="eastAsia"/>
                      <w:color w:val="auto"/>
                      <w:kern w:val="0"/>
                      <w:szCs w:val="21"/>
                    </w:rPr>
                    <w:t>是否</w:t>
                  </w:r>
                </w:p>
                <w:p>
                  <w:pPr>
                    <w:widowControl/>
                    <w:adjustRightInd w:val="0"/>
                    <w:snapToGrid w:val="0"/>
                    <w:jc w:val="center"/>
                    <w:rPr>
                      <w:rFonts w:hint="default" w:ascii="Times New Roman" w:hAnsi="Times New Roman" w:eastAsia="宋体" w:cs="Times New Roman"/>
                      <w:color w:val="auto"/>
                      <w:sz w:val="21"/>
                      <w:szCs w:val="21"/>
                      <w:u w:val="none" w:color="auto"/>
                    </w:rPr>
                  </w:pPr>
                  <w:r>
                    <w:rPr>
                      <w:rFonts w:hint="eastAsia"/>
                      <w:color w:val="auto"/>
                      <w:kern w:val="0"/>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53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eastAsia" w:cs="Times New Roman"/>
                      <w:color w:val="auto"/>
                      <w:kern w:val="2"/>
                      <w:sz w:val="21"/>
                      <w:szCs w:val="21"/>
                      <w:u w:val="none" w:color="auto"/>
                      <w:lang w:val="en-US" w:eastAsia="zh-CN" w:bidi="ar-SA"/>
                    </w:rPr>
                    <w:t>7</w:t>
                  </w:r>
                  <w:r>
                    <w:rPr>
                      <w:rFonts w:hint="default" w:ascii="Times New Roman" w:hAnsi="Times New Roman" w:eastAsia="宋体" w:cs="Times New Roman"/>
                      <w:color w:val="auto"/>
                      <w:kern w:val="2"/>
                      <w:sz w:val="21"/>
                      <w:szCs w:val="21"/>
                      <w:u w:val="none" w:color="auto"/>
                      <w:lang w:val="en-US" w:eastAsia="zh-CN" w:bidi="ar-SA"/>
                    </w:rPr>
                    <w:t>月</w:t>
                  </w:r>
                  <w:r>
                    <w:rPr>
                      <w:rFonts w:hint="eastAsia" w:cs="Times New Roman"/>
                      <w:color w:val="auto"/>
                      <w:kern w:val="2"/>
                      <w:sz w:val="21"/>
                      <w:szCs w:val="21"/>
                      <w:u w:val="none" w:color="auto"/>
                      <w:lang w:val="en-US" w:eastAsia="zh-CN" w:bidi="ar-SA"/>
                    </w:rPr>
                    <w:t>10</w:t>
                  </w:r>
                  <w:r>
                    <w:rPr>
                      <w:rFonts w:hint="default" w:ascii="Times New Roman" w:hAnsi="Times New Roman" w:eastAsia="宋体" w:cs="Times New Roman"/>
                      <w:color w:val="auto"/>
                      <w:kern w:val="2"/>
                      <w:sz w:val="21"/>
                      <w:szCs w:val="21"/>
                      <w:u w:val="none" w:color="auto"/>
                      <w:lang w:val="en-US" w:eastAsia="zh-CN" w:bidi="ar-SA"/>
                    </w:rPr>
                    <w:t>日</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eastAsia" w:cs="Times New Roman"/>
                      <w:color w:val="auto"/>
                      <w:kern w:val="2"/>
                      <w:sz w:val="21"/>
                      <w:szCs w:val="21"/>
                      <w:u w:val="none" w:color="auto"/>
                      <w:lang w:val="en-US" w:eastAsia="zh-CN" w:bidi="ar-SA"/>
                    </w:rPr>
                    <w:t>7</w:t>
                  </w:r>
                  <w:r>
                    <w:rPr>
                      <w:rFonts w:hint="default" w:ascii="Times New Roman" w:hAnsi="Times New Roman" w:eastAsia="宋体" w:cs="Times New Roman"/>
                      <w:color w:val="auto"/>
                      <w:kern w:val="2"/>
                      <w:sz w:val="21"/>
                      <w:szCs w:val="21"/>
                      <w:u w:val="none" w:color="auto"/>
                      <w:lang w:val="en-US" w:eastAsia="zh-CN" w:bidi="ar-SA"/>
                    </w:rPr>
                    <w:t>月</w:t>
                  </w:r>
                  <w:r>
                    <w:rPr>
                      <w:rFonts w:hint="eastAsia" w:cs="Times New Roman"/>
                      <w:color w:val="auto"/>
                      <w:kern w:val="2"/>
                      <w:sz w:val="21"/>
                      <w:szCs w:val="21"/>
                      <w:u w:val="none" w:color="auto"/>
                      <w:lang w:val="en-US" w:eastAsia="zh-CN" w:bidi="ar-SA"/>
                    </w:rPr>
                    <w:t>11</w:t>
                  </w:r>
                  <w:r>
                    <w:rPr>
                      <w:rFonts w:hint="default" w:ascii="Times New Roman" w:hAnsi="Times New Roman" w:eastAsia="宋体" w:cs="Times New Roman"/>
                      <w:color w:val="auto"/>
                      <w:kern w:val="2"/>
                      <w:sz w:val="21"/>
                      <w:szCs w:val="21"/>
                      <w:u w:val="none" w:color="auto"/>
                      <w:lang w:val="en-US" w:eastAsia="zh-CN" w:bidi="ar-SA"/>
                    </w:rPr>
                    <w:t>日</w:t>
                  </w:r>
                </w:p>
              </w:tc>
              <w:tc>
                <w:tcPr>
                  <w:tcW w:w="409"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p>
              </w:tc>
              <w:tc>
                <w:tcPr>
                  <w:tcW w:w="425"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p>
              </w:tc>
              <w:tc>
                <w:tcPr>
                  <w:tcW w:w="425"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p>
              </w:tc>
              <w:tc>
                <w:tcPr>
                  <w:tcW w:w="425"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23"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2"/>
                      <w:szCs w:val="22"/>
                      <w:u w:val="none" w:color="auto"/>
                      <w:vertAlign w:val="baseline"/>
                      <w:lang w:val="en-US" w:eastAsia="zh-CN"/>
                    </w:rPr>
                    <w:t>项目所在区域</w:t>
                  </w:r>
                  <w:r>
                    <w:rPr>
                      <w:rFonts w:hint="eastAsia" w:cs="Times New Roman"/>
                      <w:color w:val="auto"/>
                      <w:sz w:val="22"/>
                      <w:szCs w:val="22"/>
                      <w:u w:val="none" w:color="auto"/>
                      <w:vertAlign w:val="baseline"/>
                      <w:lang w:val="en-US" w:eastAsia="zh-CN"/>
                    </w:rPr>
                    <w:t>西南侧农灌渠</w:t>
                  </w: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pH</w:t>
                  </w:r>
                  <w:r>
                    <w:rPr>
                      <w:rFonts w:hint="eastAsia" w:cs="Times New Roman"/>
                      <w:color w:val="auto"/>
                      <w:sz w:val="21"/>
                      <w:szCs w:val="21"/>
                      <w:u w:val="none" w:color="auto"/>
                      <w:lang w:val="en-US" w:eastAsia="zh-CN"/>
                    </w:rPr>
                    <w:t>值</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无量纲</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7.46</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7.52</w:t>
                  </w:r>
                </w:p>
              </w:tc>
              <w:tc>
                <w:tcPr>
                  <w:tcW w:w="409"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6-9</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化学需氧量</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12</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11</w:t>
                  </w:r>
                </w:p>
              </w:tc>
              <w:tc>
                <w:tcPr>
                  <w:tcW w:w="409"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20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kern w:val="2"/>
                      <w:sz w:val="22"/>
                      <w:szCs w:val="22"/>
                      <w:u w:val="none" w:color="auto"/>
                      <w:vertAlign w:val="baseline"/>
                      <w:lang w:val="en-US" w:eastAsia="zh-CN" w:bidi="ar-SA"/>
                    </w:rPr>
                    <w:t>BOD</w:t>
                  </w:r>
                  <w:r>
                    <w:rPr>
                      <w:rFonts w:hint="default" w:ascii="Times New Roman" w:hAnsi="Times New Roman" w:eastAsia="宋体" w:cs="Times New Roman"/>
                      <w:color w:val="auto"/>
                      <w:kern w:val="2"/>
                      <w:sz w:val="22"/>
                      <w:szCs w:val="22"/>
                      <w:u w:val="none" w:color="auto"/>
                      <w:vertAlign w:val="subscript"/>
                      <w:lang w:val="en-US" w:eastAsia="zh-CN" w:bidi="ar-SA"/>
                    </w:rPr>
                    <w:t>5</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1.6</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1.7</w:t>
                  </w:r>
                </w:p>
              </w:tc>
              <w:tc>
                <w:tcPr>
                  <w:tcW w:w="409"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4</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氨氮</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0.035</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0.039</w:t>
                  </w:r>
                </w:p>
              </w:tc>
              <w:tc>
                <w:tcPr>
                  <w:tcW w:w="40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悬浮物</w:t>
                  </w:r>
                </w:p>
              </w:tc>
              <w:tc>
                <w:tcPr>
                  <w:tcW w:w="533"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9</w:t>
                  </w:r>
                </w:p>
              </w:tc>
              <w:tc>
                <w:tcPr>
                  <w:tcW w:w="40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eastAsia="zh-CN"/>
                    </w:rPr>
                    <w:t>石油类</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0.02</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0.02</w:t>
                  </w:r>
                </w:p>
              </w:tc>
              <w:tc>
                <w:tcPr>
                  <w:tcW w:w="40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0.05</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eastAsia="zh-CN"/>
                    </w:rPr>
                    <w:t>粪大肠菌群</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个</w:t>
                  </w:r>
                  <w:r>
                    <w:rPr>
                      <w:rFonts w:hint="default" w:ascii="Times New Roman" w:hAnsi="Times New Roman" w:eastAsia="宋体" w:cs="Times New Roman"/>
                      <w:color w:val="auto"/>
                      <w:sz w:val="21"/>
                      <w:szCs w:val="21"/>
                      <w:u w:val="none" w:color="auto"/>
                      <w:lang w:val="en-US" w:eastAsia="zh-CN"/>
                    </w:rPr>
                    <w:t>/L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135</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148</w:t>
                  </w:r>
                </w:p>
              </w:tc>
              <w:tc>
                <w:tcPr>
                  <w:tcW w:w="40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10000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kern w:val="2"/>
                      <w:sz w:val="21"/>
                      <w:szCs w:val="21"/>
                      <w:u w:val="none" w:color="auto"/>
                      <w:lang w:val="en-US" w:eastAsia="zh-CN" w:bidi="ar-SA"/>
                    </w:rPr>
                    <w:t>高锰酸盐指数</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0.13</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0.15</w:t>
                  </w:r>
                </w:p>
              </w:tc>
              <w:tc>
                <w:tcPr>
                  <w:tcW w:w="40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6</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总磷</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0.05</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0.06</w:t>
                  </w:r>
                </w:p>
              </w:tc>
              <w:tc>
                <w:tcPr>
                  <w:tcW w:w="40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0.2</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挥发酚</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0.0009</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0.0011</w:t>
                  </w:r>
                </w:p>
              </w:tc>
              <w:tc>
                <w:tcPr>
                  <w:tcW w:w="40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0.005</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2"/>
                      <w:szCs w:val="22"/>
                      <w:u w:val="none" w:color="auto"/>
                      <w:vertAlign w:val="baseline"/>
                      <w:lang w:val="en-US" w:eastAsia="zh-CN"/>
                    </w:rPr>
                    <w:t>项目</w:t>
                  </w:r>
                  <w:r>
                    <w:rPr>
                      <w:rFonts w:hint="eastAsia" w:cs="Times New Roman"/>
                      <w:color w:val="auto"/>
                      <w:sz w:val="22"/>
                      <w:szCs w:val="22"/>
                      <w:u w:val="none" w:color="auto"/>
                      <w:vertAlign w:val="baseline"/>
                      <w:lang w:val="en-US" w:eastAsia="zh-CN"/>
                    </w:rPr>
                    <w:t>东南侧夹河</w:t>
                  </w: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pH</w:t>
                  </w:r>
                  <w:r>
                    <w:rPr>
                      <w:rFonts w:hint="eastAsia" w:cs="Times New Roman"/>
                      <w:color w:val="auto"/>
                      <w:sz w:val="21"/>
                      <w:szCs w:val="21"/>
                      <w:u w:val="none" w:color="auto"/>
                      <w:lang w:val="en-US" w:eastAsia="zh-CN"/>
                    </w:rPr>
                    <w:t>值</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eastAsia="zh-CN"/>
                    </w:rPr>
                    <w:t>无量纲</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7.49</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7.53</w:t>
                  </w:r>
                </w:p>
              </w:tc>
              <w:tc>
                <w:tcPr>
                  <w:tcW w:w="741"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6-9</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化学需氧量</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14</w:t>
                  </w:r>
                </w:p>
              </w:tc>
              <w:tc>
                <w:tcPr>
                  <w:tcW w:w="741"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20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kern w:val="2"/>
                      <w:sz w:val="22"/>
                      <w:szCs w:val="22"/>
                      <w:u w:val="none" w:color="auto"/>
                      <w:vertAlign w:val="baseline"/>
                      <w:lang w:val="en-US" w:eastAsia="zh-CN" w:bidi="ar-SA"/>
                    </w:rPr>
                    <w:t>BOD</w:t>
                  </w:r>
                  <w:r>
                    <w:rPr>
                      <w:rFonts w:hint="default" w:ascii="Times New Roman" w:hAnsi="Times New Roman" w:eastAsia="宋体" w:cs="Times New Roman"/>
                      <w:color w:val="auto"/>
                      <w:kern w:val="2"/>
                      <w:sz w:val="22"/>
                      <w:szCs w:val="22"/>
                      <w:u w:val="none" w:color="auto"/>
                      <w:vertAlign w:val="subscript"/>
                      <w:lang w:val="en-US" w:eastAsia="zh-CN" w:bidi="ar-SA"/>
                    </w:rPr>
                    <w:t>5</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1.7</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1.8</w:t>
                  </w:r>
                </w:p>
              </w:tc>
              <w:tc>
                <w:tcPr>
                  <w:tcW w:w="741"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4</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氨氮</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0.033</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0.035</w:t>
                  </w:r>
                </w:p>
              </w:tc>
              <w:tc>
                <w:tcPr>
                  <w:tcW w:w="741"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highlight w:val="none"/>
                      <w:u w:val="none" w:color="auto"/>
                      <w:lang w:val="en-US" w:eastAsia="zh-CN"/>
                    </w:rPr>
                    <w:t>1.0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悬浮物</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11</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9</w:t>
                  </w:r>
                </w:p>
              </w:tc>
              <w:tc>
                <w:tcPr>
                  <w:tcW w:w="741"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石油类</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0.03</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0.04</w:t>
                  </w:r>
                </w:p>
              </w:tc>
              <w:tc>
                <w:tcPr>
                  <w:tcW w:w="741"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0.05</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粪大肠菌群</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个</w:t>
                  </w:r>
                  <w:r>
                    <w:rPr>
                      <w:rFonts w:hint="default" w:ascii="Times New Roman" w:hAnsi="Times New Roman" w:eastAsia="宋体" w:cs="Times New Roman"/>
                      <w:color w:val="auto"/>
                      <w:sz w:val="21"/>
                      <w:szCs w:val="21"/>
                      <w:u w:val="none" w:color="auto"/>
                      <w:lang w:val="en-US" w:eastAsia="zh-CN"/>
                    </w:rPr>
                    <w:t>/L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139</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145</w:t>
                  </w:r>
                </w:p>
              </w:tc>
              <w:tc>
                <w:tcPr>
                  <w:tcW w:w="741"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10000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eastAsia" w:cs="Times New Roman"/>
                      <w:color w:val="auto"/>
                      <w:kern w:val="2"/>
                      <w:sz w:val="21"/>
                      <w:szCs w:val="21"/>
                      <w:u w:val="none" w:color="auto"/>
                      <w:lang w:val="en-US" w:eastAsia="zh-CN" w:bidi="ar-SA"/>
                    </w:rPr>
                    <w:t>高锰酸盐指数</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0.14</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0.16</w:t>
                  </w:r>
                </w:p>
              </w:tc>
              <w:tc>
                <w:tcPr>
                  <w:tcW w:w="741"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6</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总磷</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0.07</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0.08</w:t>
                  </w:r>
                </w:p>
              </w:tc>
              <w:tc>
                <w:tcPr>
                  <w:tcW w:w="741"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0.2</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eastAsia" w:cs="Times New Roman"/>
                      <w:color w:val="auto"/>
                      <w:sz w:val="21"/>
                      <w:szCs w:val="21"/>
                      <w:u w:val="none" w:color="auto"/>
                      <w:lang w:val="en-US" w:eastAsia="zh-CN"/>
                    </w:rPr>
                    <w:t>挥发酚</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0.0010</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0.0012</w:t>
                  </w:r>
                </w:p>
              </w:tc>
              <w:tc>
                <w:tcPr>
                  <w:tcW w:w="741"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0.005</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Style w:val="204"/>
                <w:rFonts w:hint="default" w:ascii="Times New Roman" w:hAnsi="Times New Roman" w:eastAsia="宋体" w:cs="Times New Roman"/>
                <w:bCs/>
                <w:color w:val="auto"/>
                <w:sz w:val="24"/>
                <w:szCs w:val="24"/>
                <w:u w:val="none" w:color="auto"/>
                <w:lang w:eastAsia="zh-CN"/>
              </w:rPr>
            </w:pPr>
            <w:r>
              <w:rPr>
                <w:rFonts w:hint="default" w:ascii="Times New Roman" w:hAnsi="Times New Roman" w:eastAsia="宋体" w:cs="Times New Roman"/>
                <w:color w:val="auto"/>
                <w:sz w:val="24"/>
                <w:u w:val="none" w:color="auto"/>
                <w:lang w:val="en-US" w:eastAsia="zh-CN"/>
              </w:rPr>
              <w:t>根据项目所在区域水质现状监测结</w:t>
            </w:r>
            <w:r>
              <w:rPr>
                <w:rFonts w:hint="default" w:ascii="Times New Roman" w:hAnsi="Times New Roman" w:eastAsia="宋体" w:cs="Times New Roman"/>
                <w:color w:val="auto"/>
                <w:sz w:val="24"/>
                <w:szCs w:val="24"/>
                <w:u w:val="none" w:color="auto"/>
                <w:lang w:val="en-US" w:eastAsia="zh-CN"/>
              </w:rPr>
              <w:t>果可知，</w:t>
            </w:r>
            <w:r>
              <w:rPr>
                <w:rFonts w:hint="default" w:ascii="Times New Roman" w:hAnsi="Times New Roman" w:eastAsia="宋体" w:cs="Times New Roman"/>
                <w:color w:val="auto"/>
                <w:sz w:val="24"/>
                <w:szCs w:val="24"/>
                <w:u w:val="none" w:color="auto"/>
                <w:vertAlign w:val="baseline"/>
                <w:lang w:val="en-US" w:eastAsia="zh-CN"/>
              </w:rPr>
              <w:t>项目所在区域</w:t>
            </w:r>
            <w:r>
              <w:rPr>
                <w:rFonts w:hint="eastAsia" w:cs="Times New Roman"/>
                <w:color w:val="auto"/>
                <w:sz w:val="24"/>
                <w:szCs w:val="24"/>
                <w:u w:val="none" w:color="auto"/>
                <w:vertAlign w:val="baseline"/>
                <w:lang w:val="en-US" w:eastAsia="zh-CN"/>
              </w:rPr>
              <w:t>西南侧农灌渠、</w:t>
            </w:r>
            <w:r>
              <w:rPr>
                <w:rFonts w:hint="default" w:ascii="Times New Roman" w:hAnsi="Times New Roman" w:eastAsia="宋体" w:cs="Times New Roman"/>
                <w:color w:val="auto"/>
                <w:sz w:val="24"/>
                <w:szCs w:val="24"/>
                <w:u w:val="none" w:color="auto"/>
                <w:vertAlign w:val="baseline"/>
                <w:lang w:val="en-US" w:eastAsia="zh-CN"/>
              </w:rPr>
              <w:t>项目</w:t>
            </w:r>
            <w:r>
              <w:rPr>
                <w:rFonts w:hint="eastAsia" w:cs="Times New Roman"/>
                <w:color w:val="auto"/>
                <w:sz w:val="24"/>
                <w:szCs w:val="24"/>
                <w:u w:val="none" w:color="auto"/>
                <w:vertAlign w:val="baseline"/>
                <w:lang w:val="en-US" w:eastAsia="zh-CN"/>
              </w:rPr>
              <w:t>东南侧夹河</w:t>
            </w:r>
            <w:r>
              <w:rPr>
                <w:rFonts w:hint="default" w:ascii="Times New Roman" w:hAnsi="Times New Roman" w:eastAsia="宋体" w:cs="Times New Roman"/>
                <w:color w:val="auto"/>
                <w:sz w:val="24"/>
                <w:szCs w:val="24"/>
                <w:u w:val="none" w:color="auto"/>
                <w:lang w:val="en-US" w:eastAsia="zh-CN"/>
              </w:rPr>
              <w:t>监测因子均能满足</w:t>
            </w:r>
            <w:r>
              <w:rPr>
                <w:rFonts w:hint="default" w:ascii="Times New Roman" w:hAnsi="Times New Roman" w:eastAsia="宋体" w:cs="Times New Roman"/>
                <w:color w:val="auto"/>
                <w:sz w:val="24"/>
                <w:szCs w:val="24"/>
                <w:u w:val="none" w:color="auto"/>
              </w:rPr>
              <w:t>《地表水环境质量标准》（GB3838-2002）</w:t>
            </w:r>
            <w:r>
              <w:rPr>
                <w:rFonts w:hint="default" w:ascii="Times New Roman" w:hAnsi="Times New Roman" w:eastAsia="宋体" w:cs="Times New Roman"/>
                <w:color w:val="auto"/>
                <w:kern w:val="0"/>
                <w:sz w:val="24"/>
                <w:szCs w:val="24"/>
                <w:u w:val="none" w:color="auto"/>
              </w:rPr>
              <w:t>III</w:t>
            </w:r>
            <w:r>
              <w:rPr>
                <w:rStyle w:val="204"/>
                <w:rFonts w:hint="default" w:ascii="Times New Roman" w:hAnsi="Times New Roman" w:eastAsia="宋体" w:cs="Times New Roman"/>
                <w:bCs/>
                <w:color w:val="auto"/>
                <w:sz w:val="24"/>
                <w:szCs w:val="24"/>
                <w:u w:val="none" w:color="auto"/>
              </w:rPr>
              <w:t>类</w:t>
            </w:r>
            <w:r>
              <w:rPr>
                <w:rStyle w:val="204"/>
                <w:rFonts w:hint="default" w:ascii="Times New Roman" w:hAnsi="Times New Roman" w:eastAsia="宋体" w:cs="Times New Roman"/>
                <w:bCs/>
                <w:color w:val="auto"/>
                <w:sz w:val="24"/>
                <w:szCs w:val="24"/>
                <w:u w:val="none" w:color="auto"/>
                <w:lang w:eastAsia="zh-CN"/>
              </w:rPr>
              <w:t>水质要求。项目所在区域</w:t>
            </w:r>
            <w:r>
              <w:rPr>
                <w:rStyle w:val="204"/>
                <w:rFonts w:hint="eastAsia" w:cs="Times New Roman"/>
                <w:bCs/>
                <w:color w:val="auto"/>
                <w:sz w:val="24"/>
                <w:szCs w:val="24"/>
                <w:u w:val="none" w:color="auto"/>
                <w:lang w:val="en-US" w:eastAsia="zh-CN"/>
              </w:rPr>
              <w:t>地表水</w:t>
            </w:r>
            <w:r>
              <w:rPr>
                <w:rStyle w:val="204"/>
                <w:rFonts w:hint="default" w:ascii="Times New Roman" w:hAnsi="Times New Roman" w:eastAsia="宋体" w:cs="Times New Roman"/>
                <w:bCs/>
                <w:color w:val="auto"/>
                <w:sz w:val="24"/>
                <w:szCs w:val="24"/>
                <w:u w:val="none" w:color="auto"/>
                <w:lang w:eastAsia="zh-CN"/>
              </w:rPr>
              <w:t>水质现状较好。</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lang w:val="en-US" w:eastAsia="zh-CN"/>
              </w:rPr>
              <w:t>3.3</w:t>
            </w:r>
            <w:r>
              <w:rPr>
                <w:rFonts w:hint="default" w:ascii="Times New Roman" w:hAnsi="Times New Roman" w:cs="Times New Roman"/>
                <w:b/>
                <w:bCs/>
                <w:color w:val="auto"/>
                <w:sz w:val="24"/>
                <w:szCs w:val="24"/>
                <w:u w:val="none" w:color="auto"/>
              </w:rPr>
              <w:t>声环境质量现状</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为了解项目所在地声环境质量现状，本环评特委托</w:t>
            </w:r>
            <w:r>
              <w:rPr>
                <w:rFonts w:hint="eastAsia" w:cs="Times New Roman"/>
                <w:color w:val="auto"/>
                <w:sz w:val="24"/>
                <w:szCs w:val="24"/>
                <w:u w:val="none" w:color="auto"/>
                <w:lang w:val="en-US" w:eastAsia="zh-CN"/>
              </w:rPr>
              <w:t>湖南中骏高新科技股份有限公司</w:t>
            </w:r>
            <w:r>
              <w:rPr>
                <w:rFonts w:hint="default" w:ascii="Times New Roman" w:hAnsi="Times New Roman" w:cs="Times New Roman"/>
                <w:color w:val="auto"/>
                <w:sz w:val="24"/>
                <w:szCs w:val="24"/>
                <w:u w:val="none" w:color="auto"/>
                <w:lang w:val="en-US" w:eastAsia="zh-CN"/>
              </w:rPr>
              <w:t>于2020年</w:t>
            </w:r>
            <w:r>
              <w:rPr>
                <w:rFonts w:hint="eastAsia"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lang w:val="en-US" w:eastAsia="zh-CN"/>
              </w:rPr>
              <w:t>月</w:t>
            </w:r>
            <w:r>
              <w:rPr>
                <w:rFonts w:hint="eastAsia" w:cs="Times New Roman"/>
                <w:color w:val="auto"/>
                <w:sz w:val="24"/>
                <w:szCs w:val="24"/>
                <w:u w:val="none" w:color="auto"/>
                <w:lang w:val="en-US" w:eastAsia="zh-CN"/>
              </w:rPr>
              <w:t>10</w:t>
            </w:r>
            <w:r>
              <w:rPr>
                <w:rFonts w:hint="default" w:ascii="Times New Roman" w:hAnsi="Times New Roman" w:cs="Times New Roman"/>
                <w:color w:val="auto"/>
                <w:sz w:val="24"/>
                <w:szCs w:val="24"/>
                <w:u w:val="none" w:color="auto"/>
                <w:lang w:val="en-US" w:eastAsia="zh-CN"/>
              </w:rPr>
              <w:t>日-</w:t>
            </w:r>
            <w:r>
              <w:rPr>
                <w:rFonts w:hint="eastAsia"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lang w:val="en-US" w:eastAsia="zh-CN"/>
              </w:rPr>
              <w:t>月</w:t>
            </w:r>
            <w:r>
              <w:rPr>
                <w:rFonts w:hint="eastAsia" w:cs="Times New Roman"/>
                <w:color w:val="auto"/>
                <w:sz w:val="24"/>
                <w:szCs w:val="24"/>
                <w:u w:val="none" w:color="auto"/>
                <w:lang w:val="en-US" w:eastAsia="zh-CN"/>
              </w:rPr>
              <w:t>11</w:t>
            </w:r>
            <w:r>
              <w:rPr>
                <w:rFonts w:hint="default" w:ascii="Times New Roman" w:hAnsi="Times New Roman" w:cs="Times New Roman"/>
                <w:color w:val="auto"/>
                <w:sz w:val="24"/>
                <w:szCs w:val="24"/>
                <w:u w:val="none" w:color="auto"/>
                <w:lang w:val="en-US" w:eastAsia="zh-CN"/>
              </w:rPr>
              <w:t>日</w:t>
            </w:r>
            <w:r>
              <w:rPr>
                <w:rFonts w:hint="default" w:ascii="Times New Roman" w:hAnsi="Times New Roman" w:cs="Times New Roman"/>
                <w:color w:val="auto"/>
                <w:sz w:val="24"/>
                <w:szCs w:val="24"/>
                <w:u w:val="none" w:color="auto"/>
              </w:rPr>
              <w:t>在项目地东、南、西、北厂界外1m各布设1个监测，昼、夜间各监测一次。</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表3-</w:t>
            </w: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 xml:space="preserve">  声</w:t>
            </w:r>
            <w:r>
              <w:rPr>
                <w:rFonts w:hint="eastAsia" w:cs="Times New Roman"/>
                <w:color w:val="auto"/>
                <w:sz w:val="24"/>
                <w:szCs w:val="24"/>
                <w:u w:val="none" w:color="auto"/>
                <w:lang w:val="en-US" w:eastAsia="zh-CN"/>
              </w:rPr>
              <w:t>环境</w:t>
            </w:r>
            <w:r>
              <w:rPr>
                <w:rFonts w:hint="default" w:ascii="Times New Roman" w:hAnsi="Times New Roman" w:cs="Times New Roman"/>
                <w:color w:val="auto"/>
                <w:sz w:val="24"/>
                <w:szCs w:val="24"/>
                <w:u w:val="none" w:color="auto"/>
              </w:rPr>
              <w:t>质量现状监测与评价统计表    单位：dB(A)</w:t>
            </w:r>
          </w:p>
          <w:tbl>
            <w:tblPr>
              <w:tblStyle w:val="40"/>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56.6</w:t>
                  </w:r>
                </w:p>
              </w:tc>
              <w:tc>
                <w:tcPr>
                  <w:tcW w:w="97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47.6</w:t>
                  </w:r>
                </w:p>
              </w:tc>
              <w:tc>
                <w:tcPr>
                  <w:tcW w:w="9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57.0</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47.4</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48.5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46.5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47.9</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本项目所在地声环境质量现状满足《声环境质量标准》（GB3096-2008）中</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类区标准要求。因此，本项目所在区域声环境质量现状较好。</w:t>
            </w:r>
          </w:p>
          <w:p>
            <w:pPr>
              <w:spacing w:line="360" w:lineRule="auto"/>
              <w:rPr>
                <w:rFonts w:hint="default"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3.4、地下水环境</w:t>
            </w:r>
          </w:p>
          <w:p>
            <w:pPr>
              <w:spacing w:line="360" w:lineRule="auto"/>
              <w:ind w:firstLine="466"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rPr>
              <w:t>本项目</w:t>
            </w:r>
            <w:r>
              <w:rPr>
                <w:rFonts w:hint="eastAsia" w:ascii="Times New Roman" w:hAnsi="Times New Roman" w:eastAsia="宋体" w:cs="Times New Roman"/>
                <w:color w:val="auto"/>
                <w:sz w:val="24"/>
                <w:szCs w:val="24"/>
                <w:u w:val="none" w:color="auto"/>
                <w:lang w:val="en-US" w:eastAsia="zh-CN"/>
              </w:rPr>
              <w:t>为</w:t>
            </w:r>
            <w:r>
              <w:rPr>
                <w:rFonts w:hint="eastAsia" w:cs="Times New Roman"/>
                <w:color w:val="auto"/>
                <w:sz w:val="24"/>
                <w:szCs w:val="24"/>
                <w:u w:val="none" w:color="auto"/>
                <w:lang w:val="en-US" w:eastAsia="zh-CN"/>
              </w:rPr>
              <w:t>石棉水泥制品制造项目</w:t>
            </w:r>
            <w:r>
              <w:rPr>
                <w:rFonts w:hint="eastAsia"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rPr>
              <w:t>根据《环境影响评价技术导则</w:t>
            </w:r>
            <w:r>
              <w:rPr>
                <w:rFonts w:hint="eastAsia" w:cs="Times New Roman"/>
                <w:color w:val="auto"/>
                <w:sz w:val="24"/>
                <w:szCs w:val="24"/>
                <w:u w:val="none" w:color="auto"/>
                <w:lang w:val="en-US" w:eastAsia="zh-CN"/>
              </w:rPr>
              <w:t xml:space="preserve">  </w:t>
            </w:r>
            <w:r>
              <w:rPr>
                <w:rFonts w:hint="eastAsia" w:ascii="Times New Roman" w:hAnsi="Times New Roman" w:eastAsia="宋体" w:cs="Times New Roman"/>
                <w:color w:val="auto"/>
                <w:sz w:val="24"/>
                <w:szCs w:val="24"/>
                <w:u w:val="none" w:color="auto"/>
              </w:rPr>
              <w:t>地下</w:t>
            </w:r>
            <w:r>
              <w:rPr>
                <w:rFonts w:hint="default" w:ascii="Times New Roman" w:hAnsi="Times New Roman" w:eastAsia="宋体" w:cs="Times New Roman"/>
                <w:color w:val="auto"/>
                <w:sz w:val="24"/>
                <w:szCs w:val="24"/>
                <w:u w:val="none" w:color="auto"/>
              </w:rPr>
              <w:t>水环境》(HJ 610</w:t>
            </w:r>
            <w:r>
              <w:rPr>
                <w:rFonts w:hint="eastAsia"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rPr>
              <w:t xml:space="preserve"> 2016 ）附录 A</w:t>
            </w:r>
            <w:r>
              <w:rPr>
                <w:rFonts w:hint="eastAsia" w:ascii="Times New Roman" w:hAnsi="Times New Roman" w:eastAsia="宋体" w:cs="Times New Roman"/>
                <w:color w:val="auto"/>
                <w:sz w:val="24"/>
                <w:szCs w:val="24"/>
                <w:u w:val="none" w:color="auto"/>
                <w:lang w:val="en-US" w:eastAsia="zh-CN"/>
              </w:rPr>
              <w:t>可知</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本项目属于</w:t>
            </w:r>
            <w:r>
              <w:rPr>
                <w:rFonts w:hint="default" w:ascii="Times New Roman" w:hAnsi="Times New Roman" w:eastAsia="宋体" w:cs="Times New Roman"/>
                <w:color w:val="auto"/>
                <w:sz w:val="24"/>
                <w:szCs w:val="24"/>
                <w:u w:val="none" w:color="auto"/>
              </w:rPr>
              <w:t>“</w:t>
            </w:r>
            <w:r>
              <w:rPr>
                <w:rFonts w:hint="eastAsia" w:cs="Times New Roman"/>
                <w:color w:val="auto"/>
                <w:sz w:val="24"/>
                <w:szCs w:val="24"/>
                <w:u w:val="none" w:color="auto"/>
                <w:lang w:val="en-US" w:eastAsia="zh-CN"/>
              </w:rPr>
              <w:t>J</w:t>
            </w:r>
            <w:r>
              <w:rPr>
                <w:rFonts w:hint="eastAsia" w:ascii="Times New Roman" w:hAnsi="Times New Roman" w:eastAsia="宋体"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非金属矿采选及制品制造</w:t>
            </w:r>
            <w:r>
              <w:rPr>
                <w:rFonts w:hint="eastAsia"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70</w:t>
            </w:r>
            <w:r>
              <w:rPr>
                <w:rFonts w:hint="eastAsia"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防水建筑材料及沥青搅拌站</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rPr>
              <w:t>，</w:t>
            </w:r>
            <w:r>
              <w:rPr>
                <w:rFonts w:hint="eastAsia" w:cs="Times New Roman"/>
                <w:color w:val="auto"/>
                <w:sz w:val="24"/>
                <w:szCs w:val="24"/>
                <w:u w:val="none" w:color="auto"/>
                <w:lang w:val="en-US" w:eastAsia="zh-CN"/>
              </w:rPr>
              <w:t>其全部</w:t>
            </w:r>
            <w:r>
              <w:rPr>
                <w:rFonts w:hint="eastAsia" w:ascii="Times New Roman" w:hAnsi="Times New Roman" w:eastAsia="宋体" w:cs="Times New Roman"/>
                <w:color w:val="auto"/>
                <w:sz w:val="24"/>
                <w:szCs w:val="24"/>
                <w:u w:val="none" w:color="auto"/>
              </w:rPr>
              <w:t>为</w:t>
            </w:r>
            <w:r>
              <w:rPr>
                <w:rFonts w:hint="default" w:ascii="Times New Roman" w:hAnsi="Times New Roman" w:eastAsia="宋体" w:cs="Times New Roman"/>
                <w:color w:val="auto"/>
                <w:sz w:val="24"/>
                <w:szCs w:val="24"/>
                <w:u w:val="none" w:color="auto"/>
              </w:rPr>
              <w:t xml:space="preserve"> </w:t>
            </w:r>
            <w:r>
              <w:rPr>
                <w:rFonts w:hint="eastAsia" w:ascii="Times New Roman" w:hAnsi="Times New Roman" w:eastAsia="宋体" w:cs="Times New Roman"/>
                <w:color w:val="auto"/>
                <w:sz w:val="24"/>
                <w:szCs w:val="24"/>
                <w:u w:val="none" w:color="auto"/>
              </w:rPr>
              <w:t>Ⅳ</w:t>
            </w:r>
            <w:r>
              <w:rPr>
                <w:rFonts w:hint="default" w:ascii="Times New Roman" w:hAnsi="Times New Roman" w:eastAsia="宋体" w:cs="Times New Roman"/>
                <w:color w:val="auto"/>
                <w:sz w:val="24"/>
                <w:szCs w:val="24"/>
                <w:u w:val="none" w:color="auto"/>
              </w:rPr>
              <w:t>类项目，</w:t>
            </w:r>
            <w:r>
              <w:rPr>
                <w:rFonts w:hint="eastAsia" w:ascii="Times New Roman" w:hAnsi="Times New Roman" w:eastAsia="宋体" w:cs="Times New Roman"/>
                <w:color w:val="auto"/>
                <w:sz w:val="24"/>
                <w:szCs w:val="24"/>
                <w:u w:val="none" w:color="auto"/>
              </w:rPr>
              <w:t>不需进行地下水评价</w:t>
            </w:r>
            <w:r>
              <w:rPr>
                <w:rFonts w:hint="eastAsia" w:ascii="Times New Roman" w:hAnsi="Times New Roman" w:eastAsia="宋体" w:cs="Times New Roman"/>
                <w:color w:val="auto"/>
                <w:sz w:val="24"/>
                <w:szCs w:val="24"/>
                <w:u w:val="none" w:color="auto"/>
                <w:lang w:eastAsia="zh-CN"/>
              </w:rPr>
              <w:t>。</w:t>
            </w:r>
          </w:p>
          <w:p>
            <w:pPr>
              <w:spacing w:line="360" w:lineRule="auto"/>
              <w:rPr>
                <w:rFonts w:hint="default" w:ascii="Times New Roman" w:hAnsi="Times New Roman" w:eastAsia="宋体" w:cs="Times New Roman"/>
                <w:b/>
                <w:bCs/>
                <w:color w:val="auto"/>
                <w:sz w:val="24"/>
                <w:szCs w:val="24"/>
                <w:u w:val="single" w:color="auto"/>
                <w:lang w:val="en-US" w:eastAsia="zh-CN"/>
              </w:rPr>
            </w:pPr>
            <w:r>
              <w:rPr>
                <w:rFonts w:hint="eastAsia" w:ascii="Times New Roman" w:hAnsi="Times New Roman" w:eastAsia="宋体" w:cs="Times New Roman"/>
                <w:b/>
                <w:bCs/>
                <w:color w:val="auto"/>
                <w:sz w:val="24"/>
                <w:szCs w:val="24"/>
                <w:u w:val="single" w:color="auto"/>
                <w:lang w:val="en-US" w:eastAsia="zh-CN"/>
              </w:rPr>
              <w:t>3.5、土壤环境</w:t>
            </w:r>
          </w:p>
          <w:p>
            <w:pPr>
              <w:spacing w:line="360" w:lineRule="auto"/>
              <w:ind w:firstLine="466" w:firstLineChars="200"/>
              <w:rPr>
                <w:rFonts w:hint="default" w:ascii="Times New Roman" w:hAnsi="Times New Roman" w:cs="Times New Roman"/>
                <w:color w:val="auto"/>
                <w:sz w:val="24"/>
                <w:szCs w:val="24"/>
                <w:u w:val="single" w:color="auto"/>
              </w:rPr>
            </w:pPr>
            <w:r>
              <w:rPr>
                <w:rFonts w:hint="eastAsia" w:ascii="Times New Roman" w:hAnsi="Times New Roman" w:eastAsia="宋体" w:cs="Times New Roman"/>
                <w:color w:val="auto"/>
                <w:sz w:val="24"/>
                <w:szCs w:val="24"/>
                <w:u w:val="single" w:color="auto"/>
                <w:lang w:val="en-US" w:eastAsia="zh-CN"/>
              </w:rPr>
              <w:t>根据《环境影响评价技术导则---土壤环境》（HJ964-2018）中可知，本项目属于污染影响型，本项目为</w:t>
            </w:r>
            <w:r>
              <w:rPr>
                <w:rFonts w:hint="eastAsia" w:cs="Times New Roman"/>
                <w:color w:val="auto"/>
                <w:sz w:val="24"/>
                <w:szCs w:val="24"/>
                <w:u w:val="single" w:color="auto"/>
                <w:lang w:val="en-US" w:eastAsia="zh-CN"/>
              </w:rPr>
              <w:t>石棉水泥制品制造</w:t>
            </w:r>
            <w:r>
              <w:rPr>
                <w:rFonts w:hint="eastAsia" w:ascii="Times New Roman" w:hAnsi="Times New Roman" w:eastAsia="宋体" w:cs="Times New Roman"/>
                <w:color w:val="auto"/>
                <w:sz w:val="24"/>
                <w:szCs w:val="24"/>
                <w:u w:val="single" w:color="auto"/>
                <w:lang w:val="en-US" w:eastAsia="zh-CN"/>
              </w:rPr>
              <w:t>，土壤环境影响评价项目类别中，属于“</w:t>
            </w:r>
            <w:r>
              <w:rPr>
                <w:rFonts w:hint="eastAsia" w:cs="Times New Roman"/>
                <w:color w:val="auto"/>
                <w:sz w:val="24"/>
                <w:szCs w:val="24"/>
                <w:u w:val="single" w:color="auto"/>
                <w:lang w:val="en-US" w:eastAsia="zh-CN"/>
              </w:rPr>
              <w:t>金属冶炼和压延加工及非金属矿物制品中</w:t>
            </w:r>
            <w:r>
              <w:rPr>
                <w:rFonts w:hint="eastAsia" w:ascii="Times New Roman" w:hAnsi="Times New Roman" w:eastAsia="宋体" w:cs="Times New Roman"/>
                <w:color w:val="auto"/>
                <w:sz w:val="24"/>
                <w:szCs w:val="24"/>
                <w:u w:val="single" w:color="auto"/>
                <w:lang w:val="en-US" w:eastAsia="zh-CN"/>
              </w:rPr>
              <w:t>的</w:t>
            </w:r>
            <w:r>
              <w:rPr>
                <w:rFonts w:hint="eastAsia" w:cs="Times New Roman"/>
                <w:color w:val="auto"/>
                <w:sz w:val="24"/>
                <w:szCs w:val="24"/>
                <w:u w:val="single" w:color="auto"/>
                <w:lang w:val="en-US" w:eastAsia="zh-CN"/>
              </w:rPr>
              <w:t>其他</w:t>
            </w:r>
            <w:r>
              <w:rPr>
                <w:rFonts w:hint="eastAsia" w:ascii="Times New Roman" w:hAnsi="Times New Roman" w:eastAsia="宋体" w:cs="Times New Roman"/>
                <w:color w:val="auto"/>
                <w:sz w:val="24"/>
                <w:szCs w:val="24"/>
                <w:u w:val="single" w:color="auto"/>
                <w:lang w:val="en-US" w:eastAsia="zh-CN"/>
              </w:rPr>
              <w:t>”，因此类别为</w:t>
            </w:r>
            <w:r>
              <w:rPr>
                <w:rFonts w:hint="eastAsia" w:ascii="Times New Roman" w:hAnsi="Times New Roman" w:eastAsia="宋体" w:cs="Times New Roman"/>
                <w:color w:val="auto"/>
                <w:sz w:val="24"/>
                <w:szCs w:val="24"/>
                <w:u w:val="single" w:color="auto"/>
                <w:lang w:val="en-US" w:eastAsia="zh-CN"/>
              </w:rPr>
              <w:fldChar w:fldCharType="begin"/>
            </w:r>
            <w:r>
              <w:rPr>
                <w:rFonts w:hint="eastAsia" w:ascii="Times New Roman" w:hAnsi="Times New Roman" w:eastAsia="宋体" w:cs="Times New Roman"/>
                <w:color w:val="auto"/>
                <w:sz w:val="24"/>
                <w:szCs w:val="24"/>
                <w:u w:val="single" w:color="auto"/>
                <w:lang w:val="en-US" w:eastAsia="zh-CN"/>
              </w:rPr>
              <w:instrText xml:space="preserve"> = 3 \* ROMAN \* MERGEFORMAT </w:instrText>
            </w:r>
            <w:r>
              <w:rPr>
                <w:rFonts w:hint="eastAsia" w:ascii="Times New Roman" w:hAnsi="Times New Roman" w:eastAsia="宋体" w:cs="Times New Roman"/>
                <w:color w:val="auto"/>
                <w:sz w:val="24"/>
                <w:szCs w:val="24"/>
                <w:u w:val="single" w:color="auto"/>
                <w:lang w:val="en-US" w:eastAsia="zh-CN"/>
              </w:rPr>
              <w:fldChar w:fldCharType="separate"/>
            </w:r>
            <w:r>
              <w:rPr>
                <w:color w:val="auto"/>
                <w:u w:val="single" w:color="auto"/>
              </w:rPr>
              <w:t>III</w:t>
            </w:r>
            <w:r>
              <w:rPr>
                <w:rFonts w:hint="eastAsia" w:ascii="Times New Roman" w:hAnsi="Times New Roman" w:eastAsia="宋体" w:cs="Times New Roman"/>
                <w:color w:val="auto"/>
                <w:sz w:val="24"/>
                <w:szCs w:val="24"/>
                <w:u w:val="single" w:color="auto"/>
                <w:lang w:val="en-US" w:eastAsia="zh-CN"/>
              </w:rPr>
              <w:fldChar w:fldCharType="end"/>
            </w:r>
            <w:r>
              <w:rPr>
                <w:rFonts w:hint="eastAsia" w:ascii="Times New Roman" w:hAnsi="Times New Roman" w:eastAsia="宋体" w:cs="Times New Roman"/>
                <w:color w:val="auto"/>
                <w:sz w:val="24"/>
                <w:szCs w:val="24"/>
                <w:u w:val="single" w:color="auto"/>
                <w:lang w:val="en-US" w:eastAsia="zh-CN"/>
              </w:rPr>
              <w:t>类。项目位于</w:t>
            </w:r>
            <w:r>
              <w:rPr>
                <w:rFonts w:hint="eastAsia" w:cs="Times New Roman"/>
                <w:color w:val="auto"/>
                <w:sz w:val="24"/>
                <w:szCs w:val="24"/>
                <w:u w:val="single" w:color="auto"/>
                <w:lang w:val="en-US" w:eastAsia="zh-CN"/>
              </w:rPr>
              <w:t>白泥湖园艺场</w:t>
            </w:r>
            <w:r>
              <w:rPr>
                <w:rFonts w:hint="eastAsia" w:ascii="Times New Roman" w:hAnsi="Times New Roman" w:eastAsia="宋体" w:cs="Times New Roman"/>
                <w:color w:val="auto"/>
                <w:sz w:val="24"/>
                <w:szCs w:val="24"/>
                <w:u w:val="single" w:color="auto"/>
                <w:lang w:val="en-US" w:eastAsia="zh-CN"/>
              </w:rPr>
              <w:t>，周边均为</w:t>
            </w:r>
            <w:r>
              <w:rPr>
                <w:rFonts w:hint="eastAsia" w:cs="Times New Roman"/>
                <w:color w:val="auto"/>
                <w:sz w:val="24"/>
                <w:szCs w:val="24"/>
                <w:u w:val="single" w:color="auto"/>
                <w:lang w:val="en-US" w:eastAsia="zh-CN"/>
              </w:rPr>
              <w:t>闲置厂房、企业、农田、居民区等，</w:t>
            </w:r>
            <w:r>
              <w:rPr>
                <w:rFonts w:hint="eastAsia" w:ascii="Times New Roman" w:hAnsi="Times New Roman" w:eastAsia="宋体" w:cs="Times New Roman"/>
                <w:color w:val="auto"/>
                <w:sz w:val="24"/>
                <w:szCs w:val="24"/>
                <w:u w:val="single" w:color="auto"/>
                <w:lang w:val="en-US" w:eastAsia="zh-CN"/>
              </w:rPr>
              <w:t>对照敏感程度分类表可知，本项目为“敏感”，</w:t>
            </w:r>
            <w:r>
              <w:rPr>
                <w:rFonts w:hint="eastAsia" w:cs="Times New Roman"/>
                <w:color w:val="auto"/>
                <w:sz w:val="24"/>
                <w:szCs w:val="24"/>
                <w:u w:val="single" w:color="auto"/>
                <w:lang w:val="en-US" w:eastAsia="zh-CN"/>
              </w:rPr>
              <w:t>本项目占地面积为</w:t>
            </w:r>
            <w:r>
              <w:rPr>
                <w:rFonts w:hint="eastAsia" w:cs="Times New Roman"/>
                <w:color w:val="auto"/>
                <w:spacing w:val="-6"/>
                <w:sz w:val="24"/>
                <w:u w:val="single" w:color="auto"/>
                <w:lang w:val="en-US" w:eastAsia="zh-CN"/>
              </w:rPr>
              <w:t>26640m</w:t>
            </w:r>
            <w:r>
              <w:rPr>
                <w:rFonts w:hint="eastAsia" w:cs="Times New Roman"/>
                <w:color w:val="auto"/>
                <w:spacing w:val="-6"/>
                <w:sz w:val="24"/>
                <w:u w:val="single" w:color="auto"/>
                <w:vertAlign w:val="superscript"/>
                <w:lang w:val="en-US" w:eastAsia="zh-CN"/>
              </w:rPr>
              <w:t>2</w:t>
            </w:r>
            <w:r>
              <w:rPr>
                <w:rFonts w:hint="eastAsia" w:cs="Times New Roman"/>
                <w:color w:val="auto"/>
                <w:spacing w:val="-6"/>
                <w:sz w:val="24"/>
                <w:u w:val="single" w:color="auto"/>
                <w:lang w:val="en-US" w:eastAsia="zh-CN"/>
              </w:rPr>
              <w:t>，对照建设项目占地规模可知，项目属于小型，</w:t>
            </w:r>
            <w:r>
              <w:rPr>
                <w:rFonts w:hint="eastAsia" w:ascii="Times New Roman" w:hAnsi="Times New Roman" w:eastAsia="宋体" w:cs="Times New Roman"/>
                <w:color w:val="auto"/>
                <w:sz w:val="24"/>
                <w:szCs w:val="24"/>
                <w:u w:val="single" w:color="auto"/>
                <w:lang w:val="en-US" w:eastAsia="zh-CN"/>
              </w:rPr>
              <w:t>对照土壤分级表可知，本项目</w:t>
            </w:r>
            <w:r>
              <w:rPr>
                <w:rFonts w:hint="eastAsia" w:cs="Times New Roman"/>
                <w:color w:val="auto"/>
                <w:sz w:val="24"/>
                <w:szCs w:val="24"/>
                <w:u w:val="single" w:color="auto"/>
                <w:lang w:val="en-US" w:eastAsia="zh-CN"/>
              </w:rPr>
              <w:t>属于三级评价等级</w:t>
            </w:r>
            <w:r>
              <w:rPr>
                <w:rFonts w:hint="default" w:ascii="Times New Roman" w:hAnsi="Times New Roman" w:cs="Times New Roman"/>
                <w:color w:val="auto"/>
                <w:sz w:val="24"/>
                <w:szCs w:val="24"/>
                <w:u w:val="single" w:color="auto"/>
              </w:rPr>
              <w:t>。</w:t>
            </w:r>
          </w:p>
          <w:p>
            <w:pPr>
              <w:spacing w:line="360" w:lineRule="auto"/>
              <w:ind w:firstLine="466" w:firstLineChars="200"/>
              <w:rPr>
                <w:rFonts w:hint="default" w:ascii="Times New Roman" w:hAnsi="Times New Roman" w:cs="Times New Roman"/>
                <w:b w:val="0"/>
                <w:bCs w:val="0"/>
                <w:color w:val="auto"/>
                <w:sz w:val="24"/>
                <w:szCs w:val="24"/>
                <w:u w:val="single" w:color="auto"/>
                <w:lang w:val="en-US" w:eastAsia="zh-CN"/>
              </w:rPr>
            </w:pPr>
            <w:r>
              <w:rPr>
                <w:rFonts w:hint="default" w:ascii="Times New Roman" w:hAnsi="Times New Roman" w:cs="Times New Roman"/>
                <w:b w:val="0"/>
                <w:bCs w:val="0"/>
                <w:color w:val="auto"/>
                <w:sz w:val="24"/>
                <w:szCs w:val="24"/>
                <w:u w:val="single" w:color="auto"/>
                <w:lang w:val="en-US" w:eastAsia="zh-CN"/>
              </w:rPr>
              <w:t>为了解项目所在地土壤环境质量情况，本次委托湖南精准通检测技术有限公司于2020年</w:t>
            </w:r>
            <w:r>
              <w:rPr>
                <w:rFonts w:hint="eastAsia" w:cs="Times New Roman"/>
                <w:b w:val="0"/>
                <w:bCs w:val="0"/>
                <w:color w:val="auto"/>
                <w:sz w:val="24"/>
                <w:szCs w:val="24"/>
                <w:u w:val="single" w:color="auto"/>
                <w:lang w:val="en-US" w:eastAsia="zh-CN"/>
              </w:rPr>
              <w:t>1</w:t>
            </w:r>
            <w:r>
              <w:rPr>
                <w:rFonts w:hint="default" w:ascii="Times New Roman" w:hAnsi="Times New Roman" w:cs="Times New Roman"/>
                <w:b w:val="0"/>
                <w:bCs w:val="0"/>
                <w:color w:val="auto"/>
                <w:sz w:val="24"/>
                <w:szCs w:val="24"/>
                <w:u w:val="single" w:color="auto"/>
                <w:lang w:val="en-US" w:eastAsia="zh-CN"/>
              </w:rPr>
              <w:t>2月</w:t>
            </w:r>
            <w:r>
              <w:rPr>
                <w:rFonts w:hint="eastAsia" w:cs="Times New Roman"/>
                <w:b w:val="0"/>
                <w:bCs w:val="0"/>
                <w:color w:val="auto"/>
                <w:sz w:val="24"/>
                <w:szCs w:val="24"/>
                <w:u w:val="single" w:color="auto"/>
                <w:lang w:val="en-US" w:eastAsia="zh-CN"/>
              </w:rPr>
              <w:t>8</w:t>
            </w:r>
            <w:r>
              <w:rPr>
                <w:rFonts w:hint="default" w:ascii="Times New Roman" w:hAnsi="Times New Roman" w:cs="Times New Roman"/>
                <w:b w:val="0"/>
                <w:bCs w:val="0"/>
                <w:color w:val="auto"/>
                <w:sz w:val="24"/>
                <w:szCs w:val="24"/>
                <w:u w:val="single" w:color="auto"/>
                <w:lang w:val="en-US" w:eastAsia="zh-CN"/>
              </w:rPr>
              <w:t>日对</w:t>
            </w:r>
            <w:r>
              <w:rPr>
                <w:rFonts w:hint="eastAsia" w:cs="Times New Roman"/>
                <w:b w:val="0"/>
                <w:bCs w:val="0"/>
                <w:color w:val="auto"/>
                <w:sz w:val="24"/>
                <w:szCs w:val="24"/>
                <w:u w:val="single" w:color="auto"/>
                <w:lang w:val="en-US" w:eastAsia="zh-CN"/>
              </w:rPr>
              <w:t>项目西南角、南侧、东南角</w:t>
            </w:r>
            <w:r>
              <w:rPr>
                <w:rFonts w:hint="default" w:ascii="Times New Roman" w:hAnsi="Times New Roman" w:cs="Times New Roman"/>
                <w:b w:val="0"/>
                <w:bCs w:val="0"/>
                <w:color w:val="auto"/>
                <w:sz w:val="24"/>
                <w:szCs w:val="24"/>
                <w:u w:val="single" w:color="auto"/>
                <w:lang w:val="en-US" w:eastAsia="zh-CN"/>
              </w:rPr>
              <w:t>共3处，进行了</w:t>
            </w:r>
            <w:r>
              <w:rPr>
                <w:rFonts w:hint="eastAsia" w:cs="Times New Roman"/>
                <w:b w:val="0"/>
                <w:bCs w:val="0"/>
                <w:color w:val="auto"/>
                <w:sz w:val="24"/>
                <w:szCs w:val="24"/>
                <w:u w:val="single" w:color="auto"/>
                <w:lang w:val="en-US" w:eastAsia="zh-CN"/>
              </w:rPr>
              <w:t>补充监</w:t>
            </w:r>
            <w:r>
              <w:rPr>
                <w:rFonts w:hint="default" w:ascii="Times New Roman" w:hAnsi="Times New Roman" w:cs="Times New Roman"/>
                <w:b w:val="0"/>
                <w:bCs w:val="0"/>
                <w:color w:val="auto"/>
                <w:sz w:val="24"/>
                <w:szCs w:val="24"/>
                <w:u w:val="single" w:color="auto"/>
                <w:lang w:val="en-US" w:eastAsia="zh-CN"/>
              </w:rPr>
              <w:t>测，</w:t>
            </w:r>
            <w:r>
              <w:rPr>
                <w:rFonts w:hint="eastAsia" w:cs="Times New Roman"/>
                <w:b w:val="0"/>
                <w:bCs w:val="0"/>
                <w:color w:val="auto"/>
                <w:sz w:val="24"/>
                <w:szCs w:val="24"/>
                <w:u w:val="single" w:color="auto"/>
                <w:lang w:val="en-US" w:eastAsia="zh-CN"/>
              </w:rPr>
              <w:t>监</w:t>
            </w:r>
            <w:r>
              <w:rPr>
                <w:rFonts w:hint="default" w:ascii="Times New Roman" w:hAnsi="Times New Roman" w:cs="Times New Roman"/>
                <w:b w:val="0"/>
                <w:bCs w:val="0"/>
                <w:color w:val="auto"/>
                <w:sz w:val="24"/>
                <w:szCs w:val="24"/>
                <w:u w:val="single" w:color="auto"/>
                <w:lang w:val="en-US" w:eastAsia="zh-CN"/>
              </w:rPr>
              <w:t>测时间1天。具体详见表3-</w:t>
            </w:r>
            <w:r>
              <w:rPr>
                <w:rFonts w:hint="eastAsia" w:cs="Times New Roman"/>
                <w:b w:val="0"/>
                <w:bCs w:val="0"/>
                <w:color w:val="auto"/>
                <w:sz w:val="24"/>
                <w:szCs w:val="24"/>
                <w:u w:val="single" w:color="auto"/>
                <w:lang w:val="en-US" w:eastAsia="zh-CN"/>
              </w:rPr>
              <w:t>7</w:t>
            </w:r>
            <w:r>
              <w:rPr>
                <w:rFonts w:hint="default" w:ascii="Times New Roman" w:hAnsi="Times New Roman" w:cs="Times New Roman"/>
                <w:b w:val="0"/>
                <w:bCs w:val="0"/>
                <w:color w:val="auto"/>
                <w:sz w:val="24"/>
                <w:szCs w:val="24"/>
                <w:u w:val="single" w:color="auto"/>
                <w:lang w:val="en-US" w:eastAsia="zh-CN"/>
              </w:rPr>
              <w:t>。</w:t>
            </w:r>
          </w:p>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u w:val="single" w:color="auto"/>
              </w:rPr>
            </w:pPr>
            <w:r>
              <w:rPr>
                <w:rFonts w:hint="eastAsia" w:cs="Times New Roman"/>
                <w:b w:val="0"/>
                <w:bCs w:val="0"/>
                <w:sz w:val="24"/>
                <w:u w:val="single" w:color="auto"/>
                <w:lang w:val="en-US" w:eastAsia="zh-CN"/>
              </w:rPr>
              <w:t xml:space="preserve">                             </w:t>
            </w:r>
            <w:r>
              <w:rPr>
                <w:rFonts w:hint="default" w:ascii="Times New Roman" w:hAnsi="Times New Roman" w:cs="Times New Roman"/>
                <w:b w:val="0"/>
                <w:bCs w:val="0"/>
                <w:sz w:val="24"/>
                <w:u w:val="single" w:color="auto"/>
              </w:rPr>
              <w:t>表3-</w:t>
            </w:r>
            <w:r>
              <w:rPr>
                <w:rFonts w:hint="eastAsia" w:cs="Times New Roman"/>
                <w:b w:val="0"/>
                <w:bCs w:val="0"/>
                <w:sz w:val="24"/>
                <w:u w:val="single" w:color="auto"/>
                <w:lang w:val="en-US" w:eastAsia="zh-CN"/>
              </w:rPr>
              <w:t>7</w:t>
            </w:r>
            <w:r>
              <w:rPr>
                <w:rFonts w:hint="default" w:ascii="Times New Roman" w:hAnsi="Times New Roman" w:cs="Times New Roman"/>
                <w:b w:val="0"/>
                <w:bCs w:val="0"/>
                <w:sz w:val="24"/>
                <w:u w:val="single" w:color="auto"/>
              </w:rPr>
              <w:t>土壤监测结果</w:t>
            </w:r>
            <w:r>
              <w:rPr>
                <w:rFonts w:hint="eastAsia" w:cs="Times New Roman"/>
                <w:b w:val="0"/>
                <w:bCs w:val="0"/>
                <w:sz w:val="24"/>
                <w:u w:val="single" w:color="auto"/>
                <w:lang w:val="en-US" w:eastAsia="zh-CN"/>
              </w:rPr>
              <w:t xml:space="preserve">                  </w:t>
            </w:r>
            <w:r>
              <w:rPr>
                <w:rFonts w:hint="default" w:ascii="Times New Roman" w:hAnsi="Times New Roman" w:cs="Times New Roman"/>
                <w:sz w:val="21"/>
                <w:szCs w:val="21"/>
                <w:u w:val="single" w:color="auto"/>
              </w:rPr>
              <w:t>单位：mg/kg</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589"/>
              <w:gridCol w:w="1556"/>
              <w:gridCol w:w="1913"/>
              <w:gridCol w:w="1428"/>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监测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点位</w:t>
                  </w:r>
                </w:p>
              </w:tc>
              <w:tc>
                <w:tcPr>
                  <w:tcW w:w="8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监测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日期</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监测项目</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监测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结果</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标准值</w:t>
                  </w:r>
                </w:p>
              </w:tc>
              <w:tc>
                <w:tcPr>
                  <w:tcW w:w="62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是否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T1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项目</w:t>
                  </w:r>
                  <w:r>
                    <w:rPr>
                      <w:rFonts w:hint="eastAsia" w:cs="Times New Roman"/>
                      <w:b w:val="0"/>
                      <w:bCs w:val="0"/>
                      <w:color w:val="auto"/>
                      <w:sz w:val="22"/>
                      <w:szCs w:val="22"/>
                      <w:u w:val="single" w:color="auto"/>
                      <w:lang w:val="en-US" w:eastAsia="zh-CN"/>
                    </w:rPr>
                    <w:t>西南角</w:t>
                  </w:r>
                </w:p>
              </w:tc>
              <w:tc>
                <w:tcPr>
                  <w:tcW w:w="8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1</w:t>
                  </w:r>
                  <w:r>
                    <w:rPr>
                      <w:rFonts w:hint="default" w:ascii="Times New Roman" w:hAnsi="Times New Roman" w:cs="Times New Roman"/>
                      <w:sz w:val="22"/>
                      <w:szCs w:val="22"/>
                      <w:u w:val="single" w:color="auto"/>
                      <w:lang w:val="en-US" w:eastAsia="zh-CN"/>
                    </w:rPr>
                    <w:t>2月</w:t>
                  </w:r>
                  <w:r>
                    <w:rPr>
                      <w:rFonts w:hint="eastAsia" w:cs="Times New Roman"/>
                      <w:sz w:val="22"/>
                      <w:szCs w:val="22"/>
                      <w:u w:val="single" w:color="auto"/>
                      <w:lang w:val="en-US" w:eastAsia="zh-CN"/>
                    </w:rPr>
                    <w:t>8</w:t>
                  </w:r>
                  <w:r>
                    <w:rPr>
                      <w:rFonts w:hint="default" w:ascii="Times New Roman" w:hAnsi="Times New Roman" w:cs="Times New Roman"/>
                      <w:sz w:val="22"/>
                      <w:szCs w:val="22"/>
                      <w:u w:val="single" w:color="auto"/>
                      <w:lang w:val="en-US" w:eastAsia="zh-CN"/>
                    </w:rPr>
                    <w:t>日</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铜</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54</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18000</w:t>
                  </w:r>
                </w:p>
              </w:tc>
              <w:tc>
                <w:tcPr>
                  <w:tcW w:w="62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铅</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23.5</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800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镉</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0.28</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65</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镍</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34</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900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六价铬</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2L</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5.7</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砷</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11.9</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60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汞</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0.029</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38</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T</w:t>
                  </w:r>
                  <w:r>
                    <w:rPr>
                      <w:rFonts w:hint="default" w:ascii="Times New Roman" w:hAnsi="Times New Roman" w:cs="Times New Roman"/>
                      <w:sz w:val="22"/>
                      <w:szCs w:val="22"/>
                      <w:u w:val="single" w:color="auto"/>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eastAsia" w:cs="Times New Roman"/>
                      <w:sz w:val="22"/>
                      <w:szCs w:val="22"/>
                      <w:u w:val="single" w:color="auto"/>
                      <w:lang w:val="en-US" w:eastAsia="zh-CN"/>
                    </w:rPr>
                    <w:t>项目南侧</w:t>
                  </w:r>
                </w:p>
              </w:tc>
              <w:tc>
                <w:tcPr>
                  <w:tcW w:w="8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1</w:t>
                  </w:r>
                  <w:r>
                    <w:rPr>
                      <w:rFonts w:hint="default" w:ascii="Times New Roman" w:hAnsi="Times New Roman" w:cs="Times New Roman"/>
                      <w:sz w:val="22"/>
                      <w:szCs w:val="22"/>
                      <w:u w:val="single" w:color="auto"/>
                      <w:lang w:val="en-US" w:eastAsia="zh-CN"/>
                    </w:rPr>
                    <w:t>2月</w:t>
                  </w:r>
                  <w:r>
                    <w:rPr>
                      <w:rFonts w:hint="eastAsia" w:cs="Times New Roman"/>
                      <w:sz w:val="22"/>
                      <w:szCs w:val="22"/>
                      <w:u w:val="single" w:color="auto"/>
                      <w:lang w:val="en-US" w:eastAsia="zh-CN"/>
                    </w:rPr>
                    <w:t>8</w:t>
                  </w:r>
                  <w:r>
                    <w:rPr>
                      <w:rFonts w:hint="default" w:ascii="Times New Roman" w:hAnsi="Times New Roman" w:cs="Times New Roman"/>
                      <w:sz w:val="22"/>
                      <w:szCs w:val="22"/>
                      <w:u w:val="single" w:color="auto"/>
                      <w:lang w:val="en-US" w:eastAsia="zh-CN"/>
                    </w:rPr>
                    <w:t>日</w:t>
                  </w:r>
                </w:p>
                <w:p>
                  <w:pPr>
                    <w:rPr>
                      <w:rFonts w:hint="default"/>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铜</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52</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18000</w:t>
                  </w:r>
                </w:p>
              </w:tc>
              <w:tc>
                <w:tcPr>
                  <w:tcW w:w="62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铅</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22.6</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800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镉</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0.31</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65</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镍</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42</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900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六价铬</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2L</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5.7</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砷</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13.1</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60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汞</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0.031</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38</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T</w:t>
                  </w:r>
                  <w:r>
                    <w:rPr>
                      <w:rFonts w:hint="default" w:ascii="Times New Roman" w:hAnsi="Times New Roman" w:cs="Times New Roman"/>
                      <w:sz w:val="22"/>
                      <w:szCs w:val="22"/>
                      <w:u w:val="single" w:color="auto"/>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lang w:val="en-US"/>
                    </w:rPr>
                  </w:pPr>
                  <w:r>
                    <w:rPr>
                      <w:rFonts w:hint="eastAsia" w:cs="Times New Roman"/>
                      <w:b w:val="0"/>
                      <w:bCs w:val="0"/>
                      <w:color w:val="auto"/>
                      <w:sz w:val="22"/>
                      <w:szCs w:val="22"/>
                      <w:u w:val="single" w:color="auto"/>
                      <w:lang w:val="en-US" w:eastAsia="zh-CN"/>
                    </w:rPr>
                    <w:t>项目东南角</w:t>
                  </w:r>
                </w:p>
              </w:tc>
              <w:tc>
                <w:tcPr>
                  <w:tcW w:w="8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eastAsia" w:cs="Times New Roman"/>
                      <w:sz w:val="22"/>
                      <w:szCs w:val="22"/>
                      <w:u w:val="single" w:color="auto"/>
                      <w:lang w:val="en-US" w:eastAsia="zh-CN"/>
                    </w:rPr>
                    <w:t>1</w:t>
                  </w:r>
                  <w:r>
                    <w:rPr>
                      <w:rFonts w:hint="default" w:ascii="Times New Roman" w:hAnsi="Times New Roman" w:cs="Times New Roman"/>
                      <w:sz w:val="22"/>
                      <w:szCs w:val="22"/>
                      <w:u w:val="single" w:color="auto"/>
                      <w:lang w:val="en-US" w:eastAsia="zh-CN"/>
                    </w:rPr>
                    <w:t>2月</w:t>
                  </w:r>
                  <w:r>
                    <w:rPr>
                      <w:rFonts w:hint="eastAsia" w:cs="Times New Roman"/>
                      <w:sz w:val="22"/>
                      <w:szCs w:val="22"/>
                      <w:u w:val="single" w:color="auto"/>
                      <w:lang w:val="en-US" w:eastAsia="zh-CN"/>
                    </w:rPr>
                    <w:t>8</w:t>
                  </w:r>
                  <w:r>
                    <w:rPr>
                      <w:rFonts w:hint="default" w:ascii="Times New Roman" w:hAnsi="Times New Roman" w:cs="Times New Roman"/>
                      <w:sz w:val="22"/>
                      <w:szCs w:val="22"/>
                      <w:u w:val="single" w:color="auto"/>
                      <w:lang w:val="en-US" w:eastAsia="zh-CN"/>
                    </w:rPr>
                    <w:t>日</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铜</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48</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18000</w:t>
                  </w:r>
                </w:p>
              </w:tc>
              <w:tc>
                <w:tcPr>
                  <w:tcW w:w="62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铅</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24.1</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800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镉</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0.34</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65</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镍</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44</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900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六价铬</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2L</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5.7</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砷</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12.5</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60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汞</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0.028</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38</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bl>
          <w:p>
            <w:pPr>
              <w:spacing w:line="360" w:lineRule="auto"/>
              <w:ind w:firstLine="466" w:firstLineChars="200"/>
              <w:rPr>
                <w:rFonts w:hint="default" w:ascii="Times New Roman" w:hAnsi="Times New Roman" w:cs="Times New Roman"/>
                <w:b/>
                <w:bCs/>
                <w:color w:val="auto"/>
                <w:sz w:val="24"/>
                <w:szCs w:val="24"/>
                <w:u w:val="single" w:color="auto"/>
                <w:lang w:val="en-US" w:eastAsia="zh-CN"/>
              </w:rPr>
            </w:pPr>
            <w:r>
              <w:rPr>
                <w:rFonts w:hint="default" w:ascii="Times New Roman" w:hAnsi="Times New Roman" w:cs="Times New Roman"/>
                <w:sz w:val="24"/>
                <w:szCs w:val="24"/>
                <w:u w:val="single" w:color="auto"/>
              </w:rPr>
              <w:t>根据上表监测结果可知，本项目区域土壤环境质量现状各指标均能达到《土壤环境质量 建设用地土壤污染风险管控标准（试行）》（GB36600-2018）中相应的标准要求</w:t>
            </w:r>
            <w:r>
              <w:rPr>
                <w:rFonts w:hint="default" w:ascii="Times New Roman" w:hAnsi="Times New Roman" w:cs="Times New Roman"/>
                <w:color w:val="auto"/>
                <w:sz w:val="24"/>
                <w:szCs w:val="24"/>
                <w:u w:val="single" w:color="auto"/>
              </w:rPr>
              <w:t>。</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lang w:val="en-US" w:eastAsia="zh-CN"/>
              </w:rPr>
              <w:t>3.</w:t>
            </w:r>
            <w:r>
              <w:rPr>
                <w:rFonts w:hint="eastAsia" w:cs="Times New Roman"/>
                <w:b/>
                <w:bCs/>
                <w:color w:val="auto"/>
                <w:sz w:val="24"/>
                <w:szCs w:val="24"/>
                <w:u w:val="none" w:color="auto"/>
                <w:lang w:val="en-US" w:eastAsia="zh-CN"/>
              </w:rPr>
              <w:t>6</w:t>
            </w:r>
            <w:r>
              <w:rPr>
                <w:rFonts w:hint="default" w:ascii="Times New Roman" w:hAnsi="Times New Roman" w:cs="Times New Roman"/>
                <w:b/>
                <w:bCs/>
                <w:color w:val="auto"/>
                <w:sz w:val="24"/>
                <w:szCs w:val="24"/>
                <w:u w:val="none" w:color="auto"/>
              </w:rPr>
              <w:t>、生态环境</w:t>
            </w:r>
          </w:p>
          <w:p>
            <w:pPr>
              <w:snapToGrid w:val="0"/>
              <w:spacing w:line="360" w:lineRule="auto"/>
              <w:ind w:firstLine="457" w:firstLineChars="196"/>
              <w:rPr>
                <w:rFonts w:hint="default" w:ascii="Times New Roman" w:hAnsi="Times New Roman" w:cs="Times New Roman"/>
                <w:b/>
                <w:color w:val="auto"/>
                <w:sz w:val="24"/>
                <w:u w:val="none" w:color="auto"/>
                <w:lang w:val="en-US" w:eastAsia="zh-CN"/>
              </w:rPr>
            </w:pPr>
            <w:r>
              <w:rPr>
                <w:rFonts w:hint="default" w:ascii="Times New Roman" w:hAnsi="Times New Roman" w:cs="Times New Roman"/>
                <w:color w:val="auto"/>
                <w:sz w:val="24"/>
                <w:szCs w:val="24"/>
                <w:u w:val="none" w:color="auto"/>
              </w:rPr>
              <w:t>项目所在区域植被有樟、灌木丛、花卉等，项目区域内植被以人工绿化苗木为主，植物种类单一，主要有樟树、桂花、柳树等，并伴有少量野生杉、桃、</w:t>
            </w:r>
            <w:r>
              <w:rPr>
                <w:rFonts w:hint="default" w:ascii="Times New Roman" w:hAnsi="Times New Roman" w:cs="Times New Roman"/>
                <w:color w:val="auto"/>
                <w:spacing w:val="-11"/>
                <w:sz w:val="24"/>
                <w:szCs w:val="24"/>
                <w:u w:val="none" w:color="auto"/>
              </w:rPr>
              <w:t xml:space="preserve">梨等；生态环境一般。本区域目前植被覆盖率较低， </w:t>
            </w:r>
            <w:r>
              <w:rPr>
                <w:rFonts w:hint="default" w:ascii="Times New Roman" w:hAnsi="Times New Roman" w:cs="Times New Roman"/>
                <w:color w:val="auto"/>
                <w:sz w:val="24"/>
                <w:szCs w:val="24"/>
                <w:u w:val="none" w:color="auto"/>
              </w:rPr>
              <w:t>主要为人工草皮及较少灌木，物种较为单一，生态稳定性较差。根据现场踏勘，本项目区域内未发现野生珍稀动植物物种</w:t>
            </w:r>
            <w:r>
              <w:rPr>
                <w:rFonts w:hint="default" w:ascii="Times New Roman" w:hAnsi="Times New Roman" w:cs="Times New Roman"/>
                <w:bCs/>
                <w:color w:val="auto"/>
                <w:sz w:val="24"/>
                <w:u w:val="none" w:color="auto"/>
              </w:rPr>
              <w:t>。</w:t>
            </w:r>
          </w:p>
          <w:p>
            <w:pPr>
              <w:pStyle w:val="34"/>
              <w:adjustRightInd w:val="0"/>
              <w:snapToGrid w:val="0"/>
              <w:spacing w:line="360" w:lineRule="auto"/>
              <w:ind w:left="0" w:leftChars="0" w:firstLine="0" w:firstLineChars="0"/>
              <w:rPr>
                <w:rFonts w:hint="default" w:ascii="Times New Roman" w:hAnsi="Times New Roman" w:cs="Times New Roman"/>
                <w:b/>
                <w:color w:val="auto"/>
                <w:u w:val="none" w:color="auto"/>
              </w:rPr>
            </w:pPr>
            <w:r>
              <w:rPr>
                <w:rFonts w:hint="default" w:ascii="Times New Roman" w:hAnsi="Times New Roman" w:cs="Times New Roman"/>
                <w:b/>
                <w:color w:val="auto"/>
                <w:sz w:val="24"/>
                <w:u w:val="none" w:color="auto"/>
                <w:lang w:val="en-US" w:eastAsia="zh-CN"/>
              </w:rPr>
              <w:t>3.</w:t>
            </w:r>
            <w:r>
              <w:rPr>
                <w:rFonts w:hint="eastAsia" w:cs="Times New Roman"/>
                <w:b/>
                <w:color w:val="auto"/>
                <w:sz w:val="24"/>
                <w:u w:val="none" w:color="auto"/>
                <w:lang w:val="en-US" w:eastAsia="zh-CN"/>
              </w:rPr>
              <w:t>7</w:t>
            </w:r>
            <w:r>
              <w:rPr>
                <w:rFonts w:hint="default" w:ascii="Times New Roman" w:hAnsi="Times New Roman" w:cs="Times New Roman"/>
                <w:b/>
                <w:color w:val="auto"/>
                <w:sz w:val="24"/>
                <w:u w:val="none" w:color="auto"/>
              </w:rPr>
              <w:t>、主要环境保护目标</w:t>
            </w:r>
          </w:p>
          <w:p>
            <w:pPr>
              <w:autoSpaceDE w:val="0"/>
              <w:autoSpaceDN w:val="0"/>
              <w:adjustRightInd w:val="0"/>
              <w:spacing w:line="360" w:lineRule="auto"/>
              <w:ind w:firstLine="466" w:firstLineChars="200"/>
              <w:rPr>
                <w:rFonts w:hint="default" w:ascii="Times New Roman" w:hAnsi="Times New Roman" w:eastAsia="宋体" w:cs="Times New Roman"/>
                <w:snapToGrid w:val="0"/>
                <w:color w:val="auto"/>
                <w:kern w:val="0"/>
                <w:sz w:val="24"/>
                <w:u w:val="none" w:color="auto"/>
                <w:lang w:val="en-US" w:eastAsia="zh-CN"/>
              </w:rPr>
            </w:pPr>
            <w:r>
              <w:rPr>
                <w:rFonts w:hint="default" w:ascii="Times New Roman" w:hAnsi="Times New Roman" w:eastAsia="宋体" w:cs="Times New Roman"/>
                <w:b w:val="0"/>
                <w:bCs/>
                <w:color w:val="auto"/>
                <w:sz w:val="24"/>
                <w:highlight w:val="none"/>
                <w:u w:val="none" w:color="auto"/>
                <w:shd w:val="clear" w:color="auto" w:fill="auto"/>
              </w:rPr>
              <w:t>评价区内无风景名胜点，没有征占基本农田，周围无需要特别保护的文物古迹、风景名胜地、水源地，未发现国家重点保护的野生动植物资源和古树名木。</w:t>
            </w:r>
            <w:r>
              <w:rPr>
                <w:rFonts w:hint="default" w:ascii="Times New Roman" w:hAnsi="Times New Roman" w:eastAsia="宋体" w:cs="Times New Roman"/>
                <w:snapToGrid w:val="0"/>
                <w:color w:val="auto"/>
                <w:kern w:val="0"/>
                <w:sz w:val="24"/>
                <w:u w:val="none" w:color="auto"/>
                <w:lang w:val="en-US" w:eastAsia="zh-CN"/>
              </w:rPr>
              <w:t>项目周边</w:t>
            </w:r>
            <w:r>
              <w:rPr>
                <w:rFonts w:hint="eastAsia" w:ascii="Times New Roman" w:hAnsi="Times New Roman" w:cs="Times New Roman"/>
                <w:snapToGrid w:val="0"/>
                <w:color w:val="auto"/>
                <w:kern w:val="0"/>
                <w:sz w:val="24"/>
                <w:u w:val="none" w:color="auto"/>
                <w:lang w:val="en-US" w:eastAsia="zh-CN"/>
              </w:rPr>
              <w:t>用水</w:t>
            </w:r>
            <w:r>
              <w:rPr>
                <w:rFonts w:hint="default" w:ascii="Times New Roman" w:hAnsi="Times New Roman" w:eastAsia="宋体" w:cs="Times New Roman"/>
                <w:snapToGrid w:val="0"/>
                <w:color w:val="auto"/>
                <w:kern w:val="0"/>
                <w:sz w:val="24"/>
                <w:u w:val="none" w:color="auto"/>
                <w:lang w:val="en-US" w:eastAsia="zh-CN"/>
              </w:rPr>
              <w:t>为自来水。</w:t>
            </w:r>
          </w:p>
          <w:p>
            <w:pPr>
              <w:autoSpaceDE w:val="0"/>
              <w:autoSpaceDN w:val="0"/>
              <w:adjustRightInd w:val="0"/>
              <w:spacing w:line="360" w:lineRule="auto"/>
              <w:ind w:firstLine="466" w:firstLineChars="200"/>
              <w:rPr>
                <w:rFonts w:hint="default" w:ascii="Times New Roman" w:hAnsi="Times New Roman" w:eastAsia="宋体" w:cs="Times New Roman"/>
                <w:b w:val="0"/>
                <w:bCs/>
                <w:color w:val="auto"/>
                <w:sz w:val="24"/>
                <w:highlight w:val="none"/>
                <w:u w:val="none" w:color="auto"/>
                <w:shd w:val="clear" w:color="auto" w:fill="auto"/>
              </w:rPr>
            </w:pPr>
            <w:r>
              <w:rPr>
                <w:rFonts w:hint="default" w:ascii="Times New Roman" w:hAnsi="Times New Roman" w:eastAsia="宋体" w:cs="Times New Roman"/>
                <w:b w:val="0"/>
                <w:bCs/>
                <w:color w:val="auto"/>
                <w:sz w:val="24"/>
                <w:highlight w:val="none"/>
                <w:u w:val="none" w:color="auto"/>
                <w:shd w:val="clear" w:color="auto" w:fill="auto"/>
              </w:rPr>
              <w:t>本项目的主要环境保护目标分布情况见表</w:t>
            </w:r>
            <w:r>
              <w:rPr>
                <w:rFonts w:hint="default" w:ascii="Times New Roman" w:hAnsi="Times New Roman" w:eastAsia="宋体" w:cs="Times New Roman"/>
                <w:b w:val="0"/>
                <w:bCs/>
                <w:color w:val="auto"/>
                <w:sz w:val="24"/>
                <w:highlight w:val="none"/>
                <w:u w:val="none" w:color="auto"/>
                <w:shd w:val="clear" w:color="auto" w:fill="auto"/>
                <w:lang w:val="en-US" w:eastAsia="zh-CN"/>
              </w:rPr>
              <w:t>3-</w:t>
            </w:r>
            <w:r>
              <w:rPr>
                <w:rFonts w:hint="eastAsia" w:cs="Times New Roman"/>
                <w:b w:val="0"/>
                <w:bCs/>
                <w:color w:val="auto"/>
                <w:sz w:val="24"/>
                <w:highlight w:val="none"/>
                <w:u w:val="none" w:color="auto"/>
                <w:shd w:val="clear" w:color="auto" w:fill="auto"/>
                <w:lang w:val="en-US" w:eastAsia="zh-CN"/>
              </w:rPr>
              <w:t>8</w:t>
            </w:r>
            <w:r>
              <w:rPr>
                <w:rFonts w:hint="default" w:ascii="Times New Roman" w:hAnsi="Times New Roman" w:eastAsia="宋体" w:cs="Times New Roman"/>
                <w:b w:val="0"/>
                <w:bCs/>
                <w:color w:val="auto"/>
                <w:sz w:val="24"/>
                <w:highlight w:val="none"/>
                <w:u w:val="none" w:color="auto"/>
                <w:shd w:val="clear" w:color="auto" w:fill="auto"/>
              </w:rPr>
              <w:t>。</w:t>
            </w:r>
          </w:p>
          <w:p>
            <w:pPr>
              <w:spacing w:line="360" w:lineRule="auto"/>
              <w:ind w:firstLine="0" w:firstLineChars="0"/>
              <w:jc w:val="center"/>
              <w:rPr>
                <w:rFonts w:hint="default" w:ascii="Times New Roman" w:hAnsi="Times New Roman" w:cs="Times New Roman"/>
                <w:color w:val="auto"/>
                <w:sz w:val="24"/>
                <w:szCs w:val="22"/>
                <w:u w:val="none" w:color="auto"/>
              </w:rPr>
            </w:pPr>
            <w:r>
              <w:rPr>
                <w:rFonts w:hint="default" w:ascii="Times New Roman" w:hAnsi="Times New Roman" w:cs="Times New Roman"/>
                <w:color w:val="auto"/>
                <w:sz w:val="24"/>
                <w:szCs w:val="22"/>
                <w:u w:val="none" w:color="auto"/>
              </w:rPr>
              <w:t>表</w:t>
            </w:r>
            <w:r>
              <w:rPr>
                <w:rFonts w:hint="default" w:ascii="Times New Roman" w:hAnsi="Times New Roman" w:cs="Times New Roman"/>
                <w:color w:val="auto"/>
                <w:sz w:val="24"/>
                <w:szCs w:val="22"/>
                <w:u w:val="none" w:color="auto"/>
                <w:lang w:val="en-US" w:eastAsia="zh-CN"/>
              </w:rPr>
              <w:t>3-</w:t>
            </w:r>
            <w:r>
              <w:rPr>
                <w:rFonts w:hint="eastAsia" w:cs="Times New Roman"/>
                <w:color w:val="auto"/>
                <w:sz w:val="24"/>
                <w:szCs w:val="22"/>
                <w:u w:val="none" w:color="auto"/>
                <w:lang w:val="en-US" w:eastAsia="zh-CN"/>
              </w:rPr>
              <w:t>7</w:t>
            </w:r>
            <w:r>
              <w:rPr>
                <w:rFonts w:hint="default" w:ascii="Times New Roman" w:hAnsi="Times New Roman" w:cs="Times New Roman"/>
                <w:color w:val="auto"/>
                <w:sz w:val="24"/>
                <w:szCs w:val="22"/>
                <w:u w:val="none" w:color="auto"/>
              </w:rPr>
              <w:t xml:space="preserve"> </w:t>
            </w:r>
            <w:r>
              <w:rPr>
                <w:rFonts w:hint="default" w:ascii="Times New Roman" w:hAnsi="Times New Roman" w:cs="Times New Roman"/>
                <w:color w:val="auto"/>
                <w:sz w:val="24"/>
                <w:szCs w:val="22"/>
                <w:u w:val="none" w:color="auto"/>
                <w:lang w:val="en-US" w:eastAsia="zh-CN"/>
              </w:rPr>
              <w:t xml:space="preserve"> </w:t>
            </w:r>
            <w:r>
              <w:rPr>
                <w:rFonts w:hint="default" w:ascii="Times New Roman" w:hAnsi="Times New Roman" w:cs="Times New Roman"/>
                <w:color w:val="auto"/>
                <w:sz w:val="24"/>
                <w:szCs w:val="22"/>
                <w:u w:val="none" w:color="auto"/>
              </w:rPr>
              <w:t>主要环境保护目标</w:t>
            </w:r>
          </w:p>
          <w:tbl>
            <w:tblPr>
              <w:tblStyle w:val="4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210"/>
              <w:gridCol w:w="1261"/>
              <w:gridCol w:w="1152"/>
              <w:gridCol w:w="656"/>
              <w:gridCol w:w="1170"/>
              <w:gridCol w:w="781"/>
              <w:gridCol w:w="20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31"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环境要求</w:t>
                  </w:r>
                </w:p>
              </w:tc>
              <w:tc>
                <w:tcPr>
                  <w:tcW w:w="668"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环境保护目标名称</w:t>
                  </w:r>
                </w:p>
              </w:tc>
              <w:tc>
                <w:tcPr>
                  <w:tcW w:w="1331" w:type="pct"/>
                  <w:gridSpan w:val="2"/>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lang w:val="en-US" w:eastAsia="zh-CN"/>
                    </w:rPr>
                  </w:pPr>
                  <w:r>
                    <w:rPr>
                      <w:rFonts w:hint="default" w:ascii="Times New Roman" w:hAnsi="Times New Roman" w:eastAsia="宋体" w:cs="Times New Roman"/>
                      <w:b/>
                      <w:color w:val="auto"/>
                      <w:kern w:val="0"/>
                      <w:sz w:val="22"/>
                      <w:szCs w:val="22"/>
                      <w:u w:val="none" w:color="auto"/>
                      <w:lang w:val="en-US" w:eastAsia="zh-CN"/>
                    </w:rPr>
                    <w:t>坐标</w:t>
                  </w:r>
                </w:p>
              </w:tc>
              <w:tc>
                <w:tcPr>
                  <w:tcW w:w="362"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方位</w:t>
                  </w:r>
                </w:p>
              </w:tc>
              <w:tc>
                <w:tcPr>
                  <w:tcW w:w="645" w:type="pct"/>
                  <w:vMerge w:val="restart"/>
                  <w:tcBorders>
                    <w:tl2br w:val="nil"/>
                    <w:tr2bl w:val="nil"/>
                  </w:tcBorders>
                  <w:noWrap w:val="0"/>
                  <w:vAlign w:val="center"/>
                </w:tcPr>
                <w:p>
                  <w:pPr>
                    <w:widowControl/>
                    <w:spacing w:line="360" w:lineRule="auto"/>
                    <w:ind w:left="-101" w:leftChars="-50" w:right="-101" w:rightChars="-50"/>
                    <w:jc w:val="center"/>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距离项目距离（m）</w:t>
                  </w:r>
                </w:p>
              </w:tc>
              <w:tc>
                <w:tcPr>
                  <w:tcW w:w="430"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lang w:eastAsia="zh-CN"/>
                    </w:rPr>
                    <w:t>性质/</w:t>
                  </w:r>
                  <w:r>
                    <w:rPr>
                      <w:rFonts w:hint="default" w:ascii="Times New Roman" w:hAnsi="Times New Roman" w:eastAsia="宋体" w:cs="Times New Roman"/>
                      <w:b/>
                      <w:color w:val="auto"/>
                      <w:kern w:val="0"/>
                      <w:sz w:val="22"/>
                      <w:szCs w:val="22"/>
                      <w:u w:val="none" w:color="auto"/>
                    </w:rPr>
                    <w:t>规模</w:t>
                  </w:r>
                </w:p>
              </w:tc>
              <w:tc>
                <w:tcPr>
                  <w:tcW w:w="1129"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环境功能及保护级别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31"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rPr>
                  </w:pPr>
                </w:p>
              </w:tc>
              <w:tc>
                <w:tcPr>
                  <w:tcW w:w="668"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rPr>
                  </w:pPr>
                </w:p>
              </w:tc>
              <w:tc>
                <w:tcPr>
                  <w:tcW w:w="696" w:type="pc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lang w:val="en-US" w:eastAsia="zh-CN"/>
                    </w:rPr>
                  </w:pPr>
                  <w:r>
                    <w:rPr>
                      <w:rFonts w:hint="default" w:ascii="Times New Roman" w:hAnsi="Times New Roman" w:eastAsia="宋体" w:cs="Times New Roman"/>
                      <w:b/>
                      <w:color w:val="auto"/>
                      <w:kern w:val="0"/>
                      <w:sz w:val="22"/>
                      <w:szCs w:val="22"/>
                      <w:u w:val="none" w:color="auto"/>
                      <w:lang w:val="en-US" w:eastAsia="zh-CN"/>
                    </w:rPr>
                    <w:t>X</w:t>
                  </w:r>
                </w:p>
              </w:tc>
              <w:tc>
                <w:tcPr>
                  <w:tcW w:w="635" w:type="pc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lang w:val="en-US" w:eastAsia="zh-CN"/>
                    </w:rPr>
                  </w:pPr>
                  <w:r>
                    <w:rPr>
                      <w:rFonts w:hint="default" w:ascii="Times New Roman" w:hAnsi="Times New Roman" w:eastAsia="宋体" w:cs="Times New Roman"/>
                      <w:b/>
                      <w:color w:val="auto"/>
                      <w:kern w:val="0"/>
                      <w:sz w:val="22"/>
                      <w:szCs w:val="22"/>
                      <w:u w:val="none" w:color="auto"/>
                      <w:lang w:val="en-US" w:eastAsia="zh-CN"/>
                    </w:rPr>
                    <w:t>Y</w:t>
                  </w:r>
                </w:p>
              </w:tc>
              <w:tc>
                <w:tcPr>
                  <w:tcW w:w="362"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lang w:val="en-US" w:eastAsia="zh-CN"/>
                    </w:rPr>
                  </w:pPr>
                </w:p>
              </w:tc>
              <w:tc>
                <w:tcPr>
                  <w:tcW w:w="645"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lang w:val="en-US" w:eastAsia="zh-CN"/>
                    </w:rPr>
                  </w:pPr>
                </w:p>
              </w:tc>
              <w:tc>
                <w:tcPr>
                  <w:tcW w:w="430"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lang w:val="en-US" w:eastAsia="zh-CN"/>
                    </w:rPr>
                  </w:pPr>
                </w:p>
              </w:tc>
              <w:tc>
                <w:tcPr>
                  <w:tcW w:w="1129"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none" w:color="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31"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环境空气</w:t>
                  </w:r>
                </w:p>
              </w:tc>
              <w:tc>
                <w:tcPr>
                  <w:tcW w:w="668"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居民点</w:t>
                  </w:r>
                </w:p>
              </w:tc>
              <w:tc>
                <w:tcPr>
                  <w:tcW w:w="696"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eastAsia="宋体" w:cs="Times New Roman"/>
                      <w:color w:val="auto"/>
                      <w:kern w:val="0"/>
                      <w:sz w:val="22"/>
                      <w:szCs w:val="22"/>
                      <w:u w:val="none" w:color="auto"/>
                      <w:lang w:val="en-US" w:eastAsia="zh-CN"/>
                    </w:rPr>
                    <w:t>112.877183</w:t>
                  </w:r>
                </w:p>
              </w:tc>
              <w:tc>
                <w:tcPr>
                  <w:tcW w:w="63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eastAsia="宋体" w:cs="Times New Roman"/>
                      <w:color w:val="auto"/>
                      <w:kern w:val="0"/>
                      <w:sz w:val="22"/>
                      <w:szCs w:val="22"/>
                      <w:u w:val="none" w:color="auto"/>
                      <w:lang w:val="en-US" w:eastAsia="zh-CN"/>
                    </w:rPr>
                    <w:t>28.765609</w:t>
                  </w:r>
                </w:p>
              </w:tc>
              <w:tc>
                <w:tcPr>
                  <w:tcW w:w="362"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东、东</w:t>
                  </w:r>
                  <w:r>
                    <w:rPr>
                      <w:rFonts w:hint="default" w:ascii="Times New Roman" w:hAnsi="Times New Roman" w:eastAsia="宋体" w:cs="Times New Roman"/>
                      <w:color w:val="auto"/>
                      <w:kern w:val="0"/>
                      <w:sz w:val="22"/>
                      <w:szCs w:val="22"/>
                      <w:u w:val="none" w:color="auto"/>
                      <w:lang w:val="en-US" w:eastAsia="zh-CN"/>
                    </w:rPr>
                    <w:t>南</w:t>
                  </w:r>
                </w:p>
              </w:tc>
              <w:tc>
                <w:tcPr>
                  <w:tcW w:w="64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120-970</w:t>
                  </w:r>
                </w:p>
              </w:tc>
              <w:tc>
                <w:tcPr>
                  <w:tcW w:w="430"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eastAsia="zh-CN"/>
                    </w:rPr>
                  </w:pPr>
                  <w:r>
                    <w:rPr>
                      <w:rFonts w:hint="default" w:ascii="Times New Roman" w:hAnsi="Times New Roman" w:eastAsia="宋体" w:cs="Times New Roman"/>
                      <w:color w:val="auto"/>
                      <w:kern w:val="0"/>
                      <w:sz w:val="22"/>
                      <w:szCs w:val="22"/>
                      <w:u w:val="none" w:color="auto"/>
                      <w:lang w:eastAsia="zh-CN"/>
                    </w:rPr>
                    <w:t>约</w:t>
                  </w:r>
                  <w:r>
                    <w:rPr>
                      <w:rFonts w:hint="eastAsia" w:cs="Times New Roman"/>
                      <w:color w:val="auto"/>
                      <w:kern w:val="0"/>
                      <w:sz w:val="22"/>
                      <w:szCs w:val="22"/>
                      <w:u w:val="none" w:color="auto"/>
                      <w:lang w:val="en-US" w:eastAsia="zh-CN"/>
                    </w:rPr>
                    <w:t>640</w:t>
                  </w:r>
                  <w:r>
                    <w:rPr>
                      <w:rFonts w:hint="default" w:ascii="Times New Roman" w:hAnsi="Times New Roman" w:eastAsia="宋体" w:cs="Times New Roman"/>
                      <w:color w:val="auto"/>
                      <w:kern w:val="0"/>
                      <w:sz w:val="22"/>
                      <w:szCs w:val="22"/>
                      <w:u w:val="none" w:color="auto"/>
                      <w:lang w:val="en-US" w:eastAsia="zh-CN"/>
                    </w:rPr>
                    <w:t>人</w:t>
                  </w:r>
                </w:p>
              </w:tc>
              <w:tc>
                <w:tcPr>
                  <w:tcW w:w="1129"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sz w:val="22"/>
                      <w:szCs w:val="22"/>
                      <w:u w:val="none" w:color="auto"/>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431"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rPr>
                  </w:pPr>
                </w:p>
              </w:tc>
              <w:tc>
                <w:tcPr>
                  <w:tcW w:w="668"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杨家山居民点</w:t>
                  </w:r>
                </w:p>
              </w:tc>
              <w:tc>
                <w:tcPr>
                  <w:tcW w:w="696"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eastAsia="宋体" w:cs="Times New Roman"/>
                      <w:color w:val="auto"/>
                      <w:kern w:val="0"/>
                      <w:sz w:val="22"/>
                      <w:szCs w:val="22"/>
                      <w:u w:val="none" w:color="auto"/>
                      <w:lang w:val="en-US" w:eastAsia="zh-CN"/>
                    </w:rPr>
                    <w:t>112.887247</w:t>
                  </w:r>
                </w:p>
              </w:tc>
              <w:tc>
                <w:tcPr>
                  <w:tcW w:w="63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eastAsia="宋体" w:cs="Times New Roman"/>
                      <w:color w:val="auto"/>
                      <w:kern w:val="0"/>
                      <w:sz w:val="22"/>
                      <w:szCs w:val="22"/>
                      <w:u w:val="none" w:color="auto"/>
                      <w:lang w:val="en-US" w:eastAsia="zh-CN"/>
                    </w:rPr>
                    <w:t>28.769785</w:t>
                  </w:r>
                </w:p>
              </w:tc>
              <w:tc>
                <w:tcPr>
                  <w:tcW w:w="362"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东</w:t>
                  </w:r>
                </w:p>
              </w:tc>
              <w:tc>
                <w:tcPr>
                  <w:tcW w:w="64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1000-1200</w:t>
                  </w:r>
                </w:p>
              </w:tc>
              <w:tc>
                <w:tcPr>
                  <w:tcW w:w="430"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eastAsia="宋体" w:cs="Times New Roman"/>
                      <w:color w:val="auto"/>
                      <w:kern w:val="0"/>
                      <w:sz w:val="22"/>
                      <w:szCs w:val="22"/>
                      <w:u w:val="none" w:color="auto"/>
                      <w:lang w:eastAsia="zh-CN"/>
                    </w:rPr>
                    <w:t>约</w:t>
                  </w:r>
                  <w:r>
                    <w:rPr>
                      <w:rFonts w:hint="eastAsia" w:cs="Times New Roman"/>
                      <w:color w:val="auto"/>
                      <w:kern w:val="0"/>
                      <w:sz w:val="22"/>
                      <w:szCs w:val="22"/>
                      <w:u w:val="none" w:color="auto"/>
                      <w:lang w:val="en-US" w:eastAsia="zh-CN"/>
                    </w:rPr>
                    <w:t>210</w:t>
                  </w:r>
                  <w:r>
                    <w:rPr>
                      <w:rFonts w:hint="default" w:ascii="Times New Roman" w:hAnsi="Times New Roman" w:eastAsia="宋体" w:cs="Times New Roman"/>
                      <w:color w:val="auto"/>
                      <w:kern w:val="0"/>
                      <w:sz w:val="22"/>
                      <w:szCs w:val="22"/>
                      <w:u w:val="none" w:color="auto"/>
                      <w:lang w:val="en-US" w:eastAsia="zh-CN"/>
                    </w:rPr>
                    <w:t>人</w:t>
                  </w:r>
                </w:p>
              </w:tc>
              <w:tc>
                <w:tcPr>
                  <w:tcW w:w="1129"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31"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rPr>
                  </w:pPr>
                </w:p>
              </w:tc>
              <w:tc>
                <w:tcPr>
                  <w:tcW w:w="668"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eastAsia="宋体" w:cs="Times New Roman"/>
                      <w:color w:val="auto"/>
                      <w:kern w:val="0"/>
                      <w:sz w:val="22"/>
                      <w:szCs w:val="22"/>
                      <w:u w:val="none" w:color="auto"/>
                      <w:lang w:val="en-US" w:eastAsia="zh-CN"/>
                    </w:rPr>
                    <w:t>居民点</w:t>
                  </w:r>
                </w:p>
              </w:tc>
              <w:tc>
                <w:tcPr>
                  <w:tcW w:w="696"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cs="Times New Roman"/>
                      <w:color w:val="auto"/>
                      <w:sz w:val="22"/>
                      <w:szCs w:val="22"/>
                      <w:u w:val="none" w:color="auto"/>
                    </w:rPr>
                    <w:t>112.868222</w:t>
                  </w:r>
                </w:p>
              </w:tc>
              <w:tc>
                <w:tcPr>
                  <w:tcW w:w="63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cs="Times New Roman"/>
                      <w:color w:val="auto"/>
                      <w:sz w:val="22"/>
                      <w:szCs w:val="22"/>
                      <w:u w:val="none" w:color="auto"/>
                      <w:lang w:val="en-US" w:eastAsia="zh-CN"/>
                    </w:rPr>
                    <w:t>28.763563</w:t>
                  </w:r>
                </w:p>
              </w:tc>
              <w:tc>
                <w:tcPr>
                  <w:tcW w:w="362"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西南</w:t>
                  </w:r>
                </w:p>
              </w:tc>
              <w:tc>
                <w:tcPr>
                  <w:tcW w:w="64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650</w:t>
                  </w:r>
                </w:p>
              </w:tc>
              <w:tc>
                <w:tcPr>
                  <w:tcW w:w="430"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eastAsia="宋体" w:cs="Times New Roman"/>
                      <w:color w:val="auto"/>
                      <w:kern w:val="0"/>
                      <w:sz w:val="22"/>
                      <w:szCs w:val="22"/>
                      <w:u w:val="none" w:color="auto"/>
                      <w:lang w:val="en-US" w:eastAsia="zh-CN"/>
                    </w:rPr>
                    <w:t>1户</w:t>
                  </w:r>
                </w:p>
              </w:tc>
              <w:tc>
                <w:tcPr>
                  <w:tcW w:w="1129"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31"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地表水环境</w:t>
                  </w:r>
                </w:p>
              </w:tc>
              <w:tc>
                <w:tcPr>
                  <w:tcW w:w="2000"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kern w:val="0"/>
                      <w:sz w:val="22"/>
                      <w:szCs w:val="22"/>
                      <w:u w:val="none" w:color="auto"/>
                    </w:rPr>
                    <w:t>湘江</w:t>
                  </w:r>
                </w:p>
              </w:tc>
              <w:tc>
                <w:tcPr>
                  <w:tcW w:w="362"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lang w:val="en-US" w:eastAsia="zh-CN"/>
                    </w:rPr>
                    <w:t>北</w:t>
                  </w:r>
                </w:p>
              </w:tc>
              <w:tc>
                <w:tcPr>
                  <w:tcW w:w="645"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w:t>
                  </w:r>
                  <w:r>
                    <w:rPr>
                      <w:rFonts w:hint="default" w:ascii="Times New Roman" w:hAnsi="Times New Roman" w:eastAsia="宋体" w:cs="Times New Roman"/>
                      <w:color w:val="auto"/>
                      <w:sz w:val="22"/>
                      <w:szCs w:val="22"/>
                      <w:u w:val="none" w:color="auto"/>
                      <w:lang w:val="en-US" w:eastAsia="zh-CN"/>
                    </w:rPr>
                    <w:t>30</w:t>
                  </w:r>
                </w:p>
              </w:tc>
              <w:tc>
                <w:tcPr>
                  <w:tcW w:w="430"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lang w:val="en-US" w:eastAsia="zh-CN"/>
                    </w:rPr>
                    <w:t>大河</w:t>
                  </w:r>
                </w:p>
              </w:tc>
              <w:tc>
                <w:tcPr>
                  <w:tcW w:w="1129"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lang w:eastAsia="zh-CN"/>
                    </w:rPr>
                    <w:t>《</w:t>
                  </w:r>
                  <w:r>
                    <w:rPr>
                      <w:rFonts w:hint="default" w:ascii="Times New Roman" w:hAnsi="Times New Roman" w:eastAsia="宋体" w:cs="Times New Roman"/>
                      <w:color w:val="auto"/>
                      <w:kern w:val="0"/>
                      <w:sz w:val="22"/>
                      <w:szCs w:val="22"/>
                      <w:u w:val="none" w:color="auto"/>
                      <w:lang w:val="en-US" w:eastAsia="zh-CN"/>
                    </w:rPr>
                    <w:t>地表水水环境质量标准</w:t>
                  </w:r>
                  <w:r>
                    <w:rPr>
                      <w:rFonts w:hint="default" w:ascii="Times New Roman" w:hAnsi="Times New Roman" w:eastAsia="宋体" w:cs="Times New Roman"/>
                      <w:color w:val="auto"/>
                      <w:kern w:val="0"/>
                      <w:sz w:val="22"/>
                      <w:szCs w:val="22"/>
                      <w:u w:val="none" w:color="auto"/>
                      <w:lang w:eastAsia="zh-CN"/>
                    </w:rPr>
                    <w:t>》</w:t>
                  </w:r>
                  <w:r>
                    <w:rPr>
                      <w:rFonts w:hint="default" w:ascii="Times New Roman" w:hAnsi="Times New Roman" w:eastAsia="宋体" w:cs="Times New Roman"/>
                      <w:color w:val="auto"/>
                      <w:kern w:val="0"/>
                      <w:sz w:val="22"/>
                      <w:szCs w:val="22"/>
                      <w:u w:val="none" w:color="auto"/>
                    </w:rPr>
                    <w:t>GB3838-2002中的III类水体功能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31"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rPr>
                  </w:pPr>
                </w:p>
              </w:tc>
              <w:tc>
                <w:tcPr>
                  <w:tcW w:w="2000"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eastAsia="宋体" w:cs="Times New Roman"/>
                      <w:color w:val="auto"/>
                      <w:kern w:val="0"/>
                      <w:sz w:val="22"/>
                      <w:szCs w:val="22"/>
                      <w:u w:val="none" w:color="auto"/>
                      <w:lang w:eastAsia="zh-CN"/>
                    </w:rPr>
                    <w:t>夹河</w:t>
                  </w:r>
                </w:p>
              </w:tc>
              <w:tc>
                <w:tcPr>
                  <w:tcW w:w="362"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eastAsia" w:cs="Times New Roman"/>
                      <w:color w:val="auto"/>
                      <w:kern w:val="0"/>
                      <w:sz w:val="22"/>
                      <w:szCs w:val="22"/>
                      <w:u w:val="none" w:color="auto"/>
                      <w:lang w:val="en-US" w:eastAsia="zh-CN"/>
                    </w:rPr>
                    <w:t>东</w:t>
                  </w:r>
                  <w:r>
                    <w:rPr>
                      <w:rFonts w:hint="default" w:ascii="Times New Roman" w:hAnsi="Times New Roman" w:eastAsia="宋体" w:cs="Times New Roman"/>
                      <w:color w:val="auto"/>
                      <w:kern w:val="0"/>
                      <w:sz w:val="22"/>
                      <w:szCs w:val="22"/>
                      <w:u w:val="none" w:color="auto"/>
                      <w:lang w:val="en-US" w:eastAsia="zh-CN"/>
                    </w:rPr>
                    <w:t>南</w:t>
                  </w:r>
                </w:p>
              </w:tc>
              <w:tc>
                <w:tcPr>
                  <w:tcW w:w="645"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3</w:t>
                  </w:r>
                  <w:r>
                    <w:rPr>
                      <w:rFonts w:hint="default" w:ascii="Times New Roman" w:hAnsi="Times New Roman" w:eastAsia="宋体" w:cs="Times New Roman"/>
                      <w:color w:val="auto"/>
                      <w:sz w:val="22"/>
                      <w:szCs w:val="22"/>
                      <w:u w:val="none" w:color="auto"/>
                      <w:lang w:val="en-US" w:eastAsia="zh-CN"/>
                    </w:rPr>
                    <w:t>0</w:t>
                  </w:r>
                </w:p>
              </w:tc>
              <w:tc>
                <w:tcPr>
                  <w:tcW w:w="430"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lang w:val="en-US" w:eastAsia="zh-CN"/>
                    </w:rPr>
                    <w:t>小河</w:t>
                  </w:r>
                </w:p>
              </w:tc>
              <w:tc>
                <w:tcPr>
                  <w:tcW w:w="1129"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31"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rPr>
                  </w:pPr>
                </w:p>
              </w:tc>
              <w:tc>
                <w:tcPr>
                  <w:tcW w:w="2000"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农灌渠</w:t>
                  </w:r>
                </w:p>
              </w:tc>
              <w:tc>
                <w:tcPr>
                  <w:tcW w:w="362"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西</w:t>
                  </w:r>
                  <w:r>
                    <w:rPr>
                      <w:rFonts w:hint="default" w:ascii="Times New Roman" w:hAnsi="Times New Roman" w:eastAsia="宋体" w:cs="Times New Roman"/>
                      <w:color w:val="auto"/>
                      <w:kern w:val="0"/>
                      <w:sz w:val="22"/>
                      <w:szCs w:val="22"/>
                      <w:u w:val="none" w:color="auto"/>
                      <w:lang w:val="en-US" w:eastAsia="zh-CN"/>
                    </w:rPr>
                    <w:t>南</w:t>
                  </w:r>
                </w:p>
              </w:tc>
              <w:tc>
                <w:tcPr>
                  <w:tcW w:w="645"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75</w:t>
                  </w:r>
                </w:p>
              </w:tc>
              <w:tc>
                <w:tcPr>
                  <w:tcW w:w="430"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水渠</w:t>
                  </w:r>
                </w:p>
              </w:tc>
              <w:tc>
                <w:tcPr>
                  <w:tcW w:w="1129"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431"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eastAsia="zh-CN"/>
                    </w:rPr>
                  </w:pPr>
                  <w:r>
                    <w:rPr>
                      <w:rFonts w:hint="default" w:ascii="Times New Roman" w:hAnsi="Times New Roman" w:eastAsia="宋体" w:cs="Times New Roman"/>
                      <w:color w:val="auto"/>
                      <w:kern w:val="0"/>
                      <w:sz w:val="22"/>
                      <w:szCs w:val="22"/>
                      <w:u w:val="none" w:color="auto"/>
                      <w:lang w:eastAsia="zh-CN"/>
                    </w:rPr>
                    <w:t>声环境</w:t>
                  </w:r>
                </w:p>
              </w:tc>
              <w:tc>
                <w:tcPr>
                  <w:tcW w:w="668"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eastAsia="zh-CN"/>
                    </w:rPr>
                  </w:pPr>
                  <w:r>
                    <w:rPr>
                      <w:rFonts w:hint="eastAsia" w:cs="Times New Roman"/>
                      <w:color w:val="auto"/>
                      <w:kern w:val="0"/>
                      <w:sz w:val="22"/>
                      <w:szCs w:val="22"/>
                      <w:u w:val="none" w:color="auto"/>
                      <w:lang w:val="en-US" w:eastAsia="zh-CN"/>
                    </w:rPr>
                    <w:t>居民点</w:t>
                  </w:r>
                </w:p>
              </w:tc>
              <w:tc>
                <w:tcPr>
                  <w:tcW w:w="696"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kern w:val="0"/>
                      <w:sz w:val="22"/>
                      <w:szCs w:val="22"/>
                      <w:u w:val="none" w:color="auto"/>
                      <w:lang w:val="en-US" w:eastAsia="zh-CN"/>
                    </w:rPr>
                    <w:t>112.877183</w:t>
                  </w:r>
                </w:p>
              </w:tc>
              <w:tc>
                <w:tcPr>
                  <w:tcW w:w="635"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kern w:val="0"/>
                      <w:sz w:val="22"/>
                      <w:szCs w:val="22"/>
                      <w:u w:val="none" w:color="auto"/>
                      <w:lang w:val="en-US" w:eastAsia="zh-CN"/>
                    </w:rPr>
                    <w:t>28.765609</w:t>
                  </w:r>
                </w:p>
              </w:tc>
              <w:tc>
                <w:tcPr>
                  <w:tcW w:w="362"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kern w:val="0"/>
                      <w:sz w:val="22"/>
                      <w:szCs w:val="22"/>
                      <w:u w:val="none" w:color="auto"/>
                      <w:lang w:val="en-US" w:eastAsia="zh-CN"/>
                    </w:rPr>
                    <w:t>东、东</w:t>
                  </w:r>
                  <w:r>
                    <w:rPr>
                      <w:rFonts w:hint="default" w:ascii="Times New Roman" w:hAnsi="Times New Roman" w:eastAsia="宋体" w:cs="Times New Roman"/>
                      <w:color w:val="auto"/>
                      <w:kern w:val="0"/>
                      <w:sz w:val="22"/>
                      <w:szCs w:val="22"/>
                      <w:u w:val="none" w:color="auto"/>
                      <w:lang w:val="en-US" w:eastAsia="zh-CN"/>
                    </w:rPr>
                    <w:t>南</w:t>
                  </w:r>
                </w:p>
              </w:tc>
              <w:tc>
                <w:tcPr>
                  <w:tcW w:w="645"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120-200</w:t>
                  </w:r>
                </w:p>
              </w:tc>
              <w:tc>
                <w:tcPr>
                  <w:tcW w:w="430"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kern w:val="0"/>
                      <w:sz w:val="22"/>
                      <w:szCs w:val="22"/>
                      <w:u w:val="none" w:color="auto"/>
                      <w:lang w:eastAsia="zh-CN"/>
                    </w:rPr>
                    <w:t>约</w:t>
                  </w:r>
                  <w:r>
                    <w:rPr>
                      <w:rFonts w:hint="eastAsia" w:cs="Times New Roman"/>
                      <w:color w:val="auto"/>
                      <w:kern w:val="0"/>
                      <w:sz w:val="22"/>
                      <w:szCs w:val="22"/>
                      <w:u w:val="none" w:color="auto"/>
                      <w:lang w:val="en-US" w:eastAsia="zh-CN"/>
                    </w:rPr>
                    <w:t>6</w:t>
                  </w:r>
                  <w:r>
                    <w:rPr>
                      <w:rFonts w:hint="default" w:ascii="Times New Roman" w:hAnsi="Times New Roman" w:eastAsia="宋体" w:cs="Times New Roman"/>
                      <w:color w:val="auto"/>
                      <w:kern w:val="0"/>
                      <w:sz w:val="22"/>
                      <w:szCs w:val="22"/>
                      <w:u w:val="none" w:color="auto"/>
                      <w:lang w:val="en-US" w:eastAsia="zh-CN"/>
                    </w:rPr>
                    <w:t>0人</w:t>
                  </w:r>
                </w:p>
              </w:tc>
              <w:tc>
                <w:tcPr>
                  <w:tcW w:w="112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default" w:ascii="Times New Roman" w:hAnsi="Times New Roman" w:eastAsia="宋体" w:cs="Times New Roman"/>
                      <w:color w:val="auto"/>
                      <w:kern w:val="0"/>
                      <w:sz w:val="22"/>
                      <w:szCs w:val="22"/>
                      <w:u w:val="none" w:color="auto"/>
                      <w:lang w:val="en-US" w:eastAsia="zh-CN"/>
                    </w:rPr>
                    <w:t>《声环境质量标准》GB3096-2008中2类标准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431" w:type="pct"/>
                  <w:tcBorders>
                    <w:tl2br w:val="nil"/>
                    <w:tr2bl w:val="nil"/>
                  </w:tcBorders>
                  <w:noWrap w:val="0"/>
                  <w:vAlign w:val="center"/>
                </w:tcPr>
                <w:p>
                  <w:pPr>
                    <w:widowControl/>
                    <w:spacing w:line="360" w:lineRule="auto"/>
                    <w:jc w:val="center"/>
                    <w:textAlignment w:val="center"/>
                    <w:rPr>
                      <w:rFonts w:hint="default" w:ascii="Times New Roman" w:hAnsi="Times New Roman" w:eastAsia="宋体" w:cs="Times New Roman"/>
                      <w:color w:val="auto"/>
                      <w:kern w:val="0"/>
                      <w:sz w:val="22"/>
                      <w:szCs w:val="22"/>
                      <w:u w:val="none" w:color="auto"/>
                      <w:lang w:eastAsia="zh-CN"/>
                    </w:rPr>
                  </w:pPr>
                  <w:r>
                    <w:rPr>
                      <w:rFonts w:hint="default" w:ascii="Times New Roman" w:hAnsi="Times New Roman" w:cs="Times New Roman"/>
                      <w:color w:val="auto"/>
                      <w:kern w:val="0"/>
                      <w:sz w:val="22"/>
                      <w:szCs w:val="22"/>
                      <w:u w:val="none" w:color="auto"/>
                      <w:lang w:val="en-US" w:eastAsia="zh-CN" w:bidi="ar"/>
                    </w:rPr>
                    <w:t>地下水</w:t>
                  </w:r>
                </w:p>
              </w:tc>
              <w:tc>
                <w:tcPr>
                  <w:tcW w:w="3438" w:type="pct"/>
                  <w:gridSpan w:val="6"/>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eastAsia="zh-CN"/>
                    </w:rPr>
                  </w:pPr>
                  <w:r>
                    <w:rPr>
                      <w:rFonts w:hint="default" w:ascii="Times New Roman" w:hAnsi="Times New Roman" w:eastAsia="宋体" w:cs="Times New Roman"/>
                      <w:color w:val="auto"/>
                      <w:sz w:val="22"/>
                      <w:szCs w:val="22"/>
                      <w:u w:val="none" w:color="auto"/>
                    </w:rPr>
                    <w:t>饮用自来水，地下水资源开发利用程度较低</w:t>
                  </w:r>
                </w:p>
              </w:tc>
              <w:tc>
                <w:tcPr>
                  <w:tcW w:w="112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eastAsia="zh-CN"/>
                    </w:rPr>
                  </w:pPr>
                  <w:r>
                    <w:rPr>
                      <w:rFonts w:hint="default" w:ascii="Times New Roman" w:hAnsi="Times New Roman" w:cs="Times New Roman"/>
                      <w:color w:val="auto"/>
                      <w:sz w:val="22"/>
                      <w:szCs w:val="22"/>
                      <w:u w:val="non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31"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val="en-US" w:eastAsia="zh-CN" w:bidi="ar"/>
                    </w:rPr>
                  </w:pPr>
                  <w:r>
                    <w:rPr>
                      <w:rFonts w:hint="default" w:ascii="Times New Roman" w:hAnsi="Times New Roman" w:cs="Times New Roman"/>
                      <w:color w:val="auto"/>
                      <w:kern w:val="0"/>
                      <w:sz w:val="22"/>
                      <w:szCs w:val="22"/>
                      <w:u w:val="none" w:color="auto"/>
                      <w:lang w:val="en-US" w:eastAsia="zh-CN" w:bidi="ar"/>
                    </w:rPr>
                    <w:t>生态</w:t>
                  </w:r>
                </w:p>
                <w:p>
                  <w:pPr>
                    <w:widowControl/>
                    <w:spacing w:line="360" w:lineRule="auto"/>
                    <w:jc w:val="center"/>
                    <w:textAlignment w:val="center"/>
                    <w:rPr>
                      <w:rFonts w:hint="default" w:ascii="Times New Roman" w:hAnsi="Times New Roman" w:eastAsia="宋体" w:cs="Times New Roman"/>
                      <w:color w:val="auto"/>
                      <w:kern w:val="0"/>
                      <w:sz w:val="22"/>
                      <w:szCs w:val="22"/>
                      <w:u w:val="none" w:color="auto"/>
                      <w:lang w:eastAsia="zh-CN"/>
                    </w:rPr>
                  </w:pPr>
                  <w:r>
                    <w:rPr>
                      <w:rFonts w:hint="default" w:ascii="Times New Roman" w:hAnsi="Times New Roman" w:cs="Times New Roman"/>
                      <w:color w:val="auto"/>
                      <w:kern w:val="0"/>
                      <w:sz w:val="22"/>
                      <w:szCs w:val="22"/>
                      <w:u w:val="none" w:color="auto"/>
                      <w:lang w:val="en-US" w:eastAsia="zh-CN" w:bidi="ar"/>
                    </w:rPr>
                    <w:t>环境</w:t>
                  </w:r>
                </w:p>
              </w:tc>
              <w:tc>
                <w:tcPr>
                  <w:tcW w:w="3438" w:type="pct"/>
                  <w:gridSpan w:val="6"/>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eastAsia="zh-CN"/>
                    </w:rPr>
                  </w:pPr>
                  <w:r>
                    <w:rPr>
                      <w:rFonts w:hint="default" w:ascii="Times New Roman" w:hAnsi="Times New Roman" w:eastAsia="宋体" w:cs="Times New Roman"/>
                      <w:color w:val="auto"/>
                      <w:sz w:val="22"/>
                      <w:szCs w:val="22"/>
                      <w:u w:val="none" w:color="auto"/>
                    </w:rPr>
                    <w:t xml:space="preserve">厂区周边 </w:t>
                  </w:r>
                  <w:r>
                    <w:rPr>
                      <w:rFonts w:hint="default" w:ascii="Times New Roman" w:hAnsi="Times New Roman" w:eastAsia="宋体" w:cs="Times New Roman"/>
                      <w:color w:val="auto"/>
                      <w:sz w:val="22"/>
                      <w:szCs w:val="22"/>
                      <w:u w:val="none" w:color="auto"/>
                      <w:lang w:val="en-US" w:eastAsia="zh-CN"/>
                    </w:rPr>
                    <w:t>2</w:t>
                  </w:r>
                  <w:r>
                    <w:rPr>
                      <w:rFonts w:hint="default" w:ascii="Times New Roman" w:hAnsi="Times New Roman" w:eastAsia="宋体" w:cs="Times New Roman"/>
                      <w:color w:val="auto"/>
                      <w:sz w:val="22"/>
                      <w:szCs w:val="22"/>
                      <w:u w:val="none" w:color="auto"/>
                    </w:rPr>
                    <w:t>00m 范围内的生态环境</w:t>
                  </w:r>
                </w:p>
              </w:tc>
              <w:tc>
                <w:tcPr>
                  <w:tcW w:w="112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eastAsia="zh-CN"/>
                    </w:rPr>
                  </w:pPr>
                  <w:r>
                    <w:rPr>
                      <w:rFonts w:hint="default" w:ascii="Times New Roman" w:hAnsi="Times New Roman" w:eastAsia="宋体" w:cs="Times New Roman"/>
                      <w:color w:val="auto"/>
                      <w:sz w:val="22"/>
                      <w:szCs w:val="22"/>
                      <w:u w:val="none" w:color="auto"/>
                    </w:rPr>
                    <w:t>不破坏生态系统</w:t>
                  </w:r>
                </w:p>
              </w:tc>
            </w:tr>
          </w:tbl>
          <w:p>
            <w:pPr>
              <w:snapToGrid w:val="0"/>
              <w:jc w:val="both"/>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cr/>
            </w:r>
            <w:r>
              <w:rPr>
                <w:rFonts w:hint="default" w:ascii="Times New Roman" w:hAnsi="Times New Roman" w:cs="Times New Roman"/>
                <w:color w:val="auto"/>
                <w:sz w:val="24"/>
                <w:szCs w:val="24"/>
                <w:u w:val="none" w:color="auto"/>
              </w:rPr>
              <w:t xml:space="preserve">  </w:t>
            </w:r>
          </w:p>
          <w:p>
            <w:pPr>
              <w:snapToGrid w:val="0"/>
              <w:jc w:val="both"/>
              <w:rPr>
                <w:rFonts w:hint="default" w:ascii="Times New Roman" w:hAnsi="Times New Roman" w:cs="Times New Roman"/>
                <w:color w:val="auto"/>
                <w:sz w:val="24"/>
                <w:szCs w:val="24"/>
                <w:u w:val="none" w:color="auto"/>
              </w:rPr>
            </w:pPr>
          </w:p>
          <w:p>
            <w:pPr>
              <w:snapToGrid w:val="0"/>
              <w:jc w:val="both"/>
              <w:rPr>
                <w:rFonts w:hint="default" w:ascii="Times New Roman" w:hAnsi="Times New Roman" w:cs="Times New Roman"/>
                <w:color w:val="auto"/>
                <w:sz w:val="24"/>
                <w:szCs w:val="24"/>
                <w:u w:val="none" w:color="auto"/>
              </w:rPr>
            </w:pPr>
          </w:p>
          <w:p>
            <w:pPr>
              <w:snapToGrid w:val="0"/>
              <w:jc w:val="both"/>
              <w:rPr>
                <w:rFonts w:hint="default" w:ascii="Times New Roman" w:hAnsi="Times New Roman" w:cs="Times New Roman"/>
                <w:color w:val="auto"/>
                <w:sz w:val="24"/>
                <w:szCs w:val="24"/>
                <w:u w:val="none" w:color="auto"/>
              </w:rPr>
            </w:pPr>
          </w:p>
          <w:p>
            <w:pPr>
              <w:snapToGrid w:val="0"/>
              <w:jc w:val="both"/>
              <w:rPr>
                <w:rFonts w:hint="eastAsia" w:ascii="Times New Roman" w:hAnsi="Times New Roman" w:eastAsia="宋体" w:cs="Times New Roman"/>
                <w:color w:val="auto"/>
                <w:u w:val="none" w:color="auto"/>
                <w:lang w:eastAsia="zh-CN"/>
              </w:rPr>
            </w:pPr>
          </w:p>
        </w:tc>
      </w:tr>
    </w:tbl>
    <w:p>
      <w:pPr>
        <w:snapToGrid w:val="0"/>
        <w:textAlignment w:val="baseline"/>
        <w:outlineLvl w:val="0"/>
        <w:rPr>
          <w:rFonts w:eastAsia="黑体"/>
          <w:color w:val="auto"/>
          <w:sz w:val="32"/>
          <w:u w:val="none" w:color="auto"/>
        </w:rPr>
      </w:pPr>
      <w:r>
        <w:rPr>
          <w:color w:val="auto"/>
          <w:u w:val="none" w:color="auto"/>
        </w:rPr>
        <w:br w:type="page"/>
      </w:r>
      <w:bookmarkStart w:id="6" w:name="_Toc28966"/>
      <w:r>
        <w:rPr>
          <w:rFonts w:hint="default" w:ascii="Times New Roman" w:hAnsi="Times New Roman" w:eastAsia="黑体" w:cs="Times New Roman"/>
          <w:color w:val="auto"/>
          <w:sz w:val="32"/>
          <w:szCs w:val="32"/>
          <w:u w:val="none" w:color="auto"/>
        </w:rPr>
        <w:t>四、</w:t>
      </w:r>
      <w:r>
        <w:rPr>
          <w:rFonts w:hint="default" w:ascii="Times New Roman" w:hAnsi="Times New Roman" w:eastAsia="黑体" w:cs="Times New Roman"/>
          <w:color w:val="auto"/>
          <w:sz w:val="32"/>
          <w:u w:val="none" w:color="auto"/>
        </w:rPr>
        <w:t>评价适用标准</w:t>
      </w:r>
      <w:bookmarkEnd w:id="6"/>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8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9" w:hRule="atLeast"/>
          <w:jc w:val="center"/>
        </w:trPr>
        <w:tc>
          <w:tcPr>
            <w:tcW w:w="592" w:type="dxa"/>
            <w:vAlign w:val="center"/>
          </w:tcPr>
          <w:p>
            <w:pPr>
              <w:jc w:val="center"/>
              <w:rPr>
                <w:b/>
                <w:bCs/>
                <w:color w:val="auto"/>
                <w:sz w:val="24"/>
                <w:szCs w:val="24"/>
                <w:u w:val="none" w:color="auto"/>
              </w:rPr>
            </w:pPr>
            <w:r>
              <w:rPr>
                <w:b/>
                <w:bCs/>
                <w:color w:val="auto"/>
                <w:sz w:val="24"/>
                <w:szCs w:val="24"/>
                <w:u w:val="none" w:color="auto"/>
              </w:rPr>
              <w:t>环境质量标准</w:t>
            </w:r>
          </w:p>
        </w:tc>
        <w:tc>
          <w:tcPr>
            <w:tcW w:w="8676" w:type="dxa"/>
            <w:vAlign w:val="center"/>
          </w:tcPr>
          <w:p>
            <w:pPr>
              <w:pStyle w:val="174"/>
              <w:numPr>
                <w:ilvl w:val="0"/>
                <w:numId w:val="0"/>
              </w:numPr>
              <w:spacing w:line="360" w:lineRule="auto"/>
              <w:rPr>
                <w:rFonts w:hint="eastAsia" w:eastAsia="宋体"/>
                <w:color w:val="auto"/>
                <w:sz w:val="24"/>
                <w:szCs w:val="24"/>
                <w:u w:val="none" w:color="auto"/>
                <w:lang w:eastAsia="zh-CN"/>
              </w:rPr>
            </w:pPr>
            <w:r>
              <w:rPr>
                <w:rFonts w:hint="default" w:ascii="Times New Roman" w:hAnsi="Times New Roman" w:cs="Times New Roman"/>
                <w:color w:val="auto"/>
                <w:sz w:val="24"/>
                <w:szCs w:val="24"/>
                <w:u w:val="none" w:color="auto"/>
                <w:lang w:val="en-US" w:eastAsia="zh-CN"/>
              </w:rPr>
              <w:t>1</w:t>
            </w:r>
            <w:r>
              <w:rPr>
                <w:rFonts w:hint="eastAsia" w:cs="Times New Roman"/>
                <w:color w:val="auto"/>
                <w:sz w:val="24"/>
                <w:szCs w:val="24"/>
                <w:u w:val="none" w:color="auto"/>
                <w:lang w:val="en-US" w:eastAsia="zh-CN"/>
              </w:rPr>
              <w:t>、</w:t>
            </w:r>
            <w:r>
              <w:rPr>
                <w:color w:val="auto"/>
                <w:sz w:val="24"/>
                <w:szCs w:val="24"/>
                <w:u w:val="none" w:color="auto"/>
              </w:rPr>
              <w:t>环境空气质量：</w:t>
            </w:r>
            <w:r>
              <w:rPr>
                <w:rFonts w:hint="default"/>
                <w:color w:val="auto"/>
                <w:sz w:val="24"/>
                <w:szCs w:val="24"/>
                <w:u w:val="none" w:color="auto"/>
              </w:rPr>
              <w:t>SO</w:t>
            </w:r>
            <w:r>
              <w:rPr>
                <w:rFonts w:hint="default"/>
                <w:color w:val="auto"/>
                <w:sz w:val="24"/>
                <w:szCs w:val="24"/>
                <w:u w:val="none" w:color="auto"/>
                <w:vertAlign w:val="subscript"/>
              </w:rPr>
              <w:t>2</w:t>
            </w:r>
            <w:r>
              <w:rPr>
                <w:rFonts w:hint="default"/>
                <w:color w:val="auto"/>
                <w:sz w:val="24"/>
                <w:szCs w:val="24"/>
                <w:u w:val="none" w:color="auto"/>
              </w:rPr>
              <w:t>、NO</w:t>
            </w:r>
            <w:r>
              <w:rPr>
                <w:rFonts w:hint="default"/>
                <w:color w:val="auto"/>
                <w:sz w:val="24"/>
                <w:szCs w:val="24"/>
                <w:u w:val="none" w:color="auto"/>
                <w:vertAlign w:val="subscript"/>
              </w:rPr>
              <w:t>2</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eastAsia" w:ascii="Times New Roman" w:hAnsi="Times New Roman" w:cs="Times New Roman"/>
                <w:color w:val="auto"/>
                <w:sz w:val="24"/>
                <w:szCs w:val="24"/>
                <w:u w:val="none" w:color="auto"/>
                <w:vertAlign w:val="subscript"/>
                <w:lang w:val="en-US" w:eastAsia="zh-CN"/>
              </w:rPr>
              <w:t>2.5</w:t>
            </w:r>
            <w:r>
              <w:rPr>
                <w:rFonts w:hint="eastAsia" w:cs="Times New Roman"/>
                <w:color w:val="auto"/>
                <w:sz w:val="24"/>
                <w:szCs w:val="24"/>
                <w:u w:val="none" w:color="auto"/>
                <w:vertAlign w:val="baseline"/>
                <w:lang w:val="en-US" w:eastAsia="zh-CN"/>
              </w:rPr>
              <w:t>、</w:t>
            </w:r>
            <w:r>
              <w:rPr>
                <w:rFonts w:hint="eastAsia"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O</w:t>
            </w:r>
            <w:r>
              <w:rPr>
                <w:rFonts w:hint="eastAsia" w:ascii="Times New Roman" w:hAnsi="Times New Roman" w:cs="Times New Roman"/>
                <w:color w:val="auto"/>
                <w:sz w:val="24"/>
                <w:szCs w:val="24"/>
                <w:u w:val="none" w:color="auto"/>
                <w:vertAlign w:val="subscript"/>
                <w:lang w:val="en-US" w:eastAsia="zh-CN"/>
              </w:rPr>
              <w:t>3</w:t>
            </w:r>
            <w:r>
              <w:rPr>
                <w:rFonts w:hint="default"/>
                <w:color w:val="auto"/>
                <w:sz w:val="24"/>
                <w:szCs w:val="24"/>
                <w:u w:val="none" w:color="auto"/>
              </w:rPr>
              <w:t>执行《环境空气质量标准》（GB3095-2012）中的二级标准</w:t>
            </w:r>
            <w:r>
              <w:rPr>
                <w:rFonts w:hint="eastAsia"/>
                <w:color w:val="auto"/>
                <w:sz w:val="24"/>
                <w:szCs w:val="24"/>
                <w:u w:val="none" w:color="auto"/>
                <w:lang w:eastAsia="zh-CN"/>
              </w:rPr>
              <w:t>。</w:t>
            </w:r>
            <w:r>
              <w:rPr>
                <w:rFonts w:hint="default"/>
                <w:color w:val="auto"/>
                <w:sz w:val="24"/>
                <w:szCs w:val="24"/>
                <w:u w:val="none" w:color="auto"/>
              </w:rPr>
              <w:t>TVOC满足《环境影响评价技术导则 大气环境》（HJ2.2-2018）附录D中相应的标准</w:t>
            </w:r>
            <w:r>
              <w:rPr>
                <w:rFonts w:hint="eastAsia"/>
                <w:color w:val="auto"/>
                <w:sz w:val="24"/>
                <w:szCs w:val="24"/>
                <w:u w:val="none" w:color="auto"/>
                <w:lang w:eastAsia="zh-CN"/>
              </w:rPr>
              <w:t>。</w:t>
            </w:r>
          </w:p>
          <w:p>
            <w:pPr>
              <w:pStyle w:val="188"/>
              <w:rPr>
                <w:rFonts w:hint="default"/>
                <w:color w:val="auto"/>
                <w:u w:val="none" w:color="auto"/>
                <w:lang w:val="en-US" w:eastAsia="zh-CN"/>
              </w:rPr>
            </w:pPr>
            <w:r>
              <w:rPr>
                <w:rFonts w:hint="default"/>
                <w:color w:val="auto"/>
                <w:u w:val="none" w:color="auto"/>
                <w:lang w:val="en-US" w:eastAsia="zh-CN"/>
              </w:rPr>
              <w:t>表</w:t>
            </w:r>
            <w:r>
              <w:rPr>
                <w:rFonts w:hint="eastAsia"/>
                <w:color w:val="auto"/>
                <w:u w:val="none" w:color="auto"/>
                <w:lang w:val="en-US" w:eastAsia="zh-CN"/>
              </w:rPr>
              <w:t>4-1</w:t>
            </w:r>
            <w:r>
              <w:rPr>
                <w:rFonts w:hint="default"/>
                <w:color w:val="auto"/>
                <w:u w:val="none" w:color="auto"/>
                <w:lang w:val="en-US" w:eastAsia="zh-CN"/>
              </w:rPr>
              <w:t xml:space="preserve">   环境空气质量标准  单位：ug/m</w:t>
            </w:r>
            <w:r>
              <w:rPr>
                <w:rFonts w:hint="default"/>
                <w:color w:val="auto"/>
                <w:u w:val="none" w:color="auto"/>
                <w:vertAlign w:val="superscript"/>
                <w:lang w:val="en-US" w:eastAsia="zh-CN"/>
              </w:rPr>
              <w:t>3</w:t>
            </w:r>
          </w:p>
          <w:tbl>
            <w:tblPr>
              <w:tblStyle w:val="40"/>
              <w:tblW w:w="84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757"/>
              <w:gridCol w:w="1787"/>
              <w:gridCol w:w="1781"/>
              <w:gridCol w:w="1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vMerge w:val="restart"/>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污染物名称</w:t>
                  </w:r>
                </w:p>
              </w:tc>
              <w:tc>
                <w:tcPr>
                  <w:tcW w:w="7101" w:type="dxa"/>
                  <w:gridSpan w:val="4"/>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757"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1小时平均</w:t>
                  </w:r>
                </w:p>
              </w:tc>
              <w:tc>
                <w:tcPr>
                  <w:tcW w:w="1787"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日平均</w:t>
                  </w:r>
                </w:p>
              </w:tc>
              <w:tc>
                <w:tcPr>
                  <w:tcW w:w="1781" w:type="dxa"/>
                  <w:tcBorders>
                    <w:tl2br w:val="nil"/>
                    <w:tr2bl w:val="nil"/>
                  </w:tcBorders>
                  <w:noWrap w:val="0"/>
                  <w:vAlign w:val="center"/>
                </w:tcPr>
                <w:p>
                  <w:pPr>
                    <w:pStyle w:val="186"/>
                    <w:spacing w:line="360" w:lineRule="auto"/>
                    <w:rPr>
                      <w:rFonts w:hint="default"/>
                      <w:color w:val="auto"/>
                      <w:sz w:val="22"/>
                      <w:szCs w:val="22"/>
                      <w:u w:val="none" w:color="auto"/>
                    </w:rPr>
                  </w:pPr>
                  <w:r>
                    <w:rPr>
                      <w:color w:val="auto"/>
                      <w:sz w:val="22"/>
                      <w:szCs w:val="22"/>
                      <w:u w:val="none" w:color="auto"/>
                    </w:rPr>
                    <w:t>8小时均值</w:t>
                  </w:r>
                </w:p>
              </w:tc>
              <w:tc>
                <w:tcPr>
                  <w:tcW w:w="1776" w:type="dxa"/>
                  <w:tcBorders>
                    <w:tl2br w:val="nil"/>
                    <w:tr2bl w:val="nil"/>
                  </w:tcBorders>
                  <w:noWrap w:val="0"/>
                  <w:vAlign w:val="center"/>
                </w:tcPr>
                <w:p>
                  <w:pPr>
                    <w:pStyle w:val="186"/>
                    <w:spacing w:line="360" w:lineRule="auto"/>
                    <w:rPr>
                      <w:rFonts w:hint="eastAsia" w:eastAsia="宋体"/>
                      <w:color w:val="auto"/>
                      <w:sz w:val="22"/>
                      <w:szCs w:val="22"/>
                      <w:u w:val="none" w:color="auto"/>
                      <w:lang w:eastAsia="zh-CN"/>
                    </w:rPr>
                  </w:pPr>
                  <w:r>
                    <w:rPr>
                      <w:rFonts w:hint="eastAsia"/>
                      <w:color w:val="auto"/>
                      <w:sz w:val="22"/>
                      <w:szCs w:val="22"/>
                      <w:u w:val="none" w:color="auto"/>
                      <w:lang w:eastAsia="zh-CN"/>
                    </w:rPr>
                    <w:t>年均值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757"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500</w:t>
                  </w:r>
                </w:p>
              </w:tc>
              <w:tc>
                <w:tcPr>
                  <w:tcW w:w="1787"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150</w:t>
                  </w:r>
                </w:p>
              </w:tc>
              <w:tc>
                <w:tcPr>
                  <w:tcW w:w="1781" w:type="dxa"/>
                  <w:tcBorders>
                    <w:tl2br w:val="nil"/>
                    <w:tr2bl w:val="nil"/>
                  </w:tcBorders>
                  <w:noWrap w:val="0"/>
                  <w:vAlign w:val="center"/>
                </w:tcPr>
                <w:p>
                  <w:pPr>
                    <w:pStyle w:val="186"/>
                    <w:spacing w:line="360" w:lineRule="auto"/>
                    <w:rPr>
                      <w:rFonts w:hint="default"/>
                      <w:color w:val="auto"/>
                      <w:sz w:val="22"/>
                      <w:szCs w:val="22"/>
                      <w:u w:val="none" w:color="auto"/>
                    </w:rPr>
                  </w:pPr>
                  <w:r>
                    <w:rPr>
                      <w:color w:val="auto"/>
                      <w:sz w:val="22"/>
                      <w:szCs w:val="22"/>
                      <w:u w:val="none" w:color="auto"/>
                    </w:rPr>
                    <w:t>/</w:t>
                  </w:r>
                </w:p>
              </w:tc>
              <w:tc>
                <w:tcPr>
                  <w:tcW w:w="1776"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757"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200</w:t>
                  </w:r>
                </w:p>
              </w:tc>
              <w:tc>
                <w:tcPr>
                  <w:tcW w:w="1787"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80</w:t>
                  </w:r>
                </w:p>
              </w:tc>
              <w:tc>
                <w:tcPr>
                  <w:tcW w:w="1781" w:type="dxa"/>
                  <w:tcBorders>
                    <w:tl2br w:val="nil"/>
                    <w:tr2bl w:val="nil"/>
                  </w:tcBorders>
                  <w:noWrap w:val="0"/>
                  <w:vAlign w:val="center"/>
                </w:tcPr>
                <w:p>
                  <w:pPr>
                    <w:pStyle w:val="186"/>
                    <w:spacing w:line="360" w:lineRule="auto"/>
                    <w:rPr>
                      <w:rFonts w:hint="default"/>
                      <w:color w:val="auto"/>
                      <w:sz w:val="22"/>
                      <w:szCs w:val="22"/>
                      <w:u w:val="none" w:color="auto"/>
                    </w:rPr>
                  </w:pPr>
                  <w:r>
                    <w:rPr>
                      <w:color w:val="auto"/>
                      <w:sz w:val="22"/>
                      <w:szCs w:val="22"/>
                      <w:u w:val="none" w:color="auto"/>
                    </w:rPr>
                    <w:t>/</w:t>
                  </w:r>
                </w:p>
              </w:tc>
              <w:tc>
                <w:tcPr>
                  <w:tcW w:w="1776"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757"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w:t>
                  </w:r>
                </w:p>
              </w:tc>
              <w:tc>
                <w:tcPr>
                  <w:tcW w:w="1787" w:type="dxa"/>
                  <w:tcBorders>
                    <w:tl2br w:val="nil"/>
                    <w:tr2bl w:val="nil"/>
                  </w:tcBorders>
                  <w:noWrap w:val="0"/>
                  <w:vAlign w:val="center"/>
                </w:tcPr>
                <w:p>
                  <w:pPr>
                    <w:pStyle w:val="186"/>
                    <w:spacing w:line="360" w:lineRule="auto"/>
                    <w:rPr>
                      <w:rFonts w:hint="eastAsia" w:eastAsia="宋体"/>
                      <w:color w:val="auto"/>
                      <w:sz w:val="22"/>
                      <w:szCs w:val="22"/>
                      <w:u w:val="none" w:color="auto"/>
                      <w:lang w:eastAsia="zh-CN"/>
                    </w:rPr>
                  </w:pPr>
                  <w:r>
                    <w:rPr>
                      <w:rFonts w:hint="eastAsia"/>
                      <w:color w:val="auto"/>
                      <w:sz w:val="22"/>
                      <w:szCs w:val="22"/>
                      <w:u w:val="none" w:color="auto"/>
                      <w:lang w:val="en-US" w:eastAsia="zh-CN"/>
                    </w:rPr>
                    <w:t>150</w:t>
                  </w:r>
                </w:p>
              </w:tc>
              <w:tc>
                <w:tcPr>
                  <w:tcW w:w="1781"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color w:val="auto"/>
                      <w:sz w:val="22"/>
                      <w:szCs w:val="22"/>
                      <w:u w:val="none" w:color="auto"/>
                    </w:rPr>
                    <w:t>/</w:t>
                  </w:r>
                </w:p>
              </w:tc>
              <w:tc>
                <w:tcPr>
                  <w:tcW w:w="1776"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default" w:ascii="Times New Roman" w:hAnsi="Times New Roman" w:cs="Times New Roman"/>
                      <w:color w:val="auto"/>
                      <w:sz w:val="22"/>
                      <w:szCs w:val="22"/>
                      <w:u w:val="none" w:color="auto"/>
                    </w:rPr>
                    <w:t>PM</w:t>
                  </w:r>
                  <w:r>
                    <w:rPr>
                      <w:rFonts w:hint="eastAsia" w:ascii="Times New Roman" w:hAnsi="Times New Roman" w:cs="Times New Roman"/>
                      <w:color w:val="auto"/>
                      <w:sz w:val="22"/>
                      <w:szCs w:val="22"/>
                      <w:u w:val="none" w:color="auto"/>
                      <w:vertAlign w:val="subscript"/>
                      <w:lang w:val="en-US" w:eastAsia="zh-CN"/>
                    </w:rPr>
                    <w:t>2.5</w:t>
                  </w:r>
                </w:p>
              </w:tc>
              <w:tc>
                <w:tcPr>
                  <w:tcW w:w="1757"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87"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75</w:t>
                  </w:r>
                </w:p>
              </w:tc>
              <w:tc>
                <w:tcPr>
                  <w:tcW w:w="1781"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76"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eastAsia" w:ascii="Times New Roman" w:hAnsi="Times New Roman" w:cs="Times New Roman"/>
                      <w:color w:val="auto"/>
                      <w:sz w:val="22"/>
                      <w:szCs w:val="22"/>
                      <w:u w:val="none" w:color="auto"/>
                      <w:lang w:val="en-US" w:eastAsia="zh-CN"/>
                    </w:rPr>
                    <w:t>C</w:t>
                  </w:r>
                  <w:r>
                    <w:rPr>
                      <w:rFonts w:hint="default" w:ascii="Times New Roman" w:hAnsi="Times New Roman" w:cs="Times New Roman"/>
                      <w:color w:val="auto"/>
                      <w:sz w:val="22"/>
                      <w:szCs w:val="22"/>
                      <w:u w:val="none" w:color="auto"/>
                    </w:rPr>
                    <w:t>O</w:t>
                  </w:r>
                </w:p>
              </w:tc>
              <w:tc>
                <w:tcPr>
                  <w:tcW w:w="1757"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10000</w:t>
                  </w:r>
                </w:p>
              </w:tc>
              <w:tc>
                <w:tcPr>
                  <w:tcW w:w="1787"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4000</w:t>
                  </w:r>
                </w:p>
              </w:tc>
              <w:tc>
                <w:tcPr>
                  <w:tcW w:w="1781"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76"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default" w:ascii="Times New Roman" w:hAnsi="Times New Roman" w:cs="Times New Roman"/>
                      <w:color w:val="auto"/>
                      <w:sz w:val="22"/>
                      <w:szCs w:val="22"/>
                      <w:u w:val="none" w:color="auto"/>
                    </w:rPr>
                    <w:t>O</w:t>
                  </w:r>
                  <w:r>
                    <w:rPr>
                      <w:rFonts w:hint="eastAsia" w:ascii="Times New Roman" w:hAnsi="Times New Roman" w:cs="Times New Roman"/>
                      <w:color w:val="auto"/>
                      <w:sz w:val="22"/>
                      <w:szCs w:val="22"/>
                      <w:u w:val="none" w:color="auto"/>
                      <w:vertAlign w:val="subscript"/>
                      <w:lang w:val="en-US" w:eastAsia="zh-CN"/>
                    </w:rPr>
                    <w:t>3</w:t>
                  </w:r>
                </w:p>
              </w:tc>
              <w:tc>
                <w:tcPr>
                  <w:tcW w:w="1757"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200</w:t>
                  </w:r>
                </w:p>
              </w:tc>
              <w:tc>
                <w:tcPr>
                  <w:tcW w:w="1787"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w:t>
                  </w:r>
                </w:p>
              </w:tc>
              <w:tc>
                <w:tcPr>
                  <w:tcW w:w="1781"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160</w:t>
                  </w:r>
                </w:p>
              </w:tc>
              <w:tc>
                <w:tcPr>
                  <w:tcW w:w="1776" w:type="dxa"/>
                  <w:tcBorders>
                    <w:tl2br w:val="nil"/>
                    <w:tr2bl w:val="nil"/>
                  </w:tcBorders>
                  <w:noWrap w:val="0"/>
                  <w:vAlign w:val="center"/>
                </w:tcPr>
                <w:p>
                  <w:pPr>
                    <w:pStyle w:val="186"/>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r>
          </w:tbl>
          <w:p>
            <w:pPr>
              <w:pStyle w:val="188"/>
              <w:rPr>
                <w:rFonts w:hint="default"/>
                <w:color w:val="auto"/>
                <w:u w:val="none" w:color="auto"/>
                <w:lang w:val="en-US" w:eastAsia="zh-CN"/>
              </w:rPr>
            </w:pPr>
            <w:r>
              <w:rPr>
                <w:rFonts w:hint="default"/>
                <w:color w:val="auto"/>
                <w:u w:val="none" w:color="auto"/>
                <w:lang w:val="en-US" w:eastAsia="zh-CN"/>
              </w:rPr>
              <w:t>表</w:t>
            </w:r>
            <w:r>
              <w:rPr>
                <w:rFonts w:hint="eastAsia"/>
                <w:color w:val="auto"/>
                <w:u w:val="none" w:color="auto"/>
                <w:lang w:val="en-US" w:eastAsia="zh-CN"/>
              </w:rPr>
              <w:t>4-2</w:t>
            </w:r>
            <w:r>
              <w:rPr>
                <w:rFonts w:hint="default"/>
                <w:color w:val="auto"/>
                <w:u w:val="none" w:color="auto"/>
                <w:lang w:val="en-US" w:eastAsia="zh-CN"/>
              </w:rPr>
              <w:t xml:space="preserve">   </w:t>
            </w:r>
            <w:r>
              <w:rPr>
                <w:rFonts w:hint="default"/>
                <w:color w:val="auto"/>
                <w:u w:val="none" w:color="auto"/>
              </w:rPr>
              <w:t>附录D</w:t>
            </w:r>
            <w:r>
              <w:rPr>
                <w:rFonts w:hint="eastAsia"/>
                <w:color w:val="auto"/>
                <w:u w:val="none" w:color="auto"/>
                <w:lang w:val="en-US" w:eastAsia="zh-CN"/>
              </w:rPr>
              <w:t>其他污染物空气质量浓度参考限值</w:t>
            </w:r>
            <w:r>
              <w:rPr>
                <w:rFonts w:hint="default"/>
                <w:color w:val="auto"/>
                <w:u w:val="none" w:color="auto"/>
                <w:lang w:val="en-US" w:eastAsia="zh-CN"/>
              </w:rPr>
              <w:t xml:space="preserve">  单位：ug/m</w:t>
            </w:r>
            <w:r>
              <w:rPr>
                <w:rFonts w:hint="default"/>
                <w:color w:val="auto"/>
                <w:u w:val="none" w:color="auto"/>
                <w:vertAlign w:val="superscript"/>
                <w:lang w:val="en-US" w:eastAsia="zh-CN"/>
              </w:rPr>
              <w:t>3</w:t>
            </w:r>
          </w:p>
          <w:tbl>
            <w:tblPr>
              <w:tblStyle w:val="40"/>
              <w:tblW w:w="84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225"/>
              <w:gridCol w:w="2265"/>
              <w:gridCol w:w="2254"/>
              <w:gridCol w:w="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4" w:type="dxa"/>
                  <w:vMerge w:val="restart"/>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污染物名称</w:t>
                  </w:r>
                </w:p>
              </w:tc>
              <w:tc>
                <w:tcPr>
                  <w:tcW w:w="6746" w:type="dxa"/>
                  <w:gridSpan w:val="4"/>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40" w:hRule="atLeast"/>
                <w:jc w:val="center"/>
              </w:trPr>
              <w:tc>
                <w:tcPr>
                  <w:tcW w:w="1684"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2225"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1小时平均</w:t>
                  </w:r>
                </w:p>
              </w:tc>
              <w:tc>
                <w:tcPr>
                  <w:tcW w:w="2265"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日平均</w:t>
                  </w:r>
                </w:p>
              </w:tc>
              <w:tc>
                <w:tcPr>
                  <w:tcW w:w="2254" w:type="dxa"/>
                  <w:tcBorders>
                    <w:tl2br w:val="nil"/>
                    <w:tr2bl w:val="nil"/>
                  </w:tcBorders>
                  <w:noWrap w:val="0"/>
                  <w:vAlign w:val="center"/>
                </w:tcPr>
                <w:p>
                  <w:pPr>
                    <w:pStyle w:val="186"/>
                    <w:spacing w:line="360" w:lineRule="auto"/>
                    <w:rPr>
                      <w:rFonts w:hint="default"/>
                      <w:color w:val="auto"/>
                      <w:sz w:val="22"/>
                      <w:szCs w:val="22"/>
                      <w:u w:val="none" w:color="auto"/>
                    </w:rPr>
                  </w:pPr>
                  <w:r>
                    <w:rPr>
                      <w:color w:val="auto"/>
                      <w:sz w:val="22"/>
                      <w:szCs w:val="22"/>
                      <w:u w:val="none" w:color="auto"/>
                    </w:rPr>
                    <w:t>8小时均值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40" w:hRule="atLeast"/>
                <w:jc w:val="center"/>
              </w:trPr>
              <w:tc>
                <w:tcPr>
                  <w:tcW w:w="168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TVOC</w:t>
                  </w:r>
                </w:p>
              </w:tc>
              <w:tc>
                <w:tcPr>
                  <w:tcW w:w="2225" w:type="dxa"/>
                  <w:tcBorders>
                    <w:tl2br w:val="nil"/>
                    <w:tr2bl w:val="nil"/>
                  </w:tcBorders>
                  <w:noWrap w:val="0"/>
                  <w:vAlign w:val="center"/>
                </w:tcPr>
                <w:p>
                  <w:pPr>
                    <w:pStyle w:val="186"/>
                    <w:spacing w:line="360" w:lineRule="auto"/>
                    <w:rPr>
                      <w:rFonts w:hint="eastAsia" w:eastAsia="宋体"/>
                      <w:color w:val="auto"/>
                      <w:sz w:val="22"/>
                      <w:szCs w:val="22"/>
                      <w:u w:val="none" w:color="auto"/>
                      <w:lang w:eastAsia="zh-CN"/>
                    </w:rPr>
                  </w:pPr>
                  <w:r>
                    <w:rPr>
                      <w:rFonts w:hint="eastAsia"/>
                      <w:color w:val="auto"/>
                      <w:sz w:val="22"/>
                      <w:szCs w:val="22"/>
                      <w:u w:val="none" w:color="auto"/>
                      <w:lang w:val="en-US" w:eastAsia="zh-CN"/>
                    </w:rPr>
                    <w:t>/</w:t>
                  </w:r>
                </w:p>
              </w:tc>
              <w:tc>
                <w:tcPr>
                  <w:tcW w:w="2265" w:type="dxa"/>
                  <w:tcBorders>
                    <w:tl2br w:val="nil"/>
                    <w:tr2bl w:val="nil"/>
                  </w:tcBorders>
                  <w:noWrap w:val="0"/>
                  <w:vAlign w:val="center"/>
                </w:tcPr>
                <w:p>
                  <w:pPr>
                    <w:pStyle w:val="186"/>
                    <w:spacing w:line="360" w:lineRule="auto"/>
                    <w:rPr>
                      <w:rFonts w:hint="eastAsia" w:eastAsia="宋体"/>
                      <w:color w:val="auto"/>
                      <w:sz w:val="22"/>
                      <w:szCs w:val="22"/>
                      <w:u w:val="none" w:color="auto"/>
                      <w:lang w:eastAsia="zh-CN"/>
                    </w:rPr>
                  </w:pPr>
                  <w:r>
                    <w:rPr>
                      <w:rFonts w:hint="eastAsia"/>
                      <w:color w:val="auto"/>
                      <w:sz w:val="22"/>
                      <w:szCs w:val="22"/>
                      <w:u w:val="none" w:color="auto"/>
                      <w:lang w:val="en-US" w:eastAsia="zh-CN"/>
                    </w:rPr>
                    <w:t>/</w:t>
                  </w:r>
                </w:p>
              </w:tc>
              <w:tc>
                <w:tcPr>
                  <w:tcW w:w="225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600</w:t>
                  </w:r>
                </w:p>
              </w:tc>
            </w:tr>
          </w:tbl>
          <w:p>
            <w:pPr>
              <w:pStyle w:val="167"/>
              <w:numPr>
                <w:ilvl w:val="0"/>
                <w:numId w:val="6"/>
              </w:numPr>
              <w:snapToGrid w:val="0"/>
              <w:spacing w:line="360" w:lineRule="auto"/>
              <w:ind w:firstLineChars="0"/>
              <w:rPr>
                <w:color w:val="auto"/>
                <w:sz w:val="24"/>
                <w:u w:val="none" w:color="auto"/>
              </w:rPr>
            </w:pPr>
            <w:r>
              <w:rPr>
                <w:color w:val="auto"/>
                <w:sz w:val="24"/>
                <w:u w:val="none" w:color="auto"/>
              </w:rPr>
              <w:t>地表水环境：执行《地表水环境质量标准》（GB3838-2002）中的</w:t>
            </w:r>
            <w:r>
              <w:rPr>
                <w:color w:val="auto"/>
                <w:szCs w:val="21"/>
                <w:u w:val="none" w:color="auto"/>
              </w:rPr>
              <w:t>III</w:t>
            </w:r>
            <w:r>
              <w:rPr>
                <w:color w:val="auto"/>
                <w:sz w:val="24"/>
                <w:u w:val="none" w:color="auto"/>
              </w:rPr>
              <w:t>类标准</w:t>
            </w:r>
          </w:p>
          <w:p>
            <w:pPr>
              <w:jc w:val="center"/>
              <w:rPr>
                <w:color w:val="auto"/>
                <w:sz w:val="24"/>
                <w:szCs w:val="24"/>
                <w:u w:val="none" w:color="auto"/>
              </w:rPr>
            </w:pPr>
            <w:r>
              <w:rPr>
                <w:b/>
                <w:bCs/>
                <w:color w:val="auto"/>
                <w:sz w:val="24"/>
                <w:u w:val="none" w:color="auto"/>
              </w:rPr>
              <w:t>表4-</w:t>
            </w:r>
            <w:r>
              <w:rPr>
                <w:rFonts w:hint="eastAsia"/>
                <w:b/>
                <w:bCs/>
                <w:color w:val="auto"/>
                <w:sz w:val="24"/>
                <w:u w:val="none" w:color="auto"/>
                <w:lang w:val="en-US" w:eastAsia="zh-CN"/>
              </w:rPr>
              <w:t>3</w:t>
            </w:r>
            <w:r>
              <w:rPr>
                <w:b/>
                <w:bCs/>
                <w:color w:val="auto"/>
                <w:sz w:val="24"/>
                <w:u w:val="none" w:color="auto"/>
              </w:rPr>
              <w:t xml:space="preserve">  《地表水环境质量标准》中的</w:t>
            </w:r>
            <w:r>
              <w:rPr>
                <w:color w:val="auto"/>
                <w:szCs w:val="21"/>
                <w:u w:val="none" w:color="auto"/>
              </w:rPr>
              <w:t>III</w:t>
            </w:r>
            <w:r>
              <w:rPr>
                <w:b/>
                <w:bCs/>
                <w:color w:val="auto"/>
                <w:sz w:val="24"/>
                <w:u w:val="none" w:color="auto"/>
              </w:rPr>
              <w:t>类标准</w:t>
            </w:r>
          </w:p>
          <w:tbl>
            <w:tblPr>
              <w:tblStyle w:val="40"/>
              <w:tblW w:w="8430" w:type="dxa"/>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91"/>
              <w:gridCol w:w="1212"/>
              <w:gridCol w:w="1212"/>
              <w:gridCol w:w="1213"/>
              <w:gridCol w:w="1212"/>
              <w:gridCol w:w="120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187"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主要污</w:t>
                  </w:r>
                </w:p>
                <w:p>
                  <w:pPr>
                    <w:spacing w:line="360" w:lineRule="auto"/>
                    <w:jc w:val="center"/>
                    <w:rPr>
                      <w:b/>
                      <w:color w:val="auto"/>
                      <w:sz w:val="22"/>
                      <w:szCs w:val="22"/>
                      <w:u w:val="none" w:color="auto"/>
                    </w:rPr>
                  </w:pPr>
                  <w:r>
                    <w:rPr>
                      <w:b/>
                      <w:bCs/>
                      <w:color w:val="auto"/>
                      <w:sz w:val="22"/>
                      <w:szCs w:val="22"/>
                      <w:u w:val="none" w:color="auto"/>
                    </w:rPr>
                    <w:t>染物</w:t>
                  </w:r>
                </w:p>
              </w:tc>
              <w:tc>
                <w:tcPr>
                  <w:tcW w:w="1191" w:type="dxa"/>
                  <w:tcBorders>
                    <w:tl2br w:val="nil"/>
                    <w:tr2bl w:val="nil"/>
                  </w:tcBorders>
                  <w:vAlign w:val="center"/>
                </w:tcPr>
                <w:p>
                  <w:pPr>
                    <w:spacing w:line="360" w:lineRule="auto"/>
                    <w:jc w:val="center"/>
                    <w:rPr>
                      <w:b/>
                      <w:color w:val="auto"/>
                      <w:sz w:val="22"/>
                      <w:szCs w:val="22"/>
                      <w:u w:val="none" w:color="auto"/>
                    </w:rPr>
                  </w:pPr>
                  <w:r>
                    <w:rPr>
                      <w:b/>
                      <w:bCs/>
                      <w:color w:val="auto"/>
                      <w:sz w:val="22"/>
                      <w:szCs w:val="22"/>
                      <w:u w:val="none" w:color="auto"/>
                    </w:rPr>
                    <w:t>pH</w:t>
                  </w:r>
                </w:p>
              </w:tc>
              <w:tc>
                <w:tcPr>
                  <w:tcW w:w="1212"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COD</w:t>
                  </w:r>
                  <w:r>
                    <w:rPr>
                      <w:b/>
                      <w:bCs/>
                      <w:color w:val="auto"/>
                      <w:sz w:val="22"/>
                      <w:szCs w:val="22"/>
                      <w:u w:val="none" w:color="auto"/>
                      <w:vertAlign w:val="subscript"/>
                    </w:rPr>
                    <w:t>Cr</w:t>
                  </w:r>
                </w:p>
                <w:p>
                  <w:pPr>
                    <w:spacing w:line="360" w:lineRule="auto"/>
                    <w:jc w:val="center"/>
                    <w:rPr>
                      <w:b/>
                      <w:color w:val="auto"/>
                      <w:sz w:val="22"/>
                      <w:szCs w:val="22"/>
                      <w:u w:val="none" w:color="auto"/>
                    </w:rPr>
                  </w:pPr>
                  <w:r>
                    <w:rPr>
                      <w:b/>
                      <w:bCs/>
                      <w:color w:val="auto"/>
                      <w:sz w:val="22"/>
                      <w:szCs w:val="22"/>
                      <w:u w:val="none" w:color="auto"/>
                    </w:rPr>
                    <w:t>（mg/L）</w:t>
                  </w:r>
                </w:p>
              </w:tc>
              <w:tc>
                <w:tcPr>
                  <w:tcW w:w="1212"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BOD</w:t>
                  </w:r>
                  <w:r>
                    <w:rPr>
                      <w:b/>
                      <w:bCs/>
                      <w:color w:val="auto"/>
                      <w:sz w:val="22"/>
                      <w:szCs w:val="22"/>
                      <w:u w:val="none" w:color="auto"/>
                      <w:vertAlign w:val="subscript"/>
                    </w:rPr>
                    <w:t>5</w:t>
                  </w:r>
                </w:p>
                <w:p>
                  <w:pPr>
                    <w:spacing w:line="360" w:lineRule="auto"/>
                    <w:jc w:val="center"/>
                    <w:rPr>
                      <w:b/>
                      <w:color w:val="auto"/>
                      <w:sz w:val="22"/>
                      <w:szCs w:val="22"/>
                      <w:u w:val="none" w:color="auto"/>
                    </w:rPr>
                  </w:pPr>
                  <w:r>
                    <w:rPr>
                      <w:b/>
                      <w:bCs/>
                      <w:color w:val="auto"/>
                      <w:sz w:val="22"/>
                      <w:szCs w:val="22"/>
                      <w:u w:val="none" w:color="auto"/>
                    </w:rPr>
                    <w:t>（mg/L）</w:t>
                  </w:r>
                </w:p>
              </w:tc>
              <w:tc>
                <w:tcPr>
                  <w:tcW w:w="1213"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氨氮</w:t>
                  </w:r>
                </w:p>
                <w:p>
                  <w:pPr>
                    <w:spacing w:line="360" w:lineRule="auto"/>
                    <w:jc w:val="center"/>
                    <w:rPr>
                      <w:b/>
                      <w:color w:val="auto"/>
                      <w:sz w:val="22"/>
                      <w:szCs w:val="22"/>
                      <w:u w:val="none" w:color="auto"/>
                    </w:rPr>
                  </w:pPr>
                  <w:r>
                    <w:rPr>
                      <w:b/>
                      <w:bCs/>
                      <w:color w:val="auto"/>
                      <w:sz w:val="22"/>
                      <w:szCs w:val="22"/>
                      <w:u w:val="none" w:color="auto"/>
                    </w:rPr>
                    <w:t>（mg/L）</w:t>
                  </w:r>
                </w:p>
              </w:tc>
              <w:tc>
                <w:tcPr>
                  <w:tcW w:w="1212"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DO</w:t>
                  </w:r>
                </w:p>
                <w:p>
                  <w:pPr>
                    <w:spacing w:line="360" w:lineRule="auto"/>
                    <w:jc w:val="center"/>
                    <w:rPr>
                      <w:b/>
                      <w:color w:val="auto"/>
                      <w:sz w:val="22"/>
                      <w:szCs w:val="22"/>
                      <w:u w:val="none" w:color="auto"/>
                    </w:rPr>
                  </w:pPr>
                  <w:r>
                    <w:rPr>
                      <w:b/>
                      <w:bCs/>
                      <w:color w:val="auto"/>
                      <w:sz w:val="22"/>
                      <w:szCs w:val="22"/>
                      <w:u w:val="none" w:color="auto"/>
                    </w:rPr>
                    <w:t>（mg/L）</w:t>
                  </w:r>
                </w:p>
              </w:tc>
              <w:tc>
                <w:tcPr>
                  <w:tcW w:w="1203" w:type="dxa"/>
                  <w:tcBorders>
                    <w:tl2br w:val="nil"/>
                    <w:tr2bl w:val="nil"/>
                  </w:tcBorders>
                  <w:vAlign w:val="center"/>
                </w:tcPr>
                <w:p>
                  <w:pPr>
                    <w:spacing w:line="360" w:lineRule="auto"/>
                    <w:jc w:val="center"/>
                    <w:rPr>
                      <w:b/>
                      <w:color w:val="auto"/>
                      <w:sz w:val="22"/>
                      <w:szCs w:val="22"/>
                      <w:u w:val="none" w:color="auto"/>
                    </w:rPr>
                  </w:pPr>
                  <w:r>
                    <w:rPr>
                      <w:b/>
                      <w:bCs/>
                      <w:color w:val="auto"/>
                      <w:sz w:val="22"/>
                      <w:szCs w:val="22"/>
                      <w:u w:val="none" w:color="auto"/>
                    </w:rPr>
                    <w:t>石油类(mg/L)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187"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浓度限值</w:t>
                  </w:r>
                </w:p>
              </w:tc>
              <w:tc>
                <w:tcPr>
                  <w:tcW w:w="1191"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6～9</w:t>
                  </w:r>
                </w:p>
              </w:tc>
              <w:tc>
                <w:tcPr>
                  <w:tcW w:w="1212"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≤20</w:t>
                  </w:r>
                </w:p>
              </w:tc>
              <w:tc>
                <w:tcPr>
                  <w:tcW w:w="1212"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≤4.0</w:t>
                  </w:r>
                </w:p>
              </w:tc>
              <w:tc>
                <w:tcPr>
                  <w:tcW w:w="1213"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≤1.0</w:t>
                  </w:r>
                </w:p>
              </w:tc>
              <w:tc>
                <w:tcPr>
                  <w:tcW w:w="1212"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≥5</w:t>
                  </w:r>
                </w:p>
              </w:tc>
              <w:tc>
                <w:tcPr>
                  <w:tcW w:w="1203"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≤0.05</w:t>
                  </w:r>
                </w:p>
              </w:tc>
            </w:tr>
          </w:tbl>
          <w:p>
            <w:pPr>
              <w:pStyle w:val="34"/>
              <w:numPr>
                <w:ilvl w:val="0"/>
                <w:numId w:val="0"/>
              </w:numPr>
              <w:spacing w:line="360" w:lineRule="auto"/>
              <w:ind w:leftChars="0"/>
              <w:rPr>
                <w:color w:val="auto"/>
                <w:sz w:val="24"/>
                <w:u w:val="none" w:color="auto"/>
              </w:rPr>
            </w:pPr>
            <w:r>
              <w:rPr>
                <w:rFonts w:hint="eastAsia"/>
                <w:color w:val="auto"/>
                <w:sz w:val="24"/>
                <w:u w:val="none" w:color="auto"/>
                <w:lang w:val="en-US" w:eastAsia="zh-CN"/>
              </w:rPr>
              <w:t>3、</w:t>
            </w:r>
            <w:r>
              <w:rPr>
                <w:color w:val="auto"/>
                <w:sz w:val="24"/>
                <w:u w:val="none" w:color="auto"/>
              </w:rPr>
              <w:t>声环境：执行《声环境质量标准》（GB3096-</w:t>
            </w:r>
            <w:r>
              <w:rPr>
                <w:rFonts w:hint="eastAsia"/>
                <w:color w:val="auto"/>
                <w:sz w:val="24"/>
                <w:u w:val="none" w:color="auto"/>
                <w:lang w:val="en-US" w:eastAsia="zh-CN"/>
              </w:rPr>
              <w:t>2008</w:t>
            </w:r>
            <w:r>
              <w:rPr>
                <w:color w:val="auto"/>
                <w:sz w:val="24"/>
                <w:u w:val="none" w:color="auto"/>
              </w:rPr>
              <w:t>）中的</w:t>
            </w:r>
            <w:r>
              <w:rPr>
                <w:rFonts w:hint="eastAsia"/>
                <w:color w:val="auto"/>
                <w:sz w:val="24"/>
                <w:u w:val="none" w:color="auto"/>
                <w:lang w:val="en-US" w:eastAsia="zh-CN"/>
              </w:rPr>
              <w:t>2</w:t>
            </w:r>
            <w:r>
              <w:rPr>
                <w:color w:val="auto"/>
                <w:sz w:val="24"/>
                <w:u w:val="none" w:color="auto"/>
              </w:rPr>
              <w:t>类标准</w:t>
            </w:r>
          </w:p>
          <w:p>
            <w:pPr>
              <w:pStyle w:val="34"/>
              <w:ind w:left="0" w:leftChars="0" w:firstLine="462"/>
              <w:jc w:val="center"/>
              <w:rPr>
                <w:b/>
                <w:bCs/>
                <w:color w:val="auto"/>
                <w:sz w:val="24"/>
                <w:u w:val="none" w:color="auto"/>
              </w:rPr>
            </w:pPr>
            <w:r>
              <w:rPr>
                <w:b/>
                <w:bCs/>
                <w:color w:val="auto"/>
                <w:sz w:val="24"/>
                <w:u w:val="none" w:color="auto"/>
              </w:rPr>
              <w:t>表4-</w:t>
            </w:r>
            <w:r>
              <w:rPr>
                <w:rFonts w:hint="eastAsia"/>
                <w:b/>
                <w:bCs/>
                <w:color w:val="auto"/>
                <w:sz w:val="24"/>
                <w:u w:val="none" w:color="auto"/>
                <w:lang w:val="en-US" w:eastAsia="zh-CN"/>
              </w:rPr>
              <w:t>4</w:t>
            </w:r>
            <w:r>
              <w:rPr>
                <w:b/>
                <w:bCs/>
                <w:color w:val="auto"/>
                <w:sz w:val="24"/>
                <w:u w:val="none" w:color="auto"/>
              </w:rPr>
              <w:t xml:space="preserve">  《声环境质量标准》中的标准</w:t>
            </w:r>
          </w:p>
          <w:tbl>
            <w:tblPr>
              <w:tblStyle w:val="40"/>
              <w:tblW w:w="8430" w:type="dxa"/>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812"/>
              <w:gridCol w:w="2806"/>
              <w:gridCol w:w="28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812" w:type="dxa"/>
                  <w:vMerge w:val="restart"/>
                  <w:tcBorders>
                    <w:tl2br w:val="nil"/>
                    <w:tr2bl w:val="nil"/>
                  </w:tcBorders>
                  <w:vAlign w:val="center"/>
                </w:tcPr>
                <w:p>
                  <w:pPr>
                    <w:pStyle w:val="34"/>
                    <w:ind w:left="0" w:leftChars="0" w:firstLine="462"/>
                    <w:jc w:val="center"/>
                    <w:rPr>
                      <w:b/>
                      <w:bCs/>
                      <w:color w:val="auto"/>
                      <w:sz w:val="22"/>
                      <w:szCs w:val="22"/>
                      <w:u w:val="none" w:color="auto"/>
                    </w:rPr>
                  </w:pPr>
                  <w:r>
                    <w:rPr>
                      <w:b/>
                      <w:bCs/>
                      <w:color w:val="auto"/>
                      <w:sz w:val="22"/>
                      <w:szCs w:val="22"/>
                      <w:u w:val="none" w:color="auto"/>
                    </w:rPr>
                    <w:t>声环境功能区类别</w:t>
                  </w:r>
                </w:p>
              </w:tc>
              <w:tc>
                <w:tcPr>
                  <w:tcW w:w="5618" w:type="dxa"/>
                  <w:gridSpan w:val="2"/>
                  <w:tcBorders>
                    <w:tl2br w:val="nil"/>
                    <w:tr2bl w:val="nil"/>
                  </w:tcBorders>
                  <w:vAlign w:val="center"/>
                </w:tcPr>
                <w:p>
                  <w:pPr>
                    <w:pStyle w:val="34"/>
                    <w:ind w:left="0" w:leftChars="0" w:firstLine="462"/>
                    <w:jc w:val="center"/>
                    <w:rPr>
                      <w:b/>
                      <w:bCs/>
                      <w:color w:val="auto"/>
                      <w:sz w:val="22"/>
                      <w:szCs w:val="22"/>
                      <w:u w:val="none" w:color="auto"/>
                    </w:rPr>
                  </w:pPr>
                  <w:r>
                    <w:rPr>
                      <w:b/>
                      <w:bCs/>
                      <w:color w:val="auto"/>
                      <w:sz w:val="22"/>
                      <w:szCs w:val="22"/>
                      <w:u w:val="none" w:color="auto"/>
                    </w:rPr>
                    <w:t>时段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812" w:type="dxa"/>
                  <w:vMerge w:val="continue"/>
                  <w:tcBorders>
                    <w:tl2br w:val="nil"/>
                    <w:tr2bl w:val="nil"/>
                  </w:tcBorders>
                  <w:vAlign w:val="center"/>
                </w:tcPr>
                <w:p>
                  <w:pPr>
                    <w:pStyle w:val="34"/>
                    <w:ind w:left="400" w:firstLine="462"/>
                    <w:jc w:val="center"/>
                    <w:rPr>
                      <w:b/>
                      <w:bCs/>
                      <w:color w:val="auto"/>
                      <w:sz w:val="22"/>
                      <w:szCs w:val="22"/>
                      <w:u w:val="none" w:color="auto"/>
                    </w:rPr>
                  </w:pPr>
                </w:p>
              </w:tc>
              <w:tc>
                <w:tcPr>
                  <w:tcW w:w="2806" w:type="dxa"/>
                  <w:tcBorders>
                    <w:tl2br w:val="nil"/>
                    <w:tr2bl w:val="nil"/>
                  </w:tcBorders>
                  <w:vAlign w:val="center"/>
                </w:tcPr>
                <w:p>
                  <w:pPr>
                    <w:pStyle w:val="34"/>
                    <w:ind w:left="0" w:leftChars="0" w:firstLine="462"/>
                    <w:jc w:val="center"/>
                    <w:rPr>
                      <w:b/>
                      <w:bCs/>
                      <w:color w:val="auto"/>
                      <w:sz w:val="22"/>
                      <w:szCs w:val="22"/>
                      <w:u w:val="none" w:color="auto"/>
                    </w:rPr>
                  </w:pPr>
                  <w:r>
                    <w:rPr>
                      <w:b/>
                      <w:bCs/>
                      <w:color w:val="auto"/>
                      <w:sz w:val="22"/>
                      <w:szCs w:val="22"/>
                      <w:u w:val="none" w:color="auto"/>
                    </w:rPr>
                    <w:t>昼间</w:t>
                  </w:r>
                </w:p>
              </w:tc>
              <w:tc>
                <w:tcPr>
                  <w:tcW w:w="2812" w:type="dxa"/>
                  <w:tcBorders>
                    <w:tl2br w:val="nil"/>
                    <w:tr2bl w:val="nil"/>
                  </w:tcBorders>
                  <w:vAlign w:val="center"/>
                </w:tcPr>
                <w:p>
                  <w:pPr>
                    <w:pStyle w:val="34"/>
                    <w:ind w:left="0" w:leftChars="0" w:firstLine="462"/>
                    <w:jc w:val="center"/>
                    <w:rPr>
                      <w:b/>
                      <w:bCs/>
                      <w:color w:val="auto"/>
                      <w:sz w:val="22"/>
                      <w:szCs w:val="22"/>
                      <w:u w:val="none" w:color="auto"/>
                    </w:rPr>
                  </w:pPr>
                  <w:r>
                    <w:rPr>
                      <w:b/>
                      <w:bCs/>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812" w:type="dxa"/>
                  <w:tcBorders>
                    <w:tl2br w:val="nil"/>
                    <w:tr2bl w:val="nil"/>
                  </w:tcBorders>
                  <w:vAlign w:val="center"/>
                </w:tcPr>
                <w:p>
                  <w:pPr>
                    <w:pStyle w:val="34"/>
                    <w:ind w:left="0" w:leftChars="0" w:firstLine="460"/>
                    <w:jc w:val="center"/>
                    <w:rPr>
                      <w:color w:val="auto"/>
                      <w:sz w:val="22"/>
                      <w:szCs w:val="22"/>
                      <w:u w:val="none" w:color="auto"/>
                    </w:rPr>
                  </w:pPr>
                  <w:r>
                    <w:rPr>
                      <w:rFonts w:hint="eastAsia"/>
                      <w:color w:val="auto"/>
                      <w:sz w:val="22"/>
                      <w:szCs w:val="22"/>
                      <w:u w:val="none" w:color="auto"/>
                      <w:lang w:val="en-US" w:eastAsia="zh-CN"/>
                    </w:rPr>
                    <w:t>2</w:t>
                  </w:r>
                  <w:r>
                    <w:rPr>
                      <w:color w:val="auto"/>
                      <w:sz w:val="22"/>
                      <w:szCs w:val="22"/>
                      <w:u w:val="none" w:color="auto"/>
                    </w:rPr>
                    <w:t>类（dB(A)）</w:t>
                  </w:r>
                </w:p>
              </w:tc>
              <w:tc>
                <w:tcPr>
                  <w:tcW w:w="2806" w:type="dxa"/>
                  <w:tcBorders>
                    <w:tl2br w:val="nil"/>
                    <w:tr2bl w:val="nil"/>
                  </w:tcBorders>
                  <w:vAlign w:val="center"/>
                </w:tcPr>
                <w:p>
                  <w:pPr>
                    <w:pStyle w:val="34"/>
                    <w:ind w:left="0" w:leftChars="0" w:firstLine="46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2812" w:type="dxa"/>
                  <w:tcBorders>
                    <w:tl2br w:val="nil"/>
                    <w:tr2bl w:val="nil"/>
                  </w:tcBorders>
                  <w:vAlign w:val="center"/>
                </w:tcPr>
                <w:p>
                  <w:pPr>
                    <w:pStyle w:val="34"/>
                    <w:ind w:left="0" w:leftChars="0" w:firstLine="46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50</w:t>
                  </w:r>
                </w:p>
              </w:tc>
            </w:tr>
          </w:tbl>
          <w:p>
            <w:pPr>
              <w:pStyle w:val="167"/>
              <w:spacing w:line="360" w:lineRule="auto"/>
              <w:ind w:left="0" w:leftChars="0" w:firstLine="0" w:firstLineChars="0"/>
              <w:rPr>
                <w:rFonts w:hint="eastAsia" w:eastAsia="宋体"/>
                <w:color w:val="auto"/>
                <w:szCs w:val="22"/>
                <w:u w:val="none" w:color="auto"/>
                <w:lang w:val="en-US" w:eastAsia="zh-CN"/>
              </w:rPr>
            </w:pPr>
            <w:r>
              <w:rPr>
                <w:rFonts w:hint="eastAsia"/>
                <w:color w:val="auto"/>
                <w:sz w:val="24"/>
                <w:szCs w:val="24"/>
                <w:u w:val="none" w:color="auto"/>
                <w:lang w:val="en-US" w:eastAsia="zh-CN"/>
              </w:rPr>
              <w:t>4、土壤环境：</w:t>
            </w:r>
            <w:r>
              <w:rPr>
                <w:rFonts w:hint="eastAsia" w:cs="Times New Roman"/>
                <w:sz w:val="24"/>
                <w:szCs w:val="24"/>
                <w:u w:val="single" w:color="auto"/>
                <w:lang w:val="en-US" w:eastAsia="zh-CN"/>
              </w:rPr>
              <w:t>执行</w:t>
            </w:r>
            <w:r>
              <w:rPr>
                <w:rFonts w:hint="default" w:ascii="Times New Roman" w:hAnsi="Times New Roman" w:cs="Times New Roman"/>
                <w:sz w:val="24"/>
                <w:szCs w:val="24"/>
                <w:u w:val="single" w:color="auto"/>
              </w:rPr>
              <w:t>《土壤环境质量 建设用地土壤污染风险管控标准（试行）》（GB36600-2018）中相应的标准</w:t>
            </w:r>
            <w:r>
              <w:rPr>
                <w:rFonts w:hint="eastAsia" w:cs="Times New Roman"/>
                <w:sz w:val="24"/>
                <w:szCs w:val="24"/>
                <w:u w:val="singl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92" w:type="dxa"/>
            <w:vAlign w:val="center"/>
          </w:tcPr>
          <w:p>
            <w:pPr>
              <w:jc w:val="center"/>
              <w:rPr>
                <w:b/>
                <w:bCs/>
                <w:color w:val="auto"/>
                <w:sz w:val="24"/>
                <w:szCs w:val="24"/>
                <w:u w:val="none" w:color="auto"/>
              </w:rPr>
            </w:pPr>
            <w:r>
              <w:rPr>
                <w:b/>
                <w:bCs/>
                <w:color w:val="auto"/>
                <w:sz w:val="24"/>
                <w:szCs w:val="24"/>
                <w:u w:val="none" w:color="auto"/>
              </w:rPr>
              <w:t>污染物排放标准</w:t>
            </w:r>
          </w:p>
        </w:tc>
        <w:tc>
          <w:tcPr>
            <w:tcW w:w="8676" w:type="dxa"/>
            <w:vAlign w:val="center"/>
          </w:tcPr>
          <w:p>
            <w:pPr>
              <w:pStyle w:val="16"/>
              <w:spacing w:line="360" w:lineRule="auto"/>
              <w:rPr>
                <w:color w:val="auto"/>
                <w:sz w:val="24"/>
                <w:szCs w:val="24"/>
                <w:u w:val="none" w:color="auto"/>
              </w:rPr>
            </w:pPr>
            <w:r>
              <w:rPr>
                <w:rFonts w:hint="eastAsia"/>
                <w:color w:val="auto"/>
                <w:kern w:val="0"/>
                <w:sz w:val="24"/>
                <w:szCs w:val="24"/>
                <w:u w:val="none" w:color="auto"/>
              </w:rPr>
              <w:t>1、</w:t>
            </w:r>
            <w:r>
              <w:rPr>
                <w:color w:val="auto"/>
                <w:kern w:val="0"/>
                <w:sz w:val="24"/>
                <w:szCs w:val="24"/>
                <w:u w:val="none" w:color="auto"/>
              </w:rPr>
              <w:t>废水：</w:t>
            </w:r>
            <w:r>
              <w:rPr>
                <w:rFonts w:hint="eastAsia"/>
                <w:color w:val="auto"/>
                <w:kern w:val="0"/>
                <w:sz w:val="24"/>
                <w:szCs w:val="24"/>
                <w:u w:val="none" w:color="auto"/>
                <w:lang w:val="en-US" w:eastAsia="zh-CN"/>
              </w:rPr>
              <w:t>项目</w:t>
            </w:r>
            <w:r>
              <w:rPr>
                <w:rFonts w:hint="eastAsia"/>
                <w:color w:val="auto"/>
                <w:sz w:val="24"/>
                <w:szCs w:val="24"/>
                <w:u w:val="none" w:color="auto"/>
                <w:lang w:val="en-US" w:eastAsia="zh-CN"/>
              </w:rPr>
              <w:t>生活污水经三级化粪池处理后回用于周边农田、绿化施肥，不外排；生产废水及地面清洗废水经收集后循环使用，不外排</w:t>
            </w:r>
            <w:r>
              <w:rPr>
                <w:rFonts w:hint="eastAsia" w:hAnsi="宋体"/>
                <w:color w:val="auto"/>
                <w:sz w:val="24"/>
                <w:szCs w:val="24"/>
                <w:u w:val="none" w:color="auto"/>
              </w:rPr>
              <w:t>。</w:t>
            </w:r>
          </w:p>
          <w:p>
            <w:pPr>
              <w:keepNext w:val="0"/>
              <w:keepLines w:val="0"/>
              <w:widowControl/>
              <w:numPr>
                <w:ilvl w:val="0"/>
                <w:numId w:val="0"/>
              </w:numPr>
              <w:suppressLineNumbers w:val="0"/>
              <w:spacing w:line="360" w:lineRule="auto"/>
              <w:jc w:val="left"/>
              <w:rPr>
                <w:rFonts w:hint="default" w:ascii="Times New Roman" w:hAnsi="Times New Roman" w:eastAsia="宋体" w:cs="Times New Roman"/>
                <w:color w:val="auto"/>
                <w:kern w:val="0"/>
                <w:sz w:val="24"/>
                <w:szCs w:val="24"/>
                <w:u w:val="none" w:color="auto"/>
                <w:lang w:val="en-US" w:eastAsia="zh-CN" w:bidi="ar"/>
              </w:rPr>
            </w:pPr>
            <w:r>
              <w:rPr>
                <w:rFonts w:hint="eastAsia"/>
                <w:color w:val="auto"/>
                <w:sz w:val="24"/>
                <w:szCs w:val="24"/>
                <w:u w:val="none" w:color="auto"/>
              </w:rPr>
              <w:t>2</w:t>
            </w:r>
            <w:r>
              <w:rPr>
                <w:color w:val="auto"/>
                <w:kern w:val="0"/>
                <w:sz w:val="24"/>
                <w:szCs w:val="24"/>
                <w:u w:val="none" w:color="auto"/>
              </w:rPr>
              <w:t>、</w:t>
            </w:r>
            <w:r>
              <w:rPr>
                <w:rFonts w:hint="default" w:ascii="Times New Roman" w:hAnsi="Times New Roman" w:eastAsia="宋体" w:cs="Times New Roman"/>
                <w:color w:val="auto"/>
                <w:kern w:val="0"/>
                <w:sz w:val="24"/>
                <w:szCs w:val="24"/>
                <w:u w:val="none" w:color="auto"/>
                <w:lang w:val="en-US" w:eastAsia="zh-CN" w:bidi="ar"/>
              </w:rPr>
              <w:t>废气：</w:t>
            </w:r>
            <w:r>
              <w:rPr>
                <w:rFonts w:hint="eastAsia" w:cs="Times New Roman"/>
                <w:color w:val="auto"/>
                <w:kern w:val="0"/>
                <w:sz w:val="24"/>
                <w:szCs w:val="24"/>
                <w:u w:val="none" w:color="auto"/>
                <w:lang w:val="en-US" w:eastAsia="zh-CN" w:bidi="ar"/>
              </w:rPr>
              <w:t>无组织排放</w:t>
            </w:r>
            <w:r>
              <w:rPr>
                <w:rFonts w:hint="default" w:ascii="Times New Roman" w:hAnsi="Times New Roman" w:eastAsia="宋体" w:cs="Times New Roman"/>
                <w:color w:val="auto"/>
                <w:kern w:val="0"/>
                <w:sz w:val="24"/>
                <w:szCs w:val="24"/>
                <w:u w:val="none" w:color="auto"/>
                <w:lang w:val="en-US" w:eastAsia="zh-CN" w:bidi="ar"/>
              </w:rPr>
              <w:t>颗粒物执行</w:t>
            </w:r>
            <w:r>
              <w:rPr>
                <w:bCs/>
                <w:color w:val="auto"/>
                <w:sz w:val="24"/>
              </w:rPr>
              <w:t>《水泥工业大气污染物排放标准》（GB4915-20</w:t>
            </w:r>
            <w:r>
              <w:rPr>
                <w:rFonts w:hint="eastAsia"/>
                <w:bCs/>
                <w:color w:val="auto"/>
                <w:sz w:val="24"/>
              </w:rPr>
              <w:t>13</w:t>
            </w:r>
            <w:r>
              <w:rPr>
                <w:bCs/>
                <w:color w:val="auto"/>
                <w:sz w:val="24"/>
              </w:rPr>
              <w:t>）</w:t>
            </w:r>
            <w:r>
              <w:rPr>
                <w:rFonts w:hint="eastAsia"/>
                <w:bCs/>
                <w:color w:val="auto"/>
                <w:sz w:val="24"/>
                <w:lang w:val="en-US" w:eastAsia="zh-CN"/>
              </w:rPr>
              <w:t>中标准要求</w:t>
            </w:r>
            <w:r>
              <w:rPr>
                <w:rFonts w:hint="default"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喷烤漆废气中</w:t>
            </w:r>
            <w:r>
              <w:rPr>
                <w:rFonts w:hint="default" w:ascii="Times New Roman" w:hAnsi="Times New Roman" w:eastAsia="宋体" w:cs="Times New Roman"/>
                <w:color w:val="auto"/>
                <w:kern w:val="0"/>
                <w:sz w:val="24"/>
                <w:szCs w:val="24"/>
                <w:u w:val="none" w:color="auto"/>
                <w:lang w:val="en-US" w:eastAsia="zh-CN" w:bidi="ar"/>
              </w:rPr>
              <w:t>有机废气执行《表面涂装（汽车制造及维修）挥发性有机物、镍排放标准》 （DB43/1356-2017）</w:t>
            </w:r>
            <w:r>
              <w:rPr>
                <w:rFonts w:hint="eastAsia" w:cs="Times New Roman"/>
                <w:color w:val="auto"/>
                <w:kern w:val="0"/>
                <w:sz w:val="24"/>
                <w:szCs w:val="24"/>
                <w:u w:val="none" w:color="auto"/>
                <w:lang w:val="en-US" w:eastAsia="zh-CN" w:bidi="ar"/>
              </w:rPr>
              <w:t>表1、表3排放标准要求，有组织排放的颗粒物执行</w:t>
            </w:r>
            <w:r>
              <w:rPr>
                <w:rFonts w:hint="default" w:ascii="Times New Roman" w:hAnsi="Times New Roman" w:cs="Times New Roman"/>
                <w:color w:val="auto"/>
                <w:sz w:val="24"/>
                <w:szCs w:val="24"/>
                <w:u w:val="none" w:color="auto"/>
                <w:lang w:eastAsia="zh-CN"/>
              </w:rPr>
              <w:t>《大气污染物综合排放标准》（</w:t>
            </w:r>
            <w:r>
              <w:rPr>
                <w:rFonts w:hint="default" w:ascii="Times New Roman" w:hAnsi="Times New Roman" w:cs="Times New Roman"/>
                <w:color w:val="auto"/>
                <w:sz w:val="24"/>
                <w:szCs w:val="24"/>
                <w:u w:val="none" w:color="auto"/>
                <w:lang w:val="en-US" w:eastAsia="zh-CN"/>
              </w:rPr>
              <w:t>GB16297-1996)</w:t>
            </w:r>
            <w:r>
              <w:rPr>
                <w:rFonts w:hint="eastAsia" w:ascii="Times New Roman" w:hAnsi="Times New Roman" w:cs="Times New Roman"/>
                <w:color w:val="auto"/>
                <w:sz w:val="24"/>
                <w:szCs w:val="24"/>
                <w:u w:val="none" w:color="auto"/>
                <w:lang w:val="en-US" w:eastAsia="zh-CN"/>
              </w:rPr>
              <w:t>二级</w:t>
            </w:r>
            <w:r>
              <w:rPr>
                <w:rFonts w:hint="default" w:ascii="Times New Roman" w:hAnsi="Times New Roman" w:cs="Times New Roman"/>
                <w:color w:val="auto"/>
                <w:sz w:val="24"/>
                <w:szCs w:val="24"/>
                <w:u w:val="none" w:color="auto"/>
                <w:lang w:val="en-US" w:eastAsia="zh-CN"/>
              </w:rPr>
              <w:t>排放标准</w:t>
            </w:r>
            <w:r>
              <w:rPr>
                <w:rFonts w:hint="default"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厂区内</w:t>
            </w:r>
            <w:r>
              <w:rPr>
                <w:rFonts w:hint="default" w:ascii="Times New Roman" w:hAnsi="Times New Roman" w:eastAsia="宋体" w:cs="Times New Roman"/>
                <w:color w:val="auto"/>
                <w:kern w:val="0"/>
                <w:sz w:val="24"/>
                <w:szCs w:val="24"/>
                <w:u w:val="none" w:color="auto"/>
                <w:lang w:val="en-US" w:eastAsia="zh-CN" w:bidi="ar"/>
              </w:rPr>
              <w:t>无组织有机废气排放执行《挥发性有机物无组织排放控制标准》（GB37822-2019）中限值要求</w:t>
            </w:r>
            <w:r>
              <w:rPr>
                <w:rFonts w:hint="eastAsia" w:cs="Times New Roman"/>
                <w:color w:val="auto"/>
                <w:kern w:val="0"/>
                <w:sz w:val="24"/>
                <w:szCs w:val="24"/>
                <w:u w:val="none" w:color="auto"/>
                <w:lang w:val="en-US" w:eastAsia="zh-CN" w:bidi="ar"/>
              </w:rPr>
              <w:t>。</w:t>
            </w:r>
          </w:p>
          <w:p>
            <w:pPr>
              <w:pStyle w:val="39"/>
              <w:adjustRightInd w:val="0"/>
              <w:snapToGrid w:val="0"/>
              <w:spacing w:after="0" w:line="360" w:lineRule="auto"/>
              <w:ind w:left="0" w:leftChars="0" w:firstLine="0" w:firstLineChars="0"/>
              <w:jc w:val="center"/>
              <w:rPr>
                <w:rFonts w:ascii="Times New Roman" w:hAnsi="Times New Roman" w:eastAsia="宋体" w:cs="Times New Roman"/>
                <w:b/>
                <w:bCs w:val="0"/>
                <w:color w:val="auto"/>
                <w:kern w:val="2"/>
                <w:sz w:val="24"/>
                <w:szCs w:val="24"/>
                <w:u w:val="none" w:color="auto"/>
                <w:lang w:val="en-US" w:eastAsia="zh-CN" w:bidi="ar-SA"/>
              </w:rPr>
            </w:pPr>
            <w:r>
              <w:rPr>
                <w:rFonts w:hint="eastAsia" w:ascii="Times New Roman" w:hAnsi="Times New Roman" w:eastAsia="宋体" w:cs="Times New Roman"/>
                <w:b/>
                <w:bCs w:val="0"/>
                <w:color w:val="auto"/>
                <w:kern w:val="2"/>
                <w:sz w:val="24"/>
                <w:szCs w:val="24"/>
                <w:u w:val="none" w:color="auto"/>
                <w:lang w:val="en-US" w:eastAsia="zh-CN" w:bidi="ar-SA"/>
              </w:rPr>
              <w:t>表4</w:t>
            </w:r>
            <w:r>
              <w:rPr>
                <w:rFonts w:ascii="Times New Roman" w:hAnsi="Times New Roman" w:eastAsia="宋体" w:cs="Times New Roman"/>
                <w:b/>
                <w:bCs w:val="0"/>
                <w:color w:val="auto"/>
                <w:kern w:val="2"/>
                <w:sz w:val="24"/>
                <w:szCs w:val="24"/>
                <w:u w:val="none" w:color="auto"/>
                <w:lang w:val="en-US" w:eastAsia="zh-CN" w:bidi="ar-SA"/>
              </w:rPr>
              <w:t>-</w:t>
            </w:r>
            <w:r>
              <w:rPr>
                <w:rFonts w:hint="eastAsia" w:cs="Times New Roman"/>
                <w:b/>
                <w:bCs w:val="0"/>
                <w:color w:val="auto"/>
                <w:kern w:val="2"/>
                <w:sz w:val="24"/>
                <w:szCs w:val="24"/>
                <w:u w:val="none" w:color="auto"/>
                <w:lang w:val="en-US" w:eastAsia="zh-CN" w:bidi="ar-SA"/>
              </w:rPr>
              <w:t>5</w:t>
            </w:r>
            <w:r>
              <w:rPr>
                <w:rFonts w:ascii="Times New Roman" w:hAnsi="Times New Roman" w:eastAsia="宋体" w:cs="Times New Roman"/>
                <w:b/>
                <w:bCs w:val="0"/>
                <w:color w:val="auto"/>
                <w:kern w:val="2"/>
                <w:sz w:val="24"/>
                <w:szCs w:val="24"/>
                <w:u w:val="none" w:color="auto"/>
                <w:lang w:val="en-US" w:eastAsia="zh-CN" w:bidi="ar-SA"/>
              </w:rPr>
              <w:t xml:space="preserve"> </w:t>
            </w:r>
            <w:r>
              <w:rPr>
                <w:b/>
                <w:bCs w:val="0"/>
                <w:color w:val="auto"/>
                <w:sz w:val="24"/>
              </w:rPr>
              <w:t>《水泥工业大气污染物排放标准》（GB4915-20</w:t>
            </w:r>
            <w:r>
              <w:rPr>
                <w:rFonts w:hint="eastAsia"/>
                <w:b/>
                <w:bCs w:val="0"/>
                <w:color w:val="auto"/>
                <w:sz w:val="24"/>
              </w:rPr>
              <w:t>13</w:t>
            </w:r>
            <w:r>
              <w:rPr>
                <w:b/>
                <w:bCs w:val="0"/>
                <w:color w:val="auto"/>
                <w:sz w:val="24"/>
              </w:rPr>
              <w:t>）</w:t>
            </w:r>
          </w:p>
          <w:tbl>
            <w:tblPr>
              <w:tblStyle w:val="4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56"/>
              <w:gridCol w:w="3710"/>
              <w:gridCol w:w="25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276" w:type="pct"/>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污染物</w:t>
                  </w:r>
                </w:p>
              </w:tc>
              <w:tc>
                <w:tcPr>
                  <w:tcW w:w="3723" w:type="pct"/>
                  <w:gridSpan w:val="2"/>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 xml:space="preserve">无组织排放监测浓度限值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276" w:type="pct"/>
                  <w:vMerge w:val="continue"/>
                  <w:vAlign w:val="center"/>
                </w:tcPr>
                <w:p>
                  <w:pPr>
                    <w:adjustRightInd w:val="0"/>
                    <w:snapToGrid w:val="0"/>
                    <w:spacing w:line="360" w:lineRule="auto"/>
                    <w:jc w:val="center"/>
                    <w:rPr>
                      <w:b/>
                      <w:color w:val="auto"/>
                      <w:sz w:val="22"/>
                      <w:szCs w:val="22"/>
                      <w:u w:val="none" w:color="auto"/>
                    </w:rPr>
                  </w:pPr>
                </w:p>
              </w:tc>
              <w:tc>
                <w:tcPr>
                  <w:tcW w:w="2195" w:type="pct"/>
                  <w:vAlign w:val="center"/>
                </w:tcPr>
                <w:p>
                  <w:pPr>
                    <w:adjustRightInd w:val="0"/>
                    <w:snapToGrid w:val="0"/>
                    <w:spacing w:line="360" w:lineRule="auto"/>
                    <w:jc w:val="center"/>
                    <w:rPr>
                      <w:b/>
                      <w:color w:val="auto"/>
                      <w:sz w:val="22"/>
                      <w:szCs w:val="22"/>
                      <w:u w:val="none" w:color="auto"/>
                    </w:rPr>
                  </w:pPr>
                  <w:r>
                    <w:rPr>
                      <w:rFonts w:hint="eastAsia"/>
                      <w:b/>
                      <w:color w:val="auto"/>
                      <w:sz w:val="22"/>
                      <w:szCs w:val="22"/>
                      <w:u w:val="none" w:color="auto"/>
                    </w:rPr>
                    <w:t>监控点</w:t>
                  </w:r>
                </w:p>
              </w:tc>
              <w:tc>
                <w:tcPr>
                  <w:tcW w:w="1527" w:type="pct"/>
                  <w:vAlign w:val="center"/>
                </w:tcPr>
                <w:p>
                  <w:pPr>
                    <w:adjustRightInd w:val="0"/>
                    <w:snapToGrid w:val="0"/>
                    <w:spacing w:line="360" w:lineRule="auto"/>
                    <w:jc w:val="center"/>
                    <w:rPr>
                      <w:b/>
                      <w:color w:val="auto"/>
                      <w:sz w:val="22"/>
                      <w:szCs w:val="22"/>
                      <w:u w:val="none" w:color="auto"/>
                    </w:rPr>
                  </w:pPr>
                  <w:r>
                    <w:rPr>
                      <w:rFonts w:hint="eastAsia"/>
                      <w:b/>
                      <w:color w:val="auto"/>
                      <w:sz w:val="22"/>
                      <w:szCs w:val="22"/>
                      <w:u w:val="none" w:color="auto"/>
                    </w:rPr>
                    <w:t>浓度</w:t>
                  </w:r>
                  <w:r>
                    <w:rPr>
                      <w:b/>
                      <w:color w:val="auto"/>
                      <w:sz w:val="22"/>
                      <w:szCs w:val="22"/>
                      <w:u w:val="none" w:color="auto"/>
                    </w:rPr>
                    <w:t>(mg/m</w:t>
                  </w:r>
                  <w:r>
                    <w:rPr>
                      <w:b/>
                      <w:color w:val="auto"/>
                      <w:sz w:val="22"/>
                      <w:szCs w:val="22"/>
                      <w:u w:val="none" w:color="auto"/>
                      <w:vertAlign w:val="superscript"/>
                    </w:rPr>
                    <w:t>3</w:t>
                  </w:r>
                  <w:r>
                    <w:rPr>
                      <w:b/>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1276" w:type="pct"/>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颗粒物</w:t>
                  </w:r>
                </w:p>
              </w:tc>
              <w:tc>
                <w:tcPr>
                  <w:tcW w:w="2195" w:type="pct"/>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厂界外20m上风向设参照点，下风向设监控点</w:t>
                  </w:r>
                </w:p>
              </w:tc>
              <w:tc>
                <w:tcPr>
                  <w:tcW w:w="1527" w:type="pct"/>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0.5</w:t>
                  </w:r>
                </w:p>
              </w:tc>
            </w:tr>
          </w:tbl>
          <w:p>
            <w:pPr>
              <w:pStyle w:val="39"/>
              <w:adjustRightInd w:val="0"/>
              <w:snapToGrid w:val="0"/>
              <w:spacing w:after="0" w:line="360" w:lineRule="auto"/>
              <w:ind w:left="0" w:leftChars="0" w:firstLine="0" w:firstLineChars="0"/>
              <w:jc w:val="center"/>
              <w:rPr>
                <w:rFonts w:ascii="Times New Roman" w:hAnsi="Times New Roman" w:eastAsia="宋体" w:cs="Times New Roman"/>
                <w:b/>
                <w:color w:val="auto"/>
                <w:kern w:val="2"/>
                <w:sz w:val="22"/>
                <w:szCs w:val="22"/>
                <w:u w:val="none" w:color="auto"/>
                <w:lang w:val="en-US" w:eastAsia="zh-CN" w:bidi="ar-SA"/>
              </w:rPr>
            </w:pPr>
            <w:r>
              <w:rPr>
                <w:rFonts w:hint="eastAsia" w:ascii="Times New Roman" w:hAnsi="Times New Roman" w:eastAsia="宋体" w:cs="Times New Roman"/>
                <w:b w:val="0"/>
                <w:bCs/>
                <w:color w:val="auto"/>
                <w:kern w:val="2"/>
                <w:sz w:val="22"/>
                <w:szCs w:val="22"/>
                <w:u w:val="none" w:color="auto"/>
                <w:lang w:val="en-US" w:eastAsia="zh-CN" w:bidi="ar-SA"/>
              </w:rPr>
              <w:t>表4</w:t>
            </w:r>
            <w:r>
              <w:rPr>
                <w:rFonts w:ascii="Times New Roman" w:hAnsi="Times New Roman" w:eastAsia="宋体" w:cs="Times New Roman"/>
                <w:b w:val="0"/>
                <w:bCs/>
                <w:color w:val="auto"/>
                <w:kern w:val="2"/>
                <w:sz w:val="22"/>
                <w:szCs w:val="22"/>
                <w:u w:val="none" w:color="auto"/>
                <w:lang w:val="en-US" w:eastAsia="zh-CN" w:bidi="ar-SA"/>
              </w:rPr>
              <w:t>-</w:t>
            </w:r>
            <w:r>
              <w:rPr>
                <w:rFonts w:hint="eastAsia" w:cs="Times New Roman"/>
                <w:b w:val="0"/>
                <w:bCs/>
                <w:color w:val="auto"/>
                <w:kern w:val="2"/>
                <w:sz w:val="22"/>
                <w:szCs w:val="22"/>
                <w:u w:val="none" w:color="auto"/>
                <w:lang w:val="en-US" w:eastAsia="zh-CN" w:bidi="ar-SA"/>
              </w:rPr>
              <w:t>6</w:t>
            </w:r>
            <w:r>
              <w:rPr>
                <w:rFonts w:hint="default" w:ascii="Times New Roman" w:hAnsi="Times New Roman" w:eastAsia="宋体" w:cs="Times New Roman"/>
                <w:color w:val="auto"/>
                <w:kern w:val="0"/>
                <w:sz w:val="24"/>
                <w:szCs w:val="24"/>
                <w:u w:val="none" w:color="auto"/>
                <w:lang w:val="en-US" w:eastAsia="zh-CN" w:bidi="ar"/>
              </w:rPr>
              <w:t>《表面涂装（汽车制造及维修）挥发性有机物、镍排放标准》 （DB43/1356-2017）</w:t>
            </w:r>
          </w:p>
          <w:tbl>
            <w:tblPr>
              <w:tblStyle w:val="4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555"/>
              <w:gridCol w:w="48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5" w:hRule="atLeast"/>
                <w:jc w:val="center"/>
              </w:trPr>
              <w:tc>
                <w:tcPr>
                  <w:tcW w:w="2104" w:type="pct"/>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污染物</w:t>
                  </w:r>
                </w:p>
              </w:tc>
              <w:tc>
                <w:tcPr>
                  <w:tcW w:w="2895" w:type="pct"/>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最高允许排放浓度(mg/m</w:t>
                  </w:r>
                  <w:r>
                    <w:rPr>
                      <w:b/>
                      <w:color w:val="auto"/>
                      <w:sz w:val="22"/>
                      <w:szCs w:val="22"/>
                      <w:u w:val="none" w:color="auto"/>
                      <w:vertAlign w:val="superscript"/>
                    </w:rPr>
                    <w:t>3</w:t>
                  </w:r>
                  <w:r>
                    <w:rPr>
                      <w:rFonts w:hint="eastAsia"/>
                      <w:b/>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2104" w:type="pct"/>
                  <w:vMerge w:val="continue"/>
                  <w:vAlign w:val="center"/>
                </w:tcPr>
                <w:p>
                  <w:pPr>
                    <w:adjustRightInd w:val="0"/>
                    <w:snapToGrid w:val="0"/>
                    <w:spacing w:line="360" w:lineRule="auto"/>
                    <w:jc w:val="center"/>
                    <w:rPr>
                      <w:b/>
                      <w:color w:val="auto"/>
                      <w:sz w:val="22"/>
                      <w:szCs w:val="22"/>
                      <w:u w:val="none" w:color="auto"/>
                    </w:rPr>
                  </w:pPr>
                </w:p>
              </w:tc>
              <w:tc>
                <w:tcPr>
                  <w:tcW w:w="2895" w:type="pct"/>
                  <w:vMerge w:val="continue"/>
                  <w:vAlign w:val="center"/>
                </w:tcPr>
                <w:p>
                  <w:pPr>
                    <w:adjustRightInd w:val="0"/>
                    <w:snapToGrid w:val="0"/>
                    <w:spacing w:line="360" w:lineRule="auto"/>
                    <w:jc w:val="center"/>
                    <w:rPr>
                      <w:b/>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2104" w:type="pct"/>
                  <w:vAlign w:val="center"/>
                </w:tcPr>
                <w:p>
                  <w:pPr>
                    <w:adjustRightInd w:val="0"/>
                    <w:snapToGrid w:val="0"/>
                    <w:spacing w:line="360" w:lineRule="auto"/>
                    <w:jc w:val="center"/>
                    <w:rPr>
                      <w:rFonts w:hint="default"/>
                      <w:color w:val="auto"/>
                      <w:sz w:val="22"/>
                      <w:szCs w:val="22"/>
                      <w:u w:val="none" w:color="auto"/>
                      <w:lang w:val="en-US"/>
                    </w:rPr>
                  </w:pPr>
                  <w:r>
                    <w:rPr>
                      <w:rFonts w:hint="eastAsia" w:cs="Times New Roman"/>
                      <w:color w:val="auto"/>
                      <w:kern w:val="0"/>
                      <w:sz w:val="24"/>
                      <w:szCs w:val="24"/>
                      <w:u w:val="none" w:color="auto"/>
                      <w:lang w:val="en-US" w:eastAsia="zh-CN" w:bidi="ar"/>
                    </w:rPr>
                    <w:t>有组织：非甲烷总烃</w:t>
                  </w:r>
                </w:p>
              </w:tc>
              <w:tc>
                <w:tcPr>
                  <w:tcW w:w="2895" w:type="pct"/>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2104" w:type="pct"/>
                  <w:vAlign w:val="center"/>
                </w:tcPr>
                <w:p>
                  <w:pPr>
                    <w:adjustRightInd w:val="0"/>
                    <w:snapToGrid w:val="0"/>
                    <w:spacing w:line="360" w:lineRule="auto"/>
                    <w:jc w:val="center"/>
                    <w:rPr>
                      <w:rFonts w:hint="default" w:ascii="Times New Roman" w:hAnsi="Times New Roman"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厂界外无组织：</w:t>
                  </w:r>
                  <w:r>
                    <w:rPr>
                      <w:rFonts w:hint="eastAsia" w:ascii="Times New Roman" w:hAnsi="Times New Roman" w:cs="Times New Roman"/>
                      <w:color w:val="auto"/>
                      <w:kern w:val="0"/>
                      <w:sz w:val="24"/>
                      <w:szCs w:val="24"/>
                      <w:u w:val="none" w:color="auto"/>
                      <w:lang w:val="en-US" w:eastAsia="zh-CN" w:bidi="ar"/>
                    </w:rPr>
                    <w:t>非甲烷总烃</w:t>
                  </w:r>
                </w:p>
              </w:tc>
              <w:tc>
                <w:tcPr>
                  <w:tcW w:w="2895" w:type="pct"/>
                  <w:vAlign w:val="center"/>
                </w:tcPr>
                <w:p>
                  <w:pPr>
                    <w:adjustRightInd w:val="0"/>
                    <w:snapToGrid w:val="0"/>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2.0</w:t>
                  </w:r>
                </w:p>
              </w:tc>
            </w:tr>
          </w:tbl>
          <w:p>
            <w:pPr>
              <w:pStyle w:val="39"/>
              <w:adjustRightInd w:val="0"/>
              <w:snapToGrid w:val="0"/>
              <w:spacing w:after="0" w:line="360" w:lineRule="auto"/>
              <w:ind w:left="0" w:leftChars="0" w:firstLine="0" w:firstLineChars="0"/>
              <w:jc w:val="center"/>
              <w:rPr>
                <w:rFonts w:ascii="Times New Roman" w:hAnsi="Times New Roman" w:eastAsia="宋体" w:cs="Times New Roman"/>
                <w:b/>
                <w:color w:val="auto"/>
                <w:kern w:val="2"/>
                <w:sz w:val="22"/>
                <w:szCs w:val="22"/>
                <w:u w:val="none" w:color="auto"/>
                <w:lang w:val="en-US" w:eastAsia="zh-CN" w:bidi="ar-SA"/>
              </w:rPr>
            </w:pPr>
            <w:r>
              <w:rPr>
                <w:rFonts w:hint="eastAsia" w:ascii="Times New Roman" w:hAnsi="Times New Roman" w:eastAsia="宋体" w:cs="Times New Roman"/>
                <w:b/>
                <w:color w:val="auto"/>
                <w:kern w:val="2"/>
                <w:sz w:val="22"/>
                <w:szCs w:val="22"/>
                <w:u w:val="none" w:color="auto"/>
                <w:lang w:val="en-US" w:eastAsia="zh-CN" w:bidi="ar-SA"/>
              </w:rPr>
              <w:t>表4</w:t>
            </w:r>
            <w:r>
              <w:rPr>
                <w:rFonts w:ascii="Times New Roman" w:hAnsi="Times New Roman" w:eastAsia="宋体" w:cs="Times New Roman"/>
                <w:b/>
                <w:color w:val="auto"/>
                <w:kern w:val="2"/>
                <w:sz w:val="22"/>
                <w:szCs w:val="22"/>
                <w:u w:val="none" w:color="auto"/>
                <w:lang w:val="en-US" w:eastAsia="zh-CN" w:bidi="ar-SA"/>
              </w:rPr>
              <w:t>-</w:t>
            </w:r>
            <w:r>
              <w:rPr>
                <w:rFonts w:hint="eastAsia" w:cs="Times New Roman"/>
                <w:b/>
                <w:color w:val="auto"/>
                <w:kern w:val="2"/>
                <w:sz w:val="22"/>
                <w:szCs w:val="22"/>
                <w:u w:val="none" w:color="auto"/>
                <w:lang w:val="en-US" w:eastAsia="zh-CN" w:bidi="ar-SA"/>
              </w:rPr>
              <w:t>7</w:t>
            </w:r>
            <w:r>
              <w:rPr>
                <w:rFonts w:ascii="Times New Roman" w:hAnsi="Times New Roman" w:eastAsia="宋体" w:cs="Times New Roman"/>
                <w:b/>
                <w:color w:val="auto"/>
                <w:kern w:val="2"/>
                <w:sz w:val="22"/>
                <w:szCs w:val="22"/>
                <w:u w:val="none" w:color="auto"/>
                <w:lang w:val="en-US" w:eastAsia="zh-CN" w:bidi="ar-SA"/>
              </w:rPr>
              <w:t xml:space="preserve">  </w:t>
            </w:r>
            <w:r>
              <w:rPr>
                <w:rFonts w:hint="default" w:ascii="Times New Roman" w:hAnsi="Times New Roman" w:eastAsia="宋体" w:cs="Times New Roman"/>
                <w:color w:val="auto"/>
                <w:kern w:val="0"/>
                <w:sz w:val="24"/>
                <w:szCs w:val="24"/>
                <w:u w:val="none" w:color="auto"/>
                <w:lang w:val="en-US" w:eastAsia="zh-CN" w:bidi="ar"/>
              </w:rPr>
              <w:t>《挥发性有机物无组织排放控制标准》（GB37822-2019）</w:t>
            </w:r>
          </w:p>
          <w:tbl>
            <w:tblPr>
              <w:tblStyle w:val="41"/>
              <w:tblW w:w="845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302"/>
              <w:gridCol w:w="1740"/>
              <w:gridCol w:w="1935"/>
              <w:gridCol w:w="15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92" w:type="dxa"/>
                  <w:tcBorders>
                    <w:tl2br w:val="nil"/>
                    <w:tr2bl w:val="nil"/>
                  </w:tcBorders>
                  <w:vAlign w:val="center"/>
                </w:tcPr>
                <w:p>
                  <w:pPr>
                    <w:pStyle w:val="39"/>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eastAsia="zh-CN"/>
                    </w:rPr>
                    <w:t>污染物项目</w:t>
                  </w:r>
                </w:p>
              </w:tc>
              <w:tc>
                <w:tcPr>
                  <w:tcW w:w="1302" w:type="dxa"/>
                  <w:tcBorders>
                    <w:tl2br w:val="nil"/>
                    <w:tr2bl w:val="nil"/>
                  </w:tcBorders>
                  <w:vAlign w:val="center"/>
                </w:tcPr>
                <w:p>
                  <w:pPr>
                    <w:pStyle w:val="39"/>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eastAsia="zh-CN"/>
                    </w:rPr>
                    <w:t>排放限值</w:t>
                  </w:r>
                </w:p>
              </w:tc>
              <w:tc>
                <w:tcPr>
                  <w:tcW w:w="1740" w:type="dxa"/>
                  <w:tcBorders>
                    <w:tl2br w:val="nil"/>
                    <w:tr2bl w:val="nil"/>
                  </w:tcBorders>
                  <w:vAlign w:val="center"/>
                </w:tcPr>
                <w:p>
                  <w:pPr>
                    <w:pStyle w:val="39"/>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特别排放限值</w:t>
                  </w:r>
                </w:p>
              </w:tc>
              <w:tc>
                <w:tcPr>
                  <w:tcW w:w="1935" w:type="dxa"/>
                  <w:tcBorders>
                    <w:tl2br w:val="nil"/>
                    <w:tr2bl w:val="nil"/>
                  </w:tcBorders>
                  <w:vAlign w:val="center"/>
                </w:tcPr>
                <w:p>
                  <w:pPr>
                    <w:pStyle w:val="39"/>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eastAsia="zh-CN"/>
                    </w:rPr>
                    <w:t>限值含义</w:t>
                  </w:r>
                </w:p>
              </w:tc>
              <w:tc>
                <w:tcPr>
                  <w:tcW w:w="1581" w:type="dxa"/>
                  <w:tcBorders>
                    <w:tl2br w:val="nil"/>
                    <w:tr2bl w:val="nil"/>
                  </w:tcBorders>
                  <w:vAlign w:val="center"/>
                </w:tcPr>
                <w:p>
                  <w:pPr>
                    <w:pStyle w:val="39"/>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eastAsia="zh-CN"/>
                    </w:rPr>
                    <w:t>无组织排放监控位置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892" w:type="dxa"/>
                  <w:vMerge w:val="restart"/>
                  <w:tcBorders>
                    <w:tl2br w:val="nil"/>
                    <w:tr2bl w:val="nil"/>
                  </w:tcBorders>
                  <w:vAlign w:val="center"/>
                </w:tcPr>
                <w:p>
                  <w:pPr>
                    <w:pStyle w:val="39"/>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厂界内：NMHC</w:t>
                  </w:r>
                </w:p>
              </w:tc>
              <w:tc>
                <w:tcPr>
                  <w:tcW w:w="1302" w:type="dxa"/>
                  <w:tcBorders>
                    <w:tl2br w:val="nil"/>
                    <w:tr2bl w:val="nil"/>
                  </w:tcBorders>
                  <w:vAlign w:val="center"/>
                </w:tcPr>
                <w:p>
                  <w:pPr>
                    <w:pStyle w:val="39"/>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10</w:t>
                  </w:r>
                </w:p>
              </w:tc>
              <w:tc>
                <w:tcPr>
                  <w:tcW w:w="1740" w:type="dxa"/>
                  <w:tcBorders>
                    <w:tl2br w:val="nil"/>
                    <w:tr2bl w:val="nil"/>
                  </w:tcBorders>
                  <w:vAlign w:val="center"/>
                </w:tcPr>
                <w:p>
                  <w:pPr>
                    <w:pStyle w:val="39"/>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6</w:t>
                  </w:r>
                </w:p>
              </w:tc>
              <w:tc>
                <w:tcPr>
                  <w:tcW w:w="1935" w:type="dxa"/>
                  <w:tcBorders>
                    <w:tl2br w:val="nil"/>
                    <w:tr2bl w:val="nil"/>
                  </w:tcBorders>
                  <w:vAlign w:val="center"/>
                </w:tcPr>
                <w:p>
                  <w:pPr>
                    <w:pStyle w:val="39"/>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val="en-US" w:eastAsia="zh-CN"/>
                    </w:rPr>
                    <w:t>监控点处 1h 平</w:t>
                  </w:r>
                </w:p>
                <w:p>
                  <w:pPr>
                    <w:pStyle w:val="39"/>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val="en-US" w:eastAsia="zh-CN"/>
                    </w:rPr>
                    <w:t>均浓度值</w:t>
                  </w:r>
                </w:p>
              </w:tc>
              <w:tc>
                <w:tcPr>
                  <w:tcW w:w="1581" w:type="dxa"/>
                  <w:vMerge w:val="restart"/>
                  <w:tcBorders>
                    <w:tl2br w:val="nil"/>
                    <w:tr2bl w:val="nil"/>
                  </w:tcBorders>
                  <w:vAlign w:val="center"/>
                </w:tcPr>
                <w:p>
                  <w:pPr>
                    <w:pStyle w:val="39"/>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eastAsia="zh-CN"/>
                    </w:rPr>
                    <w:t>在厂房外设置监控点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892" w:type="dxa"/>
                  <w:vMerge w:val="continue"/>
                  <w:tcBorders>
                    <w:tl2br w:val="nil"/>
                    <w:tr2bl w:val="nil"/>
                  </w:tcBorders>
                  <w:vAlign w:val="center"/>
                </w:tcPr>
                <w:p>
                  <w:pPr>
                    <w:pStyle w:val="39"/>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val="en-US" w:eastAsia="zh-CN"/>
                    </w:rPr>
                  </w:pPr>
                </w:p>
              </w:tc>
              <w:tc>
                <w:tcPr>
                  <w:tcW w:w="1302" w:type="dxa"/>
                  <w:tcBorders>
                    <w:tl2br w:val="nil"/>
                    <w:tr2bl w:val="nil"/>
                  </w:tcBorders>
                  <w:vAlign w:val="center"/>
                </w:tcPr>
                <w:p>
                  <w:pPr>
                    <w:pStyle w:val="39"/>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30</w:t>
                  </w:r>
                </w:p>
              </w:tc>
              <w:tc>
                <w:tcPr>
                  <w:tcW w:w="1740" w:type="dxa"/>
                  <w:tcBorders>
                    <w:tl2br w:val="nil"/>
                    <w:tr2bl w:val="nil"/>
                  </w:tcBorders>
                  <w:vAlign w:val="center"/>
                </w:tcPr>
                <w:p>
                  <w:pPr>
                    <w:pStyle w:val="39"/>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20</w:t>
                  </w:r>
                </w:p>
              </w:tc>
              <w:tc>
                <w:tcPr>
                  <w:tcW w:w="1935" w:type="dxa"/>
                  <w:tcBorders>
                    <w:tl2br w:val="nil"/>
                    <w:tr2bl w:val="nil"/>
                  </w:tcBorders>
                  <w:vAlign w:val="center"/>
                </w:tcPr>
                <w:p>
                  <w:pPr>
                    <w:pStyle w:val="39"/>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监控点处任意一次浓度值</w:t>
                  </w:r>
                </w:p>
              </w:tc>
              <w:tc>
                <w:tcPr>
                  <w:tcW w:w="1581" w:type="dxa"/>
                  <w:vMerge w:val="continue"/>
                  <w:tcBorders>
                    <w:tl2br w:val="nil"/>
                    <w:tr2bl w:val="nil"/>
                  </w:tcBorders>
                  <w:vAlign w:val="center"/>
                </w:tcPr>
                <w:p>
                  <w:pPr>
                    <w:pStyle w:val="39"/>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p>
              </w:tc>
            </w:tr>
          </w:tbl>
          <w:p>
            <w:pPr>
              <w:pStyle w:val="39"/>
              <w:adjustRightInd w:val="0"/>
              <w:snapToGrid w:val="0"/>
              <w:spacing w:after="0" w:line="360" w:lineRule="auto"/>
              <w:ind w:left="0" w:leftChars="0" w:firstLine="0" w:firstLineChars="0"/>
              <w:jc w:val="center"/>
              <w:rPr>
                <w:rFonts w:hint="eastAsia" w:ascii="Times New Roman" w:hAnsi="Times New Roman" w:eastAsia="宋体" w:cs="Times New Roman"/>
                <w:b w:val="0"/>
                <w:bCs/>
                <w:color w:val="auto"/>
                <w:kern w:val="2"/>
                <w:sz w:val="24"/>
                <w:szCs w:val="24"/>
                <w:u w:val="none" w:color="auto"/>
                <w:lang w:val="en-US" w:eastAsia="zh-CN" w:bidi="ar-SA"/>
              </w:rPr>
            </w:pPr>
          </w:p>
          <w:p>
            <w:pPr>
              <w:pStyle w:val="39"/>
              <w:adjustRightInd w:val="0"/>
              <w:snapToGrid w:val="0"/>
              <w:spacing w:after="0" w:line="360" w:lineRule="auto"/>
              <w:ind w:left="0" w:leftChars="0" w:firstLine="0" w:firstLineChars="0"/>
              <w:jc w:val="center"/>
              <w:rPr>
                <w:rFonts w:hint="eastAsia" w:ascii="Times New Roman" w:hAnsi="Times New Roman" w:eastAsia="宋体" w:cs="Times New Roman"/>
                <w:b w:val="0"/>
                <w:bCs/>
                <w:color w:val="auto"/>
                <w:kern w:val="2"/>
                <w:sz w:val="24"/>
                <w:szCs w:val="24"/>
                <w:u w:val="none" w:color="auto"/>
                <w:lang w:val="en-US" w:eastAsia="zh-CN" w:bidi="ar-SA"/>
              </w:rPr>
            </w:pPr>
          </w:p>
          <w:p>
            <w:pPr>
              <w:pStyle w:val="39"/>
              <w:adjustRightInd w:val="0"/>
              <w:snapToGrid w:val="0"/>
              <w:spacing w:after="0" w:line="360" w:lineRule="auto"/>
              <w:ind w:left="0" w:leftChars="0" w:firstLine="0" w:firstLineChars="0"/>
              <w:jc w:val="center"/>
              <w:rPr>
                <w:rFonts w:ascii="Times New Roman" w:hAnsi="Times New Roman" w:eastAsia="宋体" w:cs="Times New Roman"/>
                <w:b w:val="0"/>
                <w:bCs/>
                <w:color w:val="auto"/>
                <w:kern w:val="2"/>
                <w:sz w:val="24"/>
                <w:szCs w:val="24"/>
                <w:u w:val="none" w:color="auto"/>
                <w:lang w:val="en-US" w:eastAsia="zh-CN" w:bidi="ar-SA"/>
              </w:rPr>
            </w:pPr>
            <w:r>
              <w:rPr>
                <w:rFonts w:hint="eastAsia" w:ascii="Times New Roman" w:hAnsi="Times New Roman" w:eastAsia="宋体" w:cs="Times New Roman"/>
                <w:b w:val="0"/>
                <w:bCs/>
                <w:color w:val="auto"/>
                <w:kern w:val="2"/>
                <w:sz w:val="24"/>
                <w:szCs w:val="24"/>
                <w:u w:val="none" w:color="auto"/>
                <w:lang w:val="en-US" w:eastAsia="zh-CN" w:bidi="ar-SA"/>
              </w:rPr>
              <w:t>表4</w:t>
            </w:r>
            <w:r>
              <w:rPr>
                <w:rFonts w:ascii="Times New Roman" w:hAnsi="Times New Roman" w:eastAsia="宋体" w:cs="Times New Roman"/>
                <w:b w:val="0"/>
                <w:bCs/>
                <w:color w:val="auto"/>
                <w:kern w:val="2"/>
                <w:sz w:val="24"/>
                <w:szCs w:val="24"/>
                <w:u w:val="none" w:color="auto"/>
                <w:lang w:val="en-US" w:eastAsia="zh-CN" w:bidi="ar-SA"/>
              </w:rPr>
              <w:t>-</w:t>
            </w:r>
            <w:r>
              <w:rPr>
                <w:rFonts w:hint="eastAsia" w:cs="Times New Roman"/>
                <w:b w:val="0"/>
                <w:bCs/>
                <w:color w:val="auto"/>
                <w:kern w:val="2"/>
                <w:sz w:val="24"/>
                <w:szCs w:val="24"/>
                <w:u w:val="none" w:color="auto"/>
                <w:lang w:val="en-US" w:eastAsia="zh-CN" w:bidi="ar-SA"/>
              </w:rPr>
              <w:t>8</w:t>
            </w:r>
            <w:r>
              <w:rPr>
                <w:rFonts w:ascii="Times New Roman" w:hAnsi="Times New Roman" w:eastAsia="宋体" w:cs="Times New Roman"/>
                <w:b w:val="0"/>
                <w:bCs/>
                <w:color w:val="auto"/>
                <w:kern w:val="2"/>
                <w:sz w:val="24"/>
                <w:szCs w:val="24"/>
                <w:u w:val="none" w:color="auto"/>
                <w:lang w:val="en-US" w:eastAsia="zh-CN" w:bidi="ar-SA"/>
              </w:rPr>
              <w:t xml:space="preserve"> </w:t>
            </w:r>
            <w:r>
              <w:rPr>
                <w:rFonts w:hint="default" w:ascii="Times New Roman" w:hAnsi="Times New Roman" w:eastAsia="宋体" w:cs="Times New Roman"/>
                <w:b w:val="0"/>
                <w:bCs/>
                <w:color w:val="auto"/>
                <w:kern w:val="2"/>
                <w:sz w:val="24"/>
                <w:szCs w:val="24"/>
                <w:u w:val="none" w:color="auto"/>
                <w:lang w:val="en-US" w:eastAsia="zh-CN" w:bidi="ar-SA"/>
              </w:rPr>
              <w:t>《大气污染物综合排放标准》（GB16297-1996）</w:t>
            </w:r>
          </w:p>
          <w:tbl>
            <w:tblPr>
              <w:tblStyle w:val="4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85"/>
              <w:gridCol w:w="3004"/>
              <w:gridCol w:w="32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293" w:type="pct"/>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污染物</w:t>
                  </w:r>
                </w:p>
              </w:tc>
              <w:tc>
                <w:tcPr>
                  <w:tcW w:w="1778" w:type="pct"/>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最高允许排放浓度(mg/m</w:t>
                  </w:r>
                  <w:r>
                    <w:rPr>
                      <w:b/>
                      <w:color w:val="auto"/>
                      <w:sz w:val="22"/>
                      <w:szCs w:val="22"/>
                      <w:u w:val="none" w:color="auto"/>
                      <w:vertAlign w:val="superscript"/>
                    </w:rPr>
                    <w:t>3</w:t>
                  </w:r>
                  <w:r>
                    <w:rPr>
                      <w:rFonts w:hint="eastAsia"/>
                      <w:b/>
                      <w:color w:val="auto"/>
                      <w:sz w:val="22"/>
                      <w:szCs w:val="22"/>
                      <w:u w:val="none" w:color="auto"/>
                    </w:rPr>
                    <w:t>)</w:t>
                  </w:r>
                </w:p>
              </w:tc>
              <w:tc>
                <w:tcPr>
                  <w:tcW w:w="1928" w:type="pct"/>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最高允许排放</w:t>
                  </w:r>
                  <w:r>
                    <w:rPr>
                      <w:rFonts w:hint="eastAsia"/>
                      <w:b/>
                      <w:color w:val="auto"/>
                      <w:sz w:val="22"/>
                      <w:szCs w:val="22"/>
                      <w:u w:val="none" w:color="auto"/>
                    </w:rPr>
                    <w:t>速率（k</w:t>
                  </w:r>
                  <w:r>
                    <w:rPr>
                      <w:b/>
                      <w:color w:val="auto"/>
                      <w:sz w:val="22"/>
                      <w:szCs w:val="22"/>
                      <w:u w:val="none" w:color="auto"/>
                    </w:rPr>
                    <w:t>g/h</w:t>
                  </w:r>
                  <w:r>
                    <w:rPr>
                      <w:rFonts w:hint="eastAsia"/>
                      <w:b/>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293" w:type="pct"/>
                  <w:vMerge w:val="continue"/>
                  <w:vAlign w:val="center"/>
                </w:tcPr>
                <w:p>
                  <w:pPr>
                    <w:adjustRightInd w:val="0"/>
                    <w:snapToGrid w:val="0"/>
                    <w:spacing w:line="360" w:lineRule="auto"/>
                    <w:jc w:val="center"/>
                    <w:rPr>
                      <w:b/>
                      <w:color w:val="auto"/>
                      <w:sz w:val="22"/>
                      <w:szCs w:val="22"/>
                      <w:u w:val="none" w:color="auto"/>
                    </w:rPr>
                  </w:pPr>
                </w:p>
              </w:tc>
              <w:tc>
                <w:tcPr>
                  <w:tcW w:w="1778" w:type="pct"/>
                  <w:vMerge w:val="continue"/>
                  <w:vAlign w:val="center"/>
                </w:tcPr>
                <w:p>
                  <w:pPr>
                    <w:adjustRightInd w:val="0"/>
                    <w:snapToGrid w:val="0"/>
                    <w:spacing w:line="360" w:lineRule="auto"/>
                    <w:jc w:val="center"/>
                    <w:rPr>
                      <w:b/>
                      <w:color w:val="auto"/>
                      <w:sz w:val="22"/>
                      <w:szCs w:val="22"/>
                      <w:u w:val="none" w:color="auto"/>
                    </w:rPr>
                  </w:pPr>
                </w:p>
              </w:tc>
              <w:tc>
                <w:tcPr>
                  <w:tcW w:w="1928" w:type="pct"/>
                  <w:vMerge w:val="continue"/>
                </w:tcPr>
                <w:p>
                  <w:pPr>
                    <w:adjustRightInd w:val="0"/>
                    <w:snapToGrid w:val="0"/>
                    <w:spacing w:line="360" w:lineRule="auto"/>
                    <w:jc w:val="center"/>
                    <w:rPr>
                      <w:b/>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1293" w:type="pct"/>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颗粒物</w:t>
                  </w:r>
                </w:p>
              </w:tc>
              <w:tc>
                <w:tcPr>
                  <w:tcW w:w="1778" w:type="pct"/>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1</w:t>
                  </w:r>
                  <w:r>
                    <w:rPr>
                      <w:color w:val="auto"/>
                      <w:sz w:val="22"/>
                      <w:szCs w:val="22"/>
                      <w:u w:val="none" w:color="auto"/>
                    </w:rPr>
                    <w:t>20</w:t>
                  </w:r>
                </w:p>
              </w:tc>
              <w:tc>
                <w:tcPr>
                  <w:tcW w:w="1928" w:type="pct"/>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3</w:t>
                  </w:r>
                  <w:r>
                    <w:rPr>
                      <w:color w:val="auto"/>
                      <w:sz w:val="22"/>
                      <w:szCs w:val="22"/>
                      <w:u w:val="none" w:color="auto"/>
                    </w:rPr>
                    <w:t>.5</w:t>
                  </w:r>
                </w:p>
              </w:tc>
            </w:tr>
          </w:tbl>
          <w:p>
            <w:pPr>
              <w:pStyle w:val="39"/>
              <w:adjustRightInd w:val="0"/>
              <w:snapToGrid w:val="0"/>
              <w:spacing w:after="0" w:line="360" w:lineRule="auto"/>
              <w:ind w:left="0" w:leftChars="0" w:firstLine="0" w:firstLineChars="0"/>
              <w:rPr>
                <w:color w:val="auto"/>
                <w:sz w:val="24"/>
                <w:szCs w:val="24"/>
                <w:u w:val="none" w:color="auto"/>
              </w:rPr>
            </w:pPr>
            <w:r>
              <w:rPr>
                <w:color w:val="auto"/>
                <w:kern w:val="0"/>
                <w:sz w:val="24"/>
                <w:szCs w:val="24"/>
                <w:u w:val="none" w:color="auto"/>
              </w:rPr>
              <w:t>3、噪声</w:t>
            </w:r>
            <w:r>
              <w:rPr>
                <w:rFonts w:hint="eastAsia"/>
                <w:color w:val="auto"/>
                <w:kern w:val="0"/>
                <w:sz w:val="24"/>
                <w:szCs w:val="24"/>
                <w:u w:val="none" w:color="auto"/>
              </w:rPr>
              <w:t>：</w:t>
            </w:r>
            <w:r>
              <w:rPr>
                <w:color w:val="auto"/>
                <w:sz w:val="24"/>
                <w:szCs w:val="24"/>
                <w:u w:val="none" w:color="auto"/>
              </w:rPr>
              <w:t>噪声执行《工业企业厂界环境噪声排放标准》（GB12348-2008）</w:t>
            </w:r>
            <w:r>
              <w:rPr>
                <w:rFonts w:hint="eastAsia"/>
                <w:color w:val="auto"/>
                <w:sz w:val="24"/>
                <w:szCs w:val="24"/>
                <w:u w:val="none" w:color="auto"/>
                <w:lang w:val="en-US" w:eastAsia="zh-CN"/>
              </w:rPr>
              <w:t>2</w:t>
            </w:r>
            <w:r>
              <w:rPr>
                <w:color w:val="auto"/>
                <w:sz w:val="24"/>
                <w:szCs w:val="24"/>
                <w:u w:val="none" w:color="auto"/>
              </w:rPr>
              <w:t>类标准。</w:t>
            </w:r>
          </w:p>
          <w:p>
            <w:pPr>
              <w:pStyle w:val="39"/>
              <w:adjustRightInd w:val="0"/>
              <w:snapToGrid w:val="0"/>
              <w:spacing w:after="0"/>
              <w:ind w:left="0" w:leftChars="0" w:firstLine="0" w:firstLineChars="0"/>
              <w:jc w:val="center"/>
              <w:rPr>
                <w:b/>
                <w:bCs/>
                <w:color w:val="auto"/>
                <w:sz w:val="24"/>
                <w:szCs w:val="24"/>
                <w:u w:val="none" w:color="auto"/>
              </w:rPr>
            </w:pPr>
            <w:r>
              <w:rPr>
                <w:b/>
                <w:bCs/>
                <w:color w:val="auto"/>
                <w:sz w:val="24"/>
                <w:szCs w:val="24"/>
                <w:u w:val="none" w:color="auto"/>
              </w:rPr>
              <w:t>表4-</w:t>
            </w:r>
            <w:r>
              <w:rPr>
                <w:rFonts w:hint="eastAsia"/>
                <w:b/>
                <w:bCs/>
                <w:color w:val="auto"/>
                <w:sz w:val="24"/>
                <w:szCs w:val="24"/>
                <w:u w:val="none" w:color="auto"/>
                <w:lang w:val="en-US" w:eastAsia="zh-CN"/>
              </w:rPr>
              <w:t>9</w:t>
            </w:r>
            <w:r>
              <w:rPr>
                <w:b/>
                <w:bCs/>
                <w:color w:val="auto"/>
                <w:sz w:val="24"/>
                <w:szCs w:val="24"/>
                <w:u w:val="none" w:color="auto"/>
              </w:rPr>
              <w:t xml:space="preserve">  </w:t>
            </w:r>
            <w:r>
              <w:rPr>
                <w:b/>
                <w:color w:val="auto"/>
                <w:sz w:val="24"/>
                <w:szCs w:val="24"/>
                <w:u w:val="none" w:color="auto"/>
              </w:rPr>
              <w:t>工业企业厂界环境噪声排放标准</w:t>
            </w:r>
            <w:r>
              <w:rPr>
                <w:b/>
                <w:bCs/>
                <w:color w:val="auto"/>
                <w:sz w:val="24"/>
                <w:szCs w:val="24"/>
                <w:u w:val="none" w:color="auto"/>
              </w:rPr>
              <w:t xml:space="preserve">  单位dB(A)</w:t>
            </w:r>
          </w:p>
          <w:tbl>
            <w:tblPr>
              <w:tblStyle w:val="40"/>
              <w:tblW w:w="8430"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2804"/>
              <w:gridCol w:w="28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815" w:type="dxa"/>
                  <w:vMerge w:val="restart"/>
                  <w:tcBorders>
                    <w:tl2br w:val="nil"/>
                    <w:tr2bl w:val="nil"/>
                  </w:tcBorders>
                  <w:vAlign w:val="center"/>
                </w:tcPr>
                <w:p>
                  <w:pPr>
                    <w:pStyle w:val="34"/>
                    <w:spacing w:line="360" w:lineRule="auto"/>
                    <w:ind w:left="0" w:leftChars="0"/>
                    <w:jc w:val="center"/>
                    <w:rPr>
                      <w:color w:val="auto"/>
                      <w:sz w:val="22"/>
                      <w:szCs w:val="22"/>
                      <w:u w:val="none" w:color="auto"/>
                    </w:rPr>
                  </w:pPr>
                  <w:r>
                    <w:rPr>
                      <w:b/>
                      <w:bCs/>
                      <w:color w:val="auto"/>
                      <w:sz w:val="22"/>
                      <w:szCs w:val="22"/>
                      <w:u w:val="none" w:color="auto"/>
                    </w:rPr>
                    <w:t>声环境功能区类别</w:t>
                  </w:r>
                </w:p>
              </w:tc>
              <w:tc>
                <w:tcPr>
                  <w:tcW w:w="5615" w:type="dxa"/>
                  <w:gridSpan w:val="2"/>
                  <w:tcBorders>
                    <w:tl2br w:val="nil"/>
                    <w:tr2bl w:val="nil"/>
                  </w:tcBorders>
                  <w:vAlign w:val="center"/>
                </w:tcPr>
                <w:p>
                  <w:pPr>
                    <w:pStyle w:val="34"/>
                    <w:spacing w:line="360" w:lineRule="auto"/>
                    <w:ind w:left="0" w:leftChars="0"/>
                    <w:jc w:val="center"/>
                    <w:rPr>
                      <w:color w:val="auto"/>
                      <w:sz w:val="22"/>
                      <w:szCs w:val="22"/>
                      <w:u w:val="none" w:color="auto"/>
                    </w:rPr>
                  </w:pPr>
                  <w:r>
                    <w:rPr>
                      <w:b/>
                      <w:bCs/>
                      <w:color w:val="auto"/>
                      <w:sz w:val="22"/>
                      <w:szCs w:val="22"/>
                      <w:u w:val="none" w:color="auto"/>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815" w:type="dxa"/>
                  <w:vMerge w:val="continue"/>
                  <w:tcBorders>
                    <w:tl2br w:val="nil"/>
                    <w:tr2bl w:val="nil"/>
                  </w:tcBorders>
                  <w:vAlign w:val="center"/>
                </w:tcPr>
                <w:p>
                  <w:pPr>
                    <w:pStyle w:val="34"/>
                    <w:spacing w:line="360" w:lineRule="auto"/>
                    <w:ind w:left="0" w:leftChars="0"/>
                    <w:jc w:val="center"/>
                    <w:rPr>
                      <w:color w:val="auto"/>
                      <w:sz w:val="22"/>
                      <w:szCs w:val="22"/>
                      <w:u w:val="none" w:color="auto"/>
                    </w:rPr>
                  </w:pPr>
                </w:p>
              </w:tc>
              <w:tc>
                <w:tcPr>
                  <w:tcW w:w="2804" w:type="dxa"/>
                  <w:tcBorders>
                    <w:tl2br w:val="nil"/>
                    <w:tr2bl w:val="nil"/>
                  </w:tcBorders>
                  <w:vAlign w:val="center"/>
                </w:tcPr>
                <w:p>
                  <w:pPr>
                    <w:pStyle w:val="34"/>
                    <w:spacing w:line="360" w:lineRule="auto"/>
                    <w:ind w:left="0" w:leftChars="0"/>
                    <w:jc w:val="center"/>
                    <w:rPr>
                      <w:color w:val="auto"/>
                      <w:sz w:val="22"/>
                      <w:szCs w:val="22"/>
                      <w:u w:val="none" w:color="auto"/>
                    </w:rPr>
                  </w:pPr>
                  <w:r>
                    <w:rPr>
                      <w:b/>
                      <w:bCs/>
                      <w:color w:val="auto"/>
                      <w:sz w:val="22"/>
                      <w:szCs w:val="22"/>
                      <w:u w:val="none" w:color="auto"/>
                    </w:rPr>
                    <w:t>昼间</w:t>
                  </w:r>
                </w:p>
              </w:tc>
              <w:tc>
                <w:tcPr>
                  <w:tcW w:w="2811" w:type="dxa"/>
                  <w:tcBorders>
                    <w:tl2br w:val="nil"/>
                    <w:tr2bl w:val="nil"/>
                  </w:tcBorders>
                  <w:vAlign w:val="center"/>
                </w:tcPr>
                <w:p>
                  <w:pPr>
                    <w:pStyle w:val="34"/>
                    <w:spacing w:line="360" w:lineRule="auto"/>
                    <w:ind w:left="0" w:leftChars="0"/>
                    <w:jc w:val="center"/>
                    <w:rPr>
                      <w:color w:val="auto"/>
                      <w:sz w:val="22"/>
                      <w:szCs w:val="22"/>
                      <w:u w:val="none" w:color="auto"/>
                    </w:rPr>
                  </w:pPr>
                  <w:r>
                    <w:rPr>
                      <w:b/>
                      <w:bCs/>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15" w:type="dxa"/>
                  <w:tcBorders>
                    <w:tl2br w:val="nil"/>
                    <w:tr2bl w:val="nil"/>
                  </w:tcBorders>
                  <w:vAlign w:val="center"/>
                </w:tcPr>
                <w:p>
                  <w:pPr>
                    <w:pStyle w:val="34"/>
                    <w:spacing w:line="360" w:lineRule="auto"/>
                    <w:ind w:left="0" w:leftChars="0"/>
                    <w:jc w:val="center"/>
                    <w:rPr>
                      <w:color w:val="auto"/>
                      <w:sz w:val="22"/>
                      <w:szCs w:val="22"/>
                      <w:u w:val="none" w:color="auto"/>
                    </w:rPr>
                  </w:pPr>
                  <w:r>
                    <w:rPr>
                      <w:rFonts w:hint="eastAsia"/>
                      <w:color w:val="auto"/>
                      <w:sz w:val="22"/>
                      <w:szCs w:val="22"/>
                      <w:u w:val="none" w:color="auto"/>
                      <w:lang w:val="en-US" w:eastAsia="zh-CN"/>
                    </w:rPr>
                    <w:t>2</w:t>
                  </w:r>
                  <w:r>
                    <w:rPr>
                      <w:color w:val="auto"/>
                      <w:sz w:val="22"/>
                      <w:szCs w:val="22"/>
                      <w:u w:val="none" w:color="auto"/>
                    </w:rPr>
                    <w:t>类（dB(A)）</w:t>
                  </w:r>
                </w:p>
              </w:tc>
              <w:tc>
                <w:tcPr>
                  <w:tcW w:w="2804" w:type="dxa"/>
                  <w:tcBorders>
                    <w:tl2br w:val="nil"/>
                    <w:tr2bl w:val="nil"/>
                  </w:tcBorders>
                  <w:vAlign w:val="center"/>
                </w:tcPr>
                <w:p>
                  <w:pPr>
                    <w:pStyle w:val="34"/>
                    <w:spacing w:line="360" w:lineRule="auto"/>
                    <w:ind w:left="0" w:leftChars="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2811" w:type="dxa"/>
                  <w:tcBorders>
                    <w:tl2br w:val="nil"/>
                    <w:tr2bl w:val="nil"/>
                  </w:tcBorders>
                  <w:vAlign w:val="center"/>
                </w:tcPr>
                <w:p>
                  <w:pPr>
                    <w:pStyle w:val="34"/>
                    <w:spacing w:line="360" w:lineRule="auto"/>
                    <w:ind w:left="0" w:leftChars="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50</w:t>
                  </w:r>
                </w:p>
              </w:tc>
            </w:tr>
          </w:tbl>
          <w:p>
            <w:pPr>
              <w:adjustRightInd w:val="0"/>
              <w:snapToGrid w:val="0"/>
              <w:spacing w:line="360" w:lineRule="auto"/>
              <w:rPr>
                <w:color w:val="auto"/>
                <w:sz w:val="24"/>
                <w:szCs w:val="24"/>
                <w:u w:val="none" w:color="auto"/>
              </w:rPr>
            </w:pPr>
            <w:r>
              <w:rPr>
                <w:color w:val="auto"/>
                <w:kern w:val="0"/>
                <w:sz w:val="24"/>
                <w:szCs w:val="24"/>
                <w:u w:val="none" w:color="auto"/>
              </w:rPr>
              <w:t>4、固体废物：</w:t>
            </w:r>
            <w:r>
              <w:rPr>
                <w:color w:val="auto"/>
                <w:sz w:val="24"/>
                <w:szCs w:val="24"/>
                <w:u w:val="none" w:color="auto"/>
              </w:rPr>
              <w:t>一般固体废物处置执行《一般工业固体废物贮存、处置场污染控制标准》（GB18599-2001）及其2013年修改单中的要求；生活垃圾执行《生活垃圾填埋污染控制标准》（GB16889-2008）。</w:t>
            </w:r>
            <w:r>
              <w:rPr>
                <w:rFonts w:hint="eastAsia"/>
                <w:color w:val="auto"/>
                <w:sz w:val="24"/>
                <w:szCs w:val="24"/>
                <w:u w:val="none" w:color="auto"/>
              </w:rPr>
              <w:t>危险废物执行《危险废物贮存污染控制标准》（GB18597－2001）及其修改单。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jc w:val="center"/>
              <w:rPr>
                <w:b/>
                <w:bCs/>
                <w:color w:val="auto"/>
                <w:sz w:val="24"/>
                <w:szCs w:val="24"/>
                <w:u w:val="none" w:color="auto"/>
              </w:rPr>
            </w:pPr>
            <w:r>
              <w:rPr>
                <w:b/>
                <w:bCs/>
                <w:color w:val="auto"/>
                <w:sz w:val="24"/>
                <w:szCs w:val="24"/>
                <w:u w:val="none" w:color="auto"/>
              </w:rPr>
              <w:t>总量控制指标</w:t>
            </w:r>
          </w:p>
        </w:tc>
        <w:tc>
          <w:tcPr>
            <w:tcW w:w="8676" w:type="dxa"/>
            <w:vAlign w:val="center"/>
          </w:tcPr>
          <w:p>
            <w:pPr>
              <w:spacing w:line="520" w:lineRule="exact"/>
              <w:ind w:firstLine="466" w:firstLineChars="200"/>
              <w:rPr>
                <w:color w:val="auto"/>
                <w:sz w:val="24"/>
                <w:szCs w:val="24"/>
                <w:u w:val="none" w:color="auto"/>
              </w:rPr>
            </w:pPr>
            <w:r>
              <w:rPr>
                <w:rFonts w:hint="eastAsia"/>
                <w:color w:val="auto"/>
                <w:sz w:val="24"/>
                <w:szCs w:val="24"/>
                <w:u w:val="none" w:color="auto"/>
              </w:rPr>
              <w:t>根据《湖南省“十三五”主要污染物减排规划》，湖南省约束性总量控制指标为二氧化硫（SO</w:t>
            </w:r>
            <w:r>
              <w:rPr>
                <w:rFonts w:hint="eastAsia"/>
                <w:color w:val="auto"/>
                <w:sz w:val="24"/>
                <w:szCs w:val="24"/>
                <w:u w:val="none" w:color="auto"/>
                <w:vertAlign w:val="subscript"/>
              </w:rPr>
              <w:t>2</w:t>
            </w:r>
            <w:r>
              <w:rPr>
                <w:rFonts w:hint="eastAsia"/>
                <w:color w:val="auto"/>
                <w:sz w:val="24"/>
                <w:szCs w:val="24"/>
                <w:u w:val="none" w:color="auto"/>
              </w:rPr>
              <w:t>）、氮氧化物（NOx）、化学需氧量（COD）和氨氮（NH</w:t>
            </w:r>
            <w:r>
              <w:rPr>
                <w:rFonts w:hint="eastAsia"/>
                <w:color w:val="auto"/>
                <w:sz w:val="24"/>
                <w:szCs w:val="24"/>
                <w:u w:val="none" w:color="auto"/>
                <w:vertAlign w:val="subscript"/>
              </w:rPr>
              <w:t>3</w:t>
            </w:r>
            <w:r>
              <w:rPr>
                <w:rFonts w:hint="eastAsia"/>
                <w:color w:val="auto"/>
                <w:sz w:val="24"/>
                <w:szCs w:val="24"/>
                <w:u w:val="none" w:color="auto"/>
              </w:rPr>
              <w:t>-N），推荐性总量控制指标为VOCs。</w:t>
            </w:r>
          </w:p>
          <w:p>
            <w:pPr>
              <w:spacing w:line="520" w:lineRule="exact"/>
              <w:ind w:firstLine="466" w:firstLineChars="200"/>
              <w:rPr>
                <w:rFonts w:hint="eastAsia"/>
                <w:color w:val="auto"/>
                <w:sz w:val="24"/>
                <w:u w:val="none" w:color="auto"/>
              </w:rPr>
            </w:pPr>
            <w:r>
              <w:rPr>
                <w:rFonts w:hint="eastAsia"/>
                <w:color w:val="auto"/>
                <w:kern w:val="0"/>
                <w:sz w:val="24"/>
                <w:szCs w:val="24"/>
                <w:u w:val="none" w:color="auto"/>
                <w:lang w:val="en-US" w:eastAsia="zh-CN"/>
              </w:rPr>
              <w:t>项目</w:t>
            </w:r>
            <w:r>
              <w:rPr>
                <w:rFonts w:hint="eastAsia"/>
                <w:color w:val="auto"/>
                <w:sz w:val="24"/>
                <w:szCs w:val="24"/>
                <w:u w:val="none" w:color="auto"/>
                <w:lang w:val="en-US" w:eastAsia="zh-CN"/>
              </w:rPr>
              <w:t>生活污水经三级化粪池处理后回用于周边农田、绿化施肥，不外排；生产废水及地面冲洗废水经收集后循环使用，不外排</w:t>
            </w:r>
            <w:r>
              <w:rPr>
                <w:rFonts w:hint="default" w:ascii="Times New Roman" w:hAnsi="Times New Roman" w:cs="Times New Roman"/>
                <w:color w:val="auto"/>
                <w:sz w:val="24"/>
                <w:szCs w:val="24"/>
                <w:u w:val="none" w:color="auto"/>
                <w:lang w:val="en-US" w:eastAsia="zh-CN"/>
              </w:rPr>
              <w:t>，故本项目</w:t>
            </w:r>
            <w:r>
              <w:rPr>
                <w:rFonts w:hint="eastAsia" w:cs="Times New Roman"/>
                <w:color w:val="auto"/>
                <w:sz w:val="24"/>
                <w:szCs w:val="24"/>
                <w:u w:val="none" w:color="auto"/>
                <w:lang w:val="en-US" w:eastAsia="zh-CN"/>
              </w:rPr>
              <w:t>不需</w:t>
            </w:r>
            <w:r>
              <w:rPr>
                <w:rFonts w:hint="default" w:ascii="Times New Roman" w:hAnsi="Times New Roman" w:cs="Times New Roman"/>
                <w:color w:val="auto"/>
                <w:sz w:val="24"/>
                <w:szCs w:val="24"/>
                <w:u w:val="none" w:color="auto"/>
                <w:lang w:val="en-US" w:eastAsia="zh-CN"/>
              </w:rPr>
              <w:t>申请水总量指标</w:t>
            </w:r>
            <w:r>
              <w:rPr>
                <w:rFonts w:hint="eastAsia" w:cs="Times New Roman"/>
                <w:color w:val="auto"/>
                <w:sz w:val="24"/>
                <w:szCs w:val="24"/>
                <w:u w:val="none" w:color="auto"/>
                <w:lang w:val="en-US" w:eastAsia="zh-CN"/>
              </w:rPr>
              <w:t>。</w:t>
            </w:r>
          </w:p>
          <w:p>
            <w:pPr>
              <w:spacing w:line="520" w:lineRule="exact"/>
              <w:ind w:firstLine="466" w:firstLineChars="200"/>
              <w:rPr>
                <w:color w:val="auto"/>
                <w:sz w:val="24"/>
                <w:u w:val="none" w:color="auto"/>
              </w:rPr>
            </w:pPr>
            <w:r>
              <w:rPr>
                <w:rFonts w:hint="eastAsia"/>
                <w:color w:val="auto"/>
                <w:sz w:val="24"/>
                <w:u w:val="none" w:color="auto"/>
              </w:rPr>
              <w:t>结合本项目</w:t>
            </w:r>
            <w:r>
              <w:rPr>
                <w:rFonts w:hint="eastAsia"/>
                <w:color w:val="auto"/>
                <w:sz w:val="24"/>
                <w:u w:val="none" w:color="auto"/>
                <w:lang w:val="en-US" w:eastAsia="zh-CN"/>
              </w:rPr>
              <w:t>废气</w:t>
            </w:r>
            <w:r>
              <w:rPr>
                <w:rFonts w:hint="eastAsia"/>
                <w:color w:val="auto"/>
                <w:sz w:val="24"/>
                <w:u w:val="none" w:color="auto"/>
              </w:rPr>
              <w:t>污染物排放因子，确定本项目的总量控制因子为V</w:t>
            </w:r>
            <w:r>
              <w:rPr>
                <w:color w:val="auto"/>
                <w:sz w:val="24"/>
                <w:u w:val="none" w:color="auto"/>
              </w:rPr>
              <w:t>OCs。</w:t>
            </w:r>
          </w:p>
          <w:p>
            <w:pPr>
              <w:spacing w:line="520" w:lineRule="exact"/>
              <w:ind w:firstLine="457" w:firstLineChars="196"/>
              <w:jc w:val="left"/>
              <w:rPr>
                <w:rFonts w:hint="eastAsia" w:eastAsia="宋体"/>
                <w:color w:val="auto"/>
                <w:sz w:val="24"/>
                <w:u w:val="none" w:color="auto"/>
                <w:lang w:val="en-US" w:eastAsia="zh-CN"/>
              </w:rPr>
            </w:pPr>
            <w:r>
              <w:rPr>
                <w:rFonts w:hint="eastAsia"/>
                <w:color w:val="auto"/>
                <w:sz w:val="24"/>
                <w:u w:val="none" w:color="auto"/>
              </w:rPr>
              <w:t>本项目外排废气中V</w:t>
            </w:r>
            <w:r>
              <w:rPr>
                <w:color w:val="auto"/>
                <w:sz w:val="24"/>
                <w:u w:val="none" w:color="auto"/>
              </w:rPr>
              <w:t>OCs</w:t>
            </w:r>
            <w:r>
              <w:rPr>
                <w:rFonts w:hint="eastAsia"/>
                <w:color w:val="auto"/>
                <w:sz w:val="24"/>
                <w:u w:val="none" w:color="auto"/>
                <w:lang w:val="en-US" w:eastAsia="zh-CN"/>
              </w:rPr>
              <w:t>排放量为0.042</w:t>
            </w:r>
            <w:r>
              <w:rPr>
                <w:color w:val="auto"/>
                <w:sz w:val="24"/>
                <w:u w:val="none" w:color="auto"/>
              </w:rPr>
              <w:t>t/a</w:t>
            </w:r>
            <w:r>
              <w:rPr>
                <w:rFonts w:hint="eastAsia"/>
                <w:color w:val="auto"/>
                <w:sz w:val="24"/>
                <w:u w:val="none" w:color="auto"/>
                <w:lang w:eastAsia="zh-CN"/>
              </w:rPr>
              <w:t>。</w:t>
            </w:r>
            <w:r>
              <w:rPr>
                <w:rFonts w:hint="eastAsia"/>
                <w:color w:val="auto"/>
                <w:sz w:val="24"/>
                <w:u w:val="none" w:color="auto"/>
                <w:lang w:val="en-US" w:eastAsia="zh-CN"/>
              </w:rPr>
              <w:t>属于</w:t>
            </w:r>
            <w:r>
              <w:rPr>
                <w:rFonts w:hint="eastAsia"/>
                <w:color w:val="auto"/>
                <w:sz w:val="24"/>
                <w:szCs w:val="24"/>
                <w:u w:val="none" w:color="auto"/>
              </w:rPr>
              <w:t>推荐性总量控制指标</w:t>
            </w:r>
            <w:r>
              <w:rPr>
                <w:rFonts w:hint="eastAsia"/>
                <w:color w:val="auto"/>
                <w:sz w:val="24"/>
                <w:szCs w:val="24"/>
                <w:u w:val="none" w:color="auto"/>
                <w:lang w:eastAsia="zh-CN"/>
              </w:rPr>
              <w:t>。</w:t>
            </w:r>
          </w:p>
          <w:p>
            <w:pPr>
              <w:spacing w:line="520" w:lineRule="exact"/>
              <w:ind w:firstLine="457" w:firstLineChars="196"/>
              <w:jc w:val="left"/>
              <w:rPr>
                <w:color w:val="auto"/>
                <w:sz w:val="24"/>
                <w:u w:val="none" w:color="auto"/>
              </w:rPr>
            </w:pPr>
          </w:p>
          <w:p>
            <w:pPr>
              <w:spacing w:line="520" w:lineRule="exact"/>
              <w:ind w:firstLine="457" w:firstLineChars="196"/>
              <w:jc w:val="left"/>
              <w:rPr>
                <w:color w:val="auto"/>
                <w:sz w:val="24"/>
                <w:u w:val="none" w:color="auto"/>
              </w:rPr>
            </w:pPr>
          </w:p>
          <w:p>
            <w:pPr>
              <w:spacing w:line="520" w:lineRule="exact"/>
              <w:jc w:val="left"/>
              <w:rPr>
                <w:rFonts w:hint="eastAsia" w:eastAsia="宋体"/>
                <w:color w:val="auto"/>
                <w:u w:val="none" w:color="auto"/>
                <w:lang w:eastAsia="zh-CN"/>
              </w:rPr>
            </w:pPr>
          </w:p>
        </w:tc>
      </w:tr>
    </w:tbl>
    <w:p>
      <w:pPr>
        <w:snapToGrid w:val="0"/>
        <w:textAlignment w:val="baseline"/>
        <w:outlineLvl w:val="0"/>
        <w:rPr>
          <w:rFonts w:eastAsia="黑体"/>
          <w:color w:val="auto"/>
          <w:kern w:val="24"/>
          <w:sz w:val="32"/>
          <w:u w:val="none" w:color="auto"/>
        </w:rPr>
      </w:pPr>
      <w:r>
        <w:rPr>
          <w:rFonts w:eastAsia="黑体"/>
          <w:color w:val="auto"/>
          <w:sz w:val="32"/>
          <w:u w:val="none" w:color="auto"/>
        </w:rPr>
        <w:br w:type="page"/>
      </w:r>
      <w:bookmarkStart w:id="7" w:name="_Toc19044"/>
      <w:r>
        <w:rPr>
          <w:rFonts w:hint="eastAsia" w:eastAsia="黑体"/>
          <w:color w:val="auto"/>
          <w:sz w:val="32"/>
          <w:u w:val="none" w:color="auto"/>
        </w:rPr>
        <w:t>五、</w:t>
      </w:r>
      <w:r>
        <w:rPr>
          <w:rFonts w:eastAsia="黑体"/>
          <w:color w:val="auto"/>
          <w:sz w:val="32"/>
          <w:u w:val="none" w:color="auto"/>
        </w:rPr>
        <w:t>建设项目工程分析</w:t>
      </w:r>
      <w:bookmarkEnd w:id="7"/>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fixed"/>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85" w:type="dxa"/>
            <w:bottom w:w="0" w:type="dxa"/>
            <w:right w:w="85" w:type="dxa"/>
          </w:tblCellMar>
        </w:tblPrEx>
        <w:trPr>
          <w:trHeight w:val="90" w:hRule="atLeast"/>
          <w:jc w:val="center"/>
        </w:trPr>
        <w:tc>
          <w:tcPr>
            <w:tcW w:w="9268" w:type="dxa"/>
          </w:tcPr>
          <w:p>
            <w:pPr>
              <w:snapToGrid w:val="0"/>
              <w:spacing w:line="360" w:lineRule="auto"/>
              <w:ind w:firstLine="457" w:firstLineChars="196"/>
              <w:rPr>
                <w:rFonts w:hint="default" w:ascii="Times New Roman" w:hAnsi="Times New Roman" w:cs="Times New Roman"/>
                <w:b/>
                <w:color w:val="auto"/>
                <w:sz w:val="24"/>
                <w:u w:val="single" w:color="auto"/>
              </w:rPr>
            </w:pPr>
            <w:r>
              <w:rPr>
                <w:rFonts w:hint="default" w:ascii="Times New Roman" w:hAnsi="Times New Roman" w:cs="Times New Roman"/>
                <w:b/>
                <w:color w:val="auto"/>
                <w:sz w:val="24"/>
                <w:u w:val="single" w:color="auto"/>
              </w:rPr>
              <w:t>运营期</w:t>
            </w:r>
          </w:p>
          <w:p>
            <w:pPr>
              <w:pStyle w:val="34"/>
              <w:ind w:leftChars="0"/>
              <w:rPr>
                <w:rFonts w:hint="default" w:ascii="Times New Roman" w:hAnsi="Times New Roman" w:cs="Times New Roman"/>
                <w:color w:val="auto"/>
                <w:sz w:val="24"/>
                <w:u w:val="single" w:color="auto"/>
              </w:rPr>
            </w:pPr>
            <w:r>
              <w:rPr>
                <w:rFonts w:hint="default" w:ascii="Times New Roman" w:hAnsi="Times New Roman" w:cs="Times New Roman"/>
                <w:color w:val="auto"/>
                <w:u w:val="single" w:color="auto"/>
              </w:rPr>
              <w:pict>
                <v:shape id="_x0000_s2054" o:spid="_x0000_s2054" o:spt="75" type="#_x0000_t75" style="position:absolute;left:0pt;margin-left:7.75pt;margin-top:8.5pt;height:614.2pt;width:421.8pt;z-index:-2112736256;mso-width-relative:page;mso-height-relative:page;" o:ole="t" filled="f" o:preferrelative="t" stroked="f" coordsize="21600,21600">
                  <v:path/>
                  <v:fill on="f" focussize="0,0"/>
                  <v:stroke on="f"/>
                  <v:imagedata r:id="rId13" o:title=""/>
                  <o:lock v:ext="edit" aspectratio="f"/>
                </v:shape>
                <o:OLEObject Type="Embed" ProgID="Visio.Drawing.11" ShapeID="_x0000_s2054" DrawAspect="Content" ObjectID="_1468075726" r:id="rId12">
                  <o:LockedField>false</o:LockedField>
                </o:OLEObject>
              </w:pict>
            </w:r>
            <w:r>
              <w:rPr>
                <w:rFonts w:hint="eastAsia" w:cs="Times New Roman"/>
                <w:color w:val="auto"/>
                <w:sz w:val="24"/>
                <w:u w:val="single" w:color="auto"/>
                <w:lang w:val="en-US" w:eastAsia="zh-CN"/>
              </w:rPr>
              <w:t>（1）石棉瓦</w:t>
            </w:r>
            <w:r>
              <w:rPr>
                <w:rFonts w:hint="default" w:ascii="Times New Roman" w:hAnsi="Times New Roman" w:cs="Times New Roman"/>
                <w:color w:val="auto"/>
                <w:sz w:val="24"/>
                <w:u w:val="single" w:color="auto"/>
              </w:rPr>
              <w:t>生产工艺流程及产污环节见图5-</w:t>
            </w:r>
            <w:r>
              <w:rPr>
                <w:rFonts w:hint="eastAsia" w:cs="Times New Roman"/>
                <w:color w:val="auto"/>
                <w:sz w:val="24"/>
                <w:u w:val="single" w:color="auto"/>
                <w:lang w:val="en-US" w:eastAsia="zh-CN"/>
              </w:rPr>
              <w:t>1</w:t>
            </w:r>
            <w:r>
              <w:rPr>
                <w:rFonts w:hint="default" w:ascii="Times New Roman" w:hAnsi="Times New Roman" w:cs="Times New Roman"/>
                <w:color w:val="auto"/>
                <w:sz w:val="24"/>
                <w:u w:val="single" w:color="auto"/>
              </w:rPr>
              <w:t>所示：</w:t>
            </w:r>
          </w:p>
          <w:p>
            <w:pPr>
              <w:jc w:val="center"/>
              <w:rPr>
                <w:rFonts w:hint="default" w:ascii="Times New Roman" w:hAnsi="Times New Roman" w:cs="Times New Roman"/>
                <w:color w:val="auto"/>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p>
          <w:p>
            <w:pPr>
              <w:jc w:val="center"/>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图5-</w:t>
            </w:r>
            <w:r>
              <w:rPr>
                <w:rFonts w:hint="eastAsia" w:cs="Times New Roman"/>
                <w:b/>
                <w:color w:val="auto"/>
                <w:sz w:val="24"/>
                <w:szCs w:val="24"/>
                <w:u w:val="single" w:color="auto"/>
                <w:lang w:val="en-US" w:eastAsia="zh-CN"/>
              </w:rPr>
              <w:t>1</w:t>
            </w:r>
            <w:r>
              <w:rPr>
                <w:rFonts w:hint="default" w:ascii="Times New Roman" w:hAnsi="Times New Roman" w:cs="Times New Roman"/>
                <w:b/>
                <w:color w:val="auto"/>
                <w:sz w:val="24"/>
                <w:szCs w:val="24"/>
                <w:u w:val="single" w:color="auto"/>
              </w:rPr>
              <w:t xml:space="preserve">   </w:t>
            </w:r>
            <w:r>
              <w:rPr>
                <w:rFonts w:hint="eastAsia" w:cs="Times New Roman"/>
                <w:b/>
                <w:color w:val="auto"/>
                <w:sz w:val="24"/>
                <w:szCs w:val="24"/>
                <w:u w:val="single" w:color="auto"/>
                <w:lang w:val="en-US" w:eastAsia="zh-CN"/>
              </w:rPr>
              <w:t>石棉瓦</w:t>
            </w:r>
            <w:r>
              <w:rPr>
                <w:rFonts w:hint="default" w:ascii="Times New Roman" w:hAnsi="Times New Roman" w:cs="Times New Roman"/>
                <w:b/>
                <w:color w:val="auto"/>
                <w:sz w:val="24"/>
                <w:szCs w:val="24"/>
                <w:u w:val="single" w:color="auto"/>
              </w:rPr>
              <w:t>生产工艺流程图及产污环节图</w:t>
            </w:r>
          </w:p>
          <w:p>
            <w:pPr>
              <w:pStyle w:val="34"/>
              <w:spacing w:line="360" w:lineRule="auto"/>
              <w:ind w:left="4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工艺流程简述：</w:t>
            </w:r>
          </w:p>
          <w:p>
            <w:pPr>
              <w:spacing w:line="360" w:lineRule="auto"/>
              <w:ind w:firstLine="466" w:firstLineChars="200"/>
              <w:rPr>
                <w:color w:val="auto"/>
                <w:sz w:val="24"/>
                <w:u w:val="single" w:color="auto"/>
              </w:rPr>
            </w:pPr>
            <w:r>
              <w:rPr>
                <w:color w:val="auto"/>
                <w:sz w:val="24"/>
                <w:u w:val="single" w:color="auto"/>
              </w:rPr>
              <w:t>（1）原辅材料储存：水泥采用罐车直接运输至厂内水泥储罐储存，生产时由水泥储罐输送至搅拌机；石粉</w:t>
            </w:r>
            <w:r>
              <w:rPr>
                <w:rFonts w:hint="eastAsia"/>
                <w:color w:val="auto"/>
                <w:sz w:val="24"/>
                <w:u w:val="single" w:color="auto"/>
                <w:lang w:val="en-US" w:eastAsia="zh-CN"/>
              </w:rPr>
              <w:t>采用罐车直接运输至厂内</w:t>
            </w:r>
            <w:r>
              <w:rPr>
                <w:color w:val="auto"/>
                <w:sz w:val="24"/>
                <w:u w:val="single" w:color="auto"/>
              </w:rPr>
              <w:t>石粉储罐</w:t>
            </w:r>
            <w:r>
              <w:rPr>
                <w:rFonts w:hint="eastAsia"/>
                <w:color w:val="auto"/>
                <w:sz w:val="24"/>
                <w:u w:val="single" w:color="auto"/>
                <w:lang w:eastAsia="zh-CN"/>
              </w:rPr>
              <w:t>，</w:t>
            </w:r>
            <w:r>
              <w:rPr>
                <w:rFonts w:hint="eastAsia"/>
                <w:color w:val="auto"/>
                <w:sz w:val="24"/>
                <w:u w:val="single" w:color="auto"/>
                <w:lang w:val="en-US" w:eastAsia="zh-CN"/>
              </w:rPr>
              <w:t>生产时</w:t>
            </w:r>
            <w:r>
              <w:rPr>
                <w:color w:val="auto"/>
                <w:sz w:val="24"/>
                <w:u w:val="single" w:color="auto"/>
              </w:rPr>
              <w:t>输送至拌机；玻璃纤维定期采购（袋装）运至厂内原料堆场储存，生产时人工送至搅拌池；装袋的石棉纤维人工送至搅拌机；纸</w:t>
            </w:r>
            <w:r>
              <w:rPr>
                <w:rFonts w:hint="eastAsia"/>
                <w:color w:val="auto"/>
                <w:sz w:val="24"/>
                <w:u w:val="single" w:color="auto"/>
                <w:lang w:val="en-US" w:eastAsia="zh-CN"/>
              </w:rPr>
              <w:t>纤维</w:t>
            </w:r>
            <w:r>
              <w:rPr>
                <w:color w:val="auto"/>
                <w:sz w:val="24"/>
                <w:u w:val="single" w:color="auto"/>
              </w:rPr>
              <w:t>和水经过纸浆</w:t>
            </w:r>
            <w:r>
              <w:rPr>
                <w:rFonts w:hint="eastAsia"/>
                <w:color w:val="auto"/>
                <w:sz w:val="24"/>
                <w:u w:val="single" w:color="auto"/>
                <w:lang w:val="en-US" w:eastAsia="zh-CN"/>
              </w:rPr>
              <w:t>搅拌</w:t>
            </w:r>
            <w:r>
              <w:rPr>
                <w:color w:val="auto"/>
                <w:sz w:val="24"/>
                <w:u w:val="single" w:color="auto"/>
              </w:rPr>
              <w:t>机制成</w:t>
            </w:r>
            <w:r>
              <w:rPr>
                <w:rFonts w:hint="eastAsia"/>
                <w:color w:val="auto"/>
                <w:sz w:val="24"/>
                <w:u w:val="single" w:color="auto"/>
                <w:lang w:val="en-US" w:eastAsia="zh-CN"/>
              </w:rPr>
              <w:t>纸</w:t>
            </w:r>
            <w:r>
              <w:rPr>
                <w:color w:val="auto"/>
                <w:sz w:val="24"/>
                <w:u w:val="single" w:color="auto"/>
              </w:rPr>
              <w:t>浆经过管道输送至搅拌机。该阶段主要污染物为粉尘、噪声和原辅材料包装废物。</w:t>
            </w:r>
          </w:p>
          <w:p>
            <w:pPr>
              <w:spacing w:line="360" w:lineRule="auto"/>
              <w:ind w:firstLine="466" w:firstLineChars="200"/>
              <w:rPr>
                <w:color w:val="auto"/>
                <w:sz w:val="24"/>
                <w:u w:val="single" w:color="auto"/>
              </w:rPr>
            </w:pPr>
            <w:r>
              <w:rPr>
                <w:color w:val="auto"/>
                <w:sz w:val="24"/>
                <w:u w:val="single" w:color="auto"/>
              </w:rPr>
              <w:t>（2）打料制浆：原料送至打料搅拌机。往内加入水，搅拌机搅动制浆。制浆过程含水率- -</w:t>
            </w:r>
            <w:r>
              <w:rPr>
                <w:rFonts w:hint="eastAsia"/>
                <w:color w:val="auto"/>
                <w:sz w:val="24"/>
                <w:u w:val="single" w:color="auto"/>
                <w:lang w:val="en-US" w:eastAsia="zh-CN"/>
              </w:rPr>
              <w:t>般</w:t>
            </w:r>
            <w:r>
              <w:rPr>
                <w:color w:val="auto"/>
                <w:sz w:val="24"/>
                <w:u w:val="single" w:color="auto"/>
              </w:rPr>
              <w:t>为50%，便于流动和抽浆。该阶段原辅材料为半浆体状态</w:t>
            </w:r>
            <w:r>
              <w:rPr>
                <w:rFonts w:hint="eastAsia"/>
                <w:color w:val="auto"/>
                <w:sz w:val="24"/>
                <w:u w:val="single" w:color="auto"/>
                <w:lang w:eastAsia="zh-CN"/>
              </w:rPr>
              <w:t>，</w:t>
            </w:r>
            <w:r>
              <w:rPr>
                <w:rFonts w:hint="eastAsia"/>
                <w:color w:val="auto"/>
                <w:sz w:val="24"/>
                <w:u w:val="single" w:color="auto"/>
                <w:lang w:val="en-US" w:eastAsia="zh-CN"/>
              </w:rPr>
              <w:t>因此无粉尘产生</w:t>
            </w:r>
            <w:r>
              <w:rPr>
                <w:color w:val="auto"/>
                <w:sz w:val="24"/>
                <w:u w:val="single" w:color="auto"/>
              </w:rPr>
              <w:t>，产生设备噪声。</w:t>
            </w:r>
          </w:p>
          <w:p>
            <w:pPr>
              <w:spacing w:line="360" w:lineRule="auto"/>
              <w:ind w:firstLine="466" w:firstLineChars="200"/>
              <w:rPr>
                <w:color w:val="auto"/>
                <w:sz w:val="24"/>
                <w:u w:val="single" w:color="auto"/>
              </w:rPr>
            </w:pPr>
            <w:r>
              <w:rPr>
                <w:color w:val="auto"/>
                <w:sz w:val="24"/>
                <w:u w:val="single" w:color="auto"/>
              </w:rPr>
              <w:t>（3）抽浆脱水：采用专用网轮进行抽浆，并进行真空脱水，脱水后含水率约30%，脱出的水分进入</w:t>
            </w:r>
            <w:r>
              <w:rPr>
                <w:rFonts w:hint="eastAsia"/>
                <w:color w:val="auto"/>
                <w:sz w:val="24"/>
                <w:u w:val="single" w:color="auto"/>
                <w:lang w:val="en-US" w:eastAsia="zh-CN"/>
              </w:rPr>
              <w:t>水罐内</w:t>
            </w:r>
            <w:r>
              <w:rPr>
                <w:color w:val="auto"/>
                <w:sz w:val="24"/>
                <w:u w:val="single" w:color="auto"/>
              </w:rPr>
              <w:t>沉淀后循环利用。该阶段主要是设备运行噪声。</w:t>
            </w:r>
          </w:p>
          <w:p>
            <w:pPr>
              <w:spacing w:line="360" w:lineRule="auto"/>
              <w:ind w:firstLine="466" w:firstLineChars="200"/>
              <w:rPr>
                <w:color w:val="auto"/>
                <w:sz w:val="24"/>
                <w:u w:val="single" w:color="auto"/>
              </w:rPr>
            </w:pPr>
            <w:r>
              <w:rPr>
                <w:color w:val="auto"/>
                <w:sz w:val="24"/>
                <w:u w:val="single" w:color="auto"/>
              </w:rPr>
              <w:t>（4）挤压脱水：真空脱水后制成块胚方便进行挤压进一步脱出水分，脱水后含水率约20%，脱出的水分进入</w:t>
            </w:r>
            <w:r>
              <w:rPr>
                <w:rFonts w:hint="eastAsia"/>
                <w:color w:val="auto"/>
                <w:sz w:val="24"/>
                <w:u w:val="single" w:color="auto"/>
                <w:lang w:val="en-US" w:eastAsia="zh-CN"/>
              </w:rPr>
              <w:t>水罐内</w:t>
            </w:r>
            <w:r>
              <w:rPr>
                <w:color w:val="auto"/>
                <w:sz w:val="24"/>
                <w:u w:val="single" w:color="auto"/>
              </w:rPr>
              <w:t>沉淀后</w:t>
            </w:r>
            <w:r>
              <w:rPr>
                <w:rFonts w:hint="eastAsia"/>
                <w:color w:val="auto"/>
                <w:sz w:val="24"/>
                <w:szCs w:val="24"/>
                <w:u w:val="single" w:color="auto"/>
                <w:lang w:val="en-US" w:eastAsia="zh-CN"/>
              </w:rPr>
              <w:t>回用于打料制浆工序</w:t>
            </w:r>
            <w:r>
              <w:rPr>
                <w:color w:val="auto"/>
                <w:sz w:val="24"/>
                <w:u w:val="single" w:color="auto"/>
              </w:rPr>
              <w:t>。该阶段主要是设备运行噪声。</w:t>
            </w:r>
          </w:p>
          <w:p>
            <w:pPr>
              <w:spacing w:line="360" w:lineRule="auto"/>
              <w:ind w:firstLine="466" w:firstLineChars="200"/>
              <w:rPr>
                <w:rFonts w:hint="eastAsia"/>
                <w:color w:val="auto"/>
                <w:sz w:val="24"/>
                <w:u w:val="single" w:color="auto"/>
              </w:rPr>
            </w:pPr>
            <w:r>
              <w:rPr>
                <w:rFonts w:hint="eastAsia"/>
                <w:color w:val="auto"/>
                <w:sz w:val="24"/>
                <w:u w:val="single" w:color="auto"/>
              </w:rPr>
              <w:t>（5）真空成型：挤压脱水后的胚块进入成型机</w:t>
            </w:r>
            <w:r>
              <w:rPr>
                <w:rFonts w:hint="eastAsia"/>
                <w:color w:val="auto"/>
                <w:sz w:val="24"/>
                <w:u w:val="single" w:color="auto"/>
                <w:lang w:eastAsia="zh-CN"/>
              </w:rPr>
              <w:t>，</w:t>
            </w:r>
            <w:r>
              <w:rPr>
                <w:rFonts w:hint="eastAsia"/>
                <w:color w:val="auto"/>
                <w:sz w:val="24"/>
                <w:u w:val="single" w:color="auto"/>
                <w:lang w:val="en-US" w:eastAsia="zh-CN"/>
              </w:rPr>
              <w:t>并插入钢丝网</w:t>
            </w:r>
            <w:r>
              <w:rPr>
                <w:rFonts w:hint="eastAsia"/>
                <w:color w:val="auto"/>
                <w:sz w:val="24"/>
                <w:u w:val="single" w:color="auto"/>
              </w:rPr>
              <w:t>，加入石棉瓦金属模具，真空一次成型，即制得石棉瓦半成品。该阶段主要是设备运行噪声。</w:t>
            </w:r>
          </w:p>
          <w:p>
            <w:pPr>
              <w:spacing w:line="360" w:lineRule="auto"/>
              <w:ind w:firstLine="466" w:firstLineChars="200"/>
              <w:rPr>
                <w:rFonts w:hint="eastAsia"/>
                <w:color w:val="auto"/>
                <w:sz w:val="24"/>
                <w:u w:val="single" w:color="auto"/>
              </w:rPr>
            </w:pPr>
            <w:r>
              <w:rPr>
                <w:rFonts w:hint="eastAsia"/>
                <w:color w:val="auto"/>
                <w:sz w:val="24"/>
                <w:u w:val="single" w:color="auto"/>
              </w:rPr>
              <w:t>（6）边角切割和保湿养护：成型后半成品进入切割设备切除多于边角，连同模具一起保湿（含水率20%）养护一天。该阶段产生边角料和设备运行噪声。</w:t>
            </w:r>
          </w:p>
          <w:p>
            <w:pPr>
              <w:spacing w:line="360" w:lineRule="auto"/>
              <w:ind w:firstLine="466" w:firstLineChars="200"/>
              <w:rPr>
                <w:rFonts w:hint="eastAsia"/>
                <w:color w:val="auto"/>
                <w:sz w:val="24"/>
                <w:u w:val="single" w:color="auto"/>
              </w:rPr>
            </w:pPr>
            <w:r>
              <w:rPr>
                <w:rFonts w:hint="eastAsia"/>
                <w:color w:val="auto"/>
                <w:sz w:val="24"/>
                <w:u w:val="single" w:color="auto"/>
              </w:rPr>
              <w:t>（7）脱除模具入库：保湿养护1天后，采用脱模具设备将模具脱除，即得到石棉瓦产品。脱除模具过程会产生少量残次品，模具为金属构造，循环使用。</w:t>
            </w:r>
          </w:p>
          <w:p>
            <w:pPr>
              <w:pStyle w:val="2"/>
              <w:ind w:firstLine="424" w:firstLineChars="182"/>
              <w:rPr>
                <w:rFonts w:hint="default" w:eastAsia="宋体"/>
                <w:color w:val="auto"/>
                <w:sz w:val="24"/>
                <w:u w:val="single" w:color="auto"/>
                <w:lang w:val="en-US" w:eastAsia="zh-CN"/>
              </w:rPr>
            </w:pPr>
            <w:r>
              <w:rPr>
                <w:rFonts w:hint="eastAsia"/>
                <w:color w:val="auto"/>
                <w:sz w:val="24"/>
                <w:u w:val="single" w:color="auto"/>
              </w:rPr>
              <w:t>（8）</w:t>
            </w:r>
            <w:r>
              <w:rPr>
                <w:rFonts w:hint="eastAsia"/>
                <w:color w:val="auto"/>
                <w:sz w:val="24"/>
                <w:u w:val="single" w:color="auto"/>
                <w:lang w:val="en-US" w:eastAsia="zh-CN"/>
              </w:rPr>
              <w:t>喷漆、烤漆：根据客户要求，对需要进行喷漆的石棉瓦进行喷漆处理，喷漆后的石棉瓦进行烘干，项目烘干采用电烘干，烘干后直接入库储存，不需要喷漆的石棉瓦直接入库储存，该工序会产生废气、噪声、固废。</w:t>
            </w:r>
          </w:p>
          <w:p>
            <w:pPr>
              <w:pStyle w:val="2"/>
              <w:keepNext w:val="0"/>
              <w:keepLines w:val="0"/>
              <w:pageBreakBefore w:val="0"/>
              <w:widowControl w:val="0"/>
              <w:kinsoku/>
              <w:wordWrap/>
              <w:overflowPunct/>
              <w:topLinePunct w:val="0"/>
              <w:autoSpaceDE/>
              <w:autoSpaceDN/>
              <w:bidi w:val="0"/>
              <w:adjustRightInd w:val="0"/>
              <w:snapToGrid w:val="0"/>
              <w:spacing w:before="0" w:beforeLines="0"/>
              <w:ind w:firstLine="466" w:firstLineChars="200"/>
              <w:textAlignment w:val="auto"/>
              <w:rPr>
                <w:rFonts w:hint="default"/>
                <w:color w:val="auto"/>
                <w:sz w:val="24"/>
                <w:u w:val="single" w:color="auto"/>
                <w:lang w:val="en-US" w:eastAsia="zh-CN"/>
              </w:rPr>
            </w:pPr>
            <w:r>
              <w:rPr>
                <w:rFonts w:hint="eastAsia"/>
                <w:color w:val="auto"/>
                <w:sz w:val="24"/>
                <w:u w:val="single" w:color="auto"/>
                <w:lang w:eastAsia="zh-CN"/>
              </w:rPr>
              <w:t>（</w:t>
            </w:r>
            <w:r>
              <w:rPr>
                <w:rFonts w:hint="eastAsia"/>
                <w:color w:val="auto"/>
                <w:sz w:val="24"/>
                <w:u w:val="single" w:color="auto"/>
                <w:lang w:val="en-US" w:eastAsia="zh-CN"/>
              </w:rPr>
              <w:t>9</w:t>
            </w:r>
            <w:r>
              <w:rPr>
                <w:rFonts w:hint="eastAsia"/>
                <w:color w:val="auto"/>
                <w:sz w:val="24"/>
                <w:u w:val="single" w:color="auto"/>
                <w:lang w:eastAsia="zh-CN"/>
              </w:rPr>
              <w:t>）</w:t>
            </w:r>
            <w:r>
              <w:rPr>
                <w:rFonts w:hint="eastAsia"/>
                <w:color w:val="auto"/>
                <w:sz w:val="24"/>
                <w:u w:val="single" w:color="auto"/>
                <w:lang w:val="en-US" w:eastAsia="zh-CN"/>
              </w:rPr>
              <w:t>覆膜：烤漆后的石棉瓦进行覆盖农用地膜。</w:t>
            </w:r>
          </w:p>
          <w:p>
            <w:pPr>
              <w:pStyle w:val="2"/>
              <w:ind w:firstLine="424" w:firstLineChars="182"/>
              <w:rPr>
                <w:rFonts w:hint="default" w:ascii="Times New Roman" w:hAnsi="Times New Roman" w:eastAsia="宋体" w:cs="Times New Roman"/>
                <w:b/>
                <w:color w:val="auto"/>
                <w:kern w:val="0"/>
                <w:sz w:val="30"/>
                <w:szCs w:val="30"/>
                <w:u w:val="single" w:color="auto"/>
                <w:lang w:eastAsia="zh-CN"/>
              </w:rPr>
            </w:pPr>
            <w:r>
              <w:rPr>
                <w:rFonts w:hint="eastAsia"/>
                <w:color w:val="auto"/>
                <w:sz w:val="24"/>
                <w:u w:val="single" w:color="auto"/>
                <w:lang w:eastAsia="zh-CN"/>
              </w:rPr>
              <w:t>（</w:t>
            </w:r>
            <w:r>
              <w:rPr>
                <w:rFonts w:hint="eastAsia"/>
                <w:color w:val="auto"/>
                <w:sz w:val="24"/>
                <w:u w:val="single" w:color="auto"/>
                <w:lang w:val="en-US" w:eastAsia="zh-CN"/>
              </w:rPr>
              <w:t>10</w:t>
            </w:r>
            <w:r>
              <w:rPr>
                <w:rFonts w:hint="eastAsia"/>
                <w:color w:val="auto"/>
                <w:sz w:val="24"/>
                <w:u w:val="single" w:color="auto"/>
                <w:lang w:eastAsia="zh-CN"/>
              </w:rPr>
              <w:t>）</w:t>
            </w:r>
            <w:r>
              <w:rPr>
                <w:rFonts w:hint="eastAsia"/>
                <w:color w:val="auto"/>
                <w:sz w:val="24"/>
                <w:u w:val="single" w:color="auto"/>
                <w:lang w:val="en-US" w:eastAsia="zh-CN"/>
              </w:rPr>
              <w:t>入库储存</w:t>
            </w:r>
            <w:r>
              <w:rPr>
                <w:rFonts w:hint="eastAsia"/>
                <w:color w:val="auto"/>
                <w:sz w:val="24"/>
                <w:u w:val="single" w:color="auto"/>
              </w:rPr>
              <w:t>：瓦片堆放处储存7天（相当于二次养护）后，产品含水率约10%，可外售。运输过程产生废气和噪声</w:t>
            </w:r>
            <w:r>
              <w:rPr>
                <w:rFonts w:hint="default" w:ascii="Times New Roman" w:hAnsi="Times New Roman" w:cs="Times New Roman"/>
                <w:color w:val="auto"/>
                <w:sz w:val="24"/>
                <w:u w:val="single" w:color="auto"/>
                <w:lang w:eastAsia="zh-CN"/>
              </w:rPr>
              <w:t>。</w:t>
            </w:r>
          </w:p>
          <w:p>
            <w:pPr>
              <w:bidi w:val="0"/>
              <w:spacing w:line="360" w:lineRule="auto"/>
              <w:ind w:firstLine="466" w:firstLineChars="200"/>
              <w:rPr>
                <w:rFonts w:hint="default" w:ascii="Times New Roman" w:hAnsi="Times New Roman" w:cs="Times New Roman"/>
                <w:b/>
                <w:color w:val="auto"/>
                <w:kern w:val="0"/>
                <w:sz w:val="30"/>
                <w:szCs w:val="30"/>
                <w:u w:val="single" w:color="auto"/>
              </w:rPr>
            </w:pPr>
            <w:r>
              <w:rPr>
                <w:rFonts w:hint="default" w:ascii="Times New Roman" w:hAnsi="Times New Roman" w:cs="Times New Roman"/>
                <w:color w:val="auto"/>
                <w:sz w:val="24"/>
                <w:szCs w:val="22"/>
                <w:u w:val="single" w:color="auto"/>
                <w:lang w:eastAsia="zh-CN"/>
              </w:rPr>
              <w:t>注：项目在喷漆完成后需要进行</w:t>
            </w:r>
            <w:r>
              <w:rPr>
                <w:rFonts w:hint="eastAsia" w:cs="Times New Roman"/>
                <w:color w:val="auto"/>
                <w:sz w:val="24"/>
                <w:szCs w:val="22"/>
                <w:u w:val="single" w:color="auto"/>
                <w:lang w:eastAsia="zh-CN"/>
              </w:rPr>
              <w:t>烘干</w:t>
            </w:r>
            <w:r>
              <w:rPr>
                <w:rFonts w:hint="default" w:ascii="Times New Roman" w:hAnsi="Times New Roman" w:cs="Times New Roman"/>
                <w:color w:val="auto"/>
                <w:sz w:val="24"/>
                <w:szCs w:val="22"/>
                <w:u w:val="single" w:color="auto"/>
                <w:lang w:eastAsia="zh-CN"/>
              </w:rPr>
              <w:t>，本项目</w:t>
            </w:r>
            <w:r>
              <w:rPr>
                <w:rFonts w:hint="eastAsia" w:cs="Times New Roman"/>
                <w:color w:val="auto"/>
                <w:sz w:val="24"/>
                <w:szCs w:val="22"/>
                <w:u w:val="single" w:color="auto"/>
                <w:lang w:eastAsia="zh-CN"/>
              </w:rPr>
              <w:t>烘干</w:t>
            </w:r>
            <w:r>
              <w:rPr>
                <w:rFonts w:hint="default" w:ascii="Times New Roman" w:hAnsi="Times New Roman" w:cs="Times New Roman"/>
                <w:color w:val="auto"/>
                <w:sz w:val="24"/>
                <w:szCs w:val="22"/>
                <w:u w:val="single" w:color="auto"/>
                <w:lang w:eastAsia="zh-CN"/>
              </w:rPr>
              <w:t>在喷漆房内进行，在</w:t>
            </w:r>
            <w:r>
              <w:rPr>
                <w:rFonts w:hint="eastAsia" w:cs="Times New Roman"/>
                <w:color w:val="auto"/>
                <w:sz w:val="24"/>
                <w:szCs w:val="22"/>
                <w:u w:val="single" w:color="auto"/>
                <w:lang w:eastAsia="zh-CN"/>
              </w:rPr>
              <w:t>烘干</w:t>
            </w:r>
            <w:r>
              <w:rPr>
                <w:rFonts w:hint="default" w:ascii="Times New Roman" w:hAnsi="Times New Roman" w:cs="Times New Roman"/>
                <w:color w:val="auto"/>
                <w:sz w:val="24"/>
                <w:szCs w:val="22"/>
                <w:u w:val="single" w:color="auto"/>
                <w:lang w:eastAsia="zh-CN"/>
              </w:rPr>
              <w:t>过程中废气处理设施均不关闭，产生的废气均经处理后由排气筒高空排放。</w:t>
            </w:r>
          </w:p>
          <w:p>
            <w:pPr>
              <w:adjustRightInd w:val="0"/>
              <w:snapToGrid w:val="0"/>
              <w:spacing w:line="360" w:lineRule="auto"/>
              <w:ind w:right="113"/>
              <w:rPr>
                <w:rFonts w:hint="default" w:ascii="Times New Roman" w:hAnsi="Times New Roman" w:cs="Times New Roman"/>
                <w:b/>
                <w:color w:val="auto"/>
                <w:kern w:val="0"/>
                <w:sz w:val="30"/>
                <w:szCs w:val="30"/>
                <w:u w:val="none" w:color="auto"/>
              </w:rPr>
            </w:pPr>
            <w:r>
              <w:rPr>
                <w:rFonts w:hint="default" w:ascii="Times New Roman" w:hAnsi="Times New Roman" w:cs="Times New Roman"/>
                <w:b/>
                <w:color w:val="auto"/>
                <w:kern w:val="0"/>
                <w:sz w:val="30"/>
                <w:szCs w:val="30"/>
                <w:u w:val="none" w:color="auto"/>
              </w:rPr>
              <w:t>运营期：</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1、废水</w:t>
            </w:r>
          </w:p>
          <w:p>
            <w:pPr>
              <w:snapToGrid w:val="0"/>
              <w:spacing w:line="360" w:lineRule="auto"/>
              <w:ind w:firstLine="457" w:firstLineChars="196"/>
              <w:rPr>
                <w:rFonts w:hint="default" w:ascii="Times New Roman" w:hAnsi="Times New Roman" w:cs="Times New Roman"/>
                <w:bCs/>
                <w:color w:val="auto"/>
                <w:sz w:val="24"/>
                <w:u w:val="none" w:color="auto"/>
              </w:rPr>
            </w:pPr>
            <w:r>
              <w:rPr>
                <w:rFonts w:hint="eastAsia" w:cs="Times New Roman"/>
                <w:bCs/>
                <w:color w:val="auto"/>
                <w:sz w:val="24"/>
                <w:szCs w:val="24"/>
                <w:u w:val="none" w:color="auto"/>
                <w:lang w:val="en-US" w:eastAsia="zh-CN"/>
              </w:rPr>
              <w:t>本项目运营期产生的废水主要为生活污水、生产车间冲洗废水、真空脱水及挤压脱水废水</w:t>
            </w:r>
            <w:r>
              <w:rPr>
                <w:rFonts w:hint="default" w:ascii="Times New Roman" w:hAnsi="Times New Roman" w:cs="Times New Roman"/>
                <w:bCs/>
                <w:color w:val="auto"/>
                <w:sz w:val="24"/>
                <w:szCs w:val="24"/>
                <w:u w:val="none" w:color="auto"/>
              </w:rPr>
              <w:t>。</w:t>
            </w:r>
          </w:p>
          <w:p>
            <w:pPr>
              <w:snapToGrid w:val="0"/>
              <w:spacing w:line="360" w:lineRule="auto"/>
              <w:ind w:firstLine="457" w:firstLineChars="196"/>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u w:val="none" w:color="auto"/>
              </w:rPr>
              <w:t>（1）生活污水</w:t>
            </w:r>
          </w:p>
          <w:p>
            <w:pPr>
              <w:snapToGrid w:val="0"/>
              <w:spacing w:line="360" w:lineRule="auto"/>
              <w:ind w:firstLine="457" w:firstLineChars="196"/>
              <w:rPr>
                <w:rFonts w:hint="default" w:ascii="Times New Roman" w:hAnsi="Times New Roman" w:cs="Times New Roman"/>
                <w:color w:val="auto"/>
                <w:u w:val="none" w:color="auto"/>
              </w:rPr>
            </w:pPr>
            <w:r>
              <w:rPr>
                <w:rFonts w:hint="default" w:ascii="Times New Roman" w:hAnsi="Times New Roman" w:cs="Times New Roman"/>
                <w:bCs/>
                <w:color w:val="auto"/>
                <w:sz w:val="24"/>
                <w:u w:val="none" w:color="auto"/>
              </w:rPr>
              <w:t>本项目营运期生活污水</w:t>
            </w:r>
            <w:r>
              <w:rPr>
                <w:rFonts w:hint="default" w:ascii="Times New Roman" w:hAnsi="Times New Roman" w:cs="Times New Roman"/>
                <w:bCs/>
                <w:color w:val="auto"/>
                <w:sz w:val="24"/>
                <w:u w:val="none" w:color="auto"/>
                <w:lang w:eastAsia="zh-CN"/>
              </w:rPr>
              <w:t>排放</w:t>
            </w:r>
            <w:r>
              <w:rPr>
                <w:rFonts w:hint="default" w:ascii="Times New Roman" w:hAnsi="Times New Roman" w:cs="Times New Roman"/>
                <w:bCs/>
                <w:color w:val="auto"/>
                <w:sz w:val="24"/>
                <w:u w:val="none" w:color="auto"/>
              </w:rPr>
              <w:t>量为</w:t>
            </w:r>
            <w:r>
              <w:rPr>
                <w:rFonts w:hint="eastAsia" w:cs="Times New Roman"/>
                <w:color w:val="auto"/>
                <w:sz w:val="24"/>
                <w:szCs w:val="24"/>
                <w:u w:val="none" w:color="auto"/>
                <w:lang w:val="en-US" w:eastAsia="zh-CN"/>
              </w:rPr>
              <w:t>0.8</w:t>
            </w:r>
            <w:r>
              <w:rPr>
                <w:rFonts w:hint="default" w:ascii="Times New Roman" w:hAnsi="Times New Roman" w:cs="Times New Roman"/>
                <w:bCs/>
                <w:color w:val="auto"/>
                <w:sz w:val="24"/>
                <w:u w:val="none" w:color="auto"/>
              </w:rPr>
              <w:t>m</w:t>
            </w:r>
            <w:r>
              <w:rPr>
                <w:rFonts w:hint="default" w:ascii="Times New Roman" w:hAnsi="Times New Roman" w:cs="Times New Roman"/>
                <w:bCs/>
                <w:color w:val="auto"/>
                <w:sz w:val="24"/>
                <w:u w:val="none" w:color="auto"/>
                <w:vertAlign w:val="superscript"/>
              </w:rPr>
              <w:t>3</w:t>
            </w:r>
            <w:r>
              <w:rPr>
                <w:rFonts w:hint="default" w:ascii="Times New Roman" w:hAnsi="Times New Roman" w:cs="Times New Roman"/>
                <w:bCs/>
                <w:color w:val="auto"/>
                <w:sz w:val="24"/>
                <w:u w:val="none" w:color="auto"/>
              </w:rPr>
              <w:t>/d、</w:t>
            </w:r>
            <w:r>
              <w:rPr>
                <w:rFonts w:hint="eastAsia" w:cs="Times New Roman"/>
                <w:bCs/>
                <w:color w:val="auto"/>
                <w:sz w:val="24"/>
                <w:u w:val="none" w:color="auto"/>
                <w:lang w:val="en-US" w:eastAsia="zh-CN"/>
              </w:rPr>
              <w:t>240</w:t>
            </w:r>
            <w:r>
              <w:rPr>
                <w:rFonts w:hint="default" w:ascii="Times New Roman" w:hAnsi="Times New Roman" w:cs="Times New Roman"/>
                <w:bCs/>
                <w:color w:val="auto"/>
                <w:sz w:val="24"/>
                <w:u w:val="none" w:color="auto"/>
              </w:rPr>
              <w:t>m</w:t>
            </w:r>
            <w:r>
              <w:rPr>
                <w:rFonts w:hint="default" w:ascii="Times New Roman" w:hAnsi="Times New Roman" w:cs="Times New Roman"/>
                <w:bCs/>
                <w:color w:val="auto"/>
                <w:sz w:val="24"/>
                <w:u w:val="none" w:color="auto"/>
                <w:vertAlign w:val="superscript"/>
              </w:rPr>
              <w:t>3</w:t>
            </w:r>
            <w:r>
              <w:rPr>
                <w:rFonts w:hint="default" w:ascii="Times New Roman" w:hAnsi="Times New Roman" w:cs="Times New Roman"/>
                <w:bCs/>
                <w:color w:val="auto"/>
                <w:sz w:val="24"/>
                <w:u w:val="none" w:color="auto"/>
              </w:rPr>
              <w:t>/a，其主要污染因子为 COD、BOD</w:t>
            </w:r>
            <w:r>
              <w:rPr>
                <w:rFonts w:hint="default" w:ascii="Times New Roman" w:hAnsi="Times New Roman" w:cs="Times New Roman"/>
                <w:bCs/>
                <w:color w:val="auto"/>
                <w:sz w:val="24"/>
                <w:u w:val="none" w:color="auto"/>
                <w:vertAlign w:val="subscript"/>
              </w:rPr>
              <w:t>5</w:t>
            </w:r>
            <w:r>
              <w:rPr>
                <w:rFonts w:hint="default" w:ascii="Times New Roman" w:hAnsi="Times New Roman" w:cs="Times New Roman"/>
                <w:bCs/>
                <w:color w:val="auto"/>
                <w:sz w:val="24"/>
                <w:u w:val="none" w:color="auto"/>
              </w:rPr>
              <w:t>、SS、NH</w:t>
            </w:r>
            <w:r>
              <w:rPr>
                <w:rFonts w:hint="default" w:ascii="Times New Roman" w:hAnsi="Times New Roman" w:cs="Times New Roman"/>
                <w:bCs/>
                <w:color w:val="auto"/>
                <w:sz w:val="24"/>
                <w:u w:val="none" w:color="auto"/>
                <w:vertAlign w:val="subscript"/>
              </w:rPr>
              <w:t>3</w:t>
            </w:r>
            <w:r>
              <w:rPr>
                <w:rFonts w:hint="default" w:ascii="Times New Roman" w:hAnsi="Times New Roman" w:cs="Times New Roman"/>
                <w:bCs/>
                <w:color w:val="auto"/>
                <w:sz w:val="24"/>
                <w:u w:val="none" w:color="auto"/>
              </w:rPr>
              <w:t>-N</w:t>
            </w:r>
            <w:r>
              <w:rPr>
                <w:rFonts w:hint="default" w:ascii="Times New Roman" w:hAnsi="Times New Roman" w:cs="Times New Roman"/>
                <w:color w:val="auto"/>
                <w:sz w:val="24"/>
                <w:szCs w:val="24"/>
                <w:u w:val="none" w:color="auto"/>
                <w:lang w:bidi="ar"/>
              </w:rPr>
              <w:t>，生活废水中COD300mg/L、BOD</w:t>
            </w:r>
            <w:r>
              <w:rPr>
                <w:rFonts w:hint="default" w:ascii="Times New Roman" w:hAnsi="Times New Roman" w:cs="Times New Roman"/>
                <w:color w:val="auto"/>
                <w:sz w:val="24"/>
                <w:szCs w:val="24"/>
                <w:u w:val="none" w:color="auto"/>
                <w:vertAlign w:val="subscript"/>
                <w:lang w:bidi="ar"/>
              </w:rPr>
              <w:t>5</w:t>
            </w:r>
            <w:r>
              <w:rPr>
                <w:rFonts w:hint="default" w:ascii="Times New Roman" w:hAnsi="Times New Roman" w:cs="Times New Roman"/>
                <w:color w:val="auto"/>
                <w:sz w:val="24"/>
                <w:szCs w:val="24"/>
                <w:u w:val="none" w:color="auto"/>
                <w:lang w:bidi="ar"/>
              </w:rPr>
              <w:t>200mg/L、氨氮30mg/L、SS250mg/L。</w:t>
            </w:r>
            <w:r>
              <w:rPr>
                <w:rFonts w:hint="eastAsia" w:cs="Times New Roman"/>
                <w:color w:val="auto"/>
                <w:sz w:val="24"/>
                <w:szCs w:val="24"/>
                <w:u w:val="none" w:color="auto"/>
                <w:lang w:val="en-US" w:eastAsia="zh-CN" w:bidi="ar"/>
              </w:rPr>
              <w:t>生活污水经三级化粪池处理后回用于周边农田、绿化施肥，不外排</w:t>
            </w:r>
            <w:r>
              <w:rPr>
                <w:rFonts w:hint="default" w:ascii="Times New Roman" w:hAnsi="Times New Roman" w:cs="Times New Roman"/>
                <w:color w:val="auto"/>
                <w:sz w:val="24"/>
                <w:u w:val="none" w:color="auto"/>
              </w:rPr>
              <w:t>。</w:t>
            </w:r>
          </w:p>
          <w:p>
            <w:pPr>
              <w:spacing w:line="360" w:lineRule="auto"/>
              <w:ind w:firstLine="466" w:firstLineChars="200"/>
              <w:rPr>
                <w:rFonts w:hint="eastAsia" w:cs="Times New Roman"/>
                <w:color w:val="auto"/>
                <w:sz w:val="24"/>
                <w:szCs w:val="24"/>
                <w:u w:val="none" w:color="auto"/>
                <w:lang w:eastAsia="zh-CN"/>
              </w:rPr>
            </w:pP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2</w:t>
            </w:r>
            <w:r>
              <w:rPr>
                <w:rFonts w:hint="eastAsia" w:cs="Times New Roman"/>
                <w:color w:val="auto"/>
                <w:sz w:val="24"/>
                <w:szCs w:val="24"/>
                <w:u w:val="none" w:color="auto"/>
                <w:lang w:eastAsia="zh-CN"/>
              </w:rPr>
              <w:t>）</w:t>
            </w:r>
            <w:r>
              <w:rPr>
                <w:rFonts w:hint="eastAsia" w:cs="Times New Roman"/>
                <w:bCs/>
                <w:color w:val="auto"/>
                <w:sz w:val="24"/>
                <w:szCs w:val="24"/>
                <w:u w:val="none" w:color="auto"/>
                <w:lang w:val="en-US" w:eastAsia="zh-CN"/>
              </w:rPr>
              <w:t>生产车间冲洗废水、真空脱水及挤压脱水废水</w:t>
            </w:r>
          </w:p>
          <w:p>
            <w:pPr>
              <w:adjustRightInd w:val="0"/>
              <w:spacing w:line="360" w:lineRule="auto"/>
              <w:ind w:firstLine="466" w:firstLineChars="200"/>
              <w:rPr>
                <w:bCs/>
                <w:color w:val="auto"/>
                <w:sz w:val="24"/>
              </w:rPr>
            </w:pPr>
            <w:r>
              <w:rPr>
                <w:rFonts w:hint="eastAsia" w:cs="Times New Roman"/>
                <w:bCs/>
                <w:color w:val="auto"/>
                <w:sz w:val="24"/>
                <w:u w:val="none" w:color="auto"/>
                <w:lang w:val="en-US" w:eastAsia="zh-CN"/>
              </w:rPr>
              <w:t>根据业主提供的资料可知，</w:t>
            </w:r>
            <w:r>
              <w:rPr>
                <w:rFonts w:hint="eastAsia"/>
                <w:bCs/>
                <w:color w:val="auto"/>
                <w:sz w:val="24"/>
              </w:rPr>
              <w:t>制浆用水：石粉、水泥、石棉纤维、玻璃纤维和纸纤维（合计</w:t>
            </w:r>
            <w:r>
              <w:rPr>
                <w:rFonts w:hint="eastAsia"/>
                <w:bCs/>
                <w:color w:val="auto"/>
                <w:sz w:val="24"/>
                <w:lang w:val="en-US" w:eastAsia="zh-CN"/>
              </w:rPr>
              <w:t>4140</w:t>
            </w:r>
            <w:r>
              <w:rPr>
                <w:bCs/>
                <w:color w:val="auto"/>
                <w:sz w:val="24"/>
              </w:rPr>
              <w:t>t/a</w:t>
            </w:r>
            <w:r>
              <w:rPr>
                <w:rFonts w:hint="eastAsia"/>
                <w:bCs/>
                <w:color w:val="auto"/>
                <w:sz w:val="24"/>
              </w:rPr>
              <w:t>）加水进行搅拌，搅拌过程含水率约</w:t>
            </w:r>
            <w:r>
              <w:rPr>
                <w:bCs/>
                <w:color w:val="auto"/>
                <w:sz w:val="24"/>
              </w:rPr>
              <w:t>50%</w:t>
            </w:r>
            <w:r>
              <w:rPr>
                <w:rFonts w:hint="eastAsia"/>
                <w:bCs/>
                <w:color w:val="auto"/>
                <w:sz w:val="24"/>
              </w:rPr>
              <w:t>，搅拌用水量</w:t>
            </w:r>
            <w:r>
              <w:rPr>
                <w:rFonts w:hint="eastAsia"/>
                <w:bCs/>
                <w:color w:val="auto"/>
                <w:sz w:val="24"/>
                <w:lang w:val="en-US" w:eastAsia="zh-CN"/>
              </w:rPr>
              <w:t>13.8</w:t>
            </w:r>
            <w:r>
              <w:rPr>
                <w:bCs/>
                <w:color w:val="auto"/>
                <w:sz w:val="24"/>
              </w:rPr>
              <w:t>m</w:t>
            </w:r>
            <w:r>
              <w:rPr>
                <w:bCs/>
                <w:color w:val="auto"/>
                <w:sz w:val="24"/>
                <w:vertAlign w:val="superscript"/>
              </w:rPr>
              <w:t>3</w:t>
            </w:r>
            <w:r>
              <w:rPr>
                <w:bCs/>
                <w:color w:val="auto"/>
                <w:sz w:val="24"/>
              </w:rPr>
              <w:t>/d</w:t>
            </w:r>
            <w:r>
              <w:rPr>
                <w:rFonts w:hint="eastAsia"/>
                <w:bCs/>
                <w:color w:val="auto"/>
                <w:sz w:val="24"/>
              </w:rPr>
              <w:t xml:space="preserve"> 、</w:t>
            </w:r>
            <w:r>
              <w:rPr>
                <w:rFonts w:hint="eastAsia"/>
                <w:bCs/>
                <w:color w:val="auto"/>
                <w:sz w:val="24"/>
                <w:lang w:val="en-US" w:eastAsia="zh-CN"/>
              </w:rPr>
              <w:t>4140</w:t>
            </w:r>
            <w:r>
              <w:rPr>
                <w:bCs/>
                <w:color w:val="auto"/>
                <w:sz w:val="24"/>
              </w:rPr>
              <w:t>m</w:t>
            </w:r>
            <w:r>
              <w:rPr>
                <w:bCs/>
                <w:color w:val="auto"/>
                <w:sz w:val="24"/>
                <w:vertAlign w:val="superscript"/>
              </w:rPr>
              <w:t>3</w:t>
            </w:r>
            <w:r>
              <w:rPr>
                <w:bCs/>
                <w:color w:val="auto"/>
                <w:sz w:val="24"/>
              </w:rPr>
              <w:t>/a</w:t>
            </w:r>
            <w:r>
              <w:rPr>
                <w:rFonts w:hint="eastAsia" w:cs="Times New Roman"/>
                <w:color w:val="auto"/>
                <w:sz w:val="24"/>
                <w:szCs w:val="24"/>
                <w:u w:val="none" w:color="auto"/>
                <w:lang w:val="en-US" w:eastAsia="zh-CN"/>
              </w:rPr>
              <w:t>。</w:t>
            </w:r>
            <w:r>
              <w:rPr>
                <w:rFonts w:hint="eastAsia" w:cs="Times New Roman"/>
                <w:bCs/>
                <w:color w:val="auto"/>
                <w:sz w:val="24"/>
                <w:szCs w:val="24"/>
                <w:u w:val="none" w:color="auto"/>
                <w:lang w:val="en-US" w:eastAsia="zh-CN"/>
              </w:rPr>
              <w:t>打料</w:t>
            </w:r>
            <w:r>
              <w:rPr>
                <w:rFonts w:hint="eastAsia" w:cs="Times New Roman"/>
                <w:color w:val="auto"/>
                <w:sz w:val="24"/>
                <w:szCs w:val="24"/>
                <w:u w:val="none" w:color="auto"/>
                <w:lang w:val="en-US" w:eastAsia="zh-CN"/>
              </w:rPr>
              <w:t>制浆用水在</w:t>
            </w:r>
            <w:r>
              <w:rPr>
                <w:rFonts w:hint="eastAsia"/>
                <w:bCs/>
                <w:color w:val="auto"/>
                <w:sz w:val="24"/>
              </w:rPr>
              <w:t>经过真空脱水和挤压脱水后，产品含水率约</w:t>
            </w:r>
            <w:r>
              <w:rPr>
                <w:bCs/>
                <w:color w:val="auto"/>
                <w:sz w:val="24"/>
              </w:rPr>
              <w:t>20%</w:t>
            </w:r>
            <w:r>
              <w:rPr>
                <w:rFonts w:hint="eastAsia"/>
                <w:bCs/>
                <w:color w:val="auto"/>
                <w:sz w:val="24"/>
              </w:rPr>
              <w:t>（</w:t>
            </w:r>
            <w:r>
              <w:rPr>
                <w:rFonts w:hint="eastAsia"/>
                <w:bCs/>
                <w:color w:val="auto"/>
                <w:sz w:val="24"/>
                <w:lang w:val="en-US" w:eastAsia="zh-CN"/>
              </w:rPr>
              <w:t>828</w:t>
            </w:r>
            <w:r>
              <w:rPr>
                <w:bCs/>
                <w:color w:val="auto"/>
                <w:sz w:val="24"/>
              </w:rPr>
              <w:t>m</w:t>
            </w:r>
            <w:r>
              <w:rPr>
                <w:bCs/>
                <w:color w:val="auto"/>
                <w:sz w:val="24"/>
                <w:vertAlign w:val="superscript"/>
              </w:rPr>
              <w:t>3</w:t>
            </w:r>
            <w:r>
              <w:rPr>
                <w:bCs/>
                <w:color w:val="auto"/>
                <w:sz w:val="24"/>
              </w:rPr>
              <w:t>/a</w:t>
            </w:r>
            <w:r>
              <w:rPr>
                <w:rFonts w:hint="eastAsia"/>
                <w:bCs/>
                <w:color w:val="auto"/>
                <w:sz w:val="24"/>
              </w:rPr>
              <w:t>），脱除水分约</w:t>
            </w:r>
            <w:r>
              <w:rPr>
                <w:rFonts w:hint="eastAsia"/>
                <w:bCs/>
                <w:color w:val="auto"/>
                <w:sz w:val="24"/>
                <w:lang w:val="en-US" w:eastAsia="zh-CN"/>
              </w:rPr>
              <w:t>11.04</w:t>
            </w:r>
            <w:r>
              <w:rPr>
                <w:bCs/>
                <w:color w:val="auto"/>
                <w:sz w:val="24"/>
              </w:rPr>
              <w:t>m</w:t>
            </w:r>
            <w:r>
              <w:rPr>
                <w:bCs/>
                <w:color w:val="auto"/>
                <w:sz w:val="24"/>
                <w:vertAlign w:val="superscript"/>
              </w:rPr>
              <w:t>3</w:t>
            </w:r>
            <w:r>
              <w:rPr>
                <w:bCs/>
                <w:color w:val="auto"/>
                <w:sz w:val="24"/>
              </w:rPr>
              <w:t>/d</w:t>
            </w:r>
            <w:r>
              <w:rPr>
                <w:rFonts w:hint="eastAsia"/>
                <w:bCs/>
                <w:color w:val="auto"/>
                <w:sz w:val="24"/>
              </w:rPr>
              <w:t xml:space="preserve"> 、</w:t>
            </w:r>
            <w:r>
              <w:rPr>
                <w:rFonts w:hint="eastAsia"/>
                <w:bCs/>
                <w:color w:val="auto"/>
                <w:sz w:val="24"/>
                <w:lang w:val="en-US" w:eastAsia="zh-CN"/>
              </w:rPr>
              <w:t>3312</w:t>
            </w:r>
            <w:r>
              <w:rPr>
                <w:bCs/>
                <w:color w:val="auto"/>
                <w:sz w:val="24"/>
              </w:rPr>
              <w:t>m</w:t>
            </w:r>
            <w:r>
              <w:rPr>
                <w:bCs/>
                <w:color w:val="auto"/>
                <w:sz w:val="24"/>
                <w:vertAlign w:val="superscript"/>
              </w:rPr>
              <w:t>3</w:t>
            </w:r>
            <w:r>
              <w:rPr>
                <w:bCs/>
                <w:color w:val="auto"/>
                <w:sz w:val="24"/>
              </w:rPr>
              <w:t>/a</w:t>
            </w:r>
            <w:r>
              <w:rPr>
                <w:rFonts w:hint="eastAsia"/>
                <w:bCs/>
                <w:color w:val="auto"/>
                <w:sz w:val="24"/>
              </w:rPr>
              <w:t>。沉淀蒸发损耗按</w:t>
            </w:r>
            <w:r>
              <w:rPr>
                <w:bCs/>
                <w:color w:val="auto"/>
                <w:sz w:val="24"/>
              </w:rPr>
              <w:t>10%</w:t>
            </w:r>
            <w:r>
              <w:rPr>
                <w:rFonts w:hint="eastAsia"/>
                <w:bCs/>
                <w:color w:val="auto"/>
                <w:sz w:val="24"/>
              </w:rPr>
              <w:t>估算，产生废水</w:t>
            </w:r>
            <w:r>
              <w:rPr>
                <w:rFonts w:hint="eastAsia"/>
                <w:bCs/>
                <w:color w:val="auto"/>
                <w:sz w:val="24"/>
                <w:lang w:val="en-US" w:eastAsia="zh-CN"/>
              </w:rPr>
              <w:t>9.936</w:t>
            </w:r>
            <w:r>
              <w:rPr>
                <w:bCs/>
                <w:color w:val="auto"/>
                <w:sz w:val="24"/>
              </w:rPr>
              <w:t>m</w:t>
            </w:r>
            <w:r>
              <w:rPr>
                <w:bCs/>
                <w:color w:val="auto"/>
                <w:sz w:val="24"/>
                <w:vertAlign w:val="superscript"/>
              </w:rPr>
              <w:t>3</w:t>
            </w:r>
            <w:r>
              <w:rPr>
                <w:bCs/>
                <w:color w:val="auto"/>
                <w:sz w:val="24"/>
              </w:rPr>
              <w:t>/d</w:t>
            </w:r>
            <w:r>
              <w:rPr>
                <w:rFonts w:hint="eastAsia"/>
                <w:bCs/>
                <w:color w:val="auto"/>
                <w:sz w:val="24"/>
              </w:rPr>
              <w:t>、</w:t>
            </w:r>
            <w:r>
              <w:rPr>
                <w:bCs/>
                <w:color w:val="auto"/>
                <w:sz w:val="24"/>
              </w:rPr>
              <w:t xml:space="preserve"> </w:t>
            </w:r>
            <w:r>
              <w:rPr>
                <w:rFonts w:hint="eastAsia"/>
                <w:bCs/>
                <w:color w:val="auto"/>
                <w:sz w:val="24"/>
                <w:lang w:val="en-US" w:eastAsia="zh-CN"/>
              </w:rPr>
              <w:t>2980.8</w:t>
            </w:r>
            <w:r>
              <w:rPr>
                <w:bCs/>
                <w:color w:val="auto"/>
                <w:sz w:val="24"/>
              </w:rPr>
              <w:t>m</w:t>
            </w:r>
            <w:r>
              <w:rPr>
                <w:bCs/>
                <w:color w:val="auto"/>
                <w:sz w:val="24"/>
                <w:vertAlign w:val="superscript"/>
              </w:rPr>
              <w:t>3</w:t>
            </w:r>
            <w:r>
              <w:rPr>
                <w:bCs/>
                <w:color w:val="auto"/>
                <w:sz w:val="24"/>
              </w:rPr>
              <w:t>/a</w:t>
            </w:r>
            <w:r>
              <w:rPr>
                <w:rFonts w:hint="eastAsia"/>
                <w:bCs/>
                <w:color w:val="auto"/>
                <w:sz w:val="24"/>
              </w:rPr>
              <w:t>。该部分废水全部</w:t>
            </w:r>
            <w:r>
              <w:rPr>
                <w:rFonts w:hint="eastAsia"/>
                <w:bCs/>
                <w:color w:val="auto"/>
                <w:sz w:val="24"/>
                <w:lang w:val="en-US" w:eastAsia="zh-CN"/>
              </w:rPr>
              <w:t>抽回水罐内</w:t>
            </w:r>
            <w:r>
              <w:rPr>
                <w:rFonts w:hint="eastAsia"/>
                <w:bCs/>
                <w:color w:val="auto"/>
                <w:sz w:val="24"/>
              </w:rPr>
              <w:t>作为</w:t>
            </w:r>
            <w:r>
              <w:rPr>
                <w:rFonts w:hint="eastAsia"/>
                <w:bCs/>
                <w:color w:val="auto"/>
                <w:sz w:val="24"/>
                <w:lang w:val="en-US" w:eastAsia="zh-CN"/>
              </w:rPr>
              <w:t>打料制浆</w:t>
            </w:r>
            <w:r>
              <w:rPr>
                <w:rFonts w:hint="eastAsia"/>
                <w:bCs/>
                <w:color w:val="auto"/>
                <w:sz w:val="24"/>
              </w:rPr>
              <w:t>水循环利用，不外排。</w:t>
            </w:r>
          </w:p>
          <w:p>
            <w:pPr>
              <w:snapToGrid w:val="0"/>
              <w:spacing w:line="360" w:lineRule="auto"/>
              <w:ind w:firstLine="466" w:firstLineChars="200"/>
              <w:rPr>
                <w:rFonts w:hint="eastAsia" w:ascii="Times New Roman" w:hAnsi="Times New Roman" w:eastAsia="宋体" w:cs="Times New Roman"/>
                <w:bCs/>
                <w:color w:val="auto"/>
                <w:sz w:val="24"/>
                <w:u w:val="none" w:color="auto"/>
                <w:lang w:eastAsia="zh-CN"/>
              </w:rPr>
            </w:pPr>
            <w:r>
              <w:rPr>
                <w:rFonts w:hint="eastAsia"/>
                <w:bCs/>
                <w:color w:val="auto"/>
                <w:sz w:val="24"/>
              </w:rPr>
              <w:t>自然养护过程水分进一步蒸发，产品含水率约</w:t>
            </w:r>
            <w:r>
              <w:rPr>
                <w:bCs/>
                <w:color w:val="auto"/>
                <w:sz w:val="24"/>
              </w:rPr>
              <w:t>10%</w:t>
            </w:r>
            <w:r>
              <w:rPr>
                <w:rFonts w:hint="eastAsia"/>
                <w:bCs/>
                <w:color w:val="auto"/>
                <w:sz w:val="24"/>
              </w:rPr>
              <w:t>，蒸发损耗约</w:t>
            </w:r>
            <w:r>
              <w:rPr>
                <w:rFonts w:hint="eastAsia"/>
                <w:bCs/>
                <w:color w:val="auto"/>
                <w:sz w:val="24"/>
                <w:lang w:val="en-US" w:eastAsia="zh-CN"/>
              </w:rPr>
              <w:t>414</w:t>
            </w:r>
            <w:r>
              <w:rPr>
                <w:bCs/>
                <w:color w:val="auto"/>
                <w:sz w:val="24"/>
              </w:rPr>
              <w:t>m</w:t>
            </w:r>
            <w:r>
              <w:rPr>
                <w:bCs/>
                <w:color w:val="auto"/>
                <w:sz w:val="24"/>
                <w:vertAlign w:val="superscript"/>
              </w:rPr>
              <w:t>3</w:t>
            </w:r>
            <w:r>
              <w:rPr>
                <w:bCs/>
                <w:color w:val="auto"/>
                <w:sz w:val="24"/>
              </w:rPr>
              <w:t>/a</w:t>
            </w:r>
            <w:r>
              <w:rPr>
                <w:rFonts w:hint="eastAsia"/>
                <w:bCs/>
                <w:color w:val="auto"/>
                <w:sz w:val="24"/>
                <w:lang w:eastAsia="zh-CN"/>
              </w:rPr>
              <w:t>。</w:t>
            </w:r>
          </w:p>
          <w:p>
            <w:pPr>
              <w:snapToGrid w:val="0"/>
              <w:spacing w:line="360" w:lineRule="auto"/>
              <w:ind w:firstLine="457" w:firstLineChars="196"/>
              <w:rPr>
                <w:rFonts w:hint="eastAsia"/>
                <w:color w:val="auto"/>
                <w:u w:val="none" w:color="auto"/>
                <w:lang w:eastAsia="zh-CN"/>
              </w:rPr>
            </w:pPr>
            <w:r>
              <w:rPr>
                <w:rFonts w:hint="eastAsia"/>
                <w:bCs/>
                <w:color w:val="auto"/>
                <w:sz w:val="24"/>
              </w:rPr>
              <w:t>生产车间定期进行冲洗，用水量按</w:t>
            </w:r>
            <w:r>
              <w:rPr>
                <w:rFonts w:hint="eastAsia"/>
                <w:bCs/>
                <w:color w:val="auto"/>
                <w:sz w:val="24"/>
                <w:lang w:val="en-US" w:eastAsia="zh-CN"/>
              </w:rPr>
              <w:t>2</w:t>
            </w:r>
            <w:r>
              <w:rPr>
                <w:bCs/>
                <w:color w:val="auto"/>
                <w:sz w:val="24"/>
              </w:rPr>
              <w:t>L/m</w:t>
            </w:r>
            <w:r>
              <w:rPr>
                <w:bCs/>
                <w:color w:val="auto"/>
                <w:sz w:val="24"/>
                <w:vertAlign w:val="superscript"/>
              </w:rPr>
              <w:t>2</w:t>
            </w:r>
            <w:r>
              <w:rPr>
                <w:rFonts w:hint="eastAsia"/>
                <w:bCs/>
                <w:color w:val="auto"/>
                <w:sz w:val="24"/>
              </w:rPr>
              <w:t>·</w:t>
            </w:r>
            <w:r>
              <w:rPr>
                <w:rFonts w:hint="eastAsia"/>
                <w:bCs/>
                <w:color w:val="auto"/>
                <w:sz w:val="24"/>
                <w:lang w:val="en-US" w:eastAsia="zh-CN"/>
              </w:rPr>
              <w:t>周</w:t>
            </w:r>
            <w:r>
              <w:rPr>
                <w:rFonts w:hint="eastAsia"/>
                <w:bCs/>
                <w:color w:val="auto"/>
                <w:sz w:val="24"/>
              </w:rPr>
              <w:t>计算，生产车间面积</w:t>
            </w:r>
            <w:r>
              <w:rPr>
                <w:rFonts w:hint="eastAsia"/>
                <w:bCs/>
                <w:color w:val="auto"/>
                <w:sz w:val="24"/>
                <w:lang w:val="en-US" w:eastAsia="zh-CN"/>
              </w:rPr>
              <w:t>400</w:t>
            </w:r>
            <w:r>
              <w:rPr>
                <w:bCs/>
                <w:color w:val="auto"/>
                <w:sz w:val="24"/>
              </w:rPr>
              <w:t>m</w:t>
            </w:r>
            <w:r>
              <w:rPr>
                <w:bCs/>
                <w:color w:val="auto"/>
                <w:sz w:val="24"/>
                <w:vertAlign w:val="superscript"/>
              </w:rPr>
              <w:t>2</w:t>
            </w:r>
            <w:r>
              <w:rPr>
                <w:rFonts w:hint="eastAsia"/>
                <w:bCs/>
                <w:color w:val="auto"/>
                <w:sz w:val="24"/>
              </w:rPr>
              <w:t>，车间清洁用水量</w:t>
            </w:r>
            <w:r>
              <w:rPr>
                <w:rFonts w:hint="eastAsia"/>
                <w:bCs/>
                <w:color w:val="auto"/>
                <w:sz w:val="24"/>
                <w:lang w:val="en-US" w:eastAsia="zh-CN"/>
              </w:rPr>
              <w:t>41.6</w:t>
            </w:r>
            <w:r>
              <w:rPr>
                <w:bCs/>
                <w:color w:val="auto"/>
                <w:sz w:val="24"/>
              </w:rPr>
              <w:t>m</w:t>
            </w:r>
            <w:r>
              <w:rPr>
                <w:bCs/>
                <w:color w:val="auto"/>
                <w:sz w:val="24"/>
                <w:vertAlign w:val="superscript"/>
              </w:rPr>
              <w:t>3</w:t>
            </w:r>
            <w:r>
              <w:rPr>
                <w:bCs/>
                <w:color w:val="auto"/>
                <w:sz w:val="24"/>
              </w:rPr>
              <w:t>/a</w:t>
            </w:r>
            <w:r>
              <w:rPr>
                <w:rFonts w:hint="eastAsia"/>
                <w:bCs/>
                <w:color w:val="auto"/>
                <w:sz w:val="24"/>
              </w:rPr>
              <w:t>。废水产生量按</w:t>
            </w:r>
            <w:r>
              <w:rPr>
                <w:bCs/>
                <w:color w:val="auto"/>
                <w:sz w:val="24"/>
              </w:rPr>
              <w:t>80%</w:t>
            </w:r>
            <w:r>
              <w:rPr>
                <w:rFonts w:hint="eastAsia"/>
                <w:bCs/>
                <w:color w:val="auto"/>
                <w:sz w:val="24"/>
              </w:rPr>
              <w:t>计算，车间清洁废水量为</w:t>
            </w:r>
            <w:r>
              <w:rPr>
                <w:rFonts w:hint="eastAsia"/>
                <w:bCs/>
                <w:color w:val="auto"/>
                <w:sz w:val="24"/>
                <w:lang w:val="en-US" w:eastAsia="zh-CN"/>
              </w:rPr>
              <w:t>33.28</w:t>
            </w:r>
            <w:r>
              <w:rPr>
                <w:bCs/>
                <w:color w:val="auto"/>
                <w:sz w:val="24"/>
              </w:rPr>
              <w:t>m</w:t>
            </w:r>
            <w:r>
              <w:rPr>
                <w:bCs/>
                <w:color w:val="auto"/>
                <w:sz w:val="24"/>
                <w:vertAlign w:val="superscript"/>
              </w:rPr>
              <w:t>3</w:t>
            </w:r>
            <w:r>
              <w:rPr>
                <w:bCs/>
                <w:color w:val="auto"/>
                <w:sz w:val="24"/>
              </w:rPr>
              <w:t>/a</w:t>
            </w:r>
            <w:r>
              <w:rPr>
                <w:rFonts w:hint="eastAsia"/>
                <w:bCs/>
                <w:color w:val="auto"/>
                <w:sz w:val="24"/>
              </w:rPr>
              <w:t>。该部分废水排入</w:t>
            </w:r>
            <w:r>
              <w:rPr>
                <w:rFonts w:hint="eastAsia"/>
                <w:bCs/>
                <w:color w:val="auto"/>
                <w:sz w:val="24"/>
                <w:lang w:val="en-US" w:eastAsia="zh-CN"/>
              </w:rPr>
              <w:t>搅拌池内</w:t>
            </w:r>
            <w:r>
              <w:rPr>
                <w:rFonts w:hint="eastAsia"/>
                <w:bCs/>
                <w:color w:val="auto"/>
                <w:sz w:val="24"/>
              </w:rPr>
              <w:t>，作为</w:t>
            </w:r>
            <w:r>
              <w:rPr>
                <w:rFonts w:hint="eastAsia"/>
                <w:bCs/>
                <w:color w:val="auto"/>
                <w:sz w:val="24"/>
                <w:lang w:val="en-US" w:eastAsia="zh-CN"/>
              </w:rPr>
              <w:t>打料制浆用</w:t>
            </w:r>
            <w:r>
              <w:rPr>
                <w:rFonts w:hint="eastAsia"/>
                <w:bCs/>
                <w:color w:val="auto"/>
                <w:sz w:val="24"/>
              </w:rPr>
              <w:t>水利用，不外排</w:t>
            </w:r>
            <w:r>
              <w:rPr>
                <w:rFonts w:hint="eastAsia" w:cs="Times New Roman"/>
                <w:color w:val="auto"/>
                <w:sz w:val="24"/>
                <w:szCs w:val="24"/>
                <w:u w:val="none" w:color="auto"/>
                <w:lang w:val="en-US" w:eastAsia="zh-CN"/>
              </w:rPr>
              <w:t>。</w:t>
            </w:r>
          </w:p>
          <w:p>
            <w:pPr>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2、废气</w:t>
            </w:r>
          </w:p>
          <w:p>
            <w:pPr>
              <w:pStyle w:val="34"/>
              <w:spacing w:line="360" w:lineRule="auto"/>
              <w:ind w:left="0" w:leftChars="0" w:firstLine="466" w:firstLineChars="200"/>
              <w:jc w:val="left"/>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本项目运营过程中产生的废气有</w:t>
            </w:r>
            <w:r>
              <w:rPr>
                <w:rFonts w:hint="eastAsia" w:cs="Times New Roman"/>
                <w:color w:val="auto"/>
                <w:sz w:val="24"/>
                <w:u w:val="single" w:color="auto"/>
                <w:lang w:val="en-US" w:eastAsia="zh-CN"/>
              </w:rPr>
              <w:t>水泥筒仓粉尘、石粉筒仓粉尘</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喷漆</w:t>
            </w:r>
            <w:r>
              <w:rPr>
                <w:rFonts w:hint="eastAsia" w:cs="Times New Roman"/>
                <w:color w:val="auto"/>
                <w:sz w:val="24"/>
                <w:u w:val="single" w:color="auto"/>
                <w:lang w:eastAsia="zh-CN"/>
              </w:rPr>
              <w:t>、</w:t>
            </w:r>
            <w:r>
              <w:rPr>
                <w:rFonts w:hint="eastAsia" w:cs="Times New Roman"/>
                <w:color w:val="auto"/>
                <w:sz w:val="24"/>
                <w:u w:val="single" w:color="auto"/>
                <w:lang w:val="en-US" w:eastAsia="zh-CN"/>
              </w:rPr>
              <w:t>烘干</w:t>
            </w:r>
            <w:r>
              <w:rPr>
                <w:rFonts w:hint="default" w:ascii="Times New Roman" w:hAnsi="Times New Roman" w:cs="Times New Roman"/>
                <w:color w:val="auto"/>
                <w:sz w:val="24"/>
                <w:u w:val="single" w:color="auto"/>
              </w:rPr>
              <w:t>过程中产生的漆雾</w:t>
            </w:r>
            <w:r>
              <w:rPr>
                <w:rFonts w:hint="eastAsia" w:cs="Times New Roman"/>
                <w:color w:val="auto"/>
                <w:sz w:val="24"/>
                <w:u w:val="single" w:color="auto"/>
                <w:lang w:eastAsia="zh-CN"/>
              </w:rPr>
              <w:t>、</w:t>
            </w:r>
            <w:r>
              <w:rPr>
                <w:rFonts w:hint="default" w:ascii="Times New Roman" w:hAnsi="Times New Roman" w:cs="Times New Roman"/>
                <w:color w:val="auto"/>
                <w:sz w:val="24"/>
                <w:u w:val="single" w:color="auto"/>
              </w:rPr>
              <w:t>有机废气</w:t>
            </w:r>
            <w:r>
              <w:rPr>
                <w:rFonts w:hint="eastAsia" w:cs="Times New Roman"/>
                <w:color w:val="auto"/>
                <w:sz w:val="24"/>
                <w:u w:val="single" w:color="auto"/>
                <w:lang w:eastAsia="zh-CN"/>
              </w:rPr>
              <w:t>、</w:t>
            </w:r>
            <w:r>
              <w:rPr>
                <w:rFonts w:hint="eastAsia" w:cs="Times New Roman"/>
                <w:color w:val="auto"/>
                <w:sz w:val="24"/>
                <w:u w:val="single" w:color="auto"/>
                <w:lang w:val="en-US" w:eastAsia="zh-CN"/>
              </w:rPr>
              <w:t>打料制浆过程中产生的粉尘</w:t>
            </w:r>
            <w:r>
              <w:rPr>
                <w:rFonts w:hint="default" w:ascii="Times New Roman" w:hAnsi="Times New Roman" w:cs="Times New Roman"/>
                <w:color w:val="auto"/>
                <w:sz w:val="24"/>
                <w:u w:val="single" w:color="auto"/>
              </w:rPr>
              <w:t>。</w:t>
            </w:r>
          </w:p>
          <w:p>
            <w:pPr>
              <w:autoSpaceDE w:val="0"/>
              <w:autoSpaceDN w:val="0"/>
              <w:adjustRightInd w:val="0"/>
              <w:spacing w:line="360" w:lineRule="auto"/>
              <w:ind w:firstLine="466" w:firstLineChars="200"/>
              <w:rPr>
                <w:rFonts w:hint="eastAsia"/>
                <w:color w:val="auto"/>
                <w:sz w:val="24"/>
                <w:u w:val="single" w:color="auto"/>
                <w:lang w:eastAsia="zh-CN"/>
              </w:rPr>
            </w:pPr>
            <w:r>
              <w:rPr>
                <w:rFonts w:hint="eastAsia"/>
                <w:color w:val="auto"/>
                <w:sz w:val="24"/>
                <w:u w:val="single" w:color="auto"/>
                <w:lang w:eastAsia="zh-CN"/>
              </w:rPr>
              <w:t>（</w:t>
            </w:r>
            <w:r>
              <w:rPr>
                <w:rFonts w:hint="eastAsia"/>
                <w:color w:val="auto"/>
                <w:sz w:val="24"/>
                <w:u w:val="single" w:color="auto"/>
                <w:lang w:val="en-US" w:eastAsia="zh-CN"/>
              </w:rPr>
              <w:t>1</w:t>
            </w:r>
            <w:r>
              <w:rPr>
                <w:rFonts w:hint="eastAsia"/>
                <w:color w:val="auto"/>
                <w:sz w:val="24"/>
                <w:u w:val="single" w:color="auto"/>
                <w:lang w:eastAsia="zh-CN"/>
              </w:rPr>
              <w:t>）</w:t>
            </w:r>
            <w:r>
              <w:rPr>
                <w:rFonts w:hint="eastAsia" w:cs="Times New Roman"/>
                <w:color w:val="auto"/>
                <w:sz w:val="24"/>
                <w:u w:val="single" w:color="auto"/>
                <w:lang w:val="en-US" w:eastAsia="zh-CN"/>
              </w:rPr>
              <w:t>打料制浆过程中产生的粉尘</w:t>
            </w:r>
          </w:p>
          <w:p>
            <w:pPr>
              <w:autoSpaceDE w:val="0"/>
              <w:autoSpaceDN w:val="0"/>
              <w:adjustRightInd w:val="0"/>
              <w:spacing w:line="360" w:lineRule="auto"/>
              <w:ind w:firstLine="466" w:firstLineChars="200"/>
              <w:rPr>
                <w:rFonts w:hint="eastAsia"/>
                <w:color w:val="auto"/>
                <w:sz w:val="24"/>
                <w:u w:val="single" w:color="auto"/>
                <w:lang w:val="en-US" w:eastAsia="zh-CN"/>
              </w:rPr>
            </w:pPr>
            <w:r>
              <w:rPr>
                <w:rFonts w:hint="eastAsia"/>
                <w:color w:val="auto"/>
                <w:sz w:val="24"/>
                <w:u w:val="single" w:color="auto"/>
                <w:lang w:val="en-US" w:eastAsia="zh-CN"/>
              </w:rPr>
              <w:t>项目打料制浆工序主要为，石棉纤维、玻璃纤维、纸纤维运输至搅拌池内，石粉、水泥均由管道直接输送至搅拌池内，根据业主提供的相关资料可知，</w:t>
            </w:r>
            <w:r>
              <w:rPr>
                <w:color w:val="auto"/>
                <w:sz w:val="24"/>
                <w:u w:val="single" w:color="auto"/>
              </w:rPr>
              <w:t>制浆过程含水率- -</w:t>
            </w:r>
            <w:r>
              <w:rPr>
                <w:rFonts w:hint="eastAsia"/>
                <w:color w:val="auto"/>
                <w:sz w:val="24"/>
                <w:u w:val="single" w:color="auto"/>
                <w:lang w:val="en-US" w:eastAsia="zh-CN"/>
              </w:rPr>
              <w:t>般</w:t>
            </w:r>
            <w:r>
              <w:rPr>
                <w:color w:val="auto"/>
                <w:sz w:val="24"/>
                <w:u w:val="single" w:color="auto"/>
              </w:rPr>
              <w:t>为50%，便于流动和抽浆。该阶段原辅材料为半浆体状态</w:t>
            </w:r>
            <w:r>
              <w:rPr>
                <w:rFonts w:hint="eastAsia"/>
                <w:color w:val="auto"/>
                <w:sz w:val="24"/>
                <w:u w:val="single" w:color="auto"/>
                <w:lang w:eastAsia="zh-CN"/>
              </w:rPr>
              <w:t>，</w:t>
            </w:r>
            <w:r>
              <w:rPr>
                <w:rFonts w:hint="eastAsia"/>
                <w:color w:val="auto"/>
                <w:sz w:val="24"/>
                <w:u w:val="single" w:color="auto"/>
                <w:lang w:val="en-US" w:eastAsia="zh-CN"/>
              </w:rPr>
              <w:t>在投加原料是搅拌池内已先加入了水，且根据现场勘查，项目运行过程中，在打料搅拌过程中基本无粉尘产生，根据现场颗粒物实测数据可知，项目无组织排放的颗粒物能满足国家排放标准要求，故本次不对其进行分析。</w:t>
            </w:r>
          </w:p>
          <w:p>
            <w:pPr>
              <w:autoSpaceDE w:val="0"/>
              <w:autoSpaceDN w:val="0"/>
              <w:adjustRightInd w:val="0"/>
              <w:spacing w:line="360" w:lineRule="auto"/>
              <w:ind w:firstLine="466" w:firstLineChars="200"/>
              <w:rPr>
                <w:rFonts w:hint="eastAsia"/>
                <w:color w:val="auto"/>
                <w:kern w:val="0"/>
                <w:sz w:val="24"/>
                <w:u w:val="single" w:color="auto"/>
              </w:rPr>
            </w:pPr>
            <w:r>
              <w:rPr>
                <w:rFonts w:hint="eastAsia"/>
                <w:color w:val="auto"/>
                <w:sz w:val="24"/>
                <w:u w:val="single" w:color="auto"/>
                <w:lang w:eastAsia="zh-CN"/>
              </w:rPr>
              <w:t>（</w:t>
            </w:r>
            <w:r>
              <w:rPr>
                <w:rFonts w:hint="eastAsia"/>
                <w:color w:val="auto"/>
                <w:sz w:val="24"/>
                <w:u w:val="single" w:color="auto"/>
                <w:lang w:val="en-US" w:eastAsia="zh-CN"/>
              </w:rPr>
              <w:t>2</w:t>
            </w:r>
            <w:r>
              <w:rPr>
                <w:rFonts w:hint="eastAsia"/>
                <w:color w:val="auto"/>
                <w:sz w:val="24"/>
                <w:u w:val="single" w:color="auto"/>
                <w:lang w:eastAsia="zh-CN"/>
              </w:rPr>
              <w:t>）</w:t>
            </w:r>
            <w:r>
              <w:rPr>
                <w:rFonts w:hint="eastAsia"/>
                <w:color w:val="auto"/>
                <w:sz w:val="24"/>
                <w:u w:val="single" w:color="auto"/>
              </w:rPr>
              <w:t>水泥</w:t>
            </w:r>
            <w:r>
              <w:rPr>
                <w:rFonts w:hint="eastAsia"/>
                <w:color w:val="auto"/>
                <w:sz w:val="24"/>
                <w:u w:val="single" w:color="auto"/>
                <w:lang w:val="en-US" w:eastAsia="zh-CN"/>
              </w:rPr>
              <w:t>筒仓</w:t>
            </w:r>
            <w:r>
              <w:rPr>
                <w:rFonts w:hint="eastAsia"/>
                <w:color w:val="auto"/>
                <w:sz w:val="24"/>
                <w:u w:val="single" w:color="auto"/>
              </w:rPr>
              <w:t>粉尘</w:t>
            </w:r>
          </w:p>
          <w:p>
            <w:pPr>
              <w:spacing w:line="360" w:lineRule="auto"/>
              <w:ind w:right="101" w:rightChars="50" w:firstLine="459" w:firstLineChars="197"/>
              <w:rPr>
                <w:color w:val="auto"/>
                <w:sz w:val="24"/>
                <w:u w:val="single" w:color="auto"/>
              </w:rPr>
            </w:pPr>
            <w:r>
              <w:rPr>
                <w:rFonts w:hint="eastAsia" w:eastAsia="宋体"/>
                <w:color w:val="auto"/>
                <w:sz w:val="24"/>
                <w:szCs w:val="22"/>
                <w:u w:val="single" w:color="auto"/>
              </w:rPr>
              <w:t>本项目散装水泥罐车将水泥导入水泥仓中的过程是一个全密闭环境，在水泥进入水泥仓中时，由于水泥仓内气压大于水泥仓外气压，产生压力差而引起空气流动，粉状水泥随着空气流动通过水泥仓顶排风口逸散到空气中，</w:t>
            </w:r>
            <w:r>
              <w:rPr>
                <w:rFonts w:eastAsia="宋体"/>
                <w:color w:val="auto"/>
                <w:sz w:val="24"/>
                <w:szCs w:val="22"/>
                <w:u w:val="single" w:color="auto"/>
              </w:rPr>
              <w:t>根据</w:t>
            </w:r>
            <w:r>
              <w:rPr>
                <w:rFonts w:hint="eastAsia" w:eastAsia="宋体"/>
                <w:color w:val="auto"/>
                <w:sz w:val="24"/>
                <w:szCs w:val="22"/>
                <w:u w:val="single" w:color="auto"/>
                <w:lang w:eastAsia="zh-CN"/>
              </w:rPr>
              <w:t>（</w:t>
            </w:r>
            <w:r>
              <w:rPr>
                <w:rFonts w:hint="eastAsia" w:eastAsia="宋体"/>
                <w:color w:val="auto"/>
                <w:sz w:val="24"/>
                <w:szCs w:val="22"/>
                <w:u w:val="single" w:color="auto"/>
                <w:lang w:val="en-US" w:eastAsia="zh-CN"/>
              </w:rPr>
              <w:t>参照执行</w:t>
            </w:r>
            <w:r>
              <w:rPr>
                <w:rFonts w:hint="eastAsia" w:eastAsia="宋体"/>
                <w:color w:val="auto"/>
                <w:sz w:val="24"/>
                <w:szCs w:val="22"/>
                <w:u w:val="single" w:color="auto"/>
                <w:lang w:eastAsia="zh-CN"/>
              </w:rPr>
              <w:t>）</w:t>
            </w:r>
            <w:r>
              <w:rPr>
                <w:rFonts w:eastAsia="宋体"/>
                <w:color w:val="auto"/>
                <w:sz w:val="24"/>
                <w:szCs w:val="22"/>
                <w:u w:val="single" w:color="auto"/>
              </w:rPr>
              <w:t>《第</w:t>
            </w:r>
            <w:r>
              <w:rPr>
                <w:rFonts w:hint="eastAsia" w:eastAsia="宋体"/>
                <w:color w:val="auto"/>
                <w:sz w:val="24"/>
                <w:szCs w:val="22"/>
                <w:u w:val="single" w:color="auto"/>
                <w:lang w:val="en-US" w:eastAsia="zh-CN"/>
              </w:rPr>
              <w:t>二</w:t>
            </w:r>
            <w:r>
              <w:rPr>
                <w:rFonts w:eastAsia="宋体"/>
                <w:color w:val="auto"/>
                <w:sz w:val="24"/>
                <w:szCs w:val="22"/>
                <w:u w:val="single" w:color="auto"/>
              </w:rPr>
              <w:t>次全国污染源普查工业污染源产排污系数》（3</w:t>
            </w:r>
            <w:r>
              <w:rPr>
                <w:rFonts w:hint="eastAsia" w:eastAsia="宋体"/>
                <w:color w:val="auto"/>
                <w:sz w:val="24"/>
                <w:szCs w:val="22"/>
                <w:u w:val="single" w:color="auto"/>
                <w:lang w:val="en-US" w:eastAsia="zh-CN"/>
              </w:rPr>
              <w:t>0</w:t>
            </w:r>
            <w:r>
              <w:rPr>
                <w:rFonts w:eastAsia="宋体"/>
                <w:color w:val="auto"/>
                <w:sz w:val="24"/>
                <w:szCs w:val="22"/>
                <w:u w:val="single" w:color="auto"/>
              </w:rPr>
              <w:t>21水泥制品制造业（</w:t>
            </w:r>
            <w:r>
              <w:rPr>
                <w:rFonts w:eastAsia="宋体"/>
                <w:color w:val="auto"/>
                <w:sz w:val="24"/>
                <w:szCs w:val="22"/>
                <w:u w:val="single" w:color="auto"/>
                <w:lang w:val="en-US" w:eastAsia="zh-CN"/>
              </w:rPr>
              <w:t xml:space="preserve">含 3022 </w:t>
            </w:r>
            <w:r>
              <w:rPr>
                <w:rFonts w:hint="eastAsia" w:eastAsia="宋体"/>
                <w:color w:val="auto"/>
                <w:sz w:val="24"/>
                <w:szCs w:val="22"/>
                <w:u w:val="single" w:color="auto"/>
                <w:lang w:val="en-US" w:eastAsia="zh-CN"/>
              </w:rPr>
              <w:t>砼结构构件、</w:t>
            </w:r>
            <w:r>
              <w:rPr>
                <w:rFonts w:hint="default" w:eastAsia="宋体"/>
                <w:color w:val="auto"/>
                <w:sz w:val="24"/>
                <w:szCs w:val="22"/>
                <w:u w:val="single" w:color="auto"/>
                <w:lang w:val="en-US" w:eastAsia="zh-CN"/>
              </w:rPr>
              <w:t xml:space="preserve">3029 </w:t>
            </w:r>
            <w:r>
              <w:rPr>
                <w:rFonts w:hint="eastAsia" w:eastAsia="宋体"/>
                <w:color w:val="auto"/>
                <w:sz w:val="24"/>
                <w:szCs w:val="22"/>
                <w:u w:val="single" w:color="auto"/>
                <w:lang w:val="en-US" w:eastAsia="zh-CN"/>
              </w:rPr>
              <w:t>其他水泥类似制品制造</w:t>
            </w:r>
            <w:r>
              <w:rPr>
                <w:rFonts w:eastAsia="宋体"/>
                <w:color w:val="auto"/>
                <w:sz w:val="24"/>
                <w:szCs w:val="22"/>
                <w:u w:val="single" w:color="auto"/>
              </w:rPr>
              <w:t>）产排污系数表）可知，物料输送、储存工序粉尘产污系数为</w:t>
            </w:r>
            <w:r>
              <w:rPr>
                <w:rFonts w:hint="eastAsia" w:eastAsia="宋体"/>
                <w:color w:val="auto"/>
                <w:sz w:val="24"/>
                <w:szCs w:val="22"/>
                <w:u w:val="single" w:color="auto"/>
                <w:lang w:val="en-US" w:eastAsia="zh-CN"/>
              </w:rPr>
              <w:t>0.13</w:t>
            </w:r>
            <w:r>
              <w:rPr>
                <w:rFonts w:eastAsia="宋体"/>
                <w:color w:val="auto"/>
                <w:sz w:val="24"/>
                <w:szCs w:val="22"/>
                <w:u w:val="single" w:color="auto"/>
              </w:rPr>
              <w:t>kg/t，根据本项目物料输送量计算筒仓粉尘产</w:t>
            </w:r>
            <w:r>
              <w:rPr>
                <w:color w:val="auto"/>
                <w:sz w:val="24"/>
                <w:u w:val="single" w:color="auto"/>
              </w:rPr>
              <w:t>生量，则项目粉料仓进料过程呼吸孔粉尘污染物产生及排放情况见表5</w:t>
            </w:r>
            <w:r>
              <w:rPr>
                <w:color w:val="auto"/>
                <w:sz w:val="24"/>
                <w:u w:val="single" w:color="auto"/>
              </w:rPr>
              <w:noBreakHyphen/>
            </w:r>
            <w:r>
              <w:rPr>
                <w:rFonts w:hint="eastAsia"/>
                <w:color w:val="auto"/>
                <w:sz w:val="24"/>
                <w:u w:val="single" w:color="auto"/>
                <w:lang w:val="en-US" w:eastAsia="zh-CN"/>
              </w:rPr>
              <w:t>1</w:t>
            </w:r>
            <w:r>
              <w:rPr>
                <w:color w:val="auto"/>
                <w:sz w:val="24"/>
                <w:u w:val="single" w:color="auto"/>
              </w:rPr>
              <w:t>。</w:t>
            </w:r>
          </w:p>
          <w:p>
            <w:pPr>
              <w:spacing w:line="360" w:lineRule="auto"/>
              <w:ind w:right="101" w:rightChars="50" w:firstLine="229" w:firstLineChars="98"/>
              <w:jc w:val="center"/>
              <w:rPr>
                <w:b/>
                <w:bCs/>
                <w:color w:val="auto"/>
                <w:sz w:val="24"/>
                <w:u w:val="single" w:color="auto"/>
              </w:rPr>
            </w:pPr>
            <w:bookmarkStart w:id="8" w:name="_Ref519103485"/>
            <w:bookmarkEnd w:id="8"/>
            <w:r>
              <w:rPr>
                <w:b/>
                <w:bCs/>
                <w:color w:val="auto"/>
                <w:sz w:val="24"/>
                <w:u w:val="single" w:color="auto"/>
              </w:rPr>
              <w:t>表 5</w:t>
            </w:r>
            <w:r>
              <w:rPr>
                <w:b/>
                <w:bCs/>
                <w:color w:val="auto"/>
                <w:sz w:val="24"/>
                <w:u w:val="single" w:color="auto"/>
              </w:rPr>
              <w:noBreakHyphen/>
            </w:r>
            <w:r>
              <w:rPr>
                <w:rFonts w:hint="eastAsia"/>
                <w:b/>
                <w:bCs/>
                <w:color w:val="auto"/>
                <w:sz w:val="24"/>
                <w:u w:val="single" w:color="auto"/>
                <w:lang w:val="en-US" w:eastAsia="zh-CN"/>
              </w:rPr>
              <w:t>1</w:t>
            </w:r>
            <w:r>
              <w:rPr>
                <w:b/>
                <w:bCs/>
                <w:color w:val="auto"/>
                <w:sz w:val="24"/>
                <w:u w:val="single" w:color="auto"/>
              </w:rPr>
              <w:t>项目料仓呼吸孔粉尘污染物产排情况一览表</w:t>
            </w:r>
          </w:p>
          <w:tbl>
            <w:tblPr>
              <w:tblStyle w:val="4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342"/>
              <w:gridCol w:w="1574"/>
              <w:gridCol w:w="1268"/>
              <w:gridCol w:w="2464"/>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27" w:type="pct"/>
                  <w:vMerge w:val="restart"/>
                  <w:noWrap w:val="0"/>
                  <w:vAlign w:val="center"/>
                </w:tcPr>
                <w:p>
                  <w:pPr>
                    <w:widowControl/>
                    <w:spacing w:line="360" w:lineRule="auto"/>
                    <w:jc w:val="center"/>
                    <w:rPr>
                      <w:rFonts w:ascii="宋体" w:hAnsi="Calibri"/>
                      <w:color w:val="auto"/>
                      <w:kern w:val="0"/>
                      <w:sz w:val="22"/>
                      <w:szCs w:val="22"/>
                      <w:u w:val="single" w:color="auto"/>
                    </w:rPr>
                  </w:pPr>
                  <w:r>
                    <w:rPr>
                      <w:rFonts w:ascii="宋体" w:hAnsi="宋体"/>
                      <w:color w:val="auto"/>
                      <w:kern w:val="0"/>
                      <w:sz w:val="22"/>
                      <w:szCs w:val="22"/>
                      <w:u w:val="single" w:color="auto"/>
                    </w:rPr>
                    <w:t>污染源</w:t>
                  </w:r>
                </w:p>
              </w:tc>
              <w:tc>
                <w:tcPr>
                  <w:tcW w:w="740" w:type="pct"/>
                  <w:vMerge w:val="restart"/>
                  <w:noWrap w:val="0"/>
                  <w:vAlign w:val="center"/>
                </w:tcPr>
                <w:p>
                  <w:pPr>
                    <w:widowControl/>
                    <w:spacing w:line="360" w:lineRule="auto"/>
                    <w:jc w:val="center"/>
                    <w:rPr>
                      <w:rFonts w:ascii="宋体" w:hAnsi="Calibri"/>
                      <w:color w:val="auto"/>
                      <w:kern w:val="0"/>
                      <w:sz w:val="22"/>
                      <w:szCs w:val="22"/>
                      <w:u w:val="single" w:color="auto"/>
                    </w:rPr>
                  </w:pPr>
                  <w:r>
                    <w:rPr>
                      <w:rFonts w:ascii="宋体" w:hAnsi="宋体"/>
                      <w:color w:val="auto"/>
                      <w:kern w:val="0"/>
                      <w:sz w:val="22"/>
                      <w:szCs w:val="22"/>
                      <w:u w:val="single" w:color="auto"/>
                    </w:rPr>
                    <w:t>输送量</w:t>
                  </w:r>
                  <w:r>
                    <w:rPr>
                      <w:color w:val="auto"/>
                      <w:kern w:val="0"/>
                      <w:sz w:val="22"/>
                      <w:szCs w:val="22"/>
                      <w:u w:val="single" w:color="auto"/>
                    </w:rPr>
                    <w:t>t/a</w:t>
                  </w:r>
                </w:p>
              </w:tc>
              <w:tc>
                <w:tcPr>
                  <w:tcW w:w="868" w:type="pct"/>
                  <w:vMerge w:val="restart"/>
                  <w:noWrap w:val="0"/>
                  <w:vAlign w:val="center"/>
                </w:tcPr>
                <w:p>
                  <w:pPr>
                    <w:widowControl/>
                    <w:spacing w:line="360" w:lineRule="auto"/>
                    <w:jc w:val="center"/>
                    <w:rPr>
                      <w:rFonts w:ascii="宋体" w:hAnsi="宋体"/>
                      <w:color w:val="auto"/>
                      <w:kern w:val="0"/>
                      <w:sz w:val="22"/>
                      <w:szCs w:val="22"/>
                      <w:u w:val="single" w:color="auto"/>
                    </w:rPr>
                  </w:pPr>
                  <w:r>
                    <w:rPr>
                      <w:rFonts w:ascii="宋体" w:hAnsi="宋体"/>
                      <w:color w:val="auto"/>
                      <w:kern w:val="0"/>
                      <w:sz w:val="22"/>
                      <w:szCs w:val="22"/>
                      <w:u w:val="single" w:color="auto"/>
                    </w:rPr>
                    <w:t>产污系数，</w:t>
                  </w:r>
                </w:p>
                <w:p>
                  <w:pPr>
                    <w:widowControl/>
                    <w:spacing w:line="360" w:lineRule="auto"/>
                    <w:jc w:val="center"/>
                    <w:rPr>
                      <w:color w:val="auto"/>
                      <w:kern w:val="0"/>
                      <w:sz w:val="22"/>
                      <w:szCs w:val="22"/>
                      <w:u w:val="single" w:color="auto"/>
                    </w:rPr>
                  </w:pPr>
                  <w:r>
                    <w:rPr>
                      <w:color w:val="auto"/>
                      <w:kern w:val="0"/>
                      <w:sz w:val="22"/>
                      <w:szCs w:val="22"/>
                      <w:u w:val="single" w:color="auto"/>
                    </w:rPr>
                    <w:t xml:space="preserve"> kg/t粉料</w:t>
                  </w:r>
                </w:p>
              </w:tc>
              <w:tc>
                <w:tcPr>
                  <w:tcW w:w="699" w:type="pct"/>
                  <w:vMerge w:val="restart"/>
                  <w:noWrap w:val="0"/>
                  <w:vAlign w:val="center"/>
                </w:tcPr>
                <w:p>
                  <w:pPr>
                    <w:widowControl/>
                    <w:spacing w:line="360" w:lineRule="auto"/>
                    <w:jc w:val="center"/>
                    <w:rPr>
                      <w:rFonts w:ascii="宋体" w:hAnsi="Calibri"/>
                      <w:color w:val="auto"/>
                      <w:kern w:val="0"/>
                      <w:sz w:val="22"/>
                      <w:szCs w:val="22"/>
                      <w:u w:val="single" w:color="auto"/>
                    </w:rPr>
                  </w:pPr>
                  <w:r>
                    <w:rPr>
                      <w:rFonts w:ascii="宋体" w:hAnsi="宋体"/>
                      <w:color w:val="auto"/>
                      <w:kern w:val="0"/>
                      <w:sz w:val="22"/>
                      <w:szCs w:val="22"/>
                      <w:u w:val="single" w:color="auto"/>
                    </w:rPr>
                    <w:t>产生量</w:t>
                  </w:r>
                  <w:r>
                    <w:rPr>
                      <w:color w:val="auto"/>
                      <w:kern w:val="0"/>
                      <w:sz w:val="22"/>
                      <w:szCs w:val="22"/>
                      <w:u w:val="single" w:color="auto"/>
                    </w:rPr>
                    <w:t>t/a</w:t>
                  </w:r>
                </w:p>
              </w:tc>
              <w:tc>
                <w:tcPr>
                  <w:tcW w:w="2064" w:type="pct"/>
                  <w:gridSpan w:val="2"/>
                  <w:noWrap w:val="0"/>
                  <w:vAlign w:val="center"/>
                </w:tcPr>
                <w:p>
                  <w:pPr>
                    <w:widowControl/>
                    <w:spacing w:line="360" w:lineRule="auto"/>
                    <w:jc w:val="center"/>
                    <w:rPr>
                      <w:rFonts w:ascii="宋体" w:hAnsi="Calibri"/>
                      <w:color w:val="auto"/>
                      <w:kern w:val="0"/>
                      <w:sz w:val="22"/>
                      <w:szCs w:val="22"/>
                      <w:u w:val="single" w:color="auto"/>
                    </w:rPr>
                  </w:pPr>
                  <w:r>
                    <w:rPr>
                      <w:rFonts w:ascii="宋体" w:hAnsi="宋体"/>
                      <w:color w:val="auto"/>
                      <w:kern w:val="0"/>
                      <w:sz w:val="22"/>
                      <w:szCs w:val="22"/>
                      <w:u w:val="single" w:color="auto"/>
                    </w:rPr>
                    <w:t>仓顶经除尘器处理后粉尘排放情况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27" w:type="pct"/>
                  <w:vMerge w:val="continue"/>
                  <w:noWrap w:val="0"/>
                  <w:vAlign w:val="center"/>
                </w:tcPr>
                <w:p>
                  <w:pPr>
                    <w:widowControl/>
                    <w:spacing w:line="360" w:lineRule="auto"/>
                    <w:jc w:val="left"/>
                    <w:rPr>
                      <w:rFonts w:ascii="宋体" w:hAnsi="Calibri"/>
                      <w:color w:val="auto"/>
                      <w:kern w:val="0"/>
                      <w:sz w:val="22"/>
                      <w:szCs w:val="22"/>
                      <w:u w:val="single" w:color="auto"/>
                    </w:rPr>
                  </w:pPr>
                </w:p>
              </w:tc>
              <w:tc>
                <w:tcPr>
                  <w:tcW w:w="740" w:type="pct"/>
                  <w:vMerge w:val="continue"/>
                  <w:noWrap w:val="0"/>
                  <w:vAlign w:val="center"/>
                </w:tcPr>
                <w:p>
                  <w:pPr>
                    <w:widowControl/>
                    <w:spacing w:line="360" w:lineRule="auto"/>
                    <w:jc w:val="left"/>
                    <w:rPr>
                      <w:rFonts w:ascii="宋体" w:hAnsi="Calibri"/>
                      <w:color w:val="auto"/>
                      <w:kern w:val="0"/>
                      <w:sz w:val="22"/>
                      <w:szCs w:val="22"/>
                      <w:u w:val="single" w:color="auto"/>
                    </w:rPr>
                  </w:pPr>
                </w:p>
              </w:tc>
              <w:tc>
                <w:tcPr>
                  <w:tcW w:w="868" w:type="pct"/>
                  <w:vMerge w:val="continue"/>
                  <w:noWrap w:val="0"/>
                  <w:vAlign w:val="center"/>
                </w:tcPr>
                <w:p>
                  <w:pPr>
                    <w:widowControl/>
                    <w:spacing w:line="360" w:lineRule="auto"/>
                    <w:jc w:val="left"/>
                    <w:rPr>
                      <w:color w:val="auto"/>
                      <w:kern w:val="0"/>
                      <w:sz w:val="22"/>
                      <w:szCs w:val="22"/>
                      <w:u w:val="single" w:color="auto"/>
                    </w:rPr>
                  </w:pPr>
                </w:p>
              </w:tc>
              <w:tc>
                <w:tcPr>
                  <w:tcW w:w="699" w:type="pct"/>
                  <w:vMerge w:val="continue"/>
                  <w:noWrap w:val="0"/>
                  <w:vAlign w:val="center"/>
                </w:tcPr>
                <w:p>
                  <w:pPr>
                    <w:widowControl/>
                    <w:spacing w:line="360" w:lineRule="auto"/>
                    <w:jc w:val="left"/>
                    <w:rPr>
                      <w:rFonts w:ascii="宋体" w:hAnsi="Calibri"/>
                      <w:color w:val="auto"/>
                      <w:kern w:val="0"/>
                      <w:sz w:val="22"/>
                      <w:szCs w:val="22"/>
                      <w:u w:val="single" w:color="auto"/>
                    </w:rPr>
                  </w:pPr>
                </w:p>
              </w:tc>
              <w:tc>
                <w:tcPr>
                  <w:tcW w:w="1359" w:type="pct"/>
                  <w:noWrap w:val="0"/>
                  <w:vAlign w:val="center"/>
                </w:tcPr>
                <w:p>
                  <w:pPr>
                    <w:widowControl/>
                    <w:spacing w:line="360" w:lineRule="auto"/>
                    <w:jc w:val="center"/>
                    <w:rPr>
                      <w:color w:val="auto"/>
                      <w:kern w:val="0"/>
                      <w:sz w:val="22"/>
                      <w:szCs w:val="22"/>
                      <w:u w:val="single" w:color="auto"/>
                    </w:rPr>
                  </w:pPr>
                  <w:r>
                    <w:rPr>
                      <w:color w:val="auto"/>
                      <w:kern w:val="0"/>
                      <w:sz w:val="22"/>
                      <w:szCs w:val="22"/>
                      <w:u w:val="single" w:color="auto"/>
                    </w:rPr>
                    <w:t>处理效率</w:t>
                  </w:r>
                </w:p>
              </w:tc>
              <w:tc>
                <w:tcPr>
                  <w:tcW w:w="704" w:type="pct"/>
                  <w:noWrap w:val="0"/>
                  <w:vAlign w:val="center"/>
                </w:tcPr>
                <w:p>
                  <w:pPr>
                    <w:widowControl/>
                    <w:spacing w:line="360" w:lineRule="auto"/>
                    <w:jc w:val="center"/>
                    <w:rPr>
                      <w:color w:val="auto"/>
                      <w:kern w:val="0"/>
                      <w:sz w:val="22"/>
                      <w:szCs w:val="22"/>
                      <w:u w:val="single" w:color="auto"/>
                    </w:rPr>
                  </w:pPr>
                  <w:r>
                    <w:rPr>
                      <w:color w:val="auto"/>
                      <w:kern w:val="0"/>
                      <w:sz w:val="22"/>
                      <w:szCs w:val="22"/>
                      <w:u w:val="single" w:color="auto"/>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27" w:type="pct"/>
                  <w:noWrap w:val="0"/>
                  <w:vAlign w:val="center"/>
                </w:tcPr>
                <w:p>
                  <w:pPr>
                    <w:widowControl/>
                    <w:spacing w:line="360" w:lineRule="auto"/>
                    <w:jc w:val="center"/>
                    <w:rPr>
                      <w:rFonts w:ascii="宋体" w:hAnsi="Calibri"/>
                      <w:color w:val="auto"/>
                      <w:kern w:val="0"/>
                      <w:sz w:val="22"/>
                      <w:szCs w:val="22"/>
                      <w:u w:val="single" w:color="auto"/>
                    </w:rPr>
                  </w:pPr>
                  <w:r>
                    <w:rPr>
                      <w:rFonts w:ascii="宋体" w:hAnsi="宋体"/>
                      <w:color w:val="auto"/>
                      <w:kern w:val="0"/>
                      <w:sz w:val="22"/>
                      <w:szCs w:val="22"/>
                      <w:u w:val="single" w:color="auto"/>
                    </w:rPr>
                    <w:t>水泥</w:t>
                  </w:r>
                  <w:r>
                    <w:rPr>
                      <w:color w:val="auto"/>
                      <w:sz w:val="22"/>
                      <w:szCs w:val="22"/>
                      <w:u w:val="single" w:color="auto"/>
                    </w:rPr>
                    <w:t>仓</w:t>
                  </w:r>
                </w:p>
              </w:tc>
              <w:tc>
                <w:tcPr>
                  <w:tcW w:w="740" w:type="pct"/>
                  <w:noWrap w:val="0"/>
                  <w:vAlign w:val="center"/>
                </w:tcPr>
                <w:p>
                  <w:pPr>
                    <w:widowControl/>
                    <w:spacing w:line="360" w:lineRule="auto"/>
                    <w:jc w:val="center"/>
                    <w:rPr>
                      <w:rFonts w:hint="default" w:eastAsia="宋体"/>
                      <w:color w:val="auto"/>
                      <w:kern w:val="0"/>
                      <w:sz w:val="22"/>
                      <w:szCs w:val="22"/>
                      <w:u w:val="single" w:color="auto"/>
                      <w:lang w:val="en-US" w:eastAsia="zh-CN"/>
                    </w:rPr>
                  </w:pPr>
                  <w:r>
                    <w:rPr>
                      <w:rFonts w:hint="eastAsia"/>
                      <w:color w:val="auto"/>
                      <w:kern w:val="0"/>
                      <w:sz w:val="22"/>
                      <w:szCs w:val="22"/>
                      <w:u w:val="single" w:color="auto"/>
                      <w:lang w:val="en-US" w:eastAsia="zh-CN"/>
                    </w:rPr>
                    <w:t>3000</w:t>
                  </w:r>
                </w:p>
              </w:tc>
              <w:tc>
                <w:tcPr>
                  <w:tcW w:w="868" w:type="pct"/>
                  <w:noWrap w:val="0"/>
                  <w:vAlign w:val="center"/>
                </w:tcPr>
                <w:p>
                  <w:pPr>
                    <w:spacing w:line="360" w:lineRule="auto"/>
                    <w:jc w:val="center"/>
                    <w:rPr>
                      <w:rFonts w:hint="default" w:eastAsia="宋体"/>
                      <w:color w:val="auto"/>
                      <w:kern w:val="0"/>
                      <w:sz w:val="22"/>
                      <w:szCs w:val="22"/>
                      <w:u w:val="single" w:color="auto"/>
                      <w:lang w:val="en-US" w:eastAsia="zh-CN"/>
                    </w:rPr>
                  </w:pPr>
                  <w:r>
                    <w:rPr>
                      <w:rFonts w:hint="eastAsia"/>
                      <w:color w:val="auto"/>
                      <w:kern w:val="0"/>
                      <w:sz w:val="22"/>
                      <w:szCs w:val="22"/>
                      <w:u w:val="single" w:color="auto"/>
                      <w:lang w:val="en-US" w:eastAsia="zh-CN"/>
                    </w:rPr>
                    <w:t>0.13</w:t>
                  </w:r>
                </w:p>
              </w:tc>
              <w:tc>
                <w:tcPr>
                  <w:tcW w:w="699" w:type="pct"/>
                  <w:noWrap w:val="0"/>
                  <w:vAlign w:val="center"/>
                </w:tcPr>
                <w:p>
                  <w:pPr>
                    <w:spacing w:line="360" w:lineRule="auto"/>
                    <w:jc w:val="center"/>
                    <w:rPr>
                      <w:rFonts w:hint="default" w:eastAsia="宋体"/>
                      <w:color w:val="auto"/>
                      <w:sz w:val="22"/>
                      <w:szCs w:val="22"/>
                      <w:u w:val="single" w:color="auto"/>
                      <w:lang w:val="en-US" w:eastAsia="zh-CN"/>
                    </w:rPr>
                  </w:pPr>
                  <w:r>
                    <w:rPr>
                      <w:rFonts w:hint="eastAsia"/>
                      <w:color w:val="auto"/>
                      <w:sz w:val="22"/>
                      <w:szCs w:val="22"/>
                      <w:u w:val="single" w:color="auto"/>
                      <w:lang w:val="en-US" w:eastAsia="zh-CN"/>
                    </w:rPr>
                    <w:t>0.39</w:t>
                  </w:r>
                </w:p>
              </w:tc>
              <w:tc>
                <w:tcPr>
                  <w:tcW w:w="1359" w:type="pct"/>
                  <w:noWrap w:val="0"/>
                  <w:vAlign w:val="center"/>
                </w:tcPr>
                <w:p>
                  <w:pPr>
                    <w:spacing w:line="360" w:lineRule="auto"/>
                    <w:jc w:val="center"/>
                    <w:rPr>
                      <w:rFonts w:hint="default"/>
                      <w:color w:val="auto"/>
                      <w:sz w:val="22"/>
                      <w:szCs w:val="22"/>
                      <w:u w:val="single" w:color="auto"/>
                    </w:rPr>
                  </w:pPr>
                  <w:r>
                    <w:rPr>
                      <w:color w:val="auto"/>
                      <w:sz w:val="22"/>
                      <w:szCs w:val="22"/>
                      <w:u w:val="single" w:color="auto"/>
                    </w:rPr>
                    <w:t>99.</w:t>
                  </w:r>
                  <w:r>
                    <w:rPr>
                      <w:rFonts w:hint="eastAsia"/>
                      <w:color w:val="auto"/>
                      <w:sz w:val="22"/>
                      <w:szCs w:val="22"/>
                      <w:u w:val="single" w:color="auto"/>
                      <w:lang w:val="en-US" w:eastAsia="zh-CN"/>
                    </w:rPr>
                    <w:t>7</w:t>
                  </w:r>
                  <w:r>
                    <w:rPr>
                      <w:color w:val="auto"/>
                      <w:sz w:val="22"/>
                      <w:szCs w:val="22"/>
                      <w:u w:val="single" w:color="auto"/>
                    </w:rPr>
                    <w:t>%</w:t>
                  </w:r>
                </w:p>
              </w:tc>
              <w:tc>
                <w:tcPr>
                  <w:tcW w:w="704" w:type="pct"/>
                  <w:noWrap w:val="0"/>
                  <w:vAlign w:val="center"/>
                </w:tcPr>
                <w:p>
                  <w:pPr>
                    <w:spacing w:line="360" w:lineRule="auto"/>
                    <w:jc w:val="center"/>
                    <w:rPr>
                      <w:rFonts w:hint="default" w:eastAsia="宋体"/>
                      <w:color w:val="auto"/>
                      <w:sz w:val="22"/>
                      <w:szCs w:val="22"/>
                      <w:u w:val="single" w:color="auto"/>
                      <w:lang w:val="en-US" w:eastAsia="zh-CN"/>
                    </w:rPr>
                  </w:pPr>
                  <w:r>
                    <w:rPr>
                      <w:rFonts w:hint="eastAsia"/>
                      <w:color w:val="auto"/>
                      <w:sz w:val="22"/>
                      <w:szCs w:val="22"/>
                      <w:u w:val="single" w:color="auto"/>
                      <w:lang w:val="en-US" w:eastAsia="zh-CN"/>
                    </w:rPr>
                    <w:t>0.00117</w:t>
                  </w:r>
                </w:p>
              </w:tc>
            </w:tr>
          </w:tbl>
          <w:p>
            <w:pPr>
              <w:autoSpaceDE w:val="0"/>
              <w:autoSpaceDN w:val="0"/>
              <w:adjustRightInd w:val="0"/>
              <w:spacing w:line="360" w:lineRule="auto"/>
              <w:ind w:firstLine="466" w:firstLineChars="200"/>
              <w:rPr>
                <w:rFonts w:hint="eastAsia"/>
                <w:bCs/>
                <w:color w:val="auto"/>
                <w:kern w:val="0"/>
                <w:sz w:val="24"/>
                <w:u w:val="single" w:color="auto"/>
              </w:rPr>
            </w:pPr>
            <w:r>
              <w:rPr>
                <w:color w:val="auto"/>
                <w:sz w:val="24"/>
                <w:u w:val="single" w:color="auto"/>
              </w:rPr>
              <w:t>由上表可知，项目</w:t>
            </w:r>
            <w:r>
              <w:rPr>
                <w:rFonts w:hint="eastAsia"/>
                <w:color w:val="auto"/>
                <w:sz w:val="24"/>
                <w:u w:val="single" w:color="auto"/>
                <w:lang w:val="en-US" w:eastAsia="zh-CN"/>
              </w:rPr>
              <w:t>水泥筒仓</w:t>
            </w:r>
            <w:r>
              <w:rPr>
                <w:color w:val="auto"/>
                <w:sz w:val="24"/>
                <w:u w:val="single" w:color="auto"/>
              </w:rPr>
              <w:t>粉尘经仓顶脉冲式布袋除尘器处理处理后，</w:t>
            </w:r>
            <w:r>
              <w:rPr>
                <w:rFonts w:hint="eastAsia"/>
                <w:bCs/>
                <w:color w:val="auto"/>
                <w:kern w:val="0"/>
                <w:sz w:val="24"/>
                <w:u w:val="single" w:color="auto"/>
                <w:lang w:val="en-US" w:eastAsia="zh-CN"/>
              </w:rPr>
              <w:t>由仓顶呼吸阀（高度为10m）排放，</w:t>
            </w:r>
            <w:r>
              <w:rPr>
                <w:color w:val="auto"/>
                <w:sz w:val="24"/>
                <w:u w:val="single" w:color="auto"/>
              </w:rPr>
              <w:t>排放浓度均满足《水泥工业大气污染物排放标准》（GB4915-2013）中排放限值要求</w:t>
            </w:r>
            <w:r>
              <w:rPr>
                <w:rFonts w:hint="eastAsia"/>
                <w:bCs/>
                <w:color w:val="auto"/>
                <w:kern w:val="0"/>
                <w:sz w:val="24"/>
                <w:u w:val="single" w:color="auto"/>
                <w:lang w:eastAsia="zh-CN"/>
              </w:rPr>
              <w:t>，</w:t>
            </w:r>
            <w:r>
              <w:rPr>
                <w:rFonts w:hint="eastAsia"/>
                <w:bCs/>
                <w:color w:val="auto"/>
                <w:kern w:val="0"/>
                <w:sz w:val="24"/>
                <w:u w:val="single" w:color="auto"/>
              </w:rPr>
              <w:t>收集的水泥粉尘直接回落到水泥仓。</w:t>
            </w:r>
          </w:p>
          <w:p>
            <w:pPr>
              <w:autoSpaceDE w:val="0"/>
              <w:autoSpaceDN w:val="0"/>
              <w:adjustRightInd w:val="0"/>
              <w:spacing w:line="360" w:lineRule="auto"/>
              <w:ind w:firstLine="466" w:firstLineChars="200"/>
              <w:rPr>
                <w:rFonts w:hint="eastAsia"/>
                <w:color w:val="auto"/>
                <w:kern w:val="0"/>
                <w:sz w:val="24"/>
                <w:u w:val="single" w:color="auto"/>
              </w:rPr>
            </w:pPr>
            <w:r>
              <w:rPr>
                <w:rFonts w:hint="eastAsia"/>
                <w:color w:val="auto"/>
                <w:kern w:val="0"/>
                <w:sz w:val="24"/>
                <w:u w:val="single" w:color="auto"/>
                <w:lang w:eastAsia="zh-CN"/>
              </w:rPr>
              <w:t>（</w:t>
            </w:r>
            <w:r>
              <w:rPr>
                <w:rFonts w:hint="eastAsia"/>
                <w:color w:val="auto"/>
                <w:kern w:val="0"/>
                <w:sz w:val="24"/>
                <w:u w:val="single" w:color="auto"/>
                <w:lang w:val="en-US" w:eastAsia="zh-CN"/>
              </w:rPr>
              <w:t>3</w:t>
            </w:r>
            <w:r>
              <w:rPr>
                <w:rFonts w:hint="eastAsia"/>
                <w:color w:val="auto"/>
                <w:kern w:val="0"/>
                <w:sz w:val="24"/>
                <w:u w:val="single" w:color="auto"/>
                <w:lang w:eastAsia="zh-CN"/>
              </w:rPr>
              <w:t>）</w:t>
            </w:r>
            <w:r>
              <w:rPr>
                <w:rFonts w:hint="eastAsia"/>
                <w:color w:val="auto"/>
                <w:kern w:val="0"/>
                <w:sz w:val="24"/>
                <w:u w:val="single" w:color="auto"/>
              </w:rPr>
              <w:t>石粉</w:t>
            </w:r>
            <w:r>
              <w:rPr>
                <w:rFonts w:hint="eastAsia"/>
                <w:color w:val="auto"/>
                <w:kern w:val="0"/>
                <w:sz w:val="24"/>
                <w:u w:val="single" w:color="auto"/>
                <w:lang w:val="en-US" w:eastAsia="zh-CN"/>
              </w:rPr>
              <w:t>筒仓</w:t>
            </w:r>
            <w:r>
              <w:rPr>
                <w:rFonts w:hint="eastAsia"/>
                <w:color w:val="auto"/>
                <w:kern w:val="0"/>
                <w:sz w:val="24"/>
                <w:u w:val="single" w:color="auto"/>
              </w:rPr>
              <w:t>粉尘</w:t>
            </w:r>
          </w:p>
          <w:p>
            <w:pPr>
              <w:spacing w:line="360" w:lineRule="auto"/>
              <w:ind w:right="101" w:rightChars="50" w:firstLine="459" w:firstLineChars="197"/>
              <w:rPr>
                <w:color w:val="auto"/>
                <w:sz w:val="24"/>
                <w:u w:val="single" w:color="auto"/>
              </w:rPr>
            </w:pPr>
            <w:r>
              <w:rPr>
                <w:rFonts w:hint="eastAsia"/>
                <w:bCs/>
                <w:color w:val="auto"/>
                <w:sz w:val="24"/>
                <w:u w:val="single" w:color="auto"/>
              </w:rPr>
              <w:t>本项目石粉也是采用筒仓供给，本项目石粉用量为</w:t>
            </w:r>
            <w:r>
              <w:rPr>
                <w:rFonts w:hint="eastAsia"/>
                <w:bCs/>
                <w:color w:val="auto"/>
                <w:sz w:val="24"/>
                <w:u w:val="single" w:color="auto"/>
                <w:lang w:val="en-US" w:eastAsia="zh-CN"/>
              </w:rPr>
              <w:t>500</w:t>
            </w:r>
            <w:r>
              <w:rPr>
                <w:bCs/>
                <w:color w:val="auto"/>
                <w:sz w:val="24"/>
                <w:u w:val="single" w:color="auto"/>
              </w:rPr>
              <w:t xml:space="preserve"> t/a</w:t>
            </w:r>
            <w:r>
              <w:rPr>
                <w:rFonts w:hint="eastAsia"/>
                <w:bCs/>
                <w:color w:val="auto"/>
                <w:sz w:val="24"/>
                <w:u w:val="single" w:color="auto"/>
              </w:rPr>
              <w:t>，投放方式与水泥一样，有散装罐车运输进场，泵入筒仓内，</w:t>
            </w:r>
            <w:r>
              <w:rPr>
                <w:rFonts w:hint="eastAsia"/>
                <w:bCs/>
                <w:color w:val="auto"/>
                <w:sz w:val="24"/>
                <w:u w:val="single" w:color="auto"/>
                <w:lang w:val="en-US" w:eastAsia="zh-CN"/>
              </w:rPr>
              <w:t>粉尘产生量</w:t>
            </w:r>
            <w:r>
              <w:rPr>
                <w:rFonts w:hint="eastAsia" w:eastAsia="宋体"/>
                <w:color w:val="auto"/>
                <w:sz w:val="24"/>
                <w:szCs w:val="22"/>
                <w:u w:val="single" w:color="auto"/>
                <w:lang w:val="en-US" w:eastAsia="zh-CN"/>
              </w:rPr>
              <w:t>参照</w:t>
            </w:r>
            <w:r>
              <w:rPr>
                <w:rFonts w:eastAsia="宋体"/>
                <w:color w:val="auto"/>
                <w:sz w:val="24"/>
                <w:szCs w:val="22"/>
                <w:u w:val="single" w:color="auto"/>
              </w:rPr>
              <w:t>《第</w:t>
            </w:r>
            <w:r>
              <w:rPr>
                <w:rFonts w:hint="eastAsia" w:eastAsia="宋体"/>
                <w:color w:val="auto"/>
                <w:sz w:val="24"/>
                <w:szCs w:val="22"/>
                <w:u w:val="single" w:color="auto"/>
                <w:lang w:val="en-US" w:eastAsia="zh-CN"/>
              </w:rPr>
              <w:t>二</w:t>
            </w:r>
            <w:r>
              <w:rPr>
                <w:rFonts w:eastAsia="宋体"/>
                <w:color w:val="auto"/>
                <w:sz w:val="24"/>
                <w:szCs w:val="22"/>
                <w:u w:val="single" w:color="auto"/>
              </w:rPr>
              <w:t>次全国污染源普查工业污染源产排污系数》（3</w:t>
            </w:r>
            <w:r>
              <w:rPr>
                <w:rFonts w:hint="eastAsia" w:eastAsia="宋体"/>
                <w:color w:val="auto"/>
                <w:sz w:val="24"/>
                <w:szCs w:val="22"/>
                <w:u w:val="single" w:color="auto"/>
                <w:lang w:val="en-US" w:eastAsia="zh-CN"/>
              </w:rPr>
              <w:t>0</w:t>
            </w:r>
            <w:r>
              <w:rPr>
                <w:rFonts w:eastAsia="宋体"/>
                <w:color w:val="auto"/>
                <w:sz w:val="24"/>
                <w:szCs w:val="22"/>
                <w:u w:val="single" w:color="auto"/>
              </w:rPr>
              <w:t>21水泥制品制造业（</w:t>
            </w:r>
            <w:r>
              <w:rPr>
                <w:rFonts w:eastAsia="宋体"/>
                <w:color w:val="auto"/>
                <w:sz w:val="24"/>
                <w:szCs w:val="22"/>
                <w:u w:val="single" w:color="auto"/>
                <w:lang w:val="en-US" w:eastAsia="zh-CN"/>
              </w:rPr>
              <w:t xml:space="preserve">含 3022 </w:t>
            </w:r>
            <w:r>
              <w:rPr>
                <w:rFonts w:hint="eastAsia" w:eastAsia="宋体"/>
                <w:color w:val="auto"/>
                <w:sz w:val="24"/>
                <w:szCs w:val="22"/>
                <w:u w:val="single" w:color="auto"/>
                <w:lang w:val="en-US" w:eastAsia="zh-CN"/>
              </w:rPr>
              <w:t>砼结构构件、</w:t>
            </w:r>
            <w:r>
              <w:rPr>
                <w:rFonts w:hint="default" w:eastAsia="宋体"/>
                <w:color w:val="auto"/>
                <w:sz w:val="24"/>
                <w:szCs w:val="22"/>
                <w:u w:val="single" w:color="auto"/>
                <w:lang w:val="en-US" w:eastAsia="zh-CN"/>
              </w:rPr>
              <w:t xml:space="preserve">3029 </w:t>
            </w:r>
            <w:r>
              <w:rPr>
                <w:rFonts w:hint="eastAsia" w:eastAsia="宋体"/>
                <w:color w:val="auto"/>
                <w:sz w:val="24"/>
                <w:szCs w:val="22"/>
                <w:u w:val="single" w:color="auto"/>
                <w:lang w:val="en-US" w:eastAsia="zh-CN"/>
              </w:rPr>
              <w:t>其他水泥类似制品制造</w:t>
            </w:r>
            <w:r>
              <w:rPr>
                <w:rFonts w:eastAsia="宋体"/>
                <w:color w:val="auto"/>
                <w:sz w:val="24"/>
                <w:szCs w:val="22"/>
                <w:u w:val="single" w:color="auto"/>
              </w:rPr>
              <w:t>）产排污系数表）可知，物料输送、储存工序粉尘产污系数为</w:t>
            </w:r>
            <w:r>
              <w:rPr>
                <w:rFonts w:hint="eastAsia" w:eastAsia="宋体"/>
                <w:color w:val="auto"/>
                <w:sz w:val="24"/>
                <w:szCs w:val="22"/>
                <w:u w:val="single" w:color="auto"/>
                <w:lang w:val="en-US" w:eastAsia="zh-CN"/>
              </w:rPr>
              <w:t>0.13</w:t>
            </w:r>
            <w:r>
              <w:rPr>
                <w:rFonts w:eastAsia="宋体"/>
                <w:color w:val="auto"/>
                <w:sz w:val="24"/>
                <w:szCs w:val="22"/>
                <w:u w:val="single" w:color="auto"/>
              </w:rPr>
              <w:t>kg/t，根据本项目物料输送量计算筒仓粉尘产</w:t>
            </w:r>
            <w:r>
              <w:rPr>
                <w:color w:val="auto"/>
                <w:sz w:val="24"/>
                <w:u w:val="single" w:color="auto"/>
              </w:rPr>
              <w:t>生量，则项目粉料仓进料过程呼吸孔粉尘污染物产生及排放情况见表5</w:t>
            </w:r>
            <w:r>
              <w:rPr>
                <w:color w:val="auto"/>
                <w:sz w:val="24"/>
                <w:u w:val="single" w:color="auto"/>
              </w:rPr>
              <w:noBreakHyphen/>
            </w:r>
            <w:r>
              <w:rPr>
                <w:rFonts w:hint="eastAsia"/>
                <w:color w:val="auto"/>
                <w:sz w:val="24"/>
                <w:u w:val="single" w:color="auto"/>
                <w:lang w:val="en-US" w:eastAsia="zh-CN"/>
              </w:rPr>
              <w:t>2</w:t>
            </w:r>
            <w:r>
              <w:rPr>
                <w:color w:val="auto"/>
                <w:sz w:val="24"/>
                <w:u w:val="single" w:color="auto"/>
              </w:rPr>
              <w:t>。</w:t>
            </w:r>
          </w:p>
          <w:p>
            <w:pPr>
              <w:spacing w:line="360" w:lineRule="auto"/>
              <w:ind w:right="101" w:rightChars="50" w:firstLine="229" w:firstLineChars="98"/>
              <w:jc w:val="center"/>
              <w:rPr>
                <w:b/>
                <w:bCs/>
                <w:color w:val="auto"/>
                <w:sz w:val="24"/>
                <w:u w:val="single" w:color="auto"/>
              </w:rPr>
            </w:pPr>
            <w:r>
              <w:rPr>
                <w:b/>
                <w:bCs/>
                <w:color w:val="auto"/>
                <w:sz w:val="24"/>
                <w:u w:val="single" w:color="auto"/>
              </w:rPr>
              <w:t>表 5</w:t>
            </w:r>
            <w:r>
              <w:rPr>
                <w:b/>
                <w:bCs/>
                <w:color w:val="auto"/>
                <w:sz w:val="24"/>
                <w:u w:val="single" w:color="auto"/>
              </w:rPr>
              <w:noBreakHyphen/>
            </w:r>
            <w:r>
              <w:rPr>
                <w:rFonts w:hint="eastAsia"/>
                <w:b/>
                <w:bCs/>
                <w:color w:val="auto"/>
                <w:sz w:val="24"/>
                <w:u w:val="single" w:color="auto"/>
                <w:lang w:val="en-US" w:eastAsia="zh-CN"/>
              </w:rPr>
              <w:t>2</w:t>
            </w:r>
            <w:r>
              <w:rPr>
                <w:b/>
                <w:bCs/>
                <w:color w:val="auto"/>
                <w:sz w:val="24"/>
                <w:u w:val="single" w:color="auto"/>
              </w:rPr>
              <w:t>项目料仓呼吸孔粉尘污染物产排情况一览表</w:t>
            </w:r>
          </w:p>
          <w:tbl>
            <w:tblPr>
              <w:tblStyle w:val="4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342"/>
              <w:gridCol w:w="1574"/>
              <w:gridCol w:w="1268"/>
              <w:gridCol w:w="2464"/>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27" w:type="pct"/>
                  <w:vMerge w:val="restart"/>
                  <w:noWrap w:val="0"/>
                  <w:vAlign w:val="center"/>
                </w:tcPr>
                <w:p>
                  <w:pPr>
                    <w:widowControl/>
                    <w:spacing w:line="360" w:lineRule="auto"/>
                    <w:jc w:val="center"/>
                    <w:rPr>
                      <w:rFonts w:ascii="宋体" w:hAnsi="Calibri"/>
                      <w:color w:val="auto"/>
                      <w:kern w:val="0"/>
                      <w:sz w:val="22"/>
                      <w:szCs w:val="22"/>
                      <w:u w:val="single" w:color="auto"/>
                    </w:rPr>
                  </w:pPr>
                  <w:r>
                    <w:rPr>
                      <w:rFonts w:ascii="宋体" w:hAnsi="宋体"/>
                      <w:color w:val="auto"/>
                      <w:kern w:val="0"/>
                      <w:sz w:val="22"/>
                      <w:szCs w:val="22"/>
                      <w:u w:val="single" w:color="auto"/>
                    </w:rPr>
                    <w:t>污染源</w:t>
                  </w:r>
                </w:p>
              </w:tc>
              <w:tc>
                <w:tcPr>
                  <w:tcW w:w="740" w:type="pct"/>
                  <w:vMerge w:val="restart"/>
                  <w:noWrap w:val="0"/>
                  <w:vAlign w:val="center"/>
                </w:tcPr>
                <w:p>
                  <w:pPr>
                    <w:widowControl/>
                    <w:spacing w:line="360" w:lineRule="auto"/>
                    <w:jc w:val="center"/>
                    <w:rPr>
                      <w:rFonts w:ascii="宋体" w:hAnsi="Calibri"/>
                      <w:color w:val="auto"/>
                      <w:kern w:val="0"/>
                      <w:sz w:val="22"/>
                      <w:szCs w:val="22"/>
                      <w:u w:val="single" w:color="auto"/>
                    </w:rPr>
                  </w:pPr>
                  <w:r>
                    <w:rPr>
                      <w:rFonts w:ascii="宋体" w:hAnsi="宋体"/>
                      <w:color w:val="auto"/>
                      <w:kern w:val="0"/>
                      <w:sz w:val="22"/>
                      <w:szCs w:val="22"/>
                      <w:u w:val="single" w:color="auto"/>
                    </w:rPr>
                    <w:t>输送量</w:t>
                  </w:r>
                  <w:r>
                    <w:rPr>
                      <w:color w:val="auto"/>
                      <w:kern w:val="0"/>
                      <w:sz w:val="22"/>
                      <w:szCs w:val="22"/>
                      <w:u w:val="single" w:color="auto"/>
                    </w:rPr>
                    <w:t>t/a</w:t>
                  </w:r>
                </w:p>
              </w:tc>
              <w:tc>
                <w:tcPr>
                  <w:tcW w:w="868" w:type="pct"/>
                  <w:vMerge w:val="restart"/>
                  <w:noWrap w:val="0"/>
                  <w:vAlign w:val="center"/>
                </w:tcPr>
                <w:p>
                  <w:pPr>
                    <w:widowControl/>
                    <w:spacing w:line="360" w:lineRule="auto"/>
                    <w:jc w:val="center"/>
                    <w:rPr>
                      <w:rFonts w:ascii="宋体" w:hAnsi="宋体"/>
                      <w:color w:val="auto"/>
                      <w:kern w:val="0"/>
                      <w:sz w:val="22"/>
                      <w:szCs w:val="22"/>
                      <w:u w:val="single" w:color="auto"/>
                    </w:rPr>
                  </w:pPr>
                  <w:r>
                    <w:rPr>
                      <w:rFonts w:ascii="宋体" w:hAnsi="宋体"/>
                      <w:color w:val="auto"/>
                      <w:kern w:val="0"/>
                      <w:sz w:val="22"/>
                      <w:szCs w:val="22"/>
                      <w:u w:val="single" w:color="auto"/>
                    </w:rPr>
                    <w:t>产污系数，</w:t>
                  </w:r>
                </w:p>
                <w:p>
                  <w:pPr>
                    <w:widowControl/>
                    <w:spacing w:line="360" w:lineRule="auto"/>
                    <w:jc w:val="center"/>
                    <w:rPr>
                      <w:color w:val="auto"/>
                      <w:kern w:val="0"/>
                      <w:sz w:val="22"/>
                      <w:szCs w:val="22"/>
                      <w:u w:val="single" w:color="auto"/>
                    </w:rPr>
                  </w:pPr>
                  <w:r>
                    <w:rPr>
                      <w:color w:val="auto"/>
                      <w:kern w:val="0"/>
                      <w:sz w:val="22"/>
                      <w:szCs w:val="22"/>
                      <w:u w:val="single" w:color="auto"/>
                    </w:rPr>
                    <w:t xml:space="preserve"> kg/t粉料</w:t>
                  </w:r>
                </w:p>
              </w:tc>
              <w:tc>
                <w:tcPr>
                  <w:tcW w:w="699" w:type="pct"/>
                  <w:vMerge w:val="restart"/>
                  <w:noWrap w:val="0"/>
                  <w:vAlign w:val="center"/>
                </w:tcPr>
                <w:p>
                  <w:pPr>
                    <w:widowControl/>
                    <w:spacing w:line="360" w:lineRule="auto"/>
                    <w:jc w:val="center"/>
                    <w:rPr>
                      <w:rFonts w:ascii="宋体" w:hAnsi="Calibri"/>
                      <w:color w:val="auto"/>
                      <w:kern w:val="0"/>
                      <w:sz w:val="22"/>
                      <w:szCs w:val="22"/>
                      <w:u w:val="single" w:color="auto"/>
                    </w:rPr>
                  </w:pPr>
                  <w:r>
                    <w:rPr>
                      <w:rFonts w:ascii="宋体" w:hAnsi="宋体"/>
                      <w:color w:val="auto"/>
                      <w:kern w:val="0"/>
                      <w:sz w:val="22"/>
                      <w:szCs w:val="22"/>
                      <w:u w:val="single" w:color="auto"/>
                    </w:rPr>
                    <w:t>产生量</w:t>
                  </w:r>
                  <w:r>
                    <w:rPr>
                      <w:color w:val="auto"/>
                      <w:kern w:val="0"/>
                      <w:sz w:val="22"/>
                      <w:szCs w:val="22"/>
                      <w:u w:val="single" w:color="auto"/>
                    </w:rPr>
                    <w:t>t/a</w:t>
                  </w:r>
                </w:p>
              </w:tc>
              <w:tc>
                <w:tcPr>
                  <w:tcW w:w="2064" w:type="pct"/>
                  <w:gridSpan w:val="2"/>
                  <w:noWrap w:val="0"/>
                  <w:vAlign w:val="center"/>
                </w:tcPr>
                <w:p>
                  <w:pPr>
                    <w:widowControl/>
                    <w:spacing w:line="360" w:lineRule="auto"/>
                    <w:jc w:val="center"/>
                    <w:rPr>
                      <w:rFonts w:ascii="宋体" w:hAnsi="Calibri"/>
                      <w:color w:val="auto"/>
                      <w:kern w:val="0"/>
                      <w:sz w:val="22"/>
                      <w:szCs w:val="22"/>
                      <w:u w:val="single" w:color="auto"/>
                    </w:rPr>
                  </w:pPr>
                  <w:r>
                    <w:rPr>
                      <w:rFonts w:ascii="宋体" w:hAnsi="宋体"/>
                      <w:color w:val="auto"/>
                      <w:kern w:val="0"/>
                      <w:sz w:val="22"/>
                      <w:szCs w:val="22"/>
                      <w:u w:val="single" w:color="auto"/>
                    </w:rPr>
                    <w:t>仓顶经除尘器处理后粉尘排放情况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27" w:type="pct"/>
                  <w:vMerge w:val="continue"/>
                  <w:noWrap w:val="0"/>
                  <w:vAlign w:val="center"/>
                </w:tcPr>
                <w:p>
                  <w:pPr>
                    <w:widowControl/>
                    <w:spacing w:line="360" w:lineRule="auto"/>
                    <w:jc w:val="left"/>
                    <w:rPr>
                      <w:rFonts w:ascii="宋体" w:hAnsi="Calibri"/>
                      <w:color w:val="auto"/>
                      <w:kern w:val="0"/>
                      <w:sz w:val="22"/>
                      <w:szCs w:val="22"/>
                      <w:u w:val="single" w:color="auto"/>
                    </w:rPr>
                  </w:pPr>
                </w:p>
              </w:tc>
              <w:tc>
                <w:tcPr>
                  <w:tcW w:w="740" w:type="pct"/>
                  <w:vMerge w:val="continue"/>
                  <w:noWrap w:val="0"/>
                  <w:vAlign w:val="center"/>
                </w:tcPr>
                <w:p>
                  <w:pPr>
                    <w:widowControl/>
                    <w:spacing w:line="360" w:lineRule="auto"/>
                    <w:jc w:val="left"/>
                    <w:rPr>
                      <w:rFonts w:ascii="宋体" w:hAnsi="Calibri"/>
                      <w:color w:val="auto"/>
                      <w:kern w:val="0"/>
                      <w:sz w:val="22"/>
                      <w:szCs w:val="22"/>
                      <w:u w:val="single" w:color="auto"/>
                    </w:rPr>
                  </w:pPr>
                </w:p>
              </w:tc>
              <w:tc>
                <w:tcPr>
                  <w:tcW w:w="868" w:type="pct"/>
                  <w:vMerge w:val="continue"/>
                  <w:noWrap w:val="0"/>
                  <w:vAlign w:val="center"/>
                </w:tcPr>
                <w:p>
                  <w:pPr>
                    <w:widowControl/>
                    <w:spacing w:line="360" w:lineRule="auto"/>
                    <w:jc w:val="left"/>
                    <w:rPr>
                      <w:color w:val="auto"/>
                      <w:kern w:val="0"/>
                      <w:sz w:val="22"/>
                      <w:szCs w:val="22"/>
                      <w:u w:val="single" w:color="auto"/>
                    </w:rPr>
                  </w:pPr>
                </w:p>
              </w:tc>
              <w:tc>
                <w:tcPr>
                  <w:tcW w:w="699" w:type="pct"/>
                  <w:vMerge w:val="continue"/>
                  <w:noWrap w:val="0"/>
                  <w:vAlign w:val="center"/>
                </w:tcPr>
                <w:p>
                  <w:pPr>
                    <w:widowControl/>
                    <w:spacing w:line="360" w:lineRule="auto"/>
                    <w:jc w:val="left"/>
                    <w:rPr>
                      <w:rFonts w:ascii="宋体" w:hAnsi="Calibri"/>
                      <w:color w:val="auto"/>
                      <w:kern w:val="0"/>
                      <w:sz w:val="22"/>
                      <w:szCs w:val="22"/>
                      <w:u w:val="single" w:color="auto"/>
                    </w:rPr>
                  </w:pPr>
                </w:p>
              </w:tc>
              <w:tc>
                <w:tcPr>
                  <w:tcW w:w="1359" w:type="pct"/>
                  <w:noWrap w:val="0"/>
                  <w:vAlign w:val="center"/>
                </w:tcPr>
                <w:p>
                  <w:pPr>
                    <w:widowControl/>
                    <w:spacing w:line="360" w:lineRule="auto"/>
                    <w:jc w:val="center"/>
                    <w:rPr>
                      <w:color w:val="auto"/>
                      <w:kern w:val="0"/>
                      <w:sz w:val="22"/>
                      <w:szCs w:val="22"/>
                      <w:u w:val="single" w:color="auto"/>
                    </w:rPr>
                  </w:pPr>
                  <w:r>
                    <w:rPr>
                      <w:color w:val="auto"/>
                      <w:kern w:val="0"/>
                      <w:sz w:val="22"/>
                      <w:szCs w:val="22"/>
                      <w:u w:val="single" w:color="auto"/>
                    </w:rPr>
                    <w:t>处理效率</w:t>
                  </w:r>
                </w:p>
              </w:tc>
              <w:tc>
                <w:tcPr>
                  <w:tcW w:w="704" w:type="pct"/>
                  <w:noWrap w:val="0"/>
                  <w:vAlign w:val="center"/>
                </w:tcPr>
                <w:p>
                  <w:pPr>
                    <w:widowControl/>
                    <w:spacing w:line="360" w:lineRule="auto"/>
                    <w:jc w:val="center"/>
                    <w:rPr>
                      <w:color w:val="auto"/>
                      <w:kern w:val="0"/>
                      <w:sz w:val="22"/>
                      <w:szCs w:val="22"/>
                      <w:u w:val="single" w:color="auto"/>
                    </w:rPr>
                  </w:pPr>
                  <w:r>
                    <w:rPr>
                      <w:color w:val="auto"/>
                      <w:kern w:val="0"/>
                      <w:sz w:val="22"/>
                      <w:szCs w:val="22"/>
                      <w:u w:val="single" w:color="auto"/>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27" w:type="pct"/>
                  <w:noWrap w:val="0"/>
                  <w:vAlign w:val="center"/>
                </w:tcPr>
                <w:p>
                  <w:pPr>
                    <w:widowControl/>
                    <w:spacing w:line="360" w:lineRule="auto"/>
                    <w:jc w:val="center"/>
                    <w:rPr>
                      <w:rFonts w:ascii="宋体" w:hAnsi="Calibri"/>
                      <w:color w:val="auto"/>
                      <w:kern w:val="0"/>
                      <w:sz w:val="22"/>
                      <w:szCs w:val="22"/>
                      <w:u w:val="single" w:color="auto"/>
                    </w:rPr>
                  </w:pPr>
                  <w:r>
                    <w:rPr>
                      <w:rFonts w:ascii="宋体" w:hAnsi="宋体"/>
                      <w:color w:val="auto"/>
                      <w:kern w:val="0"/>
                      <w:sz w:val="22"/>
                      <w:szCs w:val="22"/>
                      <w:u w:val="single" w:color="auto"/>
                    </w:rPr>
                    <w:t>水泥</w:t>
                  </w:r>
                  <w:r>
                    <w:rPr>
                      <w:color w:val="auto"/>
                      <w:sz w:val="22"/>
                      <w:szCs w:val="22"/>
                      <w:u w:val="single" w:color="auto"/>
                    </w:rPr>
                    <w:t>仓</w:t>
                  </w:r>
                </w:p>
              </w:tc>
              <w:tc>
                <w:tcPr>
                  <w:tcW w:w="740" w:type="pct"/>
                  <w:noWrap w:val="0"/>
                  <w:vAlign w:val="center"/>
                </w:tcPr>
                <w:p>
                  <w:pPr>
                    <w:widowControl/>
                    <w:spacing w:line="360" w:lineRule="auto"/>
                    <w:jc w:val="center"/>
                    <w:rPr>
                      <w:rFonts w:hint="default" w:eastAsia="宋体"/>
                      <w:color w:val="auto"/>
                      <w:kern w:val="0"/>
                      <w:sz w:val="22"/>
                      <w:szCs w:val="22"/>
                      <w:u w:val="single" w:color="auto"/>
                      <w:lang w:val="en-US" w:eastAsia="zh-CN"/>
                    </w:rPr>
                  </w:pPr>
                  <w:r>
                    <w:rPr>
                      <w:rFonts w:hint="eastAsia"/>
                      <w:color w:val="auto"/>
                      <w:kern w:val="0"/>
                      <w:sz w:val="22"/>
                      <w:szCs w:val="22"/>
                      <w:u w:val="single" w:color="auto"/>
                      <w:lang w:val="en-US" w:eastAsia="zh-CN"/>
                    </w:rPr>
                    <w:t>500</w:t>
                  </w:r>
                </w:p>
              </w:tc>
              <w:tc>
                <w:tcPr>
                  <w:tcW w:w="868" w:type="pct"/>
                  <w:noWrap w:val="0"/>
                  <w:vAlign w:val="center"/>
                </w:tcPr>
                <w:p>
                  <w:pPr>
                    <w:spacing w:line="360" w:lineRule="auto"/>
                    <w:jc w:val="center"/>
                    <w:rPr>
                      <w:rFonts w:hint="default" w:eastAsia="宋体"/>
                      <w:color w:val="auto"/>
                      <w:kern w:val="0"/>
                      <w:sz w:val="22"/>
                      <w:szCs w:val="22"/>
                      <w:u w:val="single" w:color="auto"/>
                      <w:lang w:val="en-US" w:eastAsia="zh-CN"/>
                    </w:rPr>
                  </w:pPr>
                  <w:r>
                    <w:rPr>
                      <w:rFonts w:hint="eastAsia"/>
                      <w:color w:val="auto"/>
                      <w:kern w:val="0"/>
                      <w:sz w:val="22"/>
                      <w:szCs w:val="22"/>
                      <w:u w:val="single" w:color="auto"/>
                      <w:lang w:val="en-US" w:eastAsia="zh-CN"/>
                    </w:rPr>
                    <w:t>0.13</w:t>
                  </w:r>
                </w:p>
              </w:tc>
              <w:tc>
                <w:tcPr>
                  <w:tcW w:w="699" w:type="pct"/>
                  <w:noWrap w:val="0"/>
                  <w:vAlign w:val="center"/>
                </w:tcPr>
                <w:p>
                  <w:pPr>
                    <w:spacing w:line="360" w:lineRule="auto"/>
                    <w:jc w:val="center"/>
                    <w:rPr>
                      <w:rFonts w:hint="default" w:eastAsia="宋体"/>
                      <w:color w:val="auto"/>
                      <w:sz w:val="22"/>
                      <w:szCs w:val="22"/>
                      <w:u w:val="single" w:color="auto"/>
                      <w:lang w:val="en-US" w:eastAsia="zh-CN"/>
                    </w:rPr>
                  </w:pPr>
                  <w:r>
                    <w:rPr>
                      <w:rFonts w:hint="eastAsia"/>
                      <w:color w:val="auto"/>
                      <w:sz w:val="22"/>
                      <w:szCs w:val="22"/>
                      <w:u w:val="single" w:color="auto"/>
                      <w:lang w:val="en-US" w:eastAsia="zh-CN"/>
                    </w:rPr>
                    <w:t>0.065</w:t>
                  </w:r>
                </w:p>
              </w:tc>
              <w:tc>
                <w:tcPr>
                  <w:tcW w:w="1359" w:type="pct"/>
                  <w:noWrap w:val="0"/>
                  <w:vAlign w:val="center"/>
                </w:tcPr>
                <w:p>
                  <w:pPr>
                    <w:spacing w:line="360" w:lineRule="auto"/>
                    <w:jc w:val="center"/>
                    <w:rPr>
                      <w:rFonts w:hint="default"/>
                      <w:color w:val="auto"/>
                      <w:sz w:val="22"/>
                      <w:szCs w:val="22"/>
                      <w:u w:val="single" w:color="auto"/>
                    </w:rPr>
                  </w:pPr>
                  <w:r>
                    <w:rPr>
                      <w:color w:val="auto"/>
                      <w:sz w:val="22"/>
                      <w:szCs w:val="22"/>
                      <w:u w:val="single" w:color="auto"/>
                    </w:rPr>
                    <w:t>99.</w:t>
                  </w:r>
                  <w:r>
                    <w:rPr>
                      <w:rFonts w:hint="eastAsia"/>
                      <w:color w:val="auto"/>
                      <w:sz w:val="22"/>
                      <w:szCs w:val="22"/>
                      <w:u w:val="single" w:color="auto"/>
                      <w:lang w:val="en-US" w:eastAsia="zh-CN"/>
                    </w:rPr>
                    <w:t>7</w:t>
                  </w:r>
                  <w:r>
                    <w:rPr>
                      <w:color w:val="auto"/>
                      <w:sz w:val="22"/>
                      <w:szCs w:val="22"/>
                      <w:u w:val="single" w:color="auto"/>
                    </w:rPr>
                    <w:t>%</w:t>
                  </w:r>
                </w:p>
              </w:tc>
              <w:tc>
                <w:tcPr>
                  <w:tcW w:w="704" w:type="pct"/>
                  <w:noWrap w:val="0"/>
                  <w:vAlign w:val="center"/>
                </w:tcPr>
                <w:p>
                  <w:pPr>
                    <w:spacing w:line="360" w:lineRule="auto"/>
                    <w:jc w:val="center"/>
                    <w:rPr>
                      <w:rFonts w:hint="default" w:eastAsia="宋体"/>
                      <w:color w:val="auto"/>
                      <w:sz w:val="22"/>
                      <w:szCs w:val="22"/>
                      <w:u w:val="single" w:color="auto"/>
                      <w:lang w:val="en-US" w:eastAsia="zh-CN"/>
                    </w:rPr>
                  </w:pPr>
                  <w:r>
                    <w:rPr>
                      <w:rFonts w:hint="eastAsia"/>
                      <w:color w:val="auto"/>
                      <w:sz w:val="22"/>
                      <w:szCs w:val="22"/>
                      <w:u w:val="single" w:color="auto"/>
                      <w:lang w:val="en-US" w:eastAsia="zh-CN"/>
                    </w:rPr>
                    <w:t>0.000195</w:t>
                  </w:r>
                </w:p>
              </w:tc>
            </w:tr>
          </w:tbl>
          <w:p>
            <w:pPr>
              <w:snapToGrid w:val="0"/>
              <w:spacing w:line="360" w:lineRule="auto"/>
              <w:ind w:firstLine="466" w:firstLineChars="200"/>
              <w:rPr>
                <w:color w:val="auto"/>
                <w:sz w:val="24"/>
                <w:u w:val="single" w:color="auto"/>
              </w:rPr>
            </w:pPr>
            <w:r>
              <w:rPr>
                <w:color w:val="auto"/>
                <w:sz w:val="24"/>
                <w:u w:val="single" w:color="auto"/>
              </w:rPr>
              <w:t>由上表可知，项目</w:t>
            </w:r>
            <w:r>
              <w:rPr>
                <w:rFonts w:hint="eastAsia"/>
                <w:color w:val="auto"/>
                <w:sz w:val="24"/>
                <w:u w:val="single" w:color="auto"/>
                <w:lang w:val="en-US" w:eastAsia="zh-CN"/>
              </w:rPr>
              <w:t>筒仓</w:t>
            </w:r>
            <w:r>
              <w:rPr>
                <w:color w:val="auto"/>
                <w:sz w:val="24"/>
                <w:u w:val="single" w:color="auto"/>
              </w:rPr>
              <w:t>粉尘经仓顶脉冲式布袋除尘器处理处理后，</w:t>
            </w:r>
            <w:r>
              <w:rPr>
                <w:rFonts w:hint="eastAsia"/>
                <w:bCs/>
                <w:color w:val="auto"/>
                <w:kern w:val="0"/>
                <w:sz w:val="24"/>
                <w:u w:val="single" w:color="auto"/>
                <w:lang w:val="en-US" w:eastAsia="zh-CN"/>
              </w:rPr>
              <w:t>由仓顶呼吸阀（高度为10m）排放</w:t>
            </w:r>
            <w:r>
              <w:rPr>
                <w:rFonts w:hint="eastAsia"/>
                <w:bCs/>
                <w:color w:val="auto"/>
                <w:kern w:val="0"/>
                <w:sz w:val="24"/>
                <w:u w:val="single" w:color="auto"/>
              </w:rPr>
              <w:t>。</w:t>
            </w:r>
            <w:r>
              <w:rPr>
                <w:rFonts w:hint="eastAsia"/>
                <w:bCs/>
                <w:color w:val="auto"/>
                <w:kern w:val="0"/>
                <w:sz w:val="24"/>
                <w:u w:val="single" w:color="auto"/>
                <w:lang w:val="en-US" w:eastAsia="zh-CN"/>
              </w:rPr>
              <w:t>粉尘排放浓度可</w:t>
            </w:r>
            <w:r>
              <w:rPr>
                <w:rFonts w:hint="eastAsia"/>
                <w:bCs/>
                <w:color w:val="auto"/>
                <w:kern w:val="0"/>
                <w:sz w:val="24"/>
                <w:u w:val="single" w:color="auto"/>
              </w:rPr>
              <w:t>达到了《水泥工业大气污染物排放标准》(GB4915-2013)要求。收集的水泥粉尘直接回落到</w:t>
            </w:r>
            <w:r>
              <w:rPr>
                <w:rFonts w:hint="eastAsia"/>
                <w:bCs/>
                <w:color w:val="auto"/>
                <w:kern w:val="0"/>
                <w:sz w:val="24"/>
                <w:u w:val="single" w:color="auto"/>
                <w:lang w:val="en-US" w:eastAsia="zh-CN"/>
              </w:rPr>
              <w:t>石粉</w:t>
            </w:r>
            <w:r>
              <w:rPr>
                <w:rFonts w:hint="eastAsia"/>
                <w:bCs/>
                <w:color w:val="auto"/>
                <w:kern w:val="0"/>
                <w:sz w:val="24"/>
                <w:u w:val="single" w:color="auto"/>
              </w:rPr>
              <w:t>仓</w:t>
            </w:r>
            <w:r>
              <w:rPr>
                <w:rFonts w:hint="eastAsia"/>
                <w:color w:val="auto"/>
                <w:sz w:val="24"/>
                <w:u w:val="single" w:color="auto"/>
              </w:rPr>
              <w:t>。</w:t>
            </w:r>
          </w:p>
          <w:p>
            <w:pPr>
              <w:snapToGrid w:val="0"/>
              <w:spacing w:line="360" w:lineRule="auto"/>
              <w:ind w:firstLine="466" w:firstLineChars="200"/>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eastAsia="zh-CN"/>
              </w:rPr>
              <w:t>（</w:t>
            </w:r>
            <w:r>
              <w:rPr>
                <w:rFonts w:hint="eastAsia" w:cs="Times New Roman"/>
                <w:color w:val="auto"/>
                <w:sz w:val="24"/>
                <w:szCs w:val="24"/>
                <w:u w:val="single" w:color="auto"/>
                <w:lang w:val="en-US" w:eastAsia="zh-CN"/>
              </w:rPr>
              <w:t>4</w:t>
            </w:r>
            <w:r>
              <w:rPr>
                <w:rFonts w:hint="default" w:ascii="Times New Roman" w:hAnsi="Times New Roman" w:cs="Times New Roman"/>
                <w:color w:val="auto"/>
                <w:sz w:val="24"/>
                <w:szCs w:val="24"/>
                <w:u w:val="single" w:color="auto"/>
                <w:lang w:eastAsia="zh-CN"/>
              </w:rPr>
              <w:t>）</w:t>
            </w:r>
            <w:r>
              <w:rPr>
                <w:rFonts w:hint="eastAsia" w:cs="Times New Roman"/>
                <w:color w:val="auto"/>
                <w:sz w:val="24"/>
                <w:szCs w:val="24"/>
                <w:u w:val="single" w:color="auto"/>
                <w:lang w:val="en-US" w:eastAsia="zh-CN"/>
              </w:rPr>
              <w:t>喷漆、烘干废气</w:t>
            </w:r>
          </w:p>
          <w:p>
            <w:pPr>
              <w:spacing w:line="360" w:lineRule="auto"/>
              <w:ind w:firstLine="42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漆料用量一览表</w:t>
            </w:r>
          </w:p>
          <w:p>
            <w:pPr>
              <w:pStyle w:val="34"/>
              <w:ind w:left="0" w:leftChars="0"/>
              <w:jc w:val="center"/>
              <w:rPr>
                <w:rFonts w:hint="default" w:ascii="Times New Roman" w:hAnsi="Times New Roman" w:cs="Times New Roman"/>
                <w:b/>
                <w:color w:val="auto"/>
                <w:sz w:val="24"/>
                <w:u w:val="single" w:color="auto"/>
              </w:rPr>
            </w:pPr>
            <w:r>
              <w:rPr>
                <w:rFonts w:hint="default" w:ascii="Times New Roman" w:hAnsi="Times New Roman" w:cs="Times New Roman"/>
                <w:b/>
                <w:color w:val="auto"/>
                <w:sz w:val="24"/>
                <w:u w:val="single" w:color="auto"/>
              </w:rPr>
              <w:t>表5-</w:t>
            </w:r>
            <w:r>
              <w:rPr>
                <w:rFonts w:hint="eastAsia" w:cs="Times New Roman"/>
                <w:b/>
                <w:color w:val="auto"/>
                <w:sz w:val="24"/>
                <w:u w:val="single" w:color="auto"/>
                <w:lang w:val="en-US" w:eastAsia="zh-CN"/>
              </w:rPr>
              <w:t>3</w:t>
            </w:r>
            <w:r>
              <w:rPr>
                <w:rFonts w:hint="default" w:ascii="Times New Roman" w:hAnsi="Times New Roman" w:cs="Times New Roman"/>
                <w:b/>
                <w:color w:val="auto"/>
                <w:sz w:val="24"/>
                <w:u w:val="single" w:color="auto"/>
              </w:rPr>
              <w:t xml:space="preserve">  漆料用量一览表</w:t>
            </w:r>
          </w:p>
          <w:tbl>
            <w:tblPr>
              <w:tblStyle w:val="41"/>
              <w:tblW w:w="906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41"/>
              <w:gridCol w:w="42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41" w:type="dxa"/>
                  <w:tcBorders>
                    <w:tl2br w:val="nil"/>
                    <w:tr2bl w:val="nil"/>
                  </w:tcBorders>
                  <w:vAlign w:val="center"/>
                </w:tcPr>
                <w:p>
                  <w:pPr>
                    <w:spacing w:line="360" w:lineRule="auto"/>
                    <w:jc w:val="center"/>
                    <w:rPr>
                      <w:rFonts w:hint="default" w:ascii="Times New Roman" w:hAnsi="Times New Roman" w:cs="Times New Roman"/>
                      <w:b/>
                      <w:color w:val="auto"/>
                      <w:u w:val="single" w:color="auto"/>
                    </w:rPr>
                  </w:pPr>
                  <w:r>
                    <w:rPr>
                      <w:rFonts w:hint="default" w:ascii="Times New Roman" w:hAnsi="Times New Roman" w:cs="Times New Roman"/>
                      <w:b/>
                      <w:color w:val="auto"/>
                      <w:u w:val="single" w:color="auto"/>
                    </w:rPr>
                    <w:t>类别</w:t>
                  </w:r>
                </w:p>
              </w:tc>
              <w:tc>
                <w:tcPr>
                  <w:tcW w:w="4227" w:type="dxa"/>
                  <w:tcBorders>
                    <w:tl2br w:val="nil"/>
                    <w:tr2bl w:val="nil"/>
                  </w:tcBorders>
                  <w:vAlign w:val="center"/>
                </w:tcPr>
                <w:p>
                  <w:pPr>
                    <w:spacing w:line="360" w:lineRule="auto"/>
                    <w:jc w:val="center"/>
                    <w:rPr>
                      <w:rFonts w:hint="default" w:ascii="Times New Roman" w:hAnsi="Times New Roman" w:cs="Times New Roman"/>
                      <w:b/>
                      <w:color w:val="auto"/>
                      <w:u w:val="single" w:color="auto"/>
                    </w:rPr>
                  </w:pPr>
                  <w:r>
                    <w:rPr>
                      <w:rFonts w:hint="default" w:ascii="Times New Roman" w:hAnsi="Times New Roman" w:cs="Times New Roman"/>
                      <w:b/>
                      <w:color w:val="auto"/>
                      <w:u w:val="single" w:color="auto"/>
                    </w:rPr>
                    <w:t>本项目用量t/a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841" w:type="dxa"/>
                  <w:tcBorders>
                    <w:tl2br w:val="nil"/>
                    <w:tr2bl w:val="nil"/>
                  </w:tcBorders>
                  <w:vAlign w:val="center"/>
                </w:tcPr>
                <w:p>
                  <w:pPr>
                    <w:spacing w:line="360" w:lineRule="auto"/>
                    <w:jc w:val="center"/>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水性</w:t>
                  </w:r>
                  <w:r>
                    <w:rPr>
                      <w:rFonts w:hint="default" w:ascii="Times New Roman" w:hAnsi="Times New Roman" w:cs="Times New Roman"/>
                      <w:color w:val="auto"/>
                      <w:u w:val="single" w:color="auto"/>
                      <w:lang w:eastAsia="zh-CN"/>
                    </w:rPr>
                    <w:t>油</w:t>
                  </w:r>
                  <w:r>
                    <w:rPr>
                      <w:rFonts w:hint="default" w:ascii="Times New Roman" w:hAnsi="Times New Roman" w:cs="Times New Roman"/>
                      <w:color w:val="auto"/>
                      <w:u w:val="single" w:color="auto"/>
                    </w:rPr>
                    <w:t>漆</w:t>
                  </w:r>
                </w:p>
              </w:tc>
              <w:tc>
                <w:tcPr>
                  <w:tcW w:w="4227" w:type="dxa"/>
                  <w:tcBorders>
                    <w:tl2br w:val="nil"/>
                    <w:tr2bl w:val="nil"/>
                  </w:tcBorders>
                  <w:vAlign w:val="center"/>
                </w:tcPr>
                <w:p>
                  <w:pPr>
                    <w:spacing w:line="360" w:lineRule="auto"/>
                    <w:jc w:val="center"/>
                    <w:rPr>
                      <w:rFonts w:hint="default" w:ascii="Times New Roman" w:hAnsi="Times New Roman" w:eastAsia="宋体" w:cs="Times New Roman"/>
                      <w:color w:val="auto"/>
                      <w:u w:val="single" w:color="auto"/>
                      <w:lang w:val="en-US" w:eastAsia="zh-CN"/>
                    </w:rPr>
                  </w:pPr>
                  <w:r>
                    <w:rPr>
                      <w:rFonts w:hint="eastAsia" w:cs="Times New Roman"/>
                      <w:color w:val="auto"/>
                      <w:u w:val="single" w:color="auto"/>
                      <w:lang w:val="en-US" w:eastAsia="zh-CN"/>
                    </w:rPr>
                    <w:t>1.0</w:t>
                  </w:r>
                </w:p>
              </w:tc>
            </w:tr>
          </w:tbl>
          <w:p>
            <w:pPr>
              <w:pStyle w:val="174"/>
              <w:spacing w:line="360" w:lineRule="auto"/>
              <w:ind w:firstLine="480"/>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项目水性</w:t>
            </w:r>
            <w:r>
              <w:rPr>
                <w:rFonts w:hint="default" w:ascii="Times New Roman" w:hAnsi="Times New Roman" w:eastAsia="宋体" w:cs="Times New Roman"/>
                <w:color w:val="auto"/>
                <w:sz w:val="24"/>
                <w:szCs w:val="24"/>
                <w:u w:val="single" w:color="auto"/>
                <w:lang w:eastAsia="zh-CN"/>
              </w:rPr>
              <w:t>油</w:t>
            </w:r>
            <w:r>
              <w:rPr>
                <w:rFonts w:hint="default" w:ascii="Times New Roman" w:hAnsi="Times New Roman" w:eastAsia="宋体" w:cs="Times New Roman"/>
                <w:color w:val="auto"/>
                <w:sz w:val="24"/>
                <w:szCs w:val="24"/>
                <w:u w:val="single" w:color="auto"/>
              </w:rPr>
              <w:t>漆使用量为</w:t>
            </w:r>
            <w:r>
              <w:rPr>
                <w:rFonts w:hint="eastAsia" w:cs="Times New Roman"/>
                <w:color w:val="auto"/>
                <w:sz w:val="24"/>
                <w:szCs w:val="24"/>
                <w:u w:val="single" w:color="auto"/>
                <w:lang w:val="en-US" w:eastAsia="zh-CN"/>
              </w:rPr>
              <w:t>1.0</w:t>
            </w:r>
            <w:r>
              <w:rPr>
                <w:rFonts w:hint="default" w:ascii="Times New Roman" w:hAnsi="Times New Roman" w:eastAsia="宋体" w:cs="Times New Roman"/>
                <w:color w:val="auto"/>
                <w:sz w:val="24"/>
                <w:szCs w:val="24"/>
                <w:u w:val="single" w:color="auto"/>
              </w:rPr>
              <w:t>t/a，本项目水性漆可用水作为稀释剂。</w:t>
            </w:r>
          </w:p>
          <w:p>
            <w:pPr>
              <w:pStyle w:val="174"/>
              <w:spacing w:line="360" w:lineRule="auto"/>
              <w:ind w:firstLine="480"/>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喷漆车间在喷漆过程中产生的废气包含的主要污染因子为VOCs和颗粒物，其中颗粒物主要为漆雾。本项目废气处理设施处理范围包含整个喷漆车间。</w:t>
            </w:r>
            <w:r>
              <w:rPr>
                <w:rFonts w:hint="eastAsia" w:cs="Times New Roman"/>
                <w:color w:val="auto"/>
                <w:sz w:val="24"/>
                <w:szCs w:val="24"/>
                <w:u w:val="single" w:color="auto"/>
                <w:lang w:val="en-US" w:eastAsia="zh-CN"/>
              </w:rPr>
              <w:t>本项目集气罩设计</w:t>
            </w:r>
            <w:r>
              <w:rPr>
                <w:rFonts w:hint="default" w:ascii="Times New Roman" w:hAnsi="Times New Roman" w:eastAsia="宋体" w:cs="Times New Roman"/>
                <w:color w:val="auto"/>
                <w:sz w:val="24"/>
                <w:szCs w:val="24"/>
                <w:u w:val="single" w:color="auto"/>
              </w:rPr>
              <w:t>废气收集效率约为9</w:t>
            </w:r>
            <w:r>
              <w:rPr>
                <w:rFonts w:hint="eastAsia" w:cs="Times New Roman"/>
                <w:color w:val="auto"/>
                <w:sz w:val="24"/>
                <w:szCs w:val="24"/>
                <w:u w:val="single" w:color="auto"/>
                <w:lang w:val="en-US" w:eastAsia="zh-CN"/>
              </w:rPr>
              <w:t>0</w:t>
            </w:r>
            <w:r>
              <w:rPr>
                <w:rFonts w:hint="default" w:ascii="Times New Roman" w:hAnsi="Times New Roman" w:eastAsia="宋体" w:cs="Times New Roman"/>
                <w:color w:val="auto"/>
                <w:sz w:val="24"/>
                <w:szCs w:val="24"/>
                <w:u w:val="single" w:color="auto"/>
              </w:rPr>
              <w:t>%</w:t>
            </w:r>
            <w:r>
              <w:rPr>
                <w:rFonts w:hint="default" w:ascii="Times New Roman" w:hAnsi="Times New Roman" w:cs="Times New Roman"/>
                <w:color w:val="auto"/>
                <w:sz w:val="24"/>
                <w:szCs w:val="24"/>
                <w:u w:val="single" w:color="auto"/>
                <w:lang w:eastAsia="zh-CN"/>
              </w:rPr>
              <w:t>，项目喷漆房年工作时间为</w:t>
            </w:r>
            <w:r>
              <w:rPr>
                <w:rFonts w:hint="eastAsia" w:cs="Times New Roman"/>
                <w:color w:val="auto"/>
                <w:sz w:val="24"/>
                <w:szCs w:val="24"/>
                <w:u w:val="single" w:color="auto"/>
                <w:lang w:val="en-US" w:eastAsia="zh-CN"/>
              </w:rPr>
              <w:t>15</w:t>
            </w:r>
            <w:r>
              <w:rPr>
                <w:rFonts w:hint="default" w:ascii="Times New Roman" w:hAnsi="Times New Roman" w:cs="Times New Roman"/>
                <w:color w:val="auto"/>
                <w:sz w:val="24"/>
                <w:szCs w:val="24"/>
                <w:u w:val="single" w:color="auto"/>
                <w:lang w:val="en-US" w:eastAsia="zh-CN"/>
              </w:rPr>
              <w:t>00h</w:t>
            </w:r>
            <w:r>
              <w:rPr>
                <w:rFonts w:hint="default" w:ascii="Times New Roman" w:hAnsi="Times New Roman" w:eastAsia="宋体" w:cs="Times New Roman"/>
                <w:color w:val="auto"/>
                <w:sz w:val="24"/>
                <w:szCs w:val="24"/>
                <w:u w:val="single" w:color="auto"/>
              </w:rPr>
              <w:t>。</w:t>
            </w:r>
          </w:p>
          <w:p>
            <w:pPr>
              <w:pStyle w:val="174"/>
              <w:spacing w:line="360" w:lineRule="auto"/>
              <w:ind w:firstLine="480"/>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根据设计工件的上漆率约为90%；10%的油漆在喷漆房内因喷漆形成的颗粒物（主要为未被上漆的漆雾）。因此，本项目</w:t>
            </w:r>
            <w:r>
              <w:rPr>
                <w:rFonts w:hint="eastAsia" w:cs="Times New Roman"/>
                <w:color w:val="auto"/>
                <w:sz w:val="24"/>
                <w:szCs w:val="24"/>
                <w:u w:val="single" w:color="auto"/>
                <w:lang w:eastAsia="zh-CN"/>
              </w:rPr>
              <w:t>喷漆烘干废气</w:t>
            </w:r>
            <w:r>
              <w:rPr>
                <w:rFonts w:hint="default" w:ascii="Times New Roman" w:hAnsi="Times New Roman" w:eastAsia="宋体" w:cs="Times New Roman"/>
                <w:color w:val="auto"/>
                <w:sz w:val="24"/>
                <w:szCs w:val="24"/>
                <w:u w:val="single" w:color="auto"/>
              </w:rPr>
              <w:t>中漆雾产生量</w:t>
            </w:r>
            <w:r>
              <w:rPr>
                <w:rFonts w:hint="default" w:ascii="Times New Roman" w:hAnsi="Times New Roman" w:cs="Times New Roman"/>
                <w:color w:val="auto"/>
                <w:sz w:val="24"/>
                <w:szCs w:val="24"/>
                <w:u w:val="single" w:color="auto"/>
                <w:lang w:eastAsia="zh-CN"/>
              </w:rPr>
              <w:t>共</w:t>
            </w:r>
            <w:r>
              <w:rPr>
                <w:rFonts w:hint="default" w:ascii="Times New Roman" w:hAnsi="Times New Roman" w:eastAsia="宋体" w:cs="Times New Roman"/>
                <w:color w:val="auto"/>
                <w:sz w:val="24"/>
                <w:szCs w:val="24"/>
                <w:u w:val="single" w:color="auto"/>
              </w:rPr>
              <w:t>为</w:t>
            </w:r>
            <w:r>
              <w:rPr>
                <w:rFonts w:hint="default" w:ascii="Times New Roman" w:hAnsi="Times New Roman" w:eastAsia="宋体" w:cs="Times New Roman"/>
                <w:color w:val="auto"/>
                <w:sz w:val="24"/>
                <w:szCs w:val="24"/>
                <w:u w:val="single" w:color="auto"/>
                <w:lang w:val="en-US" w:eastAsia="zh-CN"/>
              </w:rPr>
              <w:t>0.</w:t>
            </w:r>
            <w:r>
              <w:rPr>
                <w:rFonts w:hint="eastAsia" w:cs="Times New Roman"/>
                <w:color w:val="auto"/>
                <w:sz w:val="24"/>
                <w:szCs w:val="24"/>
                <w:u w:val="single" w:color="auto"/>
                <w:lang w:val="en-US" w:eastAsia="zh-CN"/>
              </w:rPr>
              <w:t>10</w:t>
            </w:r>
            <w:r>
              <w:rPr>
                <w:rFonts w:hint="default" w:ascii="Times New Roman" w:hAnsi="Times New Roman" w:eastAsia="宋体" w:cs="Times New Roman"/>
                <w:color w:val="auto"/>
                <w:sz w:val="24"/>
                <w:szCs w:val="24"/>
                <w:u w:val="single" w:color="auto"/>
              </w:rPr>
              <w:t>t/a（</w:t>
            </w:r>
            <w:r>
              <w:rPr>
                <w:rFonts w:hint="eastAsia" w:cs="Times New Roman"/>
                <w:color w:val="auto"/>
                <w:sz w:val="24"/>
                <w:szCs w:val="24"/>
                <w:u w:val="single" w:color="auto"/>
                <w:lang w:val="en-US" w:eastAsia="zh-CN"/>
              </w:rPr>
              <w:t>0.067</w:t>
            </w:r>
            <w:r>
              <w:rPr>
                <w:rFonts w:hint="default" w:ascii="Times New Roman" w:hAnsi="Times New Roman" w:eastAsia="宋体" w:cs="Times New Roman"/>
                <w:color w:val="auto"/>
                <w:sz w:val="24"/>
                <w:szCs w:val="24"/>
                <w:u w:val="single" w:color="auto"/>
              </w:rPr>
              <w:t>kg/h）。</w:t>
            </w:r>
          </w:p>
          <w:p>
            <w:pPr>
              <w:pStyle w:val="174"/>
              <w:spacing w:line="360" w:lineRule="auto"/>
              <w:ind w:firstLine="480"/>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根据《湖南省制造业（工业涂装）VOCs排放量测算技术指南（试行）》（湖南省环境保护厅，2016.12）中方法1（物料衡算法）和参考表1进行测算，则本项目油漆涂装废气总产生量见下表。</w:t>
            </w:r>
          </w:p>
          <w:p>
            <w:pPr>
              <w:pStyle w:val="188"/>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表5-</w:t>
            </w:r>
            <w:r>
              <w:rPr>
                <w:rFonts w:hint="eastAsia" w:cs="Times New Roman"/>
                <w:color w:val="auto"/>
                <w:u w:val="single" w:color="auto"/>
                <w:lang w:val="en-US" w:eastAsia="zh-CN"/>
              </w:rPr>
              <w:t>4</w:t>
            </w:r>
            <w:r>
              <w:rPr>
                <w:rFonts w:hint="default" w:ascii="Times New Roman" w:hAnsi="Times New Roman" w:cs="Times New Roman"/>
                <w:color w:val="auto"/>
                <w:u w:val="single" w:color="auto"/>
              </w:rPr>
              <w:t xml:space="preserve">  物料中 VOC</w:t>
            </w:r>
            <w:r>
              <w:rPr>
                <w:rFonts w:hint="default" w:ascii="Times New Roman" w:hAnsi="Times New Roman" w:cs="Times New Roman"/>
                <w:color w:val="auto"/>
                <w:u w:val="single" w:color="auto"/>
                <w:vertAlign w:val="subscript"/>
              </w:rPr>
              <w:t>S</w:t>
            </w:r>
            <w:r>
              <w:rPr>
                <w:rFonts w:hint="default" w:ascii="Times New Roman" w:hAnsi="Times New Roman" w:cs="Times New Roman"/>
                <w:color w:val="auto"/>
                <w:u w:val="single" w:color="auto"/>
              </w:rPr>
              <w:t xml:space="preserve"> 含量</w:t>
            </w:r>
          </w:p>
          <w:tbl>
            <w:tblPr>
              <w:tblStyle w:val="40"/>
              <w:tblW w:w="90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4214"/>
              <w:gridCol w:w="25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7" w:type="dxa"/>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行业类别</w:t>
                  </w:r>
                </w:p>
              </w:tc>
              <w:tc>
                <w:tcPr>
                  <w:tcW w:w="4214" w:type="dxa"/>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物料</w:t>
                  </w:r>
                </w:p>
              </w:tc>
              <w:tc>
                <w:tcPr>
                  <w:tcW w:w="2587" w:type="dxa"/>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VOCs 质量含量（%）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7" w:type="dxa"/>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制造业通用系数</w:t>
                  </w:r>
                </w:p>
              </w:tc>
              <w:tc>
                <w:tcPr>
                  <w:tcW w:w="4214" w:type="dxa"/>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水性涂料</w:t>
                  </w:r>
                </w:p>
              </w:tc>
              <w:tc>
                <w:tcPr>
                  <w:tcW w:w="2587" w:type="dxa"/>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15</w:t>
                  </w:r>
                </w:p>
              </w:tc>
            </w:tr>
          </w:tbl>
          <w:p>
            <w:pPr>
              <w:pStyle w:val="174"/>
              <w:spacing w:line="240" w:lineRule="auto"/>
              <w:ind w:firstLine="0" w:firstLineChars="0"/>
              <w:rPr>
                <w:rFonts w:hint="default" w:ascii="Times New Roman" w:hAnsi="Times New Roman" w:eastAsia="宋体" w:cs="Times New Roman"/>
                <w:color w:val="auto"/>
                <w:sz w:val="21"/>
                <w:szCs w:val="21"/>
                <w:u w:val="single" w:color="auto"/>
                <w:lang w:eastAsia="zh-CN"/>
              </w:rPr>
            </w:pPr>
            <w:r>
              <w:rPr>
                <w:rFonts w:hint="default" w:ascii="Times New Roman" w:hAnsi="Times New Roman" w:cs="Times New Roman"/>
                <w:color w:val="auto"/>
                <w:sz w:val="21"/>
                <w:szCs w:val="21"/>
                <w:u w:val="single" w:color="auto"/>
              </w:rPr>
              <w:t>注：源于《湖南省制造业（工业涂装）VOCs排放量测算技术指南（试行）》（湖南省环境保护厅，2016.12）中方法1表1。</w:t>
            </w:r>
          </w:p>
          <w:p>
            <w:pPr>
              <w:pStyle w:val="188"/>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表5-</w:t>
            </w:r>
            <w:r>
              <w:rPr>
                <w:rFonts w:hint="eastAsia" w:cs="Times New Roman"/>
                <w:color w:val="auto"/>
                <w:u w:val="single" w:color="auto"/>
                <w:lang w:val="en-US" w:eastAsia="zh-CN"/>
              </w:rPr>
              <w:t>5</w:t>
            </w:r>
            <w:r>
              <w:rPr>
                <w:rFonts w:hint="default" w:ascii="Times New Roman" w:hAnsi="Times New Roman" w:cs="Times New Roman"/>
                <w:color w:val="auto"/>
                <w:u w:val="single" w:color="auto"/>
              </w:rPr>
              <w:t xml:space="preserve">  项目油漆废气污染物产生量一览表</w:t>
            </w:r>
          </w:p>
          <w:tbl>
            <w:tblPr>
              <w:tblStyle w:val="40"/>
              <w:tblW w:w="90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989"/>
              <w:gridCol w:w="1598"/>
              <w:gridCol w:w="2505"/>
              <w:gridCol w:w="21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0"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序号</w:t>
                  </w:r>
                </w:p>
              </w:tc>
              <w:tc>
                <w:tcPr>
                  <w:tcW w:w="1989"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污染物</w:t>
                  </w:r>
                </w:p>
              </w:tc>
              <w:tc>
                <w:tcPr>
                  <w:tcW w:w="1598"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使用量（t/a）</w:t>
                  </w:r>
                </w:p>
              </w:tc>
              <w:tc>
                <w:tcPr>
                  <w:tcW w:w="2505"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VOCs 质量含量（%）</w:t>
                  </w:r>
                </w:p>
              </w:tc>
              <w:tc>
                <w:tcPr>
                  <w:tcW w:w="2146"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VOCs产生量（t/a）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0"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val="en-US" w:eastAsia="zh-CN"/>
                    </w:rPr>
                    <w:t>1</w:t>
                  </w:r>
                </w:p>
              </w:tc>
              <w:tc>
                <w:tcPr>
                  <w:tcW w:w="1989"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rPr>
                    <w:t>水性油漆</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喷漆房</w:t>
                  </w:r>
                  <w:r>
                    <w:rPr>
                      <w:rFonts w:hint="default" w:ascii="Times New Roman" w:hAnsi="Times New Roman" w:cs="Times New Roman"/>
                      <w:color w:val="auto"/>
                      <w:sz w:val="22"/>
                      <w:szCs w:val="22"/>
                      <w:u w:val="single" w:color="auto"/>
                      <w:lang w:eastAsia="zh-CN"/>
                    </w:rPr>
                    <w:t>）</w:t>
                  </w:r>
                </w:p>
              </w:tc>
              <w:tc>
                <w:tcPr>
                  <w:tcW w:w="1598"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1.0</w:t>
                  </w:r>
                </w:p>
              </w:tc>
              <w:tc>
                <w:tcPr>
                  <w:tcW w:w="2505" w:type="dxa"/>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15</w:t>
                  </w:r>
                </w:p>
              </w:tc>
              <w:tc>
                <w:tcPr>
                  <w:tcW w:w="2146"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2" w:type="dxa"/>
                  <w:gridSpan w:val="4"/>
                  <w:tcBorders>
                    <w:tl2br w:val="nil"/>
                    <w:tr2bl w:val="nil"/>
                  </w:tcBorders>
                  <w:noWrap w:val="0"/>
                  <w:vAlign w:val="center"/>
                </w:tcPr>
                <w:p>
                  <w:pPr>
                    <w:pStyle w:val="186"/>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合计</w:t>
                  </w:r>
                </w:p>
              </w:tc>
              <w:tc>
                <w:tcPr>
                  <w:tcW w:w="2146" w:type="dxa"/>
                  <w:tcBorders>
                    <w:tl2br w:val="nil"/>
                    <w:tr2bl w:val="nil"/>
                  </w:tcBorders>
                  <w:noWrap w:val="0"/>
                  <w:vAlign w:val="center"/>
                </w:tcPr>
                <w:p>
                  <w:pPr>
                    <w:pStyle w:val="186"/>
                    <w:spacing w:line="360" w:lineRule="auto"/>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0.15</w:t>
                  </w:r>
                </w:p>
              </w:tc>
            </w:tr>
          </w:tbl>
          <w:p>
            <w:pPr>
              <w:pStyle w:val="174"/>
              <w:spacing w:line="360" w:lineRule="auto"/>
              <w:ind w:firstLine="480"/>
              <w:rPr>
                <w:rStyle w:val="189"/>
                <w:rFonts w:hint="default" w:ascii="Times New Roman" w:hAnsi="Times New Roman" w:cs="Times New Roman"/>
                <w:color w:val="auto"/>
                <w:sz w:val="24"/>
                <w:szCs w:val="24"/>
                <w:u w:val="single" w:color="auto"/>
              </w:rPr>
            </w:pPr>
            <w:r>
              <w:rPr>
                <w:rFonts w:hint="default" w:ascii="Times New Roman" w:hAnsi="Times New Roman" w:eastAsia="宋体" w:cs="Times New Roman"/>
                <w:color w:val="auto"/>
                <w:sz w:val="24"/>
                <w:szCs w:val="24"/>
                <w:u w:val="single" w:color="auto"/>
              </w:rPr>
              <w:t>根据上表得知，本项目废气VOCs产生量约</w:t>
            </w:r>
            <w:r>
              <w:rPr>
                <w:rFonts w:hint="eastAsia" w:cs="Times New Roman"/>
                <w:color w:val="auto"/>
                <w:sz w:val="24"/>
                <w:szCs w:val="24"/>
                <w:u w:val="single" w:color="auto"/>
                <w:lang w:val="en-US" w:eastAsia="zh-CN"/>
              </w:rPr>
              <w:t>0.15</w:t>
            </w:r>
            <w:r>
              <w:rPr>
                <w:rFonts w:hint="default" w:ascii="Times New Roman" w:hAnsi="Times New Roman" w:eastAsia="宋体" w:cs="Times New Roman"/>
                <w:color w:val="auto"/>
                <w:sz w:val="24"/>
                <w:szCs w:val="24"/>
                <w:u w:val="single" w:color="auto"/>
              </w:rPr>
              <w:t>t/a（</w:t>
            </w:r>
            <w:r>
              <w:rPr>
                <w:rFonts w:hint="eastAsia" w:cs="Times New Roman"/>
                <w:color w:val="auto"/>
                <w:sz w:val="24"/>
                <w:szCs w:val="24"/>
                <w:u w:val="single" w:color="auto"/>
                <w:lang w:val="en-US" w:eastAsia="zh-CN"/>
              </w:rPr>
              <w:t>0.10</w:t>
            </w:r>
            <w:r>
              <w:rPr>
                <w:rFonts w:hint="default" w:ascii="Times New Roman" w:hAnsi="Times New Roman" w:eastAsia="宋体" w:cs="Times New Roman"/>
                <w:color w:val="auto"/>
                <w:sz w:val="24"/>
                <w:szCs w:val="24"/>
                <w:u w:val="single" w:color="auto"/>
              </w:rPr>
              <w:t>kg/h）</w:t>
            </w:r>
            <w:r>
              <w:rPr>
                <w:rStyle w:val="189"/>
                <w:rFonts w:hint="default" w:ascii="Times New Roman" w:hAnsi="Times New Roman" w:cs="Times New Roman"/>
                <w:color w:val="auto"/>
                <w:sz w:val="24"/>
                <w:szCs w:val="24"/>
                <w:u w:val="single" w:color="auto"/>
              </w:rPr>
              <w:t>。</w:t>
            </w:r>
          </w:p>
          <w:p>
            <w:pPr>
              <w:spacing w:line="360" w:lineRule="auto"/>
              <w:ind w:firstLine="466" w:firstLineChars="200"/>
              <w:rPr>
                <w:rFonts w:hint="eastAsia" w:cs="Times New Roman"/>
                <w:color w:val="auto"/>
                <w:sz w:val="24"/>
                <w:szCs w:val="24"/>
                <w:u w:val="single" w:color="auto"/>
                <w:lang w:val="en-US" w:eastAsia="zh-CN"/>
              </w:rPr>
            </w:pPr>
            <w:r>
              <w:rPr>
                <w:rFonts w:hint="eastAsia" w:cs="Times New Roman"/>
                <w:color w:val="auto"/>
                <w:sz w:val="24"/>
                <w:szCs w:val="24"/>
                <w:u w:val="single" w:color="auto"/>
                <w:lang w:val="en-US" w:eastAsia="zh-CN"/>
              </w:rPr>
              <w:t>根据现场勘查，项目喷漆、烘干废气现为无组织排放，因此本环评建议，项目喷漆烘干处增加集气罩收集后在经过滤棉+活性炭吸附设施处理后由15m高排气筒高空排放。</w:t>
            </w:r>
          </w:p>
          <w:p>
            <w:pPr>
              <w:spacing w:line="360" w:lineRule="auto"/>
              <w:ind w:firstLine="466" w:firstLineChars="200"/>
              <w:rPr>
                <w:rFonts w:hint="default" w:ascii="Times New Roman" w:hAnsi="Times New Roman" w:cs="Times New Roman"/>
                <w:color w:val="auto"/>
                <w:sz w:val="24"/>
                <w:u w:val="single" w:color="auto"/>
              </w:rPr>
            </w:pPr>
            <w:r>
              <w:rPr>
                <w:rFonts w:hint="default" w:ascii="Times New Roman" w:hAnsi="Times New Roman" w:eastAsia="宋体" w:cs="Times New Roman"/>
                <w:color w:val="auto"/>
                <w:sz w:val="24"/>
                <w:szCs w:val="24"/>
                <w:u w:val="single" w:color="auto"/>
              </w:rPr>
              <w:t>废气（漆雾、VOCs）经</w:t>
            </w:r>
            <w:r>
              <w:rPr>
                <w:rFonts w:hint="default" w:ascii="Times New Roman" w:hAnsi="Times New Roman" w:cs="Times New Roman"/>
                <w:bCs/>
                <w:color w:val="auto"/>
                <w:sz w:val="24"/>
                <w:szCs w:val="24"/>
                <w:u w:val="single" w:color="auto"/>
                <w:lang w:eastAsia="zh-CN"/>
              </w:rPr>
              <w:t>过滤棉</w:t>
            </w:r>
            <w:r>
              <w:rPr>
                <w:rFonts w:hint="default" w:ascii="Times New Roman" w:hAnsi="Times New Roman" w:eastAsia="宋体" w:cs="Times New Roman"/>
                <w:bCs/>
                <w:color w:val="auto"/>
                <w:sz w:val="24"/>
                <w:szCs w:val="24"/>
                <w:u w:val="single" w:color="auto"/>
              </w:rPr>
              <w:t>装置</w:t>
            </w:r>
            <w:r>
              <w:rPr>
                <w:rFonts w:hint="default" w:ascii="Times New Roman" w:hAnsi="Times New Roman" w:cs="Times New Roman"/>
                <w:bCs/>
                <w:color w:val="auto"/>
                <w:sz w:val="24"/>
                <w:szCs w:val="24"/>
                <w:u w:val="single" w:color="auto"/>
                <w:lang w:eastAsia="zh-CN"/>
              </w:rPr>
              <w:t>处理</w:t>
            </w:r>
            <w:r>
              <w:rPr>
                <w:rFonts w:hint="default" w:ascii="Times New Roman" w:hAnsi="Times New Roman" w:eastAsia="宋体" w:cs="Times New Roman"/>
                <w:bCs/>
                <w:color w:val="auto"/>
                <w:sz w:val="24"/>
                <w:szCs w:val="24"/>
                <w:u w:val="single" w:color="auto"/>
              </w:rPr>
              <w:t>后，其中极大部分漆</w:t>
            </w:r>
            <w:r>
              <w:rPr>
                <w:rFonts w:hint="default" w:ascii="Times New Roman" w:hAnsi="Times New Roman" w:cs="Times New Roman"/>
                <w:bCs/>
                <w:color w:val="auto"/>
                <w:sz w:val="24"/>
                <w:szCs w:val="24"/>
                <w:u w:val="single" w:color="auto"/>
                <w:lang w:eastAsia="zh-CN"/>
              </w:rPr>
              <w:t>雾</w:t>
            </w:r>
            <w:r>
              <w:rPr>
                <w:rFonts w:hint="default" w:ascii="Times New Roman" w:hAnsi="Times New Roman" w:eastAsia="宋体" w:cs="Times New Roman"/>
                <w:bCs/>
                <w:color w:val="auto"/>
                <w:sz w:val="24"/>
                <w:szCs w:val="24"/>
                <w:u w:val="single" w:color="auto"/>
              </w:rPr>
              <w:t>吸附沉淀为</w:t>
            </w:r>
            <w:r>
              <w:rPr>
                <w:rFonts w:hint="default" w:ascii="Times New Roman" w:hAnsi="Times New Roman" w:cs="Times New Roman"/>
                <w:bCs/>
                <w:color w:val="auto"/>
                <w:sz w:val="24"/>
                <w:szCs w:val="24"/>
                <w:u w:val="single" w:color="auto"/>
                <w:lang w:eastAsia="zh-CN"/>
              </w:rPr>
              <w:t>沉</w:t>
            </w:r>
            <w:r>
              <w:rPr>
                <w:rFonts w:hint="default" w:ascii="Times New Roman" w:hAnsi="Times New Roman" w:eastAsia="宋体" w:cs="Times New Roman"/>
                <w:bCs/>
                <w:color w:val="auto"/>
                <w:sz w:val="24"/>
                <w:szCs w:val="24"/>
                <w:u w:val="single" w:color="auto"/>
              </w:rPr>
              <w:t>渣（漆雾处理效率为90</w:t>
            </w:r>
            <w:r>
              <w:rPr>
                <w:rFonts w:hint="default" w:ascii="Times New Roman" w:hAnsi="Times New Roman" w:eastAsia="宋体" w:cs="Times New Roman"/>
                <w:color w:val="auto"/>
                <w:sz w:val="24"/>
                <w:szCs w:val="24"/>
                <w:u w:val="single" w:color="auto"/>
              </w:rPr>
              <w:t>%</w:t>
            </w:r>
            <w:r>
              <w:rPr>
                <w:rFonts w:hint="default" w:ascii="Times New Roman" w:hAnsi="Times New Roman" w:eastAsia="宋体" w:cs="Times New Roman"/>
                <w:bCs/>
                <w:color w:val="auto"/>
                <w:sz w:val="24"/>
                <w:szCs w:val="24"/>
                <w:u w:val="single" w:color="auto"/>
              </w:rPr>
              <w:t>）。</w:t>
            </w:r>
            <w:r>
              <w:rPr>
                <w:rFonts w:hint="eastAsia" w:cs="Times New Roman"/>
                <w:bCs/>
                <w:color w:val="auto"/>
                <w:sz w:val="24"/>
                <w:szCs w:val="24"/>
                <w:u w:val="single" w:color="auto"/>
                <w:lang w:val="en-US" w:eastAsia="zh-CN"/>
              </w:rPr>
              <w:t>再</w:t>
            </w:r>
            <w:r>
              <w:rPr>
                <w:rFonts w:hint="default" w:ascii="Times New Roman" w:hAnsi="Times New Roman" w:eastAsia="宋体" w:cs="Times New Roman"/>
                <w:bCs/>
                <w:color w:val="auto"/>
                <w:sz w:val="24"/>
                <w:szCs w:val="24"/>
                <w:u w:val="single" w:color="auto"/>
              </w:rPr>
              <w:t>将废气</w:t>
            </w:r>
            <w:r>
              <w:rPr>
                <w:rFonts w:hint="default" w:ascii="Times New Roman" w:hAnsi="Times New Roman" w:eastAsia="宋体" w:cs="Times New Roman"/>
                <w:color w:val="auto"/>
                <w:sz w:val="24"/>
                <w:szCs w:val="24"/>
                <w:u w:val="single" w:color="auto"/>
              </w:rPr>
              <w:t>引入</w:t>
            </w:r>
            <w:r>
              <w:rPr>
                <w:rFonts w:hint="default" w:ascii="Times New Roman" w:hAnsi="Times New Roman" w:eastAsia="宋体" w:cs="Times New Roman"/>
                <w:color w:val="auto"/>
                <w:sz w:val="24"/>
                <w:szCs w:val="24"/>
                <w:u w:val="single" w:color="auto"/>
                <w:lang w:eastAsia="zh-CN"/>
              </w:rPr>
              <w:t>活性炭吸附装置</w:t>
            </w:r>
            <w:r>
              <w:rPr>
                <w:rFonts w:hint="default" w:ascii="Times New Roman" w:hAnsi="Times New Roman" w:eastAsia="宋体" w:cs="Times New Roman"/>
                <w:color w:val="auto"/>
                <w:sz w:val="24"/>
                <w:szCs w:val="24"/>
                <w:u w:val="single" w:color="auto"/>
              </w:rPr>
              <w:t>，其对VOCs的</w:t>
            </w:r>
            <w:r>
              <w:rPr>
                <w:rFonts w:hint="default" w:ascii="Times New Roman" w:hAnsi="Times New Roman" w:eastAsia="宋体" w:cs="Times New Roman"/>
                <w:color w:val="auto"/>
                <w:sz w:val="24"/>
                <w:szCs w:val="24"/>
                <w:u w:val="single" w:color="auto"/>
                <w:lang w:eastAsia="zh-CN"/>
              </w:rPr>
              <w:t>吸附</w:t>
            </w:r>
            <w:r>
              <w:rPr>
                <w:rFonts w:hint="default" w:ascii="Times New Roman" w:hAnsi="Times New Roman" w:cs="Times New Roman"/>
                <w:color w:val="auto"/>
                <w:sz w:val="24"/>
                <w:szCs w:val="24"/>
                <w:u w:val="single" w:color="auto"/>
                <w:lang w:eastAsia="zh-CN"/>
              </w:rPr>
              <w:t>处理</w:t>
            </w:r>
            <w:r>
              <w:rPr>
                <w:rFonts w:hint="default" w:ascii="Times New Roman" w:hAnsi="Times New Roman" w:eastAsia="宋体" w:cs="Times New Roman"/>
                <w:color w:val="auto"/>
                <w:sz w:val="24"/>
                <w:szCs w:val="24"/>
                <w:u w:val="single" w:color="auto"/>
              </w:rPr>
              <w:t>效率为</w:t>
            </w:r>
            <w:r>
              <w:rPr>
                <w:rFonts w:hint="default" w:ascii="Times New Roman" w:hAnsi="Times New Roman" w:eastAsia="宋体" w:cs="Times New Roman"/>
                <w:color w:val="auto"/>
                <w:sz w:val="24"/>
                <w:szCs w:val="24"/>
                <w:u w:val="single" w:color="auto"/>
                <w:lang w:val="en-US" w:eastAsia="zh-CN"/>
              </w:rPr>
              <w:t>8</w:t>
            </w:r>
            <w:r>
              <w:rPr>
                <w:rFonts w:hint="default" w:ascii="Times New Roman" w:hAnsi="Times New Roman" w:eastAsia="宋体" w:cs="Times New Roman"/>
                <w:color w:val="auto"/>
                <w:sz w:val="24"/>
                <w:szCs w:val="24"/>
                <w:u w:val="single" w:color="auto"/>
              </w:rPr>
              <w:t>0%</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设计风量为3000m</w:t>
            </w:r>
            <w:r>
              <w:rPr>
                <w:rFonts w:hint="eastAsia" w:cs="Times New Roman"/>
                <w:color w:val="auto"/>
                <w:sz w:val="24"/>
                <w:szCs w:val="24"/>
                <w:u w:val="single" w:color="auto"/>
                <w:vertAlign w:val="superscript"/>
                <w:lang w:val="en-US" w:eastAsia="zh-CN"/>
              </w:rPr>
              <w:t>3</w:t>
            </w:r>
            <w:r>
              <w:rPr>
                <w:rFonts w:hint="eastAsia" w:cs="Times New Roman"/>
                <w:color w:val="auto"/>
                <w:sz w:val="24"/>
                <w:szCs w:val="24"/>
                <w:u w:val="single" w:color="auto"/>
                <w:lang w:val="en-US" w:eastAsia="zh-CN"/>
              </w:rPr>
              <w:t>/h</w:t>
            </w:r>
            <w:r>
              <w:rPr>
                <w:rFonts w:hint="default" w:ascii="Times New Roman" w:hAnsi="Times New Roman" w:cs="Times New Roman"/>
                <w:color w:val="auto"/>
                <w:sz w:val="24"/>
                <w:szCs w:val="24"/>
                <w:u w:val="single" w:color="auto"/>
                <w:lang w:eastAsia="zh-CN"/>
              </w:rPr>
              <w:t>，喷漆</w:t>
            </w:r>
            <w:r>
              <w:rPr>
                <w:rFonts w:hint="eastAsia" w:cs="Times New Roman"/>
                <w:color w:val="auto"/>
                <w:sz w:val="24"/>
                <w:szCs w:val="24"/>
                <w:u w:val="single" w:color="auto"/>
                <w:lang w:val="en-US" w:eastAsia="zh-CN"/>
              </w:rPr>
              <w:t>烘干</w:t>
            </w:r>
            <w:r>
              <w:rPr>
                <w:rFonts w:hint="default" w:ascii="Times New Roman" w:hAnsi="Times New Roman" w:cs="Times New Roman"/>
                <w:color w:val="auto"/>
                <w:sz w:val="24"/>
                <w:szCs w:val="24"/>
                <w:u w:val="single" w:color="auto"/>
                <w:lang w:eastAsia="zh-CN"/>
              </w:rPr>
              <w:t>房废气经</w:t>
            </w:r>
            <w:r>
              <w:rPr>
                <w:rFonts w:hint="default" w:ascii="Times New Roman" w:hAnsi="Times New Roman" w:cs="Times New Roman"/>
                <w:color w:val="auto"/>
                <w:sz w:val="24"/>
                <w:szCs w:val="24"/>
                <w:u w:val="single" w:color="auto"/>
                <w:lang w:val="en-US" w:eastAsia="zh-CN"/>
              </w:rPr>
              <w:t>处理后</w:t>
            </w:r>
            <w:r>
              <w:rPr>
                <w:rFonts w:hint="default" w:ascii="Times New Roman" w:hAnsi="Times New Roman" w:eastAsia="宋体" w:cs="Times New Roman"/>
                <w:color w:val="auto"/>
                <w:sz w:val="24"/>
                <w:szCs w:val="24"/>
                <w:u w:val="single" w:color="auto"/>
              </w:rPr>
              <w:t>VOCs有组织排放量为</w:t>
            </w:r>
            <w:r>
              <w:rPr>
                <w:rFonts w:hint="eastAsia" w:cs="Times New Roman"/>
                <w:color w:val="auto"/>
                <w:sz w:val="24"/>
                <w:szCs w:val="24"/>
                <w:u w:val="single" w:color="auto"/>
                <w:lang w:val="en-US" w:eastAsia="zh-CN"/>
              </w:rPr>
              <w:t>0.027</w:t>
            </w:r>
            <w:r>
              <w:rPr>
                <w:rFonts w:hint="default" w:ascii="Times New Roman" w:hAnsi="Times New Roman" w:eastAsia="宋体" w:cs="Times New Roman"/>
                <w:color w:val="auto"/>
                <w:sz w:val="24"/>
                <w:szCs w:val="24"/>
                <w:u w:val="single" w:color="auto"/>
              </w:rPr>
              <w:t>t/a（</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018</w:t>
            </w:r>
            <w:r>
              <w:rPr>
                <w:rFonts w:hint="default" w:ascii="Times New Roman" w:hAnsi="Times New Roman" w:eastAsia="宋体" w:cs="Times New Roman"/>
                <w:color w:val="auto"/>
                <w:sz w:val="24"/>
                <w:szCs w:val="24"/>
                <w:u w:val="single" w:color="auto"/>
              </w:rPr>
              <w:t>kg/h</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6</w:t>
            </w:r>
            <w:r>
              <w:rPr>
                <w:rFonts w:hint="default" w:ascii="Times New Roman" w:hAnsi="Times New Roman" w:eastAsia="宋体" w:cs="Times New Roman"/>
                <w:color w:val="auto"/>
                <w:sz w:val="24"/>
                <w:szCs w:val="24"/>
                <w:u w:val="single" w:color="auto"/>
              </w:rPr>
              <w:t>mg/m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w:t>
            </w:r>
            <w:r>
              <w:rPr>
                <w:rFonts w:hint="default" w:ascii="Times New Roman" w:hAnsi="Times New Roman"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VOCs无组织排放量为</w:t>
            </w:r>
            <w:r>
              <w:rPr>
                <w:rFonts w:hint="eastAsia" w:cs="Times New Roman"/>
                <w:color w:val="auto"/>
                <w:sz w:val="24"/>
                <w:szCs w:val="24"/>
                <w:u w:val="single" w:color="auto"/>
                <w:lang w:val="en-US" w:eastAsia="zh-CN"/>
              </w:rPr>
              <w:t>0.015</w:t>
            </w:r>
            <w:r>
              <w:rPr>
                <w:rFonts w:hint="default" w:ascii="Times New Roman" w:hAnsi="Times New Roman" w:eastAsia="宋体" w:cs="Times New Roman"/>
                <w:color w:val="auto"/>
                <w:sz w:val="24"/>
                <w:szCs w:val="24"/>
                <w:u w:val="single" w:color="auto"/>
              </w:rPr>
              <w:t>t/a（</w:t>
            </w:r>
            <w:r>
              <w:rPr>
                <w:rFonts w:hint="eastAsia" w:cs="Times New Roman"/>
                <w:color w:val="auto"/>
                <w:sz w:val="24"/>
                <w:szCs w:val="24"/>
                <w:u w:val="single" w:color="auto"/>
                <w:lang w:val="en-US" w:eastAsia="zh-CN"/>
              </w:rPr>
              <w:t>0.01</w:t>
            </w:r>
            <w:r>
              <w:rPr>
                <w:rFonts w:hint="default" w:ascii="Times New Roman" w:hAnsi="Times New Roman" w:eastAsia="宋体" w:cs="Times New Roman"/>
                <w:color w:val="auto"/>
                <w:sz w:val="24"/>
                <w:szCs w:val="24"/>
                <w:u w:val="single" w:color="auto"/>
              </w:rPr>
              <w:t>kg/h）</w:t>
            </w:r>
            <w:r>
              <w:rPr>
                <w:rFonts w:hint="default" w:ascii="Times New Roman" w:hAnsi="Times New Roman"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颗粒物有组织排放量为</w:t>
            </w:r>
            <w:r>
              <w:rPr>
                <w:rFonts w:hint="default" w:ascii="Times New Roman" w:hAnsi="Times New Roman" w:eastAsia="宋体" w:cs="Times New Roman"/>
                <w:color w:val="auto"/>
                <w:sz w:val="24"/>
                <w:szCs w:val="24"/>
                <w:u w:val="single" w:color="auto"/>
                <w:lang w:val="en-US" w:eastAsia="zh-CN"/>
              </w:rPr>
              <w:t>0.</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09</w:t>
            </w:r>
            <w:r>
              <w:rPr>
                <w:rFonts w:hint="default" w:ascii="Times New Roman" w:hAnsi="Times New Roman" w:eastAsia="宋体" w:cs="Times New Roman"/>
                <w:color w:val="auto"/>
                <w:sz w:val="24"/>
                <w:szCs w:val="24"/>
                <w:u w:val="single" w:color="auto"/>
              </w:rPr>
              <w:t>t/a（</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006</w:t>
            </w:r>
            <w:r>
              <w:rPr>
                <w:rFonts w:hint="default" w:ascii="Times New Roman" w:hAnsi="Times New Roman" w:eastAsia="宋体" w:cs="Times New Roman"/>
                <w:color w:val="auto"/>
                <w:sz w:val="24"/>
                <w:szCs w:val="24"/>
                <w:u w:val="single" w:color="auto"/>
              </w:rPr>
              <w:t>kg/h</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2.0</w:t>
            </w:r>
            <w:r>
              <w:rPr>
                <w:rFonts w:hint="default" w:ascii="Times New Roman" w:hAnsi="Times New Roman" w:eastAsia="宋体" w:cs="Times New Roman"/>
                <w:color w:val="auto"/>
                <w:sz w:val="24"/>
                <w:szCs w:val="24"/>
                <w:u w:val="single" w:color="auto"/>
              </w:rPr>
              <w:t>mg/m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w:t>
            </w:r>
            <w:r>
              <w:rPr>
                <w:rFonts w:hint="default" w:ascii="Times New Roman" w:hAnsi="Times New Roman" w:cs="Times New Roman"/>
                <w:color w:val="auto"/>
                <w:sz w:val="24"/>
                <w:szCs w:val="24"/>
                <w:u w:val="single" w:color="auto"/>
                <w:lang w:eastAsia="zh-CN"/>
              </w:rPr>
              <w:t>、颗粒物</w:t>
            </w:r>
            <w:r>
              <w:rPr>
                <w:rFonts w:hint="default" w:ascii="Times New Roman" w:hAnsi="Times New Roman" w:eastAsia="宋体" w:cs="Times New Roman"/>
                <w:color w:val="auto"/>
                <w:sz w:val="24"/>
                <w:szCs w:val="24"/>
                <w:u w:val="single" w:color="auto"/>
              </w:rPr>
              <w:t>无组织排放量</w:t>
            </w:r>
            <w:r>
              <w:rPr>
                <w:rFonts w:hint="default" w:ascii="Times New Roman" w:hAnsi="Times New Roman" w:eastAsia="宋体" w:cs="Times New Roman"/>
                <w:color w:val="auto"/>
                <w:sz w:val="24"/>
                <w:szCs w:val="24"/>
                <w:u w:val="single" w:color="auto"/>
                <w:lang w:val="en-US" w:eastAsia="zh-CN"/>
              </w:rPr>
              <w:t>0.</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1</w:t>
            </w:r>
            <w:r>
              <w:rPr>
                <w:rFonts w:hint="default" w:ascii="Times New Roman" w:hAnsi="Times New Roman" w:eastAsia="宋体" w:cs="Times New Roman"/>
                <w:color w:val="auto"/>
                <w:sz w:val="24"/>
                <w:szCs w:val="24"/>
                <w:u w:val="single" w:color="auto"/>
              </w:rPr>
              <w:t>t/a（0.</w:t>
            </w:r>
            <w:r>
              <w:rPr>
                <w:rFonts w:hint="eastAsia" w:eastAsia="宋体" w:cs="Times New Roman"/>
                <w:color w:val="auto"/>
                <w:sz w:val="24"/>
                <w:szCs w:val="24"/>
                <w:u w:val="single" w:color="auto"/>
                <w:lang w:val="en-US" w:eastAsia="zh-CN"/>
              </w:rPr>
              <w:t>0</w:t>
            </w:r>
            <w:r>
              <w:rPr>
                <w:rFonts w:hint="eastAsia" w:cs="Times New Roman"/>
                <w:color w:val="auto"/>
                <w:sz w:val="24"/>
                <w:szCs w:val="24"/>
                <w:u w:val="single" w:color="auto"/>
                <w:lang w:val="en-US" w:eastAsia="zh-CN"/>
              </w:rPr>
              <w:t>067</w:t>
            </w:r>
            <w:r>
              <w:rPr>
                <w:rFonts w:hint="default" w:ascii="Times New Roman" w:hAnsi="Times New Roman" w:eastAsia="宋体" w:cs="Times New Roman"/>
                <w:color w:val="auto"/>
                <w:sz w:val="24"/>
                <w:szCs w:val="24"/>
                <w:u w:val="single" w:color="auto"/>
              </w:rPr>
              <w:t>kg/h）</w:t>
            </w:r>
            <w:r>
              <w:rPr>
                <w:rFonts w:hint="eastAsia" w:eastAsia="宋体" w:cs="Times New Roman"/>
                <w:color w:val="auto"/>
                <w:sz w:val="24"/>
                <w:szCs w:val="24"/>
                <w:u w:val="single" w:color="auto"/>
                <w:lang w:eastAsia="zh-CN"/>
              </w:rPr>
              <w:t>。</w:t>
            </w:r>
            <w:r>
              <w:rPr>
                <w:rFonts w:hint="eastAsia" w:eastAsia="宋体" w:cs="Times New Roman"/>
                <w:color w:val="auto"/>
                <w:kern w:val="0"/>
                <w:sz w:val="24"/>
                <w:szCs w:val="24"/>
                <w:u w:val="single" w:color="auto"/>
                <w:lang w:val="en-US" w:eastAsia="zh-CN" w:bidi="ar"/>
              </w:rPr>
              <w:t>经处理后本排气筒中</w:t>
            </w:r>
            <w:r>
              <w:rPr>
                <w:rFonts w:hint="default" w:ascii="Times New Roman" w:hAnsi="Times New Roman" w:eastAsia="宋体" w:cs="Times New Roman"/>
                <w:color w:val="auto"/>
                <w:kern w:val="0"/>
                <w:sz w:val="24"/>
                <w:szCs w:val="24"/>
                <w:u w:val="single" w:color="auto"/>
                <w:lang w:val="en-US" w:eastAsia="zh-CN" w:bidi="ar"/>
              </w:rPr>
              <w:t>颗粒物</w:t>
            </w:r>
            <w:r>
              <w:rPr>
                <w:rFonts w:hint="eastAsia" w:eastAsia="宋体" w:cs="Times New Roman"/>
                <w:color w:val="auto"/>
                <w:kern w:val="0"/>
                <w:sz w:val="24"/>
                <w:szCs w:val="24"/>
                <w:u w:val="single" w:color="auto"/>
                <w:lang w:val="en-US" w:eastAsia="zh-CN" w:bidi="ar"/>
              </w:rPr>
              <w:t>满足</w:t>
            </w:r>
            <w:r>
              <w:rPr>
                <w:rFonts w:hint="default" w:ascii="Times New Roman" w:hAnsi="Times New Roman" w:eastAsia="宋体" w:cs="Times New Roman"/>
                <w:color w:val="auto"/>
                <w:kern w:val="0"/>
                <w:sz w:val="24"/>
                <w:szCs w:val="24"/>
                <w:u w:val="single" w:color="auto"/>
                <w:lang w:val="en-US" w:eastAsia="zh-CN" w:bidi="ar"/>
              </w:rPr>
              <w:t>《大气污染物综合排放标准》（GB16297-1996）表2的二级标准</w:t>
            </w:r>
            <w:r>
              <w:rPr>
                <w:rFonts w:hint="eastAsia" w:ascii="Times New Roman" w:hAnsi="Times New Roman" w:cs="Times New Roman"/>
                <w:color w:val="auto"/>
                <w:kern w:val="0"/>
                <w:sz w:val="24"/>
                <w:szCs w:val="24"/>
                <w:u w:val="single" w:color="auto"/>
                <w:lang w:val="en-US" w:eastAsia="zh-CN" w:bidi="ar"/>
              </w:rPr>
              <w:t>和无组织排放标准</w:t>
            </w:r>
            <w:r>
              <w:rPr>
                <w:rFonts w:hint="default" w:ascii="Times New Roman" w:hAnsi="Times New Roman" w:eastAsia="宋体" w:cs="Times New Roman"/>
                <w:color w:val="auto"/>
                <w:kern w:val="0"/>
                <w:sz w:val="24"/>
                <w:szCs w:val="24"/>
                <w:u w:val="single" w:color="auto"/>
                <w:lang w:val="en-US" w:eastAsia="zh-CN" w:bidi="ar"/>
              </w:rPr>
              <w:t>，有机废气</w:t>
            </w:r>
            <w:r>
              <w:rPr>
                <w:rFonts w:hint="eastAsia" w:eastAsia="宋体" w:cs="Times New Roman"/>
                <w:color w:val="auto"/>
                <w:kern w:val="0"/>
                <w:sz w:val="24"/>
                <w:szCs w:val="24"/>
                <w:u w:val="single" w:color="auto"/>
                <w:lang w:val="en-US" w:eastAsia="zh-CN" w:bidi="ar"/>
              </w:rPr>
              <w:t>满足</w:t>
            </w:r>
            <w:r>
              <w:rPr>
                <w:rFonts w:hint="default" w:ascii="Times New Roman" w:hAnsi="Times New Roman" w:eastAsia="宋体" w:cs="Times New Roman"/>
                <w:color w:val="auto"/>
                <w:kern w:val="0"/>
                <w:sz w:val="24"/>
                <w:szCs w:val="24"/>
                <w:u w:val="single" w:color="auto"/>
                <w:lang w:val="en-US" w:eastAsia="zh-CN" w:bidi="ar"/>
              </w:rPr>
              <w:t>《表面涂装（汽车制造及维修）挥发性有机物、镍排放标准》 （DB43/1356-2017）</w:t>
            </w:r>
            <w:r>
              <w:rPr>
                <w:rFonts w:hint="eastAsia" w:cs="Times New Roman"/>
                <w:color w:val="auto"/>
                <w:kern w:val="0"/>
                <w:sz w:val="24"/>
                <w:szCs w:val="24"/>
                <w:u w:val="single" w:color="auto"/>
                <w:lang w:val="en-US" w:eastAsia="zh-CN" w:bidi="ar"/>
              </w:rPr>
              <w:t>表1、表3排放标准要求。</w:t>
            </w:r>
          </w:p>
          <w:p>
            <w:pPr>
              <w:snapToGrid w:val="0"/>
              <w:spacing w:line="360" w:lineRule="auto"/>
              <w:ind w:firstLine="466"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 xml:space="preserve">3、噪声 </w:t>
            </w:r>
          </w:p>
          <w:p>
            <w:pPr>
              <w:snapToGrid w:val="0"/>
              <w:spacing w:line="360" w:lineRule="auto"/>
              <w:ind w:firstLine="47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本项目营运期主要噪声源为车间中的生产设备，主要为</w:t>
            </w:r>
            <w:r>
              <w:rPr>
                <w:rFonts w:hint="eastAsia" w:cs="Times New Roman"/>
                <w:color w:val="auto"/>
                <w:sz w:val="24"/>
                <w:u w:val="none" w:color="auto"/>
                <w:lang w:val="en-US" w:eastAsia="zh-CN"/>
              </w:rPr>
              <w:t>搅拌机、水泵、输送机、吸瓦脱模机、翻瓦机、成型出垛机、风机</w:t>
            </w:r>
            <w:r>
              <w:rPr>
                <w:rFonts w:hint="default" w:ascii="Times New Roman" w:hAnsi="Times New Roman" w:cs="Times New Roman"/>
                <w:color w:val="auto"/>
                <w:sz w:val="24"/>
                <w:u w:val="none" w:color="auto"/>
              </w:rPr>
              <w:t>等运行过程所产生的噪声，根据类比分析，噪声值为</w:t>
            </w:r>
            <w:r>
              <w:rPr>
                <w:rFonts w:hint="eastAsia" w:cs="Times New Roman"/>
                <w:color w:val="auto"/>
                <w:sz w:val="24"/>
                <w:u w:val="none" w:color="auto"/>
                <w:lang w:val="en-US" w:eastAsia="zh-CN"/>
              </w:rPr>
              <w:t>65</w:t>
            </w:r>
            <w:r>
              <w:rPr>
                <w:rFonts w:hint="default" w:ascii="Times New Roman" w:hAnsi="Times New Roman" w:cs="Times New Roman"/>
                <w:color w:val="auto"/>
                <w:sz w:val="24"/>
                <w:u w:val="none" w:color="auto"/>
                <w:lang w:val="en-US" w:eastAsia="zh-CN"/>
              </w:rPr>
              <w:t>-</w:t>
            </w:r>
            <w:r>
              <w:rPr>
                <w:rFonts w:hint="eastAsia" w:cs="Times New Roman"/>
                <w:color w:val="auto"/>
                <w:sz w:val="24"/>
                <w:u w:val="none" w:color="auto"/>
                <w:lang w:val="en-US" w:eastAsia="zh-CN"/>
              </w:rPr>
              <w:t>85</w:t>
            </w:r>
            <w:r>
              <w:rPr>
                <w:rFonts w:hint="default" w:ascii="Times New Roman" w:hAnsi="Times New Roman" w:cs="Times New Roman"/>
                <w:b/>
                <w:color w:val="auto"/>
                <w:szCs w:val="21"/>
                <w:u w:val="none" w:color="auto"/>
              </w:rPr>
              <w:t xml:space="preserve"> </w:t>
            </w:r>
            <w:r>
              <w:rPr>
                <w:rFonts w:hint="default" w:ascii="Times New Roman" w:hAnsi="Times New Roman" w:cs="Times New Roman"/>
                <w:color w:val="auto"/>
                <w:szCs w:val="21"/>
                <w:u w:val="none" w:color="auto"/>
              </w:rPr>
              <w:t>dB(A)。</w:t>
            </w:r>
          </w:p>
          <w:p>
            <w:pPr>
              <w:snapToGrid w:val="0"/>
              <w:spacing w:line="360" w:lineRule="auto"/>
              <w:ind w:firstLine="470"/>
              <w:rPr>
                <w:rFonts w:hint="default" w:ascii="Times New Roman" w:hAnsi="Times New Roman" w:cs="Times New Roman"/>
                <w:b/>
                <w:color w:val="auto"/>
                <w:sz w:val="24"/>
                <w:szCs w:val="24"/>
                <w:u w:val="none" w:color="auto"/>
              </w:rPr>
            </w:pPr>
            <w:r>
              <w:rPr>
                <w:rFonts w:hint="default" w:ascii="Times New Roman" w:hAnsi="Times New Roman" w:cs="Times New Roman"/>
                <w:color w:val="auto"/>
                <w:sz w:val="24"/>
                <w:u w:val="none" w:color="auto"/>
              </w:rPr>
              <w:t>本项目营运期噪声源及其噪声值见表5-</w:t>
            </w:r>
            <w:r>
              <w:rPr>
                <w:rFonts w:hint="eastAsia" w:cs="Times New Roman"/>
                <w:color w:val="auto"/>
                <w:sz w:val="24"/>
                <w:u w:val="none" w:color="auto"/>
                <w:lang w:val="en-US" w:eastAsia="zh-CN"/>
              </w:rPr>
              <w:t>6</w:t>
            </w:r>
            <w:r>
              <w:rPr>
                <w:rFonts w:hint="default" w:ascii="Times New Roman" w:hAnsi="Times New Roman" w:cs="Times New Roman"/>
                <w:color w:val="auto"/>
                <w:sz w:val="24"/>
                <w:u w:val="none" w:color="auto"/>
              </w:rPr>
              <w:t>示：</w:t>
            </w:r>
          </w:p>
          <w:p>
            <w:pPr>
              <w:adjustRightInd w:val="0"/>
              <w:snapToGrid w:val="0"/>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 w:val="24"/>
                <w:szCs w:val="24"/>
                <w:u w:val="none" w:color="auto"/>
              </w:rPr>
              <w:t>表5-</w:t>
            </w:r>
            <w:r>
              <w:rPr>
                <w:rFonts w:hint="eastAsia" w:cs="Times New Roman"/>
                <w:b/>
                <w:color w:val="auto"/>
                <w:sz w:val="24"/>
                <w:szCs w:val="24"/>
                <w:u w:val="none" w:color="auto"/>
                <w:lang w:val="en-US" w:eastAsia="zh-CN"/>
              </w:rPr>
              <w:t>6</w:t>
            </w:r>
            <w:r>
              <w:rPr>
                <w:rFonts w:hint="default" w:ascii="Times New Roman" w:hAnsi="Times New Roman" w:cs="Times New Roman"/>
                <w:b/>
                <w:color w:val="auto"/>
                <w:sz w:val="24"/>
                <w:szCs w:val="24"/>
                <w:u w:val="none" w:color="auto"/>
              </w:rPr>
              <w:t xml:space="preserve"> 本项目营运期噪声源及噪声声级值一览表  </w:t>
            </w:r>
            <w:r>
              <w:rPr>
                <w:rFonts w:hint="default" w:ascii="Times New Roman" w:hAnsi="Times New Roman" w:cs="Times New Roman"/>
                <w:b/>
                <w:color w:val="auto"/>
                <w:szCs w:val="21"/>
                <w:u w:val="none" w:color="auto"/>
              </w:rPr>
              <w:t>单位：dB(A)</w:t>
            </w:r>
          </w:p>
          <w:tbl>
            <w:tblPr>
              <w:tblStyle w:val="40"/>
              <w:tblW w:w="90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2"/>
              <w:gridCol w:w="3023"/>
              <w:gridCol w:w="3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022" w:type="dxa"/>
                  <w:noWrap w:val="0"/>
                  <w:vAlign w:val="center"/>
                </w:tcPr>
                <w:p>
                  <w:pPr>
                    <w:pStyle w:val="186"/>
                    <w:rPr>
                      <w:rFonts w:hint="default" w:ascii="Times New Roman" w:hAnsi="Times New Roman" w:cs="Times New Roman"/>
                      <w:color w:val="auto"/>
                      <w:u w:val="none" w:color="auto"/>
                    </w:rPr>
                  </w:pPr>
                  <w:r>
                    <w:rPr>
                      <w:rFonts w:hint="default" w:ascii="Times New Roman" w:hAnsi="Times New Roman" w:cs="Times New Roman"/>
                      <w:color w:val="auto"/>
                      <w:u w:val="none" w:color="auto"/>
                    </w:rPr>
                    <w:t>序号</w:t>
                  </w:r>
                </w:p>
              </w:tc>
              <w:tc>
                <w:tcPr>
                  <w:tcW w:w="3023" w:type="dxa"/>
                  <w:noWrap w:val="0"/>
                  <w:vAlign w:val="center"/>
                </w:tcPr>
                <w:p>
                  <w:pPr>
                    <w:pStyle w:val="186"/>
                    <w:rPr>
                      <w:rFonts w:hint="default" w:ascii="Times New Roman" w:hAnsi="Times New Roman" w:cs="Times New Roman"/>
                      <w:color w:val="auto"/>
                      <w:u w:val="none" w:color="auto"/>
                    </w:rPr>
                  </w:pPr>
                  <w:r>
                    <w:rPr>
                      <w:rFonts w:hint="default" w:ascii="Times New Roman" w:hAnsi="Times New Roman" w:cs="Times New Roman"/>
                      <w:color w:val="auto"/>
                      <w:u w:val="none" w:color="auto"/>
                    </w:rPr>
                    <w:t>名称</w:t>
                  </w:r>
                </w:p>
              </w:tc>
              <w:tc>
                <w:tcPr>
                  <w:tcW w:w="3023" w:type="dxa"/>
                  <w:noWrap w:val="0"/>
                  <w:vAlign w:val="center"/>
                </w:tcPr>
                <w:p>
                  <w:pPr>
                    <w:pStyle w:val="186"/>
                    <w:rPr>
                      <w:rFonts w:hint="default" w:ascii="Times New Roman" w:hAnsi="Times New Roman" w:cs="Times New Roman"/>
                      <w:color w:val="auto"/>
                      <w:u w:val="none" w:color="auto"/>
                    </w:rPr>
                  </w:pPr>
                  <w:r>
                    <w:rPr>
                      <w:rFonts w:hint="default" w:ascii="Times New Roman" w:hAnsi="Times New Roman" w:cs="Times New Roman"/>
                      <w:color w:val="auto"/>
                      <w:u w:val="none" w:color="auto"/>
                    </w:rPr>
                    <w:t>源强dB(A)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22" w:type="dxa"/>
                  <w:noWrap w:val="0"/>
                  <w:vAlign w:val="center"/>
                </w:tcPr>
                <w:p>
                  <w:pPr>
                    <w:pStyle w:val="186"/>
                    <w:rPr>
                      <w:rFonts w:hint="default" w:ascii="Times New Roman" w:hAnsi="Times New Roman" w:cs="Times New Roman"/>
                      <w:color w:val="auto"/>
                      <w:u w:val="none" w:color="auto"/>
                    </w:rPr>
                  </w:pPr>
                  <w:r>
                    <w:rPr>
                      <w:rFonts w:hint="default" w:ascii="Times New Roman" w:hAnsi="Times New Roman" w:cs="Times New Roman"/>
                      <w:color w:val="auto"/>
                      <w:u w:val="none" w:color="auto"/>
                    </w:rPr>
                    <w:t>1</w:t>
                  </w:r>
                </w:p>
              </w:tc>
              <w:tc>
                <w:tcPr>
                  <w:tcW w:w="3023" w:type="dxa"/>
                  <w:noWrap w:val="0"/>
                  <w:vAlign w:val="top"/>
                </w:tcPr>
                <w:p>
                  <w:pPr>
                    <w:pStyle w:val="186"/>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搅拌机</w:t>
                  </w:r>
                </w:p>
              </w:tc>
              <w:tc>
                <w:tcPr>
                  <w:tcW w:w="3023" w:type="dxa"/>
                  <w:noWrap w:val="0"/>
                  <w:vAlign w:val="top"/>
                </w:tcPr>
                <w:p>
                  <w:pPr>
                    <w:pStyle w:val="186"/>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022" w:type="dxa"/>
                  <w:noWrap w:val="0"/>
                  <w:vAlign w:val="center"/>
                </w:tcPr>
                <w:p>
                  <w:pPr>
                    <w:pStyle w:val="186"/>
                    <w:rPr>
                      <w:rFonts w:hint="default" w:ascii="Times New Roman" w:hAnsi="Times New Roman" w:cs="Times New Roman"/>
                      <w:color w:val="auto"/>
                      <w:u w:val="none" w:color="auto"/>
                    </w:rPr>
                  </w:pPr>
                  <w:r>
                    <w:rPr>
                      <w:rFonts w:hint="default" w:ascii="Times New Roman" w:hAnsi="Times New Roman" w:cs="Times New Roman"/>
                      <w:color w:val="auto"/>
                      <w:u w:val="none" w:color="auto"/>
                    </w:rPr>
                    <w:t>2</w:t>
                  </w:r>
                </w:p>
              </w:tc>
              <w:tc>
                <w:tcPr>
                  <w:tcW w:w="3023" w:type="dxa"/>
                  <w:noWrap w:val="0"/>
                  <w:vAlign w:val="top"/>
                </w:tcPr>
                <w:p>
                  <w:pPr>
                    <w:pStyle w:val="186"/>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水泵</w:t>
                  </w:r>
                </w:p>
              </w:tc>
              <w:tc>
                <w:tcPr>
                  <w:tcW w:w="3023" w:type="dxa"/>
                  <w:noWrap w:val="0"/>
                  <w:vAlign w:val="top"/>
                </w:tcPr>
                <w:p>
                  <w:pPr>
                    <w:pStyle w:val="186"/>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022" w:type="dxa"/>
                  <w:noWrap w:val="0"/>
                  <w:vAlign w:val="center"/>
                </w:tcPr>
                <w:p>
                  <w:pPr>
                    <w:pStyle w:val="186"/>
                    <w:rPr>
                      <w:rFonts w:hint="default" w:ascii="Times New Roman" w:hAnsi="Times New Roman" w:cs="Times New Roman"/>
                      <w:color w:val="auto"/>
                      <w:u w:val="none" w:color="auto"/>
                    </w:rPr>
                  </w:pPr>
                  <w:r>
                    <w:rPr>
                      <w:rFonts w:hint="default" w:ascii="Times New Roman" w:hAnsi="Times New Roman" w:cs="Times New Roman"/>
                      <w:color w:val="auto"/>
                      <w:u w:val="none" w:color="auto"/>
                    </w:rPr>
                    <w:t>3</w:t>
                  </w:r>
                </w:p>
              </w:tc>
              <w:tc>
                <w:tcPr>
                  <w:tcW w:w="3023" w:type="dxa"/>
                  <w:noWrap w:val="0"/>
                  <w:vAlign w:val="top"/>
                </w:tcPr>
                <w:p>
                  <w:pPr>
                    <w:pStyle w:val="186"/>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输送机</w:t>
                  </w:r>
                </w:p>
              </w:tc>
              <w:tc>
                <w:tcPr>
                  <w:tcW w:w="3023" w:type="dxa"/>
                  <w:noWrap w:val="0"/>
                  <w:vAlign w:val="top"/>
                </w:tcPr>
                <w:p>
                  <w:pPr>
                    <w:pStyle w:val="186"/>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022" w:type="dxa"/>
                  <w:noWrap w:val="0"/>
                  <w:vAlign w:val="center"/>
                </w:tcPr>
                <w:p>
                  <w:pPr>
                    <w:pStyle w:val="186"/>
                    <w:rPr>
                      <w:rFonts w:hint="default" w:ascii="Times New Roman" w:hAnsi="Times New Roman" w:cs="Times New Roman"/>
                      <w:color w:val="auto"/>
                      <w:u w:val="none" w:color="auto"/>
                    </w:rPr>
                  </w:pPr>
                  <w:r>
                    <w:rPr>
                      <w:rFonts w:hint="default" w:ascii="Times New Roman" w:hAnsi="Times New Roman" w:cs="Times New Roman"/>
                      <w:color w:val="auto"/>
                      <w:u w:val="none" w:color="auto"/>
                    </w:rPr>
                    <w:t>4</w:t>
                  </w:r>
                </w:p>
              </w:tc>
              <w:tc>
                <w:tcPr>
                  <w:tcW w:w="3023" w:type="dxa"/>
                  <w:noWrap w:val="0"/>
                  <w:vAlign w:val="top"/>
                </w:tcPr>
                <w:p>
                  <w:pPr>
                    <w:pStyle w:val="186"/>
                    <w:rPr>
                      <w:rFonts w:hint="eastAsia"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吸瓦脱模机</w:t>
                  </w:r>
                </w:p>
              </w:tc>
              <w:tc>
                <w:tcPr>
                  <w:tcW w:w="3023" w:type="dxa"/>
                  <w:noWrap w:val="0"/>
                  <w:vAlign w:val="top"/>
                </w:tcPr>
                <w:p>
                  <w:pPr>
                    <w:pStyle w:val="186"/>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022" w:type="dxa"/>
                  <w:noWrap w:val="0"/>
                  <w:vAlign w:val="center"/>
                </w:tcPr>
                <w:p>
                  <w:pPr>
                    <w:pStyle w:val="186"/>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5</w:t>
                  </w:r>
                </w:p>
              </w:tc>
              <w:tc>
                <w:tcPr>
                  <w:tcW w:w="3023" w:type="dxa"/>
                  <w:noWrap w:val="0"/>
                  <w:vAlign w:val="top"/>
                </w:tcPr>
                <w:p>
                  <w:pPr>
                    <w:pStyle w:val="186"/>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翻瓦机</w:t>
                  </w:r>
                </w:p>
              </w:tc>
              <w:tc>
                <w:tcPr>
                  <w:tcW w:w="3023" w:type="dxa"/>
                  <w:noWrap w:val="0"/>
                  <w:vAlign w:val="top"/>
                </w:tcPr>
                <w:p>
                  <w:pPr>
                    <w:pStyle w:val="186"/>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022" w:type="dxa"/>
                  <w:noWrap w:val="0"/>
                  <w:vAlign w:val="center"/>
                </w:tcPr>
                <w:p>
                  <w:pPr>
                    <w:pStyle w:val="186"/>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6</w:t>
                  </w:r>
                </w:p>
              </w:tc>
              <w:tc>
                <w:tcPr>
                  <w:tcW w:w="3023" w:type="dxa"/>
                  <w:noWrap w:val="0"/>
                  <w:vAlign w:val="top"/>
                </w:tcPr>
                <w:p>
                  <w:pPr>
                    <w:pStyle w:val="186"/>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成型出垛机</w:t>
                  </w:r>
                </w:p>
              </w:tc>
              <w:tc>
                <w:tcPr>
                  <w:tcW w:w="3023" w:type="dxa"/>
                  <w:noWrap w:val="0"/>
                  <w:vAlign w:val="top"/>
                </w:tcPr>
                <w:p>
                  <w:pPr>
                    <w:pStyle w:val="186"/>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022" w:type="dxa"/>
                  <w:noWrap w:val="0"/>
                  <w:vAlign w:val="center"/>
                </w:tcPr>
                <w:p>
                  <w:pPr>
                    <w:pStyle w:val="186"/>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7</w:t>
                  </w:r>
                </w:p>
              </w:tc>
              <w:tc>
                <w:tcPr>
                  <w:tcW w:w="3023" w:type="dxa"/>
                  <w:noWrap w:val="0"/>
                  <w:vAlign w:val="top"/>
                </w:tcPr>
                <w:p>
                  <w:pPr>
                    <w:pStyle w:val="186"/>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风机</w:t>
                  </w:r>
                </w:p>
              </w:tc>
              <w:tc>
                <w:tcPr>
                  <w:tcW w:w="3023" w:type="dxa"/>
                  <w:noWrap w:val="0"/>
                  <w:vAlign w:val="top"/>
                </w:tcPr>
                <w:p>
                  <w:pPr>
                    <w:pStyle w:val="186"/>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80</w:t>
                  </w:r>
                </w:p>
              </w:tc>
            </w:tr>
          </w:tbl>
          <w:p>
            <w:pPr>
              <w:rPr>
                <w:rFonts w:hint="default" w:ascii="Times New Roman" w:hAnsi="Times New Roman" w:cs="Times New Roman"/>
                <w:color w:val="auto"/>
                <w:sz w:val="24"/>
                <w:szCs w:val="24"/>
                <w:u w:val="none" w:color="auto"/>
              </w:rPr>
            </w:pPr>
            <w:r>
              <w:rPr>
                <w:rFonts w:hint="default" w:ascii="Times New Roman" w:hAnsi="Times New Roman" w:cs="Times New Roman"/>
                <w:color w:val="auto"/>
                <w:u w:val="none" w:color="auto"/>
              </w:rPr>
              <w:t xml:space="preserve">   </w:t>
            </w:r>
            <w:r>
              <w:rPr>
                <w:rFonts w:hint="default" w:ascii="Times New Roman" w:hAnsi="Times New Roman" w:cs="Times New Roman"/>
                <w:color w:val="auto"/>
                <w:sz w:val="24"/>
                <w:szCs w:val="24"/>
                <w:u w:val="none" w:color="auto"/>
              </w:rPr>
              <w:t xml:space="preserve"> 4、固废</w:t>
            </w:r>
          </w:p>
          <w:p>
            <w:pPr>
              <w:pStyle w:val="34"/>
              <w:spacing w:line="360" w:lineRule="auto"/>
              <w:ind w:left="0" w:leftChars="0"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lang w:eastAsia="zh-CN"/>
              </w:rPr>
              <w:t>本项目运营期固体废物主要为</w:t>
            </w:r>
            <w:r>
              <w:rPr>
                <w:rFonts w:hint="eastAsia" w:cs="Times New Roman"/>
                <w:color w:val="auto"/>
                <w:sz w:val="24"/>
                <w:u w:val="none" w:color="auto"/>
                <w:lang w:val="en-US" w:eastAsia="zh-CN"/>
              </w:rPr>
              <w:t>生活垃圾、废边角料及不合格产品、水罐内沉渣、除尘器收集的粉尘、废活性炭、废过滤棉、废水性漆桶、废漆渣、废包装袋</w:t>
            </w:r>
            <w:r>
              <w:rPr>
                <w:rFonts w:hint="default" w:ascii="Times New Roman" w:hAnsi="Times New Roman" w:cs="Times New Roman"/>
                <w:color w:val="auto"/>
                <w:sz w:val="24"/>
                <w:szCs w:val="24"/>
                <w:u w:val="none" w:color="auto"/>
              </w:rPr>
              <w:t>。</w:t>
            </w:r>
          </w:p>
          <w:p>
            <w:pPr>
              <w:pStyle w:val="34"/>
              <w:spacing w:line="360" w:lineRule="auto"/>
              <w:ind w:left="4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（1）</w:t>
            </w:r>
            <w:r>
              <w:rPr>
                <w:rFonts w:hint="default" w:ascii="Times New Roman" w:hAnsi="Times New Roman" w:cs="Times New Roman"/>
                <w:color w:val="auto"/>
                <w:sz w:val="24"/>
                <w:szCs w:val="24"/>
                <w:u w:val="none" w:color="auto"/>
                <w:lang w:eastAsia="zh-CN"/>
              </w:rPr>
              <w:t>废边角料</w:t>
            </w:r>
            <w:r>
              <w:rPr>
                <w:rFonts w:hint="eastAsia" w:cs="Times New Roman"/>
                <w:color w:val="auto"/>
                <w:sz w:val="24"/>
                <w:szCs w:val="24"/>
                <w:u w:val="none" w:color="auto"/>
                <w:lang w:val="en-US" w:eastAsia="zh-CN"/>
              </w:rPr>
              <w:t>及不合格产品</w:t>
            </w:r>
          </w:p>
          <w:p>
            <w:pPr>
              <w:pStyle w:val="34"/>
              <w:spacing w:line="360" w:lineRule="auto"/>
              <w:ind w:left="0" w:leftChars="0"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本项目在生产加工过程中会产生少量边角料</w:t>
            </w:r>
            <w:r>
              <w:rPr>
                <w:rFonts w:hint="eastAsia" w:cs="Times New Roman"/>
                <w:color w:val="auto"/>
                <w:sz w:val="24"/>
                <w:szCs w:val="24"/>
                <w:u w:val="none" w:color="auto"/>
                <w:lang w:val="en-US" w:eastAsia="zh-CN"/>
              </w:rPr>
              <w:t>和不合格产品</w:t>
            </w:r>
            <w:r>
              <w:rPr>
                <w:rFonts w:hint="default" w:ascii="Times New Roman" w:hAnsi="Times New Roman" w:cs="Times New Roman"/>
                <w:color w:val="auto"/>
                <w:sz w:val="24"/>
                <w:szCs w:val="24"/>
                <w:u w:val="none" w:color="auto"/>
              </w:rPr>
              <w:t>，根据</w:t>
            </w:r>
            <w:r>
              <w:rPr>
                <w:rFonts w:hint="eastAsia" w:cs="Times New Roman"/>
                <w:color w:val="auto"/>
                <w:sz w:val="24"/>
                <w:szCs w:val="24"/>
                <w:u w:val="none" w:color="auto"/>
                <w:lang w:val="en-US" w:eastAsia="zh-CN"/>
              </w:rPr>
              <w:t>业主提供的相关资料</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eastAsia="zh-CN"/>
              </w:rPr>
              <w:t>废边角料</w:t>
            </w:r>
            <w:r>
              <w:rPr>
                <w:rFonts w:hint="eastAsia" w:cs="Times New Roman"/>
                <w:color w:val="auto"/>
                <w:sz w:val="24"/>
                <w:szCs w:val="24"/>
                <w:u w:val="none" w:color="auto"/>
                <w:lang w:val="en-US" w:eastAsia="zh-CN"/>
              </w:rPr>
              <w:t>及不合格产品</w:t>
            </w:r>
            <w:r>
              <w:rPr>
                <w:rFonts w:hint="default" w:ascii="Times New Roman" w:hAnsi="Times New Roman" w:cs="Times New Roman"/>
                <w:color w:val="auto"/>
                <w:sz w:val="24"/>
                <w:szCs w:val="24"/>
                <w:u w:val="none" w:color="auto"/>
                <w:lang w:eastAsia="zh-CN"/>
              </w:rPr>
              <w:t>产生量</w:t>
            </w:r>
            <w:r>
              <w:rPr>
                <w:rFonts w:hint="default" w:ascii="Times New Roman" w:hAnsi="Times New Roman" w:cs="Times New Roman"/>
                <w:color w:val="auto"/>
                <w:sz w:val="24"/>
                <w:szCs w:val="24"/>
                <w:u w:val="none" w:color="auto"/>
              </w:rPr>
              <w:t>约为</w:t>
            </w:r>
            <w:r>
              <w:rPr>
                <w:rFonts w:hint="eastAsia" w:cs="Times New Roman"/>
                <w:color w:val="auto"/>
                <w:sz w:val="24"/>
                <w:szCs w:val="24"/>
                <w:u w:val="none" w:color="auto"/>
                <w:lang w:val="en-US" w:eastAsia="zh-CN"/>
              </w:rPr>
              <w:t>15</w:t>
            </w:r>
            <w:r>
              <w:rPr>
                <w:rFonts w:hint="default" w:ascii="Times New Roman" w:hAnsi="Times New Roman" w:cs="Times New Roman"/>
                <w:color w:val="auto"/>
                <w:sz w:val="24"/>
                <w:szCs w:val="24"/>
                <w:u w:val="none" w:color="auto"/>
              </w:rPr>
              <w:t>t/a，收集后均</w:t>
            </w:r>
            <w:r>
              <w:rPr>
                <w:rFonts w:hint="eastAsia" w:cs="Times New Roman"/>
                <w:color w:val="auto"/>
                <w:sz w:val="24"/>
                <w:szCs w:val="24"/>
                <w:u w:val="none" w:color="auto"/>
                <w:lang w:val="en-US" w:eastAsia="zh-CN"/>
              </w:rPr>
              <w:t>回用于打料制浆工序</w:t>
            </w:r>
            <w:r>
              <w:rPr>
                <w:rFonts w:hint="default" w:ascii="Times New Roman" w:hAnsi="Times New Roman" w:cs="Times New Roman"/>
                <w:color w:val="auto"/>
                <w:sz w:val="24"/>
                <w:szCs w:val="24"/>
                <w:u w:val="none" w:color="auto"/>
              </w:rPr>
              <w:t>。</w:t>
            </w:r>
          </w:p>
          <w:p>
            <w:pPr>
              <w:pStyle w:val="34"/>
              <w:spacing w:line="360" w:lineRule="auto"/>
              <w:ind w:left="0" w:leftChars="0"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（2）生活垃圾</w:t>
            </w:r>
          </w:p>
          <w:p>
            <w:pPr>
              <w:spacing w:line="360" w:lineRule="auto"/>
              <w:ind w:firstLine="466" w:firstLineChars="200"/>
              <w:jc w:val="left"/>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本项目生活垃圾按0.5kg/d计算，该项目工作人员</w:t>
            </w:r>
            <w:r>
              <w:rPr>
                <w:rFonts w:hint="eastAsia" w:cs="Times New Roman"/>
                <w:color w:val="auto"/>
                <w:sz w:val="24"/>
                <w:szCs w:val="24"/>
                <w:u w:val="none" w:color="auto"/>
                <w:lang w:val="en-US" w:eastAsia="zh-CN"/>
              </w:rPr>
              <w:t>20</w:t>
            </w:r>
            <w:r>
              <w:rPr>
                <w:rFonts w:hint="default" w:ascii="Times New Roman" w:hAnsi="Times New Roman" w:cs="Times New Roman"/>
                <w:color w:val="auto"/>
                <w:sz w:val="24"/>
                <w:szCs w:val="24"/>
                <w:u w:val="none" w:color="auto"/>
              </w:rPr>
              <w:t>人，年工作300天，生活垃圾产生量为</w:t>
            </w:r>
            <w:r>
              <w:rPr>
                <w:rFonts w:hint="default" w:ascii="Times New Roman" w:hAnsi="Times New Roman" w:cs="Times New Roman"/>
                <w:color w:val="auto"/>
                <w:sz w:val="24"/>
                <w:szCs w:val="24"/>
                <w:u w:val="none" w:color="auto"/>
                <w:lang w:val="en-US" w:eastAsia="zh-CN"/>
              </w:rPr>
              <w:t>0.0</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t/d（</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t/a），生活垃圾集中收集后交环卫部门统一清运处理</w:t>
            </w:r>
            <w:r>
              <w:rPr>
                <w:rFonts w:hint="default" w:ascii="Times New Roman" w:hAnsi="Times New Roman" w:cs="Times New Roman"/>
                <w:color w:val="auto"/>
                <w:sz w:val="24"/>
                <w:szCs w:val="24"/>
                <w:u w:val="none" w:color="auto"/>
                <w:lang w:val="en-US" w:eastAsia="zh-CN"/>
              </w:rPr>
              <w:t>。</w:t>
            </w:r>
          </w:p>
          <w:p>
            <w:pPr>
              <w:pStyle w:val="34"/>
              <w:spacing w:line="360" w:lineRule="auto"/>
              <w:ind w:leftChars="0"/>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废</w:t>
            </w:r>
            <w:r>
              <w:rPr>
                <w:rFonts w:hint="default" w:ascii="Times New Roman" w:hAnsi="Times New Roman" w:cs="Times New Roman"/>
                <w:color w:val="auto"/>
                <w:sz w:val="24"/>
                <w:szCs w:val="24"/>
                <w:u w:val="none" w:color="auto"/>
                <w:lang w:eastAsia="zh-CN"/>
              </w:rPr>
              <w:t>水性</w:t>
            </w:r>
            <w:r>
              <w:rPr>
                <w:rFonts w:hint="default" w:ascii="Times New Roman" w:hAnsi="Times New Roman" w:cs="Times New Roman"/>
                <w:color w:val="auto"/>
                <w:sz w:val="24"/>
                <w:szCs w:val="24"/>
                <w:u w:val="none" w:color="auto"/>
              </w:rPr>
              <w:t>漆</w:t>
            </w:r>
            <w:r>
              <w:rPr>
                <w:rFonts w:hint="eastAsia" w:cs="Times New Roman"/>
                <w:color w:val="auto"/>
                <w:sz w:val="24"/>
                <w:szCs w:val="24"/>
                <w:u w:val="none" w:color="auto"/>
                <w:lang w:val="en-US" w:eastAsia="zh-CN"/>
              </w:rPr>
              <w:t>桶</w:t>
            </w:r>
          </w:p>
          <w:p>
            <w:pPr>
              <w:pStyle w:val="34"/>
              <w:spacing w:line="360" w:lineRule="auto"/>
              <w:ind w:left="0" w:leftChars="0" w:firstLine="466" w:firstLineChars="20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根据《国家危险废物名录》</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2021</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lang w:eastAsia="zh-CN"/>
              </w:rPr>
              <w:t>中判定</w:t>
            </w:r>
            <w:r>
              <w:rPr>
                <w:rFonts w:hint="default" w:ascii="Times New Roman" w:hAnsi="Times New Roman" w:cs="Times New Roman"/>
                <w:color w:val="auto"/>
                <w:sz w:val="24"/>
                <w:szCs w:val="24"/>
                <w:u w:val="none" w:color="auto"/>
              </w:rPr>
              <w:t>废</w:t>
            </w:r>
            <w:r>
              <w:rPr>
                <w:rFonts w:hint="default" w:ascii="Times New Roman" w:hAnsi="Times New Roman" w:cs="Times New Roman"/>
                <w:color w:val="auto"/>
                <w:sz w:val="24"/>
                <w:szCs w:val="24"/>
                <w:u w:val="none" w:color="auto"/>
                <w:lang w:eastAsia="zh-CN"/>
              </w:rPr>
              <w:t>水性</w:t>
            </w:r>
            <w:r>
              <w:rPr>
                <w:rFonts w:hint="default" w:ascii="Times New Roman" w:hAnsi="Times New Roman" w:cs="Times New Roman"/>
                <w:color w:val="auto"/>
                <w:sz w:val="24"/>
                <w:szCs w:val="24"/>
                <w:u w:val="none" w:color="auto"/>
              </w:rPr>
              <w:t>漆</w:t>
            </w:r>
            <w:r>
              <w:rPr>
                <w:rFonts w:hint="default" w:ascii="Times New Roman" w:hAnsi="Times New Roman" w:cs="Times New Roman"/>
                <w:color w:val="auto"/>
                <w:sz w:val="24"/>
                <w:szCs w:val="24"/>
                <w:u w:val="none" w:color="auto"/>
                <w:lang w:eastAsia="zh-CN"/>
              </w:rPr>
              <w:t>包装物不属于危险废物，为一般固废，其中</w:t>
            </w:r>
            <w:r>
              <w:rPr>
                <w:rFonts w:hint="default" w:ascii="Times New Roman" w:hAnsi="Times New Roman" w:cs="Times New Roman"/>
                <w:color w:val="auto"/>
                <w:sz w:val="24"/>
                <w:szCs w:val="24"/>
                <w:u w:val="none" w:color="auto"/>
              </w:rPr>
              <w:t>根据</w:t>
            </w:r>
            <w:r>
              <w:rPr>
                <w:rFonts w:hint="default" w:ascii="Times New Roman" w:hAnsi="Times New Roman" w:cs="Times New Roman"/>
                <w:color w:val="auto"/>
                <w:sz w:val="24"/>
                <w:szCs w:val="24"/>
                <w:u w:val="none" w:color="auto"/>
                <w:lang w:eastAsia="zh-CN"/>
              </w:rPr>
              <w:t>水性漆</w:t>
            </w:r>
            <w:r>
              <w:rPr>
                <w:rFonts w:hint="default" w:ascii="Times New Roman" w:hAnsi="Times New Roman" w:cs="Times New Roman"/>
                <w:color w:val="auto"/>
                <w:sz w:val="24"/>
                <w:szCs w:val="24"/>
                <w:u w:val="none" w:color="auto"/>
              </w:rPr>
              <w:t>的用量估算，本项目</w:t>
            </w:r>
            <w:r>
              <w:rPr>
                <w:rFonts w:hint="default" w:ascii="Times New Roman" w:hAnsi="Times New Roman" w:cs="Times New Roman"/>
                <w:color w:val="auto"/>
                <w:sz w:val="24"/>
                <w:szCs w:val="24"/>
                <w:u w:val="none" w:color="auto"/>
                <w:lang w:eastAsia="zh-CN"/>
              </w:rPr>
              <w:t>废水性漆包装物</w:t>
            </w:r>
            <w:r>
              <w:rPr>
                <w:rFonts w:hint="default" w:ascii="Times New Roman" w:hAnsi="Times New Roman" w:cs="Times New Roman"/>
                <w:color w:val="auto"/>
                <w:sz w:val="24"/>
                <w:szCs w:val="24"/>
                <w:u w:val="none" w:color="auto"/>
              </w:rPr>
              <w:t>产生量约0.</w:t>
            </w:r>
            <w:r>
              <w:rPr>
                <w:rFonts w:hint="eastAsia" w:cs="Times New Roman"/>
                <w:color w:val="auto"/>
                <w:sz w:val="24"/>
                <w:szCs w:val="24"/>
                <w:u w:val="none" w:color="auto"/>
                <w:lang w:val="en-US" w:eastAsia="zh-CN"/>
              </w:rPr>
              <w:t>01</w:t>
            </w:r>
            <w:r>
              <w:rPr>
                <w:rFonts w:hint="default" w:ascii="Times New Roman" w:hAnsi="Times New Roman" w:cs="Times New Roman"/>
                <w:color w:val="auto"/>
                <w:sz w:val="24"/>
                <w:szCs w:val="24"/>
                <w:u w:val="none" w:color="auto"/>
              </w:rPr>
              <w:t>t/a</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均收集后交由环卫部门进行处理</w:t>
            </w:r>
            <w:r>
              <w:rPr>
                <w:rFonts w:hint="default" w:ascii="Times New Roman" w:hAnsi="Times New Roman" w:cs="Times New Roman"/>
                <w:color w:val="auto"/>
                <w:sz w:val="24"/>
                <w:szCs w:val="24"/>
                <w:u w:val="none" w:color="auto"/>
              </w:rPr>
              <w:t>。</w:t>
            </w:r>
          </w:p>
          <w:p>
            <w:pPr>
              <w:spacing w:line="360" w:lineRule="auto"/>
              <w:ind w:firstLine="466" w:firstLineChars="200"/>
              <w:jc w:val="left"/>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highlight w:val="none"/>
                <w:u w:val="none" w:color="auto"/>
                <w:lang w:eastAsia="zh-CN"/>
              </w:rPr>
              <w:t>废过滤棉、漆渣</w:t>
            </w:r>
          </w:p>
          <w:p>
            <w:pPr>
              <w:spacing w:line="360" w:lineRule="auto"/>
              <w:ind w:firstLine="466" w:firstLineChars="200"/>
              <w:jc w:val="left"/>
              <w:rPr>
                <w:rFonts w:hint="default" w:ascii="Times New Roman" w:hAnsi="Times New Roman"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rPr>
              <w:t>项目用</w:t>
            </w:r>
            <w:r>
              <w:rPr>
                <w:rFonts w:hint="default" w:ascii="Times New Roman" w:hAnsi="Times New Roman" w:cs="Times New Roman"/>
                <w:color w:val="auto"/>
                <w:sz w:val="24"/>
                <w:szCs w:val="24"/>
                <w:highlight w:val="none"/>
                <w:u w:val="none" w:color="auto"/>
                <w:lang w:eastAsia="zh-CN"/>
              </w:rPr>
              <w:t>过滤棉</w:t>
            </w:r>
            <w:r>
              <w:rPr>
                <w:rFonts w:hint="default" w:ascii="Times New Roman" w:hAnsi="Times New Roman" w:cs="Times New Roman"/>
                <w:color w:val="auto"/>
                <w:sz w:val="24"/>
                <w:szCs w:val="24"/>
                <w:highlight w:val="none"/>
                <w:u w:val="none" w:color="auto"/>
              </w:rPr>
              <w:t>过滤漆雾，</w:t>
            </w:r>
            <w:r>
              <w:rPr>
                <w:rFonts w:hint="default" w:ascii="Times New Roman" w:hAnsi="Times New Roman" w:cs="Times New Roman"/>
                <w:color w:val="auto"/>
                <w:sz w:val="24"/>
                <w:szCs w:val="24"/>
                <w:highlight w:val="none"/>
                <w:u w:val="none" w:color="auto"/>
                <w:lang w:eastAsia="zh-CN"/>
              </w:rPr>
              <w:t>建议</w:t>
            </w:r>
            <w:r>
              <w:rPr>
                <w:rFonts w:hint="default" w:ascii="Times New Roman" w:hAnsi="Times New Roman" w:cs="Times New Roman"/>
                <w:color w:val="auto"/>
                <w:sz w:val="24"/>
                <w:szCs w:val="24"/>
                <w:highlight w:val="none"/>
                <w:u w:val="none" w:color="auto"/>
              </w:rPr>
              <w:t>每</w:t>
            </w:r>
            <w:r>
              <w:rPr>
                <w:rFonts w:hint="default" w:ascii="Times New Roman" w:hAnsi="Times New Roman" w:cs="Times New Roman"/>
                <w:color w:val="auto"/>
                <w:sz w:val="24"/>
                <w:szCs w:val="24"/>
                <w:highlight w:val="none"/>
                <w:u w:val="none" w:color="auto"/>
                <w:lang w:eastAsia="zh-CN"/>
              </w:rPr>
              <w:t>一个</w:t>
            </w:r>
            <w:r>
              <w:rPr>
                <w:rFonts w:hint="default" w:ascii="Times New Roman" w:hAnsi="Times New Roman" w:cs="Times New Roman"/>
                <w:color w:val="auto"/>
                <w:sz w:val="24"/>
                <w:szCs w:val="24"/>
                <w:highlight w:val="none"/>
                <w:u w:val="none" w:color="auto"/>
              </w:rPr>
              <w:t>月</w:t>
            </w:r>
            <w:r>
              <w:rPr>
                <w:rFonts w:hint="default" w:ascii="Times New Roman" w:hAnsi="Times New Roman" w:cs="Times New Roman"/>
                <w:color w:val="auto"/>
                <w:sz w:val="24"/>
                <w:szCs w:val="24"/>
                <w:highlight w:val="none"/>
                <w:u w:val="none" w:color="auto"/>
                <w:lang w:eastAsia="zh-CN"/>
              </w:rPr>
              <w:t>更换一次过滤棉，每次更换量为</w:t>
            </w:r>
            <w:r>
              <w:rPr>
                <w:rFonts w:hint="default" w:ascii="Times New Roman" w:hAnsi="Times New Roman" w:cs="Times New Roman"/>
                <w:color w:val="auto"/>
                <w:sz w:val="24"/>
                <w:szCs w:val="24"/>
                <w:highlight w:val="none"/>
                <w:u w:val="none" w:color="auto"/>
                <w:lang w:val="en-US" w:eastAsia="zh-CN"/>
              </w:rPr>
              <w:t>0.0</w:t>
            </w:r>
            <w:r>
              <w:rPr>
                <w:rFonts w:hint="eastAsia" w:cs="Times New Roman"/>
                <w:color w:val="auto"/>
                <w:sz w:val="24"/>
                <w:szCs w:val="24"/>
                <w:highlight w:val="none"/>
                <w:u w:val="none" w:color="auto"/>
                <w:lang w:val="en-US" w:eastAsia="zh-CN"/>
              </w:rPr>
              <w:t>1</w:t>
            </w:r>
            <w:r>
              <w:rPr>
                <w:rFonts w:hint="default" w:ascii="Times New Roman" w:hAnsi="Times New Roman" w:cs="Times New Roman"/>
                <w:color w:val="auto"/>
                <w:sz w:val="24"/>
                <w:szCs w:val="24"/>
                <w:highlight w:val="none"/>
                <w:u w:val="none" w:color="auto"/>
                <w:lang w:val="en-US" w:eastAsia="zh-CN"/>
              </w:rPr>
              <w:t>t，故废过滤棉</w:t>
            </w:r>
            <w:r>
              <w:rPr>
                <w:rFonts w:hint="default" w:ascii="Times New Roman" w:hAnsi="Times New Roman" w:cs="Times New Roman"/>
                <w:color w:val="auto"/>
                <w:sz w:val="24"/>
                <w:szCs w:val="24"/>
                <w:highlight w:val="none"/>
                <w:u w:val="none" w:color="auto"/>
              </w:rPr>
              <w:t>产生量约为</w:t>
            </w:r>
            <w:r>
              <w:rPr>
                <w:rFonts w:hint="default" w:ascii="Times New Roman" w:hAnsi="Times New Roman"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12</w:t>
            </w:r>
            <w:r>
              <w:rPr>
                <w:rFonts w:hint="default" w:ascii="Times New Roman" w:hAnsi="Times New Roman" w:cs="Times New Roman"/>
                <w:color w:val="auto"/>
                <w:sz w:val="24"/>
                <w:szCs w:val="24"/>
                <w:highlight w:val="none"/>
                <w:u w:val="none" w:color="auto"/>
              </w:rPr>
              <w:t>t/a</w:t>
            </w:r>
            <w:r>
              <w:rPr>
                <w:rFonts w:hint="default" w:ascii="Times New Roman" w:hAnsi="Times New Roman" w:cs="Times New Roman"/>
                <w:color w:val="auto"/>
                <w:sz w:val="24"/>
                <w:szCs w:val="24"/>
                <w:highlight w:val="none"/>
                <w:u w:val="none" w:color="auto"/>
                <w:lang w:eastAsia="zh-CN"/>
              </w:rPr>
              <w:t>。</w:t>
            </w:r>
          </w:p>
          <w:p>
            <w:pPr>
              <w:spacing w:line="360" w:lineRule="auto"/>
              <w:ind w:firstLine="466" w:firstLineChars="200"/>
              <w:jc w:val="left"/>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漆渣主要是在喷漆过程中产生的固体颗粒物，项目漆渣产生量为</w:t>
            </w:r>
            <w:r>
              <w:rPr>
                <w:rFonts w:hint="default" w:ascii="Times New Roman" w:hAnsi="Times New Roman" w:cs="Times New Roman"/>
                <w:color w:val="auto"/>
                <w:sz w:val="24"/>
                <w:szCs w:val="24"/>
                <w:u w:val="none" w:color="auto"/>
                <w:lang w:val="en-US" w:eastAsia="zh-CN"/>
              </w:rPr>
              <w:t>0.0</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lang w:val="en-US" w:eastAsia="zh-CN"/>
              </w:rPr>
              <w:t>t/a。</w:t>
            </w:r>
            <w:r>
              <w:rPr>
                <w:rFonts w:hint="default" w:ascii="Times New Roman" w:hAnsi="Times New Roman" w:cs="Times New Roman"/>
                <w:color w:val="auto"/>
                <w:sz w:val="24"/>
                <w:szCs w:val="24"/>
                <w:highlight w:val="none"/>
                <w:u w:val="none" w:color="auto"/>
              </w:rPr>
              <w:t>按《国家危险废物名录》</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lang w:val="en-US" w:eastAsia="zh-CN"/>
              </w:rPr>
              <w:t>20</w:t>
            </w:r>
            <w:r>
              <w:rPr>
                <w:rFonts w:hint="eastAsia" w:cs="Times New Roman"/>
                <w:color w:val="auto"/>
                <w:sz w:val="24"/>
                <w:szCs w:val="24"/>
                <w:highlight w:val="none"/>
                <w:u w:val="none" w:color="auto"/>
                <w:lang w:val="en-US" w:eastAsia="zh-CN"/>
              </w:rPr>
              <w:t>21</w:t>
            </w:r>
            <w:r>
              <w:rPr>
                <w:rFonts w:hint="default" w:ascii="Times New Roman" w:hAnsi="Times New Roman" w:cs="Times New Roman"/>
                <w:color w:val="auto"/>
                <w:sz w:val="24"/>
                <w:szCs w:val="24"/>
                <w:highlight w:val="none"/>
                <w:u w:val="none" w:color="auto"/>
                <w:lang w:val="en-US" w:eastAsia="zh-CN"/>
              </w:rPr>
              <w:t>年</w:t>
            </w:r>
            <w:r>
              <w:rPr>
                <w:rFonts w:hint="default" w:ascii="Times New Roman" w:hAnsi="Times New Roman" w:cs="Times New Roman"/>
                <w:color w:val="auto"/>
                <w:sz w:val="24"/>
                <w:szCs w:val="24"/>
                <w:highlight w:val="none"/>
                <w:u w:val="none" w:color="auto"/>
                <w:lang w:eastAsia="zh-CN"/>
              </w:rPr>
              <w:t>）可知废过滤棉和漆渣，属于危险废物，收集于危险废物储存间内，再交由有资质单位进行处理。</w:t>
            </w:r>
          </w:p>
          <w:p>
            <w:pPr>
              <w:spacing w:line="360" w:lineRule="auto"/>
              <w:ind w:firstLine="466" w:firstLineChars="200"/>
              <w:jc w:val="left"/>
              <w:rPr>
                <w:rFonts w:hint="default" w:ascii="Times New Roman" w:hAnsi="Times New Roman" w:cs="Times New Roman"/>
                <w:color w:val="auto"/>
                <w:sz w:val="24"/>
                <w:szCs w:val="24"/>
                <w:u w:val="none" w:color="auto"/>
                <w:lang w:val="en-US"/>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废包装袋</w:t>
            </w:r>
          </w:p>
          <w:p>
            <w:pPr>
              <w:snapToGrid w:val="0"/>
              <w:spacing w:line="360" w:lineRule="auto"/>
              <w:ind w:firstLine="466" w:firstLineChars="200"/>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sz w:val="24"/>
                <w:szCs w:val="24"/>
                <w:u w:val="none" w:color="auto"/>
                <w:lang w:val="en-US" w:eastAsia="zh-CN"/>
              </w:rPr>
              <w:t>本项目石棉纤维、玻璃纤维、纸纤维均使用袋装，根据业主提供的相关资料可知，项目废包装袋产生量为0.05t/a，收集后外售废品回收站处理</w:t>
            </w:r>
            <w:r>
              <w:rPr>
                <w:rFonts w:hint="default" w:ascii="Times New Roman" w:hAnsi="Times New Roman" w:eastAsia="宋体" w:cs="Times New Roman"/>
                <w:color w:val="auto"/>
                <w:kern w:val="2"/>
                <w:sz w:val="24"/>
                <w:szCs w:val="24"/>
                <w:u w:val="none" w:color="auto"/>
                <w:lang w:val="en-US" w:eastAsia="zh-CN" w:bidi="ar-SA"/>
              </w:rPr>
              <w:t>。</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w:t>
            </w:r>
            <w:r>
              <w:rPr>
                <w:rFonts w:hint="eastAsia" w:cs="Times New Roman"/>
                <w:color w:val="auto"/>
                <w:kern w:val="2"/>
                <w:sz w:val="24"/>
                <w:szCs w:val="24"/>
                <w:u w:val="none" w:color="auto"/>
                <w:lang w:val="en-US" w:eastAsia="zh-CN" w:bidi="ar-SA"/>
              </w:rPr>
              <w:t>6</w:t>
            </w:r>
            <w:r>
              <w:rPr>
                <w:rFonts w:hint="default" w:ascii="Times New Roman" w:hAnsi="Times New Roman" w:eastAsia="宋体" w:cs="Times New Roman"/>
                <w:color w:val="auto"/>
                <w:kern w:val="2"/>
                <w:sz w:val="24"/>
                <w:szCs w:val="24"/>
                <w:u w:val="none" w:color="auto"/>
                <w:lang w:val="en-US" w:eastAsia="zh-CN" w:bidi="ar-SA"/>
              </w:rPr>
              <w:t>）废活性炭</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项目用活性炭吸附有机废气，活性炭每1个月更换一次（具体可根据生产中实际废气处理饱和度情况及时更换，以免影响处理效率）。</w:t>
            </w:r>
            <w:r>
              <w:rPr>
                <w:rFonts w:hint="default" w:ascii="Times New Roman" w:hAnsi="Times New Roman" w:cs="Times New Roman"/>
                <w:color w:val="auto"/>
                <w:kern w:val="2"/>
                <w:sz w:val="24"/>
                <w:szCs w:val="24"/>
                <w:u w:val="none" w:color="auto"/>
                <w:lang w:val="en-US" w:eastAsia="zh-CN" w:bidi="ar-SA"/>
              </w:rPr>
              <w:t>每次更换产生的废活性炭为0.</w:t>
            </w:r>
            <w:r>
              <w:rPr>
                <w:rFonts w:hint="eastAsia" w:cs="Times New Roman"/>
                <w:color w:val="auto"/>
                <w:kern w:val="2"/>
                <w:sz w:val="24"/>
                <w:szCs w:val="24"/>
                <w:u w:val="none" w:color="auto"/>
                <w:lang w:val="en-US" w:eastAsia="zh-CN" w:bidi="ar-SA"/>
              </w:rPr>
              <w:t>03</w:t>
            </w:r>
            <w:r>
              <w:rPr>
                <w:rFonts w:hint="default" w:ascii="Times New Roman" w:hAnsi="Times New Roman" w:cs="Times New Roman"/>
                <w:color w:val="auto"/>
                <w:kern w:val="2"/>
                <w:sz w:val="24"/>
                <w:szCs w:val="24"/>
                <w:u w:val="none" w:color="auto"/>
                <w:lang w:val="en-US" w:eastAsia="zh-CN" w:bidi="ar-SA"/>
              </w:rPr>
              <w:t>t</w:t>
            </w:r>
            <w:r>
              <w:rPr>
                <w:rFonts w:hint="default" w:ascii="Times New Roman" w:hAnsi="Times New Roman" w:eastAsia="宋体" w:cs="Times New Roman"/>
                <w:color w:val="auto"/>
                <w:kern w:val="2"/>
                <w:sz w:val="24"/>
                <w:szCs w:val="24"/>
                <w:u w:val="none" w:color="auto"/>
                <w:lang w:val="en-US" w:eastAsia="zh-CN" w:bidi="ar-SA"/>
              </w:rPr>
              <w:t>，因此，废活性碳的产生量为</w:t>
            </w:r>
            <w:r>
              <w:rPr>
                <w:rFonts w:hint="eastAsia" w:cs="Times New Roman"/>
                <w:color w:val="auto"/>
                <w:kern w:val="2"/>
                <w:sz w:val="24"/>
                <w:szCs w:val="24"/>
                <w:u w:val="none" w:color="auto"/>
                <w:lang w:val="en-US" w:eastAsia="zh-CN" w:bidi="ar-SA"/>
              </w:rPr>
              <w:t>0.36</w:t>
            </w:r>
            <w:r>
              <w:rPr>
                <w:rFonts w:hint="default" w:ascii="Times New Roman" w:hAnsi="Times New Roman" w:eastAsia="宋体" w:cs="Times New Roman"/>
                <w:color w:val="auto"/>
                <w:kern w:val="2"/>
                <w:sz w:val="24"/>
                <w:szCs w:val="24"/>
                <w:u w:val="none" w:color="auto"/>
                <w:lang w:val="en-US" w:eastAsia="zh-CN" w:bidi="ar-SA"/>
              </w:rPr>
              <w:t>t/a，这部分废物属于危险固废的范围，按《国家危险废物名录》，分类编号为HW49，代码为900-039-49。这部分危废由建设方委托有资质的单位进行处理。</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w:t>
            </w:r>
            <w:r>
              <w:rPr>
                <w:rFonts w:hint="eastAsia" w:cs="Times New Roman"/>
                <w:color w:val="auto"/>
                <w:kern w:val="2"/>
                <w:sz w:val="24"/>
                <w:szCs w:val="24"/>
                <w:u w:val="none" w:color="auto"/>
                <w:lang w:val="en-US" w:eastAsia="zh-CN" w:bidi="ar-SA"/>
              </w:rPr>
              <w:t>7</w:t>
            </w:r>
            <w:r>
              <w:rPr>
                <w:rFonts w:hint="default"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cs="Times New Roman"/>
                <w:color w:val="auto"/>
                <w:kern w:val="2"/>
                <w:sz w:val="24"/>
                <w:szCs w:val="24"/>
                <w:u w:val="none" w:color="auto"/>
                <w:lang w:val="en-US" w:eastAsia="zh-CN" w:bidi="ar-SA"/>
              </w:rPr>
              <w:t>除尘器</w:t>
            </w:r>
            <w:r>
              <w:rPr>
                <w:rFonts w:hint="default" w:ascii="Times New Roman" w:hAnsi="Times New Roman" w:eastAsia="宋体" w:cs="Times New Roman"/>
                <w:color w:val="auto"/>
                <w:kern w:val="2"/>
                <w:sz w:val="24"/>
                <w:szCs w:val="24"/>
                <w:u w:val="none" w:color="auto"/>
                <w:lang w:val="en-US" w:eastAsia="zh-CN" w:bidi="ar-SA"/>
              </w:rPr>
              <w:t>收集的粉尘</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eastAsia="宋体" w:cs="Times New Roman"/>
                <w:color w:val="auto"/>
                <w:kern w:val="2"/>
                <w:sz w:val="24"/>
                <w:szCs w:val="24"/>
                <w:u w:val="none" w:color="auto"/>
                <w:lang w:val="en-US" w:eastAsia="zh-CN" w:bidi="ar-SA"/>
              </w:rPr>
              <w:t>项目生产过程中经</w:t>
            </w:r>
            <w:r>
              <w:rPr>
                <w:rFonts w:hint="eastAsia" w:cs="Times New Roman"/>
                <w:color w:val="auto"/>
                <w:sz w:val="24"/>
                <w:szCs w:val="24"/>
                <w:u w:val="none" w:color="auto"/>
                <w:lang w:eastAsia="zh-CN"/>
              </w:rPr>
              <w:t>脉冲式</w:t>
            </w:r>
            <w:r>
              <w:rPr>
                <w:rFonts w:hint="eastAsia" w:cs="Times New Roman"/>
                <w:color w:val="auto"/>
                <w:sz w:val="24"/>
                <w:szCs w:val="24"/>
                <w:u w:val="none" w:color="auto"/>
                <w:lang w:val="en-US" w:eastAsia="zh-CN"/>
              </w:rPr>
              <w:t>布袋</w:t>
            </w:r>
            <w:r>
              <w:rPr>
                <w:rFonts w:hint="eastAsia" w:cs="Times New Roman"/>
                <w:color w:val="auto"/>
                <w:sz w:val="24"/>
                <w:szCs w:val="24"/>
                <w:u w:val="none" w:color="auto"/>
                <w:lang w:eastAsia="zh-CN"/>
              </w:rPr>
              <w:t>除尘器</w:t>
            </w:r>
            <w:r>
              <w:rPr>
                <w:rFonts w:hint="default" w:ascii="Times New Roman" w:hAnsi="Times New Roman" w:eastAsia="宋体" w:cs="Times New Roman"/>
                <w:color w:val="auto"/>
                <w:kern w:val="2"/>
                <w:sz w:val="24"/>
                <w:szCs w:val="24"/>
                <w:u w:val="none" w:color="auto"/>
                <w:lang w:val="en-US" w:eastAsia="zh-CN" w:bidi="ar-SA"/>
              </w:rPr>
              <w:t>收集的粉尘，其产生量约为</w:t>
            </w:r>
            <w:r>
              <w:rPr>
                <w:rFonts w:hint="eastAsia" w:cs="Times New Roman"/>
                <w:color w:val="auto"/>
                <w:kern w:val="2"/>
                <w:sz w:val="24"/>
                <w:szCs w:val="24"/>
                <w:u w:val="none" w:color="auto"/>
                <w:lang w:val="en-US" w:eastAsia="zh-CN" w:bidi="ar-SA"/>
              </w:rPr>
              <w:t>0.454</w:t>
            </w:r>
            <w:r>
              <w:rPr>
                <w:rFonts w:hint="default" w:ascii="Times New Roman" w:hAnsi="Times New Roman" w:eastAsia="宋体" w:cs="Times New Roman"/>
                <w:color w:val="auto"/>
                <w:kern w:val="2"/>
                <w:sz w:val="24"/>
                <w:szCs w:val="24"/>
                <w:u w:val="none" w:color="auto"/>
                <w:lang w:val="en-US" w:eastAsia="zh-CN" w:bidi="ar-SA"/>
              </w:rPr>
              <w:t>t/a。属于一般固废。根据</w:t>
            </w:r>
            <w:r>
              <w:rPr>
                <w:rFonts w:hint="eastAsia" w:cs="Times New Roman"/>
                <w:color w:val="auto"/>
                <w:kern w:val="2"/>
                <w:sz w:val="24"/>
                <w:szCs w:val="24"/>
                <w:u w:val="none" w:color="auto"/>
                <w:lang w:val="en-US" w:eastAsia="zh-CN" w:bidi="ar-SA"/>
              </w:rPr>
              <w:t>现场勘查</w:t>
            </w:r>
            <w:r>
              <w:rPr>
                <w:rFonts w:hint="default" w:ascii="Times New Roman" w:hAnsi="Times New Roman" w:eastAsia="宋体" w:cs="Times New Roman"/>
                <w:color w:val="auto"/>
                <w:kern w:val="2"/>
                <w:sz w:val="24"/>
                <w:szCs w:val="24"/>
                <w:u w:val="none" w:color="auto"/>
                <w:lang w:val="en-US" w:eastAsia="zh-CN" w:bidi="ar-SA"/>
              </w:rPr>
              <w:t>，该部分固废收集后</w:t>
            </w:r>
            <w:r>
              <w:rPr>
                <w:rFonts w:hint="eastAsia" w:cs="Times New Roman"/>
                <w:color w:val="auto"/>
                <w:kern w:val="2"/>
                <w:sz w:val="24"/>
                <w:szCs w:val="24"/>
                <w:u w:val="none" w:color="auto"/>
                <w:lang w:val="en-US" w:eastAsia="zh-CN" w:bidi="ar-SA"/>
              </w:rPr>
              <w:t>回用于生产</w:t>
            </w:r>
            <w:r>
              <w:rPr>
                <w:rFonts w:hint="eastAsia" w:cs="Times New Roman"/>
                <w:color w:val="auto"/>
                <w:sz w:val="24"/>
                <w:szCs w:val="24"/>
                <w:u w:val="none" w:color="auto"/>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cs="Times New Roman"/>
                <w:color w:val="auto"/>
                <w:sz w:val="24"/>
                <w:szCs w:val="24"/>
                <w:u w:val="none" w:color="auto"/>
                <w:lang w:eastAsia="zh-CN"/>
              </w:rPr>
            </w:pP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8</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水罐内</w:t>
            </w:r>
            <w:r>
              <w:rPr>
                <w:rFonts w:hint="default" w:ascii="Times New Roman" w:hAnsi="Times New Roman" w:cs="Times New Roman"/>
                <w:color w:val="auto"/>
                <w:sz w:val="24"/>
                <w:szCs w:val="24"/>
                <w:u w:val="none" w:color="auto"/>
                <w:lang w:eastAsia="zh-CN"/>
              </w:rPr>
              <w:t>沉渣</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项目真空脱水和挤压脱水工序产生的废水，经水罐收集后回用，因此水罐内会产生部分沉渣，根据业主提供的相关资料可知，水罐内沉渣产生量约为3.2t/a。收集后回用于打料制浆工序。</w:t>
            </w:r>
          </w:p>
          <w:p>
            <w:pPr>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auto"/>
                <w:u w:val="none" w:color="auto"/>
                <w:lang w:val="en-US" w:eastAsia="zh-CN"/>
              </w:rPr>
            </w:pPr>
          </w:p>
        </w:tc>
      </w:tr>
    </w:tbl>
    <w:p>
      <w:pPr>
        <w:snapToGrid w:val="0"/>
        <w:outlineLvl w:val="0"/>
        <w:rPr>
          <w:rFonts w:ascii="黑体" w:hAnsi="黑体" w:eastAsia="黑体"/>
          <w:color w:val="auto"/>
          <w:sz w:val="32"/>
          <w:szCs w:val="32"/>
          <w:u w:val="none" w:color="auto"/>
        </w:rPr>
      </w:pPr>
      <w:r>
        <w:rPr>
          <w:color w:val="auto"/>
          <w:u w:val="none" w:color="auto"/>
        </w:rPr>
        <w:br w:type="page"/>
      </w:r>
      <w:bookmarkStart w:id="9" w:name="_Toc19880"/>
      <w:r>
        <w:rPr>
          <w:rFonts w:hint="eastAsia" w:ascii="黑体" w:hAnsi="黑体" w:eastAsia="黑体"/>
          <w:color w:val="auto"/>
          <w:sz w:val="32"/>
          <w:szCs w:val="32"/>
          <w:u w:val="none" w:color="auto"/>
        </w:rPr>
        <w:t>六、</w:t>
      </w:r>
      <w:r>
        <w:rPr>
          <w:rFonts w:ascii="黑体" w:hAnsi="黑体" w:eastAsia="黑体"/>
          <w:color w:val="auto"/>
          <w:sz w:val="32"/>
          <w:szCs w:val="32"/>
          <w:u w:val="none" w:color="auto"/>
        </w:rPr>
        <w:t>项目主要污染物产生及预计排放情况</w:t>
      </w:r>
      <w:bookmarkEnd w:id="9"/>
    </w:p>
    <w:tbl>
      <w:tblPr>
        <w:tblStyle w:val="40"/>
        <w:tblW w:w="96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423"/>
        <w:gridCol w:w="1536"/>
        <w:gridCol w:w="1845"/>
        <w:gridCol w:w="1938"/>
        <w:gridCol w:w="3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66" w:type="dxa"/>
            <w:tcBorders>
              <w:tl2br w:val="nil"/>
              <w:tr2bl w:val="nil"/>
            </w:tcBorders>
          </w:tcPr>
          <w:p>
            <w:pPr>
              <w:spacing w:line="360" w:lineRule="auto"/>
              <w:rPr>
                <w:b/>
                <w:bCs/>
                <w:color w:val="auto"/>
                <w:sz w:val="22"/>
                <w:szCs w:val="22"/>
                <w:u w:val="none" w:color="auto"/>
              </w:rPr>
            </w:pPr>
          </w:p>
        </w:tc>
        <w:tc>
          <w:tcPr>
            <w:tcW w:w="1959" w:type="dxa"/>
            <w:gridSpan w:val="2"/>
            <w:tcBorders>
              <w:tl2br w:val="nil"/>
              <w:tr2bl w:val="nil"/>
            </w:tcBorders>
            <w:vAlign w:val="center"/>
          </w:tcPr>
          <w:p>
            <w:pPr>
              <w:spacing w:line="360" w:lineRule="auto"/>
              <w:ind w:firstLine="426" w:firstLineChars="200"/>
              <w:jc w:val="center"/>
              <w:rPr>
                <w:b/>
                <w:bCs/>
                <w:color w:val="auto"/>
                <w:sz w:val="22"/>
                <w:szCs w:val="22"/>
                <w:u w:val="none" w:color="auto"/>
              </w:rPr>
            </w:pPr>
            <w:r>
              <w:rPr>
                <w:b/>
                <w:bCs/>
                <w:color w:val="auto"/>
                <w:sz w:val="22"/>
                <w:szCs w:val="22"/>
                <w:u w:val="none" w:color="auto"/>
              </w:rPr>
              <w:t>排放源</w:t>
            </w:r>
          </w:p>
          <w:p>
            <w:pPr>
              <w:spacing w:line="360" w:lineRule="auto"/>
              <w:ind w:firstLine="426" w:firstLineChars="200"/>
              <w:jc w:val="center"/>
              <w:rPr>
                <w:b/>
                <w:bCs/>
                <w:color w:val="auto"/>
                <w:sz w:val="22"/>
                <w:szCs w:val="22"/>
                <w:u w:val="none" w:color="auto"/>
              </w:rPr>
            </w:pPr>
            <w:r>
              <w:rPr>
                <w:b/>
                <w:bCs/>
                <w:color w:val="auto"/>
                <w:sz w:val="22"/>
                <w:szCs w:val="22"/>
                <w:u w:val="none" w:color="auto"/>
              </w:rPr>
              <w:t>（编号）</w:t>
            </w:r>
          </w:p>
        </w:tc>
        <w:tc>
          <w:tcPr>
            <w:tcW w:w="1845"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污染物</w:t>
            </w:r>
          </w:p>
          <w:p>
            <w:pPr>
              <w:spacing w:line="360" w:lineRule="auto"/>
              <w:jc w:val="center"/>
              <w:rPr>
                <w:b/>
                <w:bCs/>
                <w:color w:val="auto"/>
                <w:sz w:val="22"/>
                <w:szCs w:val="22"/>
                <w:u w:val="none" w:color="auto"/>
              </w:rPr>
            </w:pPr>
            <w:r>
              <w:rPr>
                <w:b/>
                <w:bCs/>
                <w:color w:val="auto"/>
                <w:sz w:val="22"/>
                <w:szCs w:val="22"/>
                <w:u w:val="none" w:color="auto"/>
              </w:rPr>
              <w:t>名称</w:t>
            </w:r>
          </w:p>
        </w:tc>
        <w:tc>
          <w:tcPr>
            <w:tcW w:w="1938"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处理前产生浓度及产生量（单位）</w:t>
            </w:r>
          </w:p>
        </w:tc>
        <w:tc>
          <w:tcPr>
            <w:tcW w:w="3279" w:type="dxa"/>
            <w:tcBorders>
              <w:tl2br w:val="nil"/>
              <w:tr2bl w:val="nil"/>
            </w:tcBorders>
            <w:vAlign w:val="center"/>
          </w:tcPr>
          <w:p>
            <w:pPr>
              <w:spacing w:line="360" w:lineRule="auto"/>
              <w:ind w:firstLine="426" w:firstLineChars="200"/>
              <w:jc w:val="center"/>
              <w:rPr>
                <w:b/>
                <w:bCs/>
                <w:color w:val="auto"/>
                <w:sz w:val="22"/>
                <w:szCs w:val="22"/>
                <w:u w:val="none" w:color="auto"/>
              </w:rPr>
            </w:pPr>
            <w:r>
              <w:rPr>
                <w:b/>
                <w:bCs/>
                <w:color w:val="auto"/>
                <w:sz w:val="22"/>
                <w:szCs w:val="22"/>
                <w:u w:val="none" w:color="auto"/>
              </w:rPr>
              <w:t>排放浓度</w:t>
            </w:r>
          </w:p>
          <w:p>
            <w:pPr>
              <w:spacing w:line="360" w:lineRule="auto"/>
              <w:ind w:firstLine="426" w:firstLineChars="200"/>
              <w:jc w:val="center"/>
              <w:rPr>
                <w:b/>
                <w:bCs/>
                <w:color w:val="auto"/>
                <w:sz w:val="22"/>
                <w:szCs w:val="22"/>
                <w:u w:val="none" w:color="auto"/>
              </w:rPr>
            </w:pPr>
            <w:r>
              <w:rPr>
                <w:b/>
                <w:bCs/>
                <w:color w:val="auto"/>
                <w:sz w:val="22"/>
                <w:szCs w:val="22"/>
                <w:u w:val="none" w:color="auto"/>
              </w:rPr>
              <w:t>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66" w:type="dxa"/>
            <w:vMerge w:val="restart"/>
            <w:tcBorders>
              <w:tl2br w:val="nil"/>
              <w:tr2bl w:val="nil"/>
            </w:tcBorders>
            <w:vAlign w:val="center"/>
          </w:tcPr>
          <w:p>
            <w:pPr>
              <w:spacing w:line="360" w:lineRule="auto"/>
              <w:jc w:val="center"/>
              <w:rPr>
                <w:b/>
                <w:bCs/>
                <w:color w:val="auto"/>
                <w:sz w:val="22"/>
                <w:szCs w:val="22"/>
                <w:u w:val="none" w:color="auto"/>
              </w:rPr>
            </w:pPr>
            <w:r>
              <w:rPr>
                <w:rFonts w:hint="eastAsia"/>
                <w:b/>
                <w:bCs/>
                <w:color w:val="auto"/>
                <w:sz w:val="22"/>
                <w:szCs w:val="22"/>
                <w:u w:val="none" w:color="auto"/>
              </w:rPr>
              <w:t>大气污染物</w:t>
            </w:r>
          </w:p>
        </w:tc>
        <w:tc>
          <w:tcPr>
            <w:tcW w:w="423" w:type="dxa"/>
            <w:vMerge w:val="restart"/>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运营期</w:t>
            </w:r>
          </w:p>
        </w:tc>
        <w:tc>
          <w:tcPr>
            <w:tcW w:w="1536"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水泥筒仓粉尘</w:t>
            </w:r>
          </w:p>
        </w:tc>
        <w:tc>
          <w:tcPr>
            <w:tcW w:w="1845"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颗粒物</w:t>
            </w:r>
          </w:p>
        </w:tc>
        <w:tc>
          <w:tcPr>
            <w:tcW w:w="1938"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0.13</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0.0542</w:t>
            </w:r>
            <w:r>
              <w:rPr>
                <w:color w:val="auto"/>
                <w:sz w:val="22"/>
                <w:szCs w:val="22"/>
                <w:u w:val="none" w:color="auto"/>
              </w:rPr>
              <w:t>kg/h</w:t>
            </w:r>
          </w:p>
        </w:tc>
        <w:tc>
          <w:tcPr>
            <w:tcW w:w="3279"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0.00117</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0.00098</w:t>
            </w:r>
            <w:r>
              <w:rPr>
                <w:color w:val="auto"/>
                <w:sz w:val="22"/>
                <w:szCs w:val="22"/>
                <w:u w:val="none" w:color="auto"/>
              </w:rPr>
              <w:t>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restart"/>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喷漆烘干废气排气筒</w:t>
            </w:r>
          </w:p>
        </w:tc>
        <w:tc>
          <w:tcPr>
            <w:tcW w:w="1845" w:type="dxa"/>
            <w:vMerge w:val="restart"/>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val="en-US" w:eastAsia="zh-CN"/>
              </w:rPr>
              <w:t>颗粒物</w:t>
            </w:r>
          </w:p>
        </w:tc>
        <w:tc>
          <w:tcPr>
            <w:tcW w:w="1938" w:type="dxa"/>
            <w:vMerge w:val="restart"/>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0.1</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0.067</w:t>
            </w:r>
            <w:r>
              <w:rPr>
                <w:color w:val="auto"/>
                <w:sz w:val="22"/>
                <w:szCs w:val="22"/>
                <w:u w:val="none" w:color="auto"/>
              </w:rPr>
              <w:t>kg/h</w:t>
            </w:r>
          </w:p>
        </w:tc>
        <w:tc>
          <w:tcPr>
            <w:tcW w:w="3279"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0.009</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2.0</w:t>
            </w:r>
            <w:r>
              <w:rPr>
                <w:color w:val="auto"/>
                <w:sz w:val="22"/>
                <w:szCs w:val="22"/>
                <w:u w:val="none" w:color="auto"/>
              </w:rPr>
              <w:t>mg/m</w:t>
            </w:r>
            <w:r>
              <w:rPr>
                <w:color w:val="auto"/>
                <w:sz w:val="22"/>
                <w:szCs w:val="22"/>
                <w:u w:val="none" w:color="auto"/>
                <w:vertAlign w:val="superscript"/>
              </w:rPr>
              <w:t>3</w:t>
            </w:r>
            <w:r>
              <w:rPr>
                <w:rFonts w:hint="eastAsia"/>
                <w:color w:val="auto"/>
                <w:sz w:val="22"/>
                <w:szCs w:val="22"/>
                <w:u w:val="none" w:color="auto"/>
                <w:lang w:eastAsia="zh-CN"/>
              </w:rPr>
              <w:t>（有组织）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vMerge w:val="continue"/>
            <w:tcBorders>
              <w:tl2br w:val="nil"/>
              <w:tr2bl w:val="nil"/>
            </w:tcBorders>
            <w:vAlign w:val="center"/>
          </w:tcPr>
          <w:p>
            <w:pPr>
              <w:spacing w:line="360" w:lineRule="auto"/>
              <w:jc w:val="center"/>
              <w:rPr>
                <w:color w:val="auto"/>
                <w:sz w:val="22"/>
                <w:szCs w:val="22"/>
                <w:u w:val="none" w:color="auto"/>
              </w:rPr>
            </w:pPr>
          </w:p>
        </w:tc>
        <w:tc>
          <w:tcPr>
            <w:tcW w:w="1938" w:type="dxa"/>
            <w:vMerge w:val="continue"/>
            <w:tcBorders>
              <w:tl2br w:val="nil"/>
              <w:tr2bl w:val="nil"/>
            </w:tcBorders>
            <w:vAlign w:val="center"/>
          </w:tcPr>
          <w:p>
            <w:pPr>
              <w:spacing w:line="360" w:lineRule="auto"/>
              <w:jc w:val="center"/>
              <w:rPr>
                <w:color w:val="auto"/>
                <w:sz w:val="22"/>
                <w:szCs w:val="22"/>
                <w:u w:val="none" w:color="auto"/>
              </w:rPr>
            </w:pPr>
          </w:p>
        </w:tc>
        <w:tc>
          <w:tcPr>
            <w:tcW w:w="3279"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val="en-US" w:eastAsia="zh-CN"/>
              </w:rPr>
              <w:t>0.01</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0.0067</w:t>
            </w:r>
            <w:r>
              <w:rPr>
                <w:color w:val="auto"/>
                <w:sz w:val="22"/>
                <w:szCs w:val="22"/>
                <w:u w:val="none" w:color="auto"/>
              </w:rPr>
              <w:t>kg/h</w:t>
            </w:r>
            <w:r>
              <w:rPr>
                <w:rFonts w:hint="eastAsia"/>
                <w:color w:val="auto"/>
                <w:sz w:val="22"/>
                <w:szCs w:val="22"/>
                <w:u w:val="none" w:color="auto"/>
                <w:lang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vMerge w:val="restart"/>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rPr>
              <w:t>V</w:t>
            </w:r>
            <w:r>
              <w:rPr>
                <w:color w:val="auto"/>
                <w:sz w:val="22"/>
                <w:szCs w:val="22"/>
                <w:u w:val="none" w:color="auto"/>
              </w:rPr>
              <w:t>OCs</w:t>
            </w:r>
          </w:p>
        </w:tc>
        <w:tc>
          <w:tcPr>
            <w:tcW w:w="1938" w:type="dxa"/>
            <w:vMerge w:val="restart"/>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0.15</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0.10</w:t>
            </w:r>
            <w:r>
              <w:rPr>
                <w:color w:val="auto"/>
                <w:sz w:val="22"/>
                <w:szCs w:val="22"/>
                <w:u w:val="none" w:color="auto"/>
              </w:rPr>
              <w:t>kg/h</w:t>
            </w:r>
          </w:p>
        </w:tc>
        <w:tc>
          <w:tcPr>
            <w:tcW w:w="3279"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0.027</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6.0</w:t>
            </w:r>
            <w:r>
              <w:rPr>
                <w:color w:val="auto"/>
                <w:sz w:val="22"/>
                <w:szCs w:val="22"/>
                <w:u w:val="none" w:color="auto"/>
              </w:rPr>
              <w:t>mg/m</w:t>
            </w:r>
            <w:r>
              <w:rPr>
                <w:color w:val="auto"/>
                <w:sz w:val="22"/>
                <w:szCs w:val="22"/>
                <w:u w:val="none" w:color="auto"/>
                <w:vertAlign w:val="superscript"/>
              </w:rPr>
              <w:t>3</w:t>
            </w:r>
            <w:r>
              <w:rPr>
                <w:rFonts w:hint="eastAsia"/>
                <w:color w:val="auto"/>
                <w:sz w:val="22"/>
                <w:szCs w:val="22"/>
                <w:u w:val="none" w:color="auto"/>
                <w:lang w:eastAsia="zh-CN"/>
              </w:rPr>
              <w:t>（有组织）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vMerge w:val="continue"/>
            <w:tcBorders>
              <w:tl2br w:val="nil"/>
              <w:tr2bl w:val="nil"/>
            </w:tcBorders>
            <w:vAlign w:val="center"/>
          </w:tcPr>
          <w:p>
            <w:pPr>
              <w:spacing w:line="360" w:lineRule="auto"/>
              <w:jc w:val="center"/>
              <w:rPr>
                <w:color w:val="auto"/>
                <w:sz w:val="22"/>
                <w:szCs w:val="22"/>
                <w:u w:val="none" w:color="auto"/>
              </w:rPr>
            </w:pPr>
          </w:p>
        </w:tc>
        <w:tc>
          <w:tcPr>
            <w:tcW w:w="1938" w:type="dxa"/>
            <w:vMerge w:val="continue"/>
            <w:tcBorders>
              <w:tl2br w:val="nil"/>
              <w:tr2bl w:val="nil"/>
            </w:tcBorders>
            <w:vAlign w:val="center"/>
          </w:tcPr>
          <w:p>
            <w:pPr>
              <w:spacing w:line="360" w:lineRule="auto"/>
              <w:jc w:val="center"/>
              <w:rPr>
                <w:color w:val="auto"/>
                <w:sz w:val="22"/>
                <w:szCs w:val="22"/>
                <w:u w:val="none" w:color="auto"/>
              </w:rPr>
            </w:pPr>
          </w:p>
        </w:tc>
        <w:tc>
          <w:tcPr>
            <w:tcW w:w="3279"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val="en-US" w:eastAsia="zh-CN"/>
              </w:rPr>
              <w:t>0.015</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0.01</w:t>
            </w:r>
            <w:r>
              <w:rPr>
                <w:color w:val="auto"/>
                <w:sz w:val="22"/>
                <w:szCs w:val="22"/>
                <w:u w:val="none" w:color="auto"/>
              </w:rPr>
              <w:t>kg/h</w:t>
            </w:r>
            <w:r>
              <w:rPr>
                <w:rFonts w:hint="eastAsia"/>
                <w:color w:val="auto"/>
                <w:sz w:val="22"/>
                <w:szCs w:val="22"/>
                <w:u w:val="none" w:color="auto"/>
                <w:lang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石粉筒仓粉尘</w:t>
            </w:r>
          </w:p>
        </w:tc>
        <w:tc>
          <w:tcPr>
            <w:tcW w:w="1845"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颗粒物</w:t>
            </w:r>
          </w:p>
        </w:tc>
        <w:tc>
          <w:tcPr>
            <w:tcW w:w="1938"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0.065</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0.027</w:t>
            </w:r>
            <w:r>
              <w:rPr>
                <w:color w:val="auto"/>
                <w:sz w:val="22"/>
                <w:szCs w:val="22"/>
                <w:u w:val="none" w:color="auto"/>
              </w:rPr>
              <w:t>kg/h</w:t>
            </w:r>
          </w:p>
        </w:tc>
        <w:tc>
          <w:tcPr>
            <w:tcW w:w="3279"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0.000195</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0.00016</w:t>
            </w:r>
            <w:r>
              <w:rPr>
                <w:color w:val="auto"/>
                <w:sz w:val="22"/>
                <w:szCs w:val="22"/>
                <w:u w:val="none" w:color="auto"/>
              </w:rPr>
              <w:t>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66" w:type="dxa"/>
            <w:vMerge w:val="restart"/>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水污</w:t>
            </w:r>
          </w:p>
          <w:p>
            <w:pPr>
              <w:spacing w:line="360" w:lineRule="auto"/>
              <w:jc w:val="center"/>
              <w:rPr>
                <w:b/>
                <w:bCs/>
                <w:color w:val="auto"/>
                <w:sz w:val="22"/>
                <w:szCs w:val="22"/>
                <w:u w:val="none" w:color="auto"/>
              </w:rPr>
            </w:pPr>
            <w:r>
              <w:rPr>
                <w:b/>
                <w:bCs/>
                <w:color w:val="auto"/>
                <w:sz w:val="22"/>
                <w:szCs w:val="22"/>
                <w:u w:val="none" w:color="auto"/>
              </w:rPr>
              <w:t>染物</w:t>
            </w:r>
          </w:p>
        </w:tc>
        <w:tc>
          <w:tcPr>
            <w:tcW w:w="423" w:type="dxa"/>
            <w:vMerge w:val="restart"/>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r>
              <w:rPr>
                <w:rFonts w:hint="eastAsia"/>
                <w:color w:val="auto"/>
                <w:sz w:val="22"/>
                <w:szCs w:val="22"/>
                <w:u w:val="none" w:color="auto"/>
              </w:rPr>
              <w:t>运营</w:t>
            </w:r>
          </w:p>
          <w:p>
            <w:pPr>
              <w:tabs>
                <w:tab w:val="left" w:pos="4425"/>
              </w:tabs>
              <w:adjustRightInd w:val="0"/>
              <w:snapToGrid w:val="0"/>
              <w:spacing w:line="360" w:lineRule="auto"/>
              <w:jc w:val="center"/>
              <w:rPr>
                <w:color w:val="auto"/>
                <w:sz w:val="22"/>
                <w:szCs w:val="22"/>
                <w:u w:val="none" w:color="auto"/>
              </w:rPr>
            </w:pPr>
            <w:r>
              <w:rPr>
                <w:rFonts w:hint="eastAsia"/>
                <w:color w:val="auto"/>
                <w:sz w:val="22"/>
                <w:szCs w:val="22"/>
                <w:u w:val="none" w:color="auto"/>
              </w:rPr>
              <w:t>期</w:t>
            </w:r>
          </w:p>
        </w:tc>
        <w:tc>
          <w:tcPr>
            <w:tcW w:w="1536" w:type="dxa"/>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r>
              <w:rPr>
                <w:color w:val="auto"/>
                <w:sz w:val="22"/>
                <w:szCs w:val="22"/>
                <w:u w:val="none" w:color="auto"/>
              </w:rPr>
              <w:t>生活污</w:t>
            </w:r>
            <w:r>
              <w:rPr>
                <w:rFonts w:hint="eastAsia"/>
                <w:color w:val="auto"/>
                <w:sz w:val="22"/>
                <w:szCs w:val="22"/>
                <w:u w:val="none" w:color="auto"/>
              </w:rPr>
              <w:t>水</w:t>
            </w:r>
          </w:p>
        </w:tc>
        <w:tc>
          <w:tcPr>
            <w:tcW w:w="7062" w:type="dxa"/>
            <w:gridSpan w:val="3"/>
            <w:tcBorders>
              <w:tl2br w:val="nil"/>
              <w:tr2bl w:val="nil"/>
            </w:tcBorders>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经三级化粪池处理后回用于绿化、农田施肥，不外排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p>
        </w:tc>
        <w:tc>
          <w:tcPr>
            <w:tcW w:w="1536"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地面清洗废水</w:t>
            </w:r>
          </w:p>
        </w:tc>
        <w:tc>
          <w:tcPr>
            <w:tcW w:w="7062" w:type="dxa"/>
            <w:gridSpan w:val="3"/>
            <w:tcBorders>
              <w:tl2br w:val="nil"/>
              <w:tr2bl w:val="nil"/>
            </w:tcBorders>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进入搅拌池内用于打料制浆用水，不外排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p>
        </w:tc>
        <w:tc>
          <w:tcPr>
            <w:tcW w:w="1536"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真空脱水、挤压脱水</w:t>
            </w:r>
          </w:p>
        </w:tc>
        <w:tc>
          <w:tcPr>
            <w:tcW w:w="7062" w:type="dxa"/>
            <w:gridSpan w:val="3"/>
            <w:tcBorders>
              <w:tl2br w:val="nil"/>
              <w:tr2bl w:val="nil"/>
            </w:tcBorders>
            <w:vAlign w:val="center"/>
          </w:tcPr>
          <w:p>
            <w:pPr>
              <w:adjustRightInd w:val="0"/>
              <w:snapToGrid w:val="0"/>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抽回水罐内用作打料制浆用水，不外排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6" w:type="dxa"/>
            <w:vMerge w:val="restart"/>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固体</w:t>
            </w:r>
          </w:p>
          <w:p>
            <w:pPr>
              <w:spacing w:line="360" w:lineRule="auto"/>
              <w:jc w:val="center"/>
              <w:rPr>
                <w:b/>
                <w:bCs/>
                <w:color w:val="auto"/>
                <w:sz w:val="22"/>
                <w:szCs w:val="22"/>
                <w:u w:val="none" w:color="auto"/>
              </w:rPr>
            </w:pPr>
            <w:r>
              <w:rPr>
                <w:b/>
                <w:bCs/>
                <w:color w:val="auto"/>
                <w:sz w:val="22"/>
                <w:szCs w:val="22"/>
                <w:u w:val="none" w:color="auto"/>
              </w:rPr>
              <w:t>废物</w:t>
            </w:r>
          </w:p>
        </w:tc>
        <w:tc>
          <w:tcPr>
            <w:tcW w:w="423" w:type="dxa"/>
            <w:vMerge w:val="restart"/>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运营期</w:t>
            </w:r>
          </w:p>
        </w:tc>
        <w:tc>
          <w:tcPr>
            <w:tcW w:w="1536" w:type="dxa"/>
            <w:vMerge w:val="restart"/>
            <w:tcBorders>
              <w:tl2br w:val="nil"/>
              <w:tr2bl w:val="nil"/>
            </w:tcBorders>
            <w:vAlign w:val="center"/>
          </w:tcPr>
          <w:p>
            <w:pPr>
              <w:spacing w:line="360" w:lineRule="auto"/>
              <w:ind w:firstLine="213" w:firstLineChars="100"/>
              <w:rPr>
                <w:rFonts w:hint="eastAsia" w:eastAsia="宋体"/>
                <w:color w:val="auto"/>
                <w:sz w:val="22"/>
                <w:szCs w:val="22"/>
                <w:u w:val="none" w:color="auto"/>
                <w:lang w:eastAsia="zh-CN"/>
              </w:rPr>
            </w:pPr>
            <w:r>
              <w:rPr>
                <w:rFonts w:hint="eastAsia"/>
                <w:color w:val="auto"/>
                <w:sz w:val="22"/>
                <w:szCs w:val="22"/>
                <w:u w:val="none" w:color="auto"/>
                <w:lang w:eastAsia="zh-CN"/>
              </w:rPr>
              <w:t>生产过程</w:t>
            </w:r>
          </w:p>
        </w:tc>
        <w:tc>
          <w:tcPr>
            <w:tcW w:w="1845"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eastAsia="zh-CN"/>
              </w:rPr>
              <w:t>废边角料、</w:t>
            </w:r>
            <w:r>
              <w:rPr>
                <w:rFonts w:hint="eastAsia"/>
                <w:color w:val="auto"/>
                <w:sz w:val="22"/>
                <w:szCs w:val="22"/>
                <w:u w:val="none" w:color="auto"/>
                <w:lang w:val="en-US" w:eastAsia="zh-CN"/>
              </w:rPr>
              <w:t>不合格产品</w:t>
            </w:r>
          </w:p>
        </w:tc>
        <w:tc>
          <w:tcPr>
            <w:tcW w:w="1938"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val="en-US" w:eastAsia="zh-CN"/>
              </w:rPr>
              <w:t>15</w:t>
            </w:r>
            <w:r>
              <w:rPr>
                <w:rFonts w:hint="eastAsia"/>
                <w:color w:val="auto"/>
                <w:sz w:val="22"/>
                <w:szCs w:val="22"/>
                <w:u w:val="none" w:color="auto"/>
                <w:lang w:eastAsia="zh-CN"/>
              </w:rPr>
              <w:t xml:space="preserve"> t/a</w:t>
            </w:r>
          </w:p>
        </w:tc>
        <w:tc>
          <w:tcPr>
            <w:tcW w:w="3279"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回用于打料制浆工序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rFonts w:hint="eastAsia"/>
                <w:color w:val="auto"/>
                <w:sz w:val="22"/>
                <w:szCs w:val="22"/>
                <w:u w:val="none" w:color="auto"/>
              </w:rPr>
            </w:pPr>
          </w:p>
        </w:tc>
        <w:tc>
          <w:tcPr>
            <w:tcW w:w="1536" w:type="dxa"/>
            <w:vMerge w:val="continue"/>
            <w:tcBorders>
              <w:tl2br w:val="nil"/>
              <w:tr2bl w:val="nil"/>
            </w:tcBorders>
            <w:vAlign w:val="center"/>
          </w:tcPr>
          <w:p>
            <w:pPr>
              <w:spacing w:line="360" w:lineRule="auto"/>
              <w:ind w:firstLine="213" w:firstLineChars="100"/>
              <w:rPr>
                <w:rFonts w:hint="eastAsia"/>
                <w:color w:val="auto"/>
                <w:sz w:val="22"/>
                <w:szCs w:val="22"/>
                <w:u w:val="none" w:color="auto"/>
                <w:lang w:eastAsia="zh-CN"/>
              </w:rPr>
            </w:pPr>
          </w:p>
        </w:tc>
        <w:tc>
          <w:tcPr>
            <w:tcW w:w="1845"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废包装袋</w:t>
            </w:r>
          </w:p>
        </w:tc>
        <w:tc>
          <w:tcPr>
            <w:tcW w:w="1938"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0.05</w:t>
            </w:r>
            <w:r>
              <w:rPr>
                <w:rFonts w:hint="eastAsia"/>
                <w:color w:val="auto"/>
                <w:sz w:val="22"/>
                <w:szCs w:val="22"/>
                <w:u w:val="none" w:color="auto"/>
                <w:lang w:eastAsia="zh-CN"/>
              </w:rPr>
              <w:t>t/</w:t>
            </w:r>
            <w:r>
              <w:rPr>
                <w:rFonts w:hint="eastAsia"/>
                <w:color w:val="auto"/>
                <w:sz w:val="22"/>
                <w:szCs w:val="22"/>
                <w:u w:val="none" w:color="auto"/>
                <w:lang w:val="en-US" w:eastAsia="zh-CN"/>
              </w:rPr>
              <w:t>a</w:t>
            </w:r>
          </w:p>
        </w:tc>
        <w:tc>
          <w:tcPr>
            <w:tcW w:w="3279"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外售废品回收站处理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除尘器收集的</w:t>
            </w:r>
          </w:p>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粉尘</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0.454</w:t>
            </w:r>
            <w:r>
              <w:rPr>
                <w:rFonts w:hint="eastAsia"/>
                <w:color w:val="auto"/>
                <w:sz w:val="22"/>
                <w:szCs w:val="22"/>
                <w:u w:val="none" w:color="auto"/>
                <w:lang w:eastAsia="zh-CN"/>
              </w:rPr>
              <w:t>t/a</w:t>
            </w:r>
          </w:p>
        </w:tc>
        <w:tc>
          <w:tcPr>
            <w:tcW w:w="3279"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回用于生产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废活性炭</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0.36</w:t>
            </w:r>
            <w:r>
              <w:rPr>
                <w:rFonts w:hint="eastAsia"/>
                <w:color w:val="auto"/>
                <w:sz w:val="22"/>
                <w:szCs w:val="22"/>
                <w:u w:val="none" w:color="auto"/>
                <w:lang w:eastAsia="zh-CN"/>
              </w:rPr>
              <w:t>t/a</w:t>
            </w:r>
          </w:p>
        </w:tc>
        <w:tc>
          <w:tcPr>
            <w:tcW w:w="3279" w:type="dxa"/>
            <w:vMerge w:val="restart"/>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暂存危废暂存间，定期交由</w:t>
            </w:r>
            <w:r>
              <w:rPr>
                <w:rFonts w:hint="eastAsia"/>
                <w:color w:val="auto"/>
                <w:sz w:val="22"/>
                <w:szCs w:val="22"/>
                <w:u w:val="none" w:color="auto"/>
                <w:lang w:eastAsia="zh-CN"/>
              </w:rPr>
              <w:t>有资质单位回收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废过滤棉</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0.12</w:t>
            </w:r>
            <w:r>
              <w:rPr>
                <w:rFonts w:hint="eastAsia"/>
                <w:color w:val="auto"/>
                <w:sz w:val="22"/>
                <w:szCs w:val="22"/>
                <w:u w:val="none" w:color="auto"/>
                <w:lang w:eastAsia="zh-CN"/>
              </w:rPr>
              <w:t>t/a</w:t>
            </w:r>
          </w:p>
        </w:tc>
        <w:tc>
          <w:tcPr>
            <w:tcW w:w="3279" w:type="dxa"/>
            <w:vMerge w:val="continue"/>
            <w:tcBorders>
              <w:tl2br w:val="nil"/>
              <w:tr2bl w:val="nil"/>
            </w:tcBorders>
            <w:vAlign w:val="center"/>
          </w:tcPr>
          <w:p>
            <w:pPr>
              <w:spacing w:line="360" w:lineRule="auto"/>
              <w:jc w:val="center"/>
              <w:rPr>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rPr>
              <w:t>漆渣</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0.01</w:t>
            </w:r>
            <w:r>
              <w:rPr>
                <w:rFonts w:hint="eastAsia"/>
                <w:color w:val="auto"/>
                <w:sz w:val="22"/>
                <w:szCs w:val="22"/>
                <w:u w:val="none" w:color="auto"/>
                <w:lang w:eastAsia="zh-CN"/>
              </w:rPr>
              <w:t>t/a</w:t>
            </w:r>
          </w:p>
        </w:tc>
        <w:tc>
          <w:tcPr>
            <w:tcW w:w="3279" w:type="dxa"/>
            <w:vMerge w:val="continue"/>
            <w:tcBorders>
              <w:tl2br w:val="nil"/>
              <w:tr2bl w:val="nil"/>
            </w:tcBorders>
            <w:vAlign w:val="center"/>
          </w:tcPr>
          <w:p>
            <w:pPr>
              <w:spacing w:line="360" w:lineRule="auto"/>
              <w:jc w:val="center"/>
              <w:rPr>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废水性漆</w:t>
            </w:r>
            <w:r>
              <w:rPr>
                <w:rFonts w:hint="eastAsia"/>
                <w:color w:val="auto"/>
                <w:sz w:val="22"/>
                <w:szCs w:val="22"/>
                <w:u w:val="none" w:color="auto"/>
                <w:lang w:val="en-US" w:eastAsia="zh-CN"/>
              </w:rPr>
              <w:t>桶</w:t>
            </w:r>
          </w:p>
        </w:tc>
        <w:tc>
          <w:tcPr>
            <w:tcW w:w="1938"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0.01</w:t>
            </w:r>
            <w:r>
              <w:rPr>
                <w:rFonts w:hint="eastAsia"/>
                <w:color w:val="auto"/>
                <w:sz w:val="22"/>
                <w:szCs w:val="22"/>
                <w:u w:val="none" w:color="auto"/>
                <w:lang w:eastAsia="zh-CN"/>
              </w:rPr>
              <w:t>t/a</w:t>
            </w:r>
          </w:p>
        </w:tc>
        <w:tc>
          <w:tcPr>
            <w:tcW w:w="3279"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收集后交由环卫部门进行处理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水罐内沉渣</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3.2</w:t>
            </w:r>
            <w:r>
              <w:rPr>
                <w:rFonts w:hint="eastAsia"/>
                <w:color w:val="auto"/>
                <w:sz w:val="22"/>
                <w:szCs w:val="22"/>
                <w:u w:val="none" w:color="auto"/>
                <w:lang w:eastAsia="zh-CN"/>
              </w:rPr>
              <w:t>t/a</w:t>
            </w:r>
          </w:p>
        </w:tc>
        <w:tc>
          <w:tcPr>
            <w:tcW w:w="3279"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回用于打料制浆工序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职工</w:t>
            </w:r>
          </w:p>
        </w:tc>
        <w:tc>
          <w:tcPr>
            <w:tcW w:w="1845"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生活垃圾</w:t>
            </w:r>
          </w:p>
        </w:tc>
        <w:tc>
          <w:tcPr>
            <w:tcW w:w="1938"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3.0</w:t>
            </w:r>
            <w:r>
              <w:rPr>
                <w:rFonts w:hint="eastAsia"/>
                <w:color w:val="auto"/>
                <w:sz w:val="22"/>
                <w:szCs w:val="22"/>
                <w:u w:val="none" w:color="auto"/>
                <w:lang w:eastAsia="zh-CN"/>
              </w:rPr>
              <w:t>t/a</w:t>
            </w:r>
          </w:p>
        </w:tc>
        <w:tc>
          <w:tcPr>
            <w:tcW w:w="3279"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收集后交环卫部门统一清运处理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666"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噪声</w:t>
            </w:r>
          </w:p>
        </w:tc>
        <w:tc>
          <w:tcPr>
            <w:tcW w:w="423"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运营期</w:t>
            </w:r>
          </w:p>
        </w:tc>
        <w:tc>
          <w:tcPr>
            <w:tcW w:w="1536"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运营噪声</w:t>
            </w:r>
          </w:p>
        </w:tc>
        <w:tc>
          <w:tcPr>
            <w:tcW w:w="1845" w:type="dxa"/>
            <w:tcBorders>
              <w:tl2br w:val="nil"/>
              <w:tr2bl w:val="nil"/>
            </w:tcBorders>
            <w:vAlign w:val="center"/>
          </w:tcPr>
          <w:p>
            <w:pPr>
              <w:spacing w:line="360" w:lineRule="auto"/>
              <w:ind w:firstLine="426" w:firstLineChars="200"/>
              <w:rPr>
                <w:color w:val="auto"/>
                <w:sz w:val="22"/>
                <w:szCs w:val="22"/>
                <w:u w:val="none" w:color="auto"/>
              </w:rPr>
            </w:pPr>
            <w:r>
              <w:rPr>
                <w:color w:val="auto"/>
                <w:sz w:val="22"/>
                <w:szCs w:val="22"/>
                <w:u w:val="none" w:color="auto"/>
              </w:rPr>
              <w:t>设备噪声</w:t>
            </w:r>
          </w:p>
        </w:tc>
        <w:tc>
          <w:tcPr>
            <w:tcW w:w="1938"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65-85</w:t>
            </w:r>
            <w:r>
              <w:rPr>
                <w:color w:val="auto"/>
                <w:sz w:val="22"/>
                <w:szCs w:val="22"/>
                <w:u w:val="none" w:color="auto"/>
              </w:rPr>
              <w:t>dB(A)</w:t>
            </w:r>
          </w:p>
        </w:tc>
        <w:tc>
          <w:tcPr>
            <w:tcW w:w="3279" w:type="dxa"/>
            <w:tcBorders>
              <w:tl2br w:val="nil"/>
              <w:tr2bl w:val="nil"/>
            </w:tcBorders>
            <w:vAlign w:val="center"/>
          </w:tcPr>
          <w:p>
            <w:pPr>
              <w:spacing w:line="360" w:lineRule="auto"/>
              <w:ind w:firstLine="426" w:firstLineChars="200"/>
              <w:jc w:val="center"/>
              <w:rPr>
                <w:color w:val="auto"/>
                <w:sz w:val="22"/>
                <w:szCs w:val="22"/>
                <w:u w:val="none" w:color="auto"/>
              </w:rPr>
            </w:pPr>
            <w:r>
              <w:rPr>
                <w:color w:val="auto"/>
                <w:sz w:val="22"/>
                <w:szCs w:val="22"/>
                <w:u w:val="none" w:color="auto"/>
              </w:rPr>
              <w:t>昼间≤6</w:t>
            </w:r>
            <w:r>
              <w:rPr>
                <w:rFonts w:hint="eastAsia"/>
                <w:color w:val="auto"/>
                <w:sz w:val="22"/>
                <w:szCs w:val="22"/>
                <w:u w:val="none" w:color="auto"/>
                <w:lang w:val="en-US" w:eastAsia="zh-CN"/>
              </w:rPr>
              <w:t>0</w:t>
            </w:r>
            <w:r>
              <w:rPr>
                <w:color w:val="auto"/>
                <w:sz w:val="22"/>
                <w:szCs w:val="22"/>
                <w:u w:val="none" w:color="auto"/>
              </w:rPr>
              <w:t>dB(A)</w:t>
            </w:r>
          </w:p>
          <w:p>
            <w:pPr>
              <w:spacing w:line="360" w:lineRule="auto"/>
              <w:ind w:firstLine="426" w:firstLineChars="200"/>
              <w:jc w:val="center"/>
              <w:rPr>
                <w:color w:val="auto"/>
                <w:sz w:val="22"/>
                <w:szCs w:val="22"/>
                <w:u w:val="none" w:color="auto"/>
              </w:rPr>
            </w:pPr>
            <w:r>
              <w:rPr>
                <w:color w:val="auto"/>
                <w:sz w:val="22"/>
                <w:szCs w:val="22"/>
                <w:u w:val="none" w:color="auto"/>
              </w:rPr>
              <w:t>夜间≤5</w:t>
            </w:r>
            <w:r>
              <w:rPr>
                <w:rFonts w:hint="eastAsia"/>
                <w:color w:val="auto"/>
                <w:sz w:val="22"/>
                <w:szCs w:val="22"/>
                <w:u w:val="none" w:color="auto"/>
                <w:lang w:val="en-US" w:eastAsia="zh-CN"/>
              </w:rPr>
              <w:t>0</w:t>
            </w:r>
            <w:r>
              <w:rPr>
                <w:color w:val="auto"/>
                <w:sz w:val="22"/>
                <w:szCs w:val="22"/>
                <w:u w:val="none" w:color="auto"/>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687" w:type="dxa"/>
            <w:gridSpan w:val="6"/>
            <w:tcBorders>
              <w:tl2br w:val="nil"/>
              <w:tr2bl w:val="nil"/>
            </w:tcBorders>
          </w:tcPr>
          <w:p>
            <w:pPr>
              <w:spacing w:line="360" w:lineRule="auto"/>
              <w:ind w:firstLine="498" w:firstLineChars="200"/>
              <w:rPr>
                <w:b/>
                <w:bCs/>
                <w:color w:val="auto"/>
                <w:spacing w:val="8"/>
                <w:sz w:val="24"/>
                <w:szCs w:val="24"/>
                <w:u w:val="none" w:color="auto"/>
              </w:rPr>
            </w:pPr>
            <w:r>
              <w:rPr>
                <w:b/>
                <w:bCs/>
                <w:color w:val="auto"/>
                <w:spacing w:val="8"/>
                <w:sz w:val="24"/>
                <w:szCs w:val="24"/>
                <w:u w:val="none" w:color="auto"/>
              </w:rPr>
              <w:t>主要生态影响</w:t>
            </w:r>
          </w:p>
          <w:p>
            <w:pPr>
              <w:adjustRightInd w:val="0"/>
              <w:snapToGrid w:val="0"/>
              <w:spacing w:line="360" w:lineRule="auto"/>
              <w:ind w:firstLine="466" w:firstLineChars="200"/>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w:t>
            </w:r>
            <w:r>
              <w:rPr>
                <w:rFonts w:hint="eastAsia" w:ascii="Times New Roman" w:hAnsi="Times New Roman" w:cs="Times New Roman"/>
                <w:color w:val="auto"/>
                <w:sz w:val="24"/>
                <w:szCs w:val="24"/>
                <w:u w:val="none" w:color="auto"/>
                <w:lang w:val="en-US" w:eastAsia="zh-CN"/>
              </w:rPr>
              <w:t>位于湘阴县白泥湖园艺场内</w:t>
            </w:r>
            <w:r>
              <w:rPr>
                <w:rFonts w:hint="default" w:ascii="Times New Roman" w:hAnsi="Times New Roman" w:cs="Times New Roman"/>
                <w:color w:val="auto"/>
                <w:sz w:val="24"/>
                <w:szCs w:val="24"/>
                <w:u w:val="none" w:color="auto"/>
              </w:rPr>
              <w:t>，周围无大面积自然植被群落及珍稀动植物资源等，营运期产生的“三废”经适当治理后，对周边生态环境影响较小</w:t>
            </w:r>
            <w:r>
              <w:rPr>
                <w:rFonts w:hint="eastAsia" w:cs="Times New Roman"/>
                <w:color w:val="auto"/>
                <w:sz w:val="24"/>
                <w:szCs w:val="24"/>
                <w:u w:val="none" w:color="auto"/>
                <w:lang w:eastAsia="zh-CN"/>
              </w:rPr>
              <w:t>。</w:t>
            </w: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rFonts w:hint="eastAsia" w:cs="Times New Roman"/>
                <w:color w:val="auto"/>
                <w:sz w:val="24"/>
                <w:szCs w:val="24"/>
                <w:u w:val="none" w:color="auto"/>
                <w:lang w:eastAsia="zh-CN"/>
              </w:rPr>
            </w:pPr>
          </w:p>
          <w:p>
            <w:pPr>
              <w:adjustRightInd w:val="0"/>
              <w:snapToGrid w:val="0"/>
              <w:spacing w:line="360" w:lineRule="auto"/>
              <w:ind w:firstLine="466" w:firstLineChars="200"/>
              <w:rPr>
                <w:color w:val="auto"/>
                <w:sz w:val="24"/>
                <w:szCs w:val="24"/>
                <w:u w:val="none" w:color="auto"/>
              </w:rPr>
            </w:pPr>
          </w:p>
          <w:p>
            <w:pPr>
              <w:adjustRightInd w:val="0"/>
              <w:snapToGrid w:val="0"/>
              <w:spacing w:line="360" w:lineRule="auto"/>
              <w:ind w:firstLine="426" w:firstLineChars="200"/>
              <w:rPr>
                <w:color w:val="auto"/>
                <w:sz w:val="22"/>
                <w:szCs w:val="22"/>
                <w:u w:val="none" w:color="auto"/>
              </w:rPr>
            </w:pPr>
          </w:p>
          <w:p>
            <w:pPr>
              <w:adjustRightInd w:val="0"/>
              <w:snapToGrid w:val="0"/>
              <w:spacing w:line="360" w:lineRule="auto"/>
              <w:rPr>
                <w:color w:val="auto"/>
                <w:sz w:val="22"/>
                <w:szCs w:val="22"/>
                <w:u w:val="none" w:color="auto"/>
              </w:rPr>
            </w:pPr>
          </w:p>
        </w:tc>
      </w:tr>
    </w:tbl>
    <w:p>
      <w:pPr>
        <w:snapToGrid w:val="0"/>
        <w:outlineLvl w:val="0"/>
        <w:rPr>
          <w:rFonts w:eastAsia="黑体"/>
          <w:color w:val="auto"/>
          <w:sz w:val="32"/>
          <w:u w:val="none" w:color="auto"/>
        </w:rPr>
      </w:pPr>
      <w:r>
        <w:rPr>
          <w:rFonts w:ascii="宋体" w:hAnsi="宋体"/>
          <w:color w:val="auto"/>
          <w:sz w:val="24"/>
          <w:szCs w:val="24"/>
          <w:u w:val="none" w:color="auto"/>
        </w:rPr>
        <w:br w:type="page"/>
      </w:r>
      <w:bookmarkStart w:id="10" w:name="_Toc9170"/>
      <w:r>
        <w:rPr>
          <w:rFonts w:hint="eastAsia" w:ascii="黑体" w:hAnsi="黑体" w:eastAsia="黑体"/>
          <w:color w:val="auto"/>
          <w:sz w:val="32"/>
          <w:szCs w:val="32"/>
          <w:u w:val="none" w:color="auto"/>
        </w:rPr>
        <w:t>七、环</w:t>
      </w:r>
      <w:r>
        <w:rPr>
          <w:rFonts w:ascii="黑体" w:hAnsi="黑体" w:eastAsia="黑体"/>
          <w:color w:val="auto"/>
          <w:sz w:val="32"/>
          <w:szCs w:val="32"/>
          <w:u w:val="none" w:color="auto"/>
        </w:rPr>
        <w:t>境影响分析</w:t>
      </w:r>
      <w:bookmarkEnd w:id="10"/>
    </w:p>
    <w:tbl>
      <w:tblPr>
        <w:tblStyle w:val="40"/>
        <w:tblW w:w="926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76" w:hRule="atLeast"/>
          <w:jc w:val="center"/>
        </w:trPr>
        <w:tc>
          <w:tcPr>
            <w:tcW w:w="9268" w:type="dxa"/>
          </w:tcPr>
          <w:p>
            <w:pPr>
              <w:adjustRightInd w:val="0"/>
              <w:snapToGrid w:val="0"/>
              <w:spacing w:line="360" w:lineRule="auto"/>
              <w:ind w:firstLine="233" w:firstLineChars="1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营运期环境影响分析</w:t>
            </w:r>
          </w:p>
          <w:p>
            <w:pPr>
              <w:adjustRightInd w:val="0"/>
              <w:snapToGrid w:val="0"/>
              <w:spacing w:line="360" w:lineRule="auto"/>
              <w:ind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1、大气环境影响分析</w:t>
            </w:r>
          </w:p>
          <w:p>
            <w:pPr>
              <w:pStyle w:val="34"/>
              <w:spacing w:line="360" w:lineRule="auto"/>
              <w:ind w:left="0" w:leftChars="0" w:firstLine="466"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本项目运营过程中产生的废气有</w:t>
            </w:r>
            <w:r>
              <w:rPr>
                <w:rFonts w:hint="eastAsia" w:cs="Times New Roman"/>
                <w:color w:val="auto"/>
                <w:sz w:val="24"/>
                <w:u w:val="none" w:color="auto"/>
                <w:lang w:val="en-US" w:eastAsia="zh-CN"/>
              </w:rPr>
              <w:t>水泥筒仓粉尘、石粉筒仓粉尘</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喷漆</w:t>
            </w:r>
            <w:r>
              <w:rPr>
                <w:rFonts w:hint="eastAsia" w:cs="Times New Roman"/>
                <w:color w:val="auto"/>
                <w:sz w:val="24"/>
                <w:u w:val="none" w:color="auto"/>
                <w:lang w:eastAsia="zh-CN"/>
              </w:rPr>
              <w:t>、</w:t>
            </w:r>
            <w:r>
              <w:rPr>
                <w:rFonts w:hint="eastAsia" w:cs="Times New Roman"/>
                <w:color w:val="auto"/>
                <w:sz w:val="24"/>
                <w:u w:val="none" w:color="auto"/>
                <w:lang w:val="en-US" w:eastAsia="zh-CN"/>
              </w:rPr>
              <w:t>烘干</w:t>
            </w:r>
            <w:r>
              <w:rPr>
                <w:rFonts w:hint="default" w:ascii="Times New Roman" w:hAnsi="Times New Roman" w:cs="Times New Roman"/>
                <w:color w:val="auto"/>
                <w:sz w:val="24"/>
                <w:u w:val="none" w:color="auto"/>
              </w:rPr>
              <w:t>过程中产生的漆雾</w:t>
            </w:r>
            <w:r>
              <w:rPr>
                <w:rFonts w:hint="eastAsia" w:cs="Times New Roman"/>
                <w:color w:val="auto"/>
                <w:sz w:val="24"/>
                <w:u w:val="none" w:color="auto"/>
                <w:lang w:eastAsia="zh-CN"/>
              </w:rPr>
              <w:t>、</w:t>
            </w:r>
            <w:r>
              <w:rPr>
                <w:rFonts w:hint="default" w:ascii="Times New Roman" w:hAnsi="Times New Roman" w:cs="Times New Roman"/>
                <w:color w:val="auto"/>
                <w:sz w:val="24"/>
                <w:u w:val="none" w:color="auto"/>
              </w:rPr>
              <w:t>有机废气。</w:t>
            </w:r>
          </w:p>
          <w:p>
            <w:pPr>
              <w:autoSpaceDE w:val="0"/>
              <w:autoSpaceDN w:val="0"/>
              <w:adjustRightInd w:val="0"/>
              <w:spacing w:line="360" w:lineRule="auto"/>
              <w:ind w:firstLine="466" w:firstLineChars="200"/>
              <w:rPr>
                <w:rFonts w:hint="eastAsia"/>
                <w:color w:val="auto"/>
                <w:kern w:val="0"/>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水泥</w:t>
            </w:r>
            <w:r>
              <w:rPr>
                <w:rFonts w:hint="eastAsia"/>
                <w:color w:val="auto"/>
                <w:sz w:val="24"/>
                <w:lang w:val="en-US" w:eastAsia="zh-CN"/>
              </w:rPr>
              <w:t>筒仓</w:t>
            </w:r>
            <w:r>
              <w:rPr>
                <w:rFonts w:hint="eastAsia"/>
                <w:color w:val="auto"/>
                <w:sz w:val="24"/>
              </w:rPr>
              <w:t>粉尘</w:t>
            </w:r>
          </w:p>
          <w:p>
            <w:pPr>
              <w:autoSpaceDE w:val="0"/>
              <w:autoSpaceDN w:val="0"/>
              <w:adjustRightInd w:val="0"/>
              <w:spacing w:line="360" w:lineRule="auto"/>
              <w:ind w:firstLine="466" w:firstLineChars="200"/>
              <w:rPr>
                <w:rFonts w:hint="eastAsia"/>
                <w:bCs/>
                <w:color w:val="auto"/>
                <w:kern w:val="0"/>
                <w:sz w:val="24"/>
              </w:rPr>
            </w:pPr>
            <w:r>
              <w:rPr>
                <w:rFonts w:hint="eastAsia"/>
                <w:bCs/>
                <w:color w:val="auto"/>
                <w:kern w:val="0"/>
                <w:sz w:val="24"/>
                <w:lang w:val="en-US" w:eastAsia="zh-CN"/>
              </w:rPr>
              <w:t>根据工程分析可知，</w:t>
            </w:r>
            <w:r>
              <w:rPr>
                <w:rFonts w:hint="eastAsia"/>
                <w:bCs/>
                <w:color w:val="auto"/>
                <w:kern w:val="0"/>
                <w:sz w:val="24"/>
              </w:rPr>
              <w:t>本项目</w:t>
            </w:r>
            <w:r>
              <w:rPr>
                <w:rFonts w:hint="eastAsia"/>
                <w:bCs/>
                <w:color w:val="auto"/>
                <w:kern w:val="0"/>
                <w:sz w:val="24"/>
                <w:lang w:val="en-US" w:eastAsia="zh-CN"/>
              </w:rPr>
              <w:t>水泥筒仓</w:t>
            </w:r>
            <w:r>
              <w:rPr>
                <w:rFonts w:hint="eastAsia"/>
                <w:bCs/>
                <w:color w:val="auto"/>
                <w:kern w:val="0"/>
                <w:sz w:val="24"/>
              </w:rPr>
              <w:t>粉尘产生量约为</w:t>
            </w:r>
            <w:r>
              <w:rPr>
                <w:rFonts w:hint="eastAsia"/>
                <w:bCs/>
                <w:color w:val="auto"/>
                <w:kern w:val="0"/>
                <w:sz w:val="24"/>
                <w:lang w:val="en-US" w:eastAsia="zh-CN"/>
              </w:rPr>
              <w:t>0.13</w:t>
            </w:r>
            <w:r>
              <w:rPr>
                <w:bCs/>
                <w:color w:val="auto"/>
                <w:kern w:val="0"/>
                <w:sz w:val="24"/>
              </w:rPr>
              <w:t>t/a</w:t>
            </w:r>
            <w:r>
              <w:rPr>
                <w:rFonts w:hint="eastAsia"/>
                <w:bCs/>
                <w:color w:val="auto"/>
                <w:kern w:val="0"/>
                <w:sz w:val="24"/>
              </w:rPr>
              <w:t>，</w:t>
            </w:r>
            <w:r>
              <w:rPr>
                <w:rFonts w:hint="eastAsia"/>
                <w:bCs/>
                <w:color w:val="auto"/>
                <w:kern w:val="0"/>
                <w:sz w:val="24"/>
                <w:lang w:val="en-US" w:eastAsia="zh-CN"/>
              </w:rPr>
              <w:t>排放速率为0.0542kg/h</w:t>
            </w:r>
            <w:r>
              <w:rPr>
                <w:rFonts w:hint="eastAsia"/>
                <w:bCs/>
                <w:color w:val="auto"/>
                <w:kern w:val="0"/>
                <w:sz w:val="24"/>
              </w:rPr>
              <w:t>。</w:t>
            </w:r>
            <w:r>
              <w:rPr>
                <w:rFonts w:hint="eastAsia"/>
                <w:bCs/>
                <w:color w:val="auto"/>
                <w:kern w:val="0"/>
                <w:sz w:val="24"/>
                <w:lang w:val="en-US" w:eastAsia="zh-CN"/>
              </w:rPr>
              <w:t>经自带的脉冲式布袋除尘器收集</w:t>
            </w:r>
            <w:r>
              <w:rPr>
                <w:rFonts w:hint="eastAsia"/>
                <w:bCs/>
                <w:color w:val="auto"/>
                <w:kern w:val="0"/>
                <w:sz w:val="24"/>
              </w:rPr>
              <w:t>，除尘器固定在仓顶，除尘器收集的粉尘重新落回水泥仓，除尘效率可以达到99.</w:t>
            </w:r>
            <w:r>
              <w:rPr>
                <w:rFonts w:hint="eastAsia"/>
                <w:bCs/>
                <w:color w:val="auto"/>
                <w:kern w:val="0"/>
                <w:sz w:val="24"/>
                <w:lang w:val="en-US" w:eastAsia="zh-CN"/>
              </w:rPr>
              <w:t>7</w:t>
            </w:r>
            <w:r>
              <w:rPr>
                <w:rFonts w:hint="eastAsia"/>
                <w:bCs/>
                <w:color w:val="auto"/>
                <w:kern w:val="0"/>
                <w:sz w:val="24"/>
              </w:rPr>
              <w:t>%，粉尘排放量为</w:t>
            </w:r>
            <w:r>
              <w:rPr>
                <w:rFonts w:hint="eastAsia"/>
                <w:bCs/>
                <w:color w:val="auto"/>
                <w:kern w:val="0"/>
                <w:sz w:val="24"/>
                <w:lang w:val="en-US" w:eastAsia="zh-CN"/>
              </w:rPr>
              <w:t>0.00117</w:t>
            </w:r>
            <w:r>
              <w:rPr>
                <w:bCs/>
                <w:color w:val="auto"/>
                <w:kern w:val="0"/>
                <w:sz w:val="24"/>
              </w:rPr>
              <w:t>t/a</w:t>
            </w:r>
            <w:r>
              <w:rPr>
                <w:rFonts w:hint="eastAsia"/>
                <w:bCs/>
                <w:color w:val="auto"/>
                <w:kern w:val="0"/>
                <w:sz w:val="24"/>
                <w:lang w:eastAsia="zh-CN"/>
              </w:rPr>
              <w:t>，</w:t>
            </w:r>
            <w:r>
              <w:rPr>
                <w:rFonts w:hint="eastAsia"/>
                <w:bCs/>
                <w:color w:val="auto"/>
                <w:kern w:val="0"/>
                <w:sz w:val="24"/>
                <w:lang w:val="en-US" w:eastAsia="zh-CN"/>
              </w:rPr>
              <w:t>排放速率为0.00098kg/h，粉尘经处理后由仓顶呼吸阀（高度为10m）排放</w:t>
            </w:r>
            <w:r>
              <w:rPr>
                <w:rFonts w:hint="eastAsia"/>
                <w:bCs/>
                <w:color w:val="auto"/>
                <w:kern w:val="0"/>
                <w:sz w:val="24"/>
              </w:rPr>
              <w:t>。</w:t>
            </w:r>
            <w:r>
              <w:rPr>
                <w:rFonts w:hint="eastAsia"/>
                <w:bCs/>
                <w:color w:val="auto"/>
                <w:kern w:val="0"/>
                <w:sz w:val="24"/>
                <w:lang w:val="en-US" w:eastAsia="zh-CN"/>
              </w:rPr>
              <w:t>粉尘排放浓度可</w:t>
            </w:r>
            <w:r>
              <w:rPr>
                <w:rFonts w:hint="eastAsia"/>
                <w:bCs/>
                <w:color w:val="auto"/>
                <w:kern w:val="0"/>
                <w:sz w:val="24"/>
              </w:rPr>
              <w:t>达到了《水泥工业大气污染物排放标准》(GB4915-2013)要求。收集的水泥粉尘直接回落到水泥仓。</w:t>
            </w:r>
          </w:p>
          <w:p>
            <w:pPr>
              <w:autoSpaceDE w:val="0"/>
              <w:autoSpaceDN w:val="0"/>
              <w:adjustRightInd w:val="0"/>
              <w:spacing w:line="360" w:lineRule="auto"/>
              <w:ind w:firstLine="466" w:firstLineChars="200"/>
              <w:rPr>
                <w:rFonts w:hint="eastAsia"/>
                <w:color w:val="auto"/>
                <w:kern w:val="0"/>
                <w:sz w:val="24"/>
              </w:rPr>
            </w:pPr>
            <w:r>
              <w:rPr>
                <w:rFonts w:hint="eastAsia"/>
                <w:color w:val="auto"/>
                <w:kern w:val="0"/>
                <w:sz w:val="24"/>
                <w:lang w:eastAsia="zh-CN"/>
              </w:rPr>
              <w:t>（</w:t>
            </w:r>
            <w:r>
              <w:rPr>
                <w:rFonts w:hint="eastAsia"/>
                <w:color w:val="auto"/>
                <w:kern w:val="0"/>
                <w:sz w:val="24"/>
                <w:lang w:val="en-US" w:eastAsia="zh-CN"/>
              </w:rPr>
              <w:t>2</w:t>
            </w:r>
            <w:r>
              <w:rPr>
                <w:rFonts w:hint="eastAsia"/>
                <w:color w:val="auto"/>
                <w:kern w:val="0"/>
                <w:sz w:val="24"/>
                <w:lang w:eastAsia="zh-CN"/>
              </w:rPr>
              <w:t>）</w:t>
            </w:r>
            <w:r>
              <w:rPr>
                <w:rFonts w:hint="eastAsia"/>
                <w:color w:val="auto"/>
                <w:kern w:val="0"/>
                <w:sz w:val="24"/>
              </w:rPr>
              <w:t>石粉</w:t>
            </w:r>
            <w:r>
              <w:rPr>
                <w:rFonts w:hint="eastAsia"/>
                <w:color w:val="auto"/>
                <w:kern w:val="0"/>
                <w:sz w:val="24"/>
                <w:lang w:val="en-US" w:eastAsia="zh-CN"/>
              </w:rPr>
              <w:t>筒仓</w:t>
            </w:r>
            <w:r>
              <w:rPr>
                <w:rFonts w:hint="eastAsia"/>
                <w:color w:val="auto"/>
                <w:kern w:val="0"/>
                <w:sz w:val="24"/>
              </w:rPr>
              <w:t>粉尘</w:t>
            </w:r>
          </w:p>
          <w:p>
            <w:pPr>
              <w:snapToGrid w:val="0"/>
              <w:spacing w:line="360" w:lineRule="auto"/>
              <w:ind w:firstLine="466" w:firstLineChars="200"/>
              <w:rPr>
                <w:color w:val="auto"/>
                <w:sz w:val="24"/>
                <w:u w:val="none" w:color="auto"/>
              </w:rPr>
            </w:pPr>
            <w:r>
              <w:rPr>
                <w:rFonts w:hint="eastAsia"/>
                <w:bCs/>
                <w:color w:val="auto"/>
                <w:sz w:val="24"/>
              </w:rPr>
              <w:t>本项目石粉</w:t>
            </w:r>
            <w:r>
              <w:rPr>
                <w:rFonts w:hint="eastAsia"/>
                <w:bCs/>
                <w:color w:val="auto"/>
                <w:sz w:val="24"/>
                <w:lang w:val="en-US" w:eastAsia="zh-CN"/>
              </w:rPr>
              <w:t>筒仓粉尘</w:t>
            </w:r>
            <w:r>
              <w:rPr>
                <w:rFonts w:hint="eastAsia"/>
                <w:bCs/>
                <w:color w:val="auto"/>
                <w:kern w:val="0"/>
                <w:sz w:val="24"/>
                <w:lang w:val="en-US" w:eastAsia="zh-CN"/>
              </w:rPr>
              <w:t>产生量</w:t>
            </w:r>
            <w:r>
              <w:rPr>
                <w:rFonts w:hint="eastAsia"/>
                <w:bCs/>
                <w:color w:val="auto"/>
                <w:kern w:val="0"/>
                <w:sz w:val="24"/>
              </w:rPr>
              <w:t>约为</w:t>
            </w:r>
            <w:r>
              <w:rPr>
                <w:rFonts w:hint="eastAsia"/>
                <w:bCs/>
                <w:color w:val="auto"/>
                <w:kern w:val="0"/>
                <w:sz w:val="24"/>
                <w:lang w:val="en-US" w:eastAsia="zh-CN"/>
              </w:rPr>
              <w:t>0.065</w:t>
            </w:r>
            <w:r>
              <w:rPr>
                <w:bCs/>
                <w:color w:val="auto"/>
                <w:kern w:val="0"/>
                <w:sz w:val="24"/>
              </w:rPr>
              <w:t>t/a</w:t>
            </w:r>
            <w:r>
              <w:rPr>
                <w:rFonts w:hint="eastAsia"/>
                <w:bCs/>
                <w:color w:val="auto"/>
                <w:kern w:val="0"/>
                <w:sz w:val="24"/>
              </w:rPr>
              <w:t>，</w:t>
            </w:r>
            <w:r>
              <w:rPr>
                <w:rFonts w:hint="eastAsia"/>
                <w:bCs/>
                <w:color w:val="auto"/>
                <w:kern w:val="0"/>
                <w:sz w:val="24"/>
                <w:lang w:val="en-US" w:eastAsia="zh-CN"/>
              </w:rPr>
              <w:t>排放速率为0.027kg/h</w:t>
            </w:r>
            <w:r>
              <w:rPr>
                <w:rFonts w:hint="eastAsia"/>
                <w:bCs/>
                <w:color w:val="auto"/>
                <w:kern w:val="0"/>
                <w:sz w:val="24"/>
              </w:rPr>
              <w:t>。</w:t>
            </w:r>
            <w:r>
              <w:rPr>
                <w:rFonts w:hint="eastAsia"/>
                <w:bCs/>
                <w:color w:val="auto"/>
                <w:kern w:val="0"/>
                <w:sz w:val="24"/>
                <w:lang w:val="en-US" w:eastAsia="zh-CN"/>
              </w:rPr>
              <w:t>经自带的脉冲式布袋除尘器收集</w:t>
            </w:r>
            <w:r>
              <w:rPr>
                <w:rFonts w:hint="eastAsia"/>
                <w:bCs/>
                <w:color w:val="auto"/>
                <w:kern w:val="0"/>
                <w:sz w:val="24"/>
              </w:rPr>
              <w:t>，，除尘器固定在仓顶，除尘器收集的粉尘重新落回</w:t>
            </w:r>
            <w:r>
              <w:rPr>
                <w:rFonts w:hint="eastAsia"/>
                <w:bCs/>
                <w:color w:val="auto"/>
                <w:kern w:val="0"/>
                <w:sz w:val="24"/>
                <w:lang w:val="en-US" w:eastAsia="zh-CN"/>
              </w:rPr>
              <w:t>石粉</w:t>
            </w:r>
            <w:r>
              <w:rPr>
                <w:rFonts w:hint="eastAsia"/>
                <w:bCs/>
                <w:color w:val="auto"/>
                <w:kern w:val="0"/>
                <w:sz w:val="24"/>
              </w:rPr>
              <w:t>仓，除尘效率可以达到99.</w:t>
            </w:r>
            <w:r>
              <w:rPr>
                <w:rFonts w:hint="eastAsia"/>
                <w:bCs/>
                <w:color w:val="auto"/>
                <w:kern w:val="0"/>
                <w:sz w:val="24"/>
                <w:lang w:val="en-US" w:eastAsia="zh-CN"/>
              </w:rPr>
              <w:t>7</w:t>
            </w:r>
            <w:r>
              <w:rPr>
                <w:rFonts w:hint="eastAsia"/>
                <w:bCs/>
                <w:color w:val="auto"/>
                <w:kern w:val="0"/>
                <w:sz w:val="24"/>
              </w:rPr>
              <w:t>%，粉尘排放量为</w:t>
            </w:r>
            <w:r>
              <w:rPr>
                <w:rFonts w:hint="eastAsia"/>
                <w:bCs/>
                <w:color w:val="auto"/>
                <w:kern w:val="0"/>
                <w:sz w:val="24"/>
                <w:lang w:val="en-US" w:eastAsia="zh-CN"/>
              </w:rPr>
              <w:t>0.000195</w:t>
            </w:r>
            <w:r>
              <w:rPr>
                <w:bCs/>
                <w:color w:val="auto"/>
                <w:kern w:val="0"/>
                <w:sz w:val="24"/>
              </w:rPr>
              <w:t>t/a</w:t>
            </w:r>
            <w:r>
              <w:rPr>
                <w:rFonts w:hint="eastAsia"/>
                <w:bCs/>
                <w:color w:val="auto"/>
                <w:kern w:val="0"/>
                <w:sz w:val="24"/>
                <w:lang w:eastAsia="zh-CN"/>
              </w:rPr>
              <w:t>，</w:t>
            </w:r>
            <w:r>
              <w:rPr>
                <w:rFonts w:hint="eastAsia"/>
                <w:bCs/>
                <w:color w:val="auto"/>
                <w:kern w:val="0"/>
                <w:sz w:val="24"/>
                <w:lang w:val="en-US" w:eastAsia="zh-CN"/>
              </w:rPr>
              <w:t>排放速率为0.00016kg/h，粉尘经处理后由仓顶呼吸阀（高度为10m）排放</w:t>
            </w:r>
            <w:r>
              <w:rPr>
                <w:rFonts w:hint="eastAsia"/>
                <w:bCs/>
                <w:color w:val="auto"/>
                <w:kern w:val="0"/>
                <w:sz w:val="24"/>
              </w:rPr>
              <w:t>。</w:t>
            </w:r>
            <w:r>
              <w:rPr>
                <w:rFonts w:hint="eastAsia"/>
                <w:bCs/>
                <w:color w:val="auto"/>
                <w:kern w:val="0"/>
                <w:sz w:val="24"/>
                <w:lang w:val="en-US" w:eastAsia="zh-CN"/>
              </w:rPr>
              <w:t>粉尘排放浓度可</w:t>
            </w:r>
            <w:r>
              <w:rPr>
                <w:rFonts w:hint="eastAsia"/>
                <w:bCs/>
                <w:color w:val="auto"/>
                <w:kern w:val="0"/>
                <w:sz w:val="24"/>
              </w:rPr>
              <w:t>达到了《水泥工业大气污染物排放标准》(GB4915-2013)要求。收集的水泥粉尘直接回落到</w:t>
            </w:r>
            <w:r>
              <w:rPr>
                <w:rFonts w:hint="eastAsia"/>
                <w:bCs/>
                <w:color w:val="auto"/>
                <w:kern w:val="0"/>
                <w:sz w:val="24"/>
                <w:lang w:val="en-US" w:eastAsia="zh-CN"/>
              </w:rPr>
              <w:t>石粉</w:t>
            </w:r>
            <w:r>
              <w:rPr>
                <w:rFonts w:hint="eastAsia"/>
                <w:bCs/>
                <w:color w:val="auto"/>
                <w:kern w:val="0"/>
                <w:sz w:val="24"/>
              </w:rPr>
              <w:t>仓</w:t>
            </w:r>
            <w:r>
              <w:rPr>
                <w:rFonts w:hint="eastAsia"/>
                <w:color w:val="auto"/>
                <w:sz w:val="24"/>
                <w:u w:val="none" w:color="auto"/>
              </w:rPr>
              <w:t>。</w:t>
            </w:r>
          </w:p>
          <w:p>
            <w:pPr>
              <w:snapToGrid w:val="0"/>
              <w:spacing w:line="360" w:lineRule="auto"/>
              <w:ind w:firstLine="466"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喷漆、烘干废气</w:t>
            </w:r>
          </w:p>
          <w:p>
            <w:pPr>
              <w:pStyle w:val="174"/>
              <w:spacing w:line="360" w:lineRule="auto"/>
              <w:ind w:firstLine="480"/>
              <w:rPr>
                <w:rStyle w:val="189"/>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w:t>
            </w:r>
            <w:r>
              <w:rPr>
                <w:rFonts w:hint="eastAsia" w:cs="Times New Roman"/>
                <w:color w:val="auto"/>
                <w:sz w:val="24"/>
                <w:szCs w:val="24"/>
                <w:u w:val="none" w:color="auto"/>
                <w:lang w:eastAsia="zh-CN"/>
              </w:rPr>
              <w:t>喷漆烘干废气</w:t>
            </w:r>
            <w:r>
              <w:rPr>
                <w:rFonts w:hint="default" w:ascii="Times New Roman" w:hAnsi="Times New Roman" w:eastAsia="宋体" w:cs="Times New Roman"/>
                <w:color w:val="auto"/>
                <w:sz w:val="24"/>
                <w:szCs w:val="24"/>
                <w:u w:val="none" w:color="auto"/>
              </w:rPr>
              <w:t>中漆雾产生量</w:t>
            </w:r>
            <w:r>
              <w:rPr>
                <w:rFonts w:hint="default" w:ascii="Times New Roman" w:hAnsi="Times New Roman" w:cs="Times New Roman"/>
                <w:color w:val="auto"/>
                <w:sz w:val="24"/>
                <w:szCs w:val="24"/>
                <w:u w:val="none" w:color="auto"/>
                <w:lang w:eastAsia="zh-CN"/>
              </w:rPr>
              <w:t>共</w:t>
            </w:r>
            <w:r>
              <w:rPr>
                <w:rFonts w:hint="default" w:ascii="Times New Roman" w:hAnsi="Times New Roman" w:eastAsia="宋体" w:cs="Times New Roman"/>
                <w:color w:val="auto"/>
                <w:sz w:val="24"/>
                <w:szCs w:val="24"/>
                <w:u w:val="none" w:color="auto"/>
              </w:rPr>
              <w:t>为</w:t>
            </w:r>
            <w:r>
              <w:rPr>
                <w:rFonts w:hint="default" w:ascii="Times New Roman" w:hAnsi="Times New Roman" w:eastAsia="宋体" w:cs="Times New Roman"/>
                <w:color w:val="auto"/>
                <w:sz w:val="24"/>
                <w:szCs w:val="24"/>
                <w:u w:val="none" w:color="auto"/>
                <w:lang w:val="en-US" w:eastAsia="zh-CN"/>
              </w:rPr>
              <w:t>0.</w:t>
            </w:r>
            <w:r>
              <w:rPr>
                <w:rFonts w:hint="eastAsia" w:cs="Times New Roman"/>
                <w:color w:val="auto"/>
                <w:sz w:val="24"/>
                <w:szCs w:val="24"/>
                <w:u w:val="none" w:color="auto"/>
                <w:lang w:val="en-US" w:eastAsia="zh-CN"/>
              </w:rPr>
              <w:t>10</w:t>
            </w:r>
            <w:r>
              <w:rPr>
                <w:rFonts w:hint="default" w:ascii="Times New Roman" w:hAnsi="Times New Roman" w:eastAsia="宋体" w:cs="Times New Roman"/>
                <w:color w:val="auto"/>
                <w:sz w:val="24"/>
                <w:szCs w:val="24"/>
                <w:u w:val="none" w:color="auto"/>
              </w:rPr>
              <w:t>t/a（</w:t>
            </w:r>
            <w:r>
              <w:rPr>
                <w:rFonts w:hint="eastAsia" w:cs="Times New Roman"/>
                <w:color w:val="auto"/>
                <w:sz w:val="24"/>
                <w:szCs w:val="24"/>
                <w:u w:val="none" w:color="auto"/>
                <w:lang w:val="en-US" w:eastAsia="zh-CN"/>
              </w:rPr>
              <w:t>0.067</w:t>
            </w:r>
            <w:r>
              <w:rPr>
                <w:rFonts w:hint="default" w:ascii="Times New Roman" w:hAnsi="Times New Roman" w:eastAsia="宋体" w:cs="Times New Roman"/>
                <w:color w:val="auto"/>
                <w:sz w:val="24"/>
                <w:szCs w:val="24"/>
                <w:u w:val="none" w:color="auto"/>
              </w:rPr>
              <w:t>kg/h），本项目废气VOCs产生量约</w:t>
            </w:r>
            <w:r>
              <w:rPr>
                <w:rFonts w:hint="eastAsia" w:cs="Times New Roman"/>
                <w:color w:val="auto"/>
                <w:sz w:val="24"/>
                <w:szCs w:val="24"/>
                <w:u w:val="none" w:color="auto"/>
                <w:lang w:val="en-US" w:eastAsia="zh-CN"/>
              </w:rPr>
              <w:t>0.15</w:t>
            </w:r>
            <w:r>
              <w:rPr>
                <w:rFonts w:hint="default" w:ascii="Times New Roman" w:hAnsi="Times New Roman" w:eastAsia="宋体" w:cs="Times New Roman"/>
                <w:color w:val="auto"/>
                <w:sz w:val="24"/>
                <w:szCs w:val="24"/>
                <w:u w:val="none" w:color="auto"/>
              </w:rPr>
              <w:t>t/a（</w:t>
            </w:r>
            <w:r>
              <w:rPr>
                <w:rFonts w:hint="eastAsia" w:cs="Times New Roman"/>
                <w:color w:val="auto"/>
                <w:sz w:val="24"/>
                <w:szCs w:val="24"/>
                <w:u w:val="none" w:color="auto"/>
                <w:lang w:val="en-US" w:eastAsia="zh-CN"/>
              </w:rPr>
              <w:t>0.10</w:t>
            </w:r>
            <w:r>
              <w:rPr>
                <w:rFonts w:hint="default" w:ascii="Times New Roman" w:hAnsi="Times New Roman" w:eastAsia="宋体" w:cs="Times New Roman"/>
                <w:color w:val="auto"/>
                <w:sz w:val="24"/>
                <w:szCs w:val="24"/>
                <w:u w:val="none" w:color="auto"/>
              </w:rPr>
              <w:t>kg/h）</w:t>
            </w:r>
            <w:r>
              <w:rPr>
                <w:rStyle w:val="189"/>
                <w:rFonts w:hint="default" w:ascii="Times New Roman" w:hAnsi="Times New Roman" w:cs="Times New Roman"/>
                <w:color w:val="auto"/>
                <w:sz w:val="24"/>
                <w:szCs w:val="24"/>
                <w:u w:val="none" w:color="auto"/>
              </w:rPr>
              <w:t>。</w:t>
            </w:r>
          </w:p>
          <w:p>
            <w:pPr>
              <w:spacing w:line="360" w:lineRule="auto"/>
              <w:ind w:firstLine="466" w:firstLineChars="200"/>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废气（漆雾、VOCs）经</w:t>
            </w:r>
            <w:r>
              <w:rPr>
                <w:rFonts w:hint="default" w:ascii="Times New Roman" w:hAnsi="Times New Roman" w:cs="Times New Roman"/>
                <w:bCs/>
                <w:color w:val="auto"/>
                <w:sz w:val="24"/>
                <w:szCs w:val="24"/>
                <w:u w:val="none" w:color="auto"/>
                <w:lang w:eastAsia="zh-CN"/>
              </w:rPr>
              <w:t>过滤棉</w:t>
            </w:r>
            <w:r>
              <w:rPr>
                <w:rFonts w:hint="default" w:ascii="Times New Roman" w:hAnsi="Times New Roman" w:eastAsia="宋体" w:cs="Times New Roman"/>
                <w:bCs/>
                <w:color w:val="auto"/>
                <w:sz w:val="24"/>
                <w:szCs w:val="24"/>
                <w:u w:val="none" w:color="auto"/>
              </w:rPr>
              <w:t>装置</w:t>
            </w:r>
            <w:r>
              <w:rPr>
                <w:rFonts w:hint="default" w:ascii="Times New Roman" w:hAnsi="Times New Roman" w:cs="Times New Roman"/>
                <w:bCs/>
                <w:color w:val="auto"/>
                <w:sz w:val="24"/>
                <w:szCs w:val="24"/>
                <w:u w:val="none" w:color="auto"/>
                <w:lang w:eastAsia="zh-CN"/>
              </w:rPr>
              <w:t>处理</w:t>
            </w:r>
            <w:r>
              <w:rPr>
                <w:rFonts w:hint="default" w:ascii="Times New Roman" w:hAnsi="Times New Roman" w:eastAsia="宋体" w:cs="Times New Roman"/>
                <w:bCs/>
                <w:color w:val="auto"/>
                <w:sz w:val="24"/>
                <w:szCs w:val="24"/>
                <w:u w:val="none" w:color="auto"/>
              </w:rPr>
              <w:t>后，其中极大部分漆</w:t>
            </w:r>
            <w:r>
              <w:rPr>
                <w:rFonts w:hint="default" w:ascii="Times New Roman" w:hAnsi="Times New Roman" w:cs="Times New Roman"/>
                <w:bCs/>
                <w:color w:val="auto"/>
                <w:sz w:val="24"/>
                <w:szCs w:val="24"/>
                <w:u w:val="none" w:color="auto"/>
                <w:lang w:eastAsia="zh-CN"/>
              </w:rPr>
              <w:t>雾</w:t>
            </w:r>
            <w:r>
              <w:rPr>
                <w:rFonts w:hint="default" w:ascii="Times New Roman" w:hAnsi="Times New Roman" w:eastAsia="宋体" w:cs="Times New Roman"/>
                <w:bCs/>
                <w:color w:val="auto"/>
                <w:sz w:val="24"/>
                <w:szCs w:val="24"/>
                <w:u w:val="none" w:color="auto"/>
              </w:rPr>
              <w:t>吸附沉淀为</w:t>
            </w:r>
            <w:r>
              <w:rPr>
                <w:rFonts w:hint="default" w:ascii="Times New Roman" w:hAnsi="Times New Roman" w:cs="Times New Roman"/>
                <w:bCs/>
                <w:color w:val="auto"/>
                <w:sz w:val="24"/>
                <w:szCs w:val="24"/>
                <w:u w:val="none" w:color="auto"/>
                <w:lang w:eastAsia="zh-CN"/>
              </w:rPr>
              <w:t>沉</w:t>
            </w:r>
            <w:r>
              <w:rPr>
                <w:rFonts w:hint="default" w:ascii="Times New Roman" w:hAnsi="Times New Roman" w:eastAsia="宋体" w:cs="Times New Roman"/>
                <w:bCs/>
                <w:color w:val="auto"/>
                <w:sz w:val="24"/>
                <w:szCs w:val="24"/>
                <w:u w:val="none" w:color="auto"/>
              </w:rPr>
              <w:t>渣（漆雾处理效率为90</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bCs/>
                <w:color w:val="auto"/>
                <w:sz w:val="24"/>
                <w:szCs w:val="24"/>
                <w:u w:val="none" w:color="auto"/>
              </w:rPr>
              <w:t>）。在将废气</w:t>
            </w:r>
            <w:r>
              <w:rPr>
                <w:rFonts w:hint="default" w:ascii="Times New Roman" w:hAnsi="Times New Roman" w:eastAsia="宋体" w:cs="Times New Roman"/>
                <w:color w:val="auto"/>
                <w:sz w:val="24"/>
                <w:szCs w:val="24"/>
                <w:u w:val="none" w:color="auto"/>
              </w:rPr>
              <w:t>引入</w:t>
            </w:r>
            <w:r>
              <w:rPr>
                <w:rFonts w:hint="default" w:ascii="Times New Roman" w:hAnsi="Times New Roman" w:eastAsia="宋体" w:cs="Times New Roman"/>
                <w:color w:val="auto"/>
                <w:sz w:val="24"/>
                <w:szCs w:val="24"/>
                <w:u w:val="none" w:color="auto"/>
                <w:lang w:eastAsia="zh-CN"/>
              </w:rPr>
              <w:t>活性炭吸附装置</w:t>
            </w:r>
            <w:r>
              <w:rPr>
                <w:rFonts w:hint="default" w:ascii="Times New Roman" w:hAnsi="Times New Roman" w:eastAsia="宋体" w:cs="Times New Roman"/>
                <w:color w:val="auto"/>
                <w:sz w:val="24"/>
                <w:szCs w:val="24"/>
                <w:u w:val="none" w:color="auto"/>
              </w:rPr>
              <w:t>，其对VOCs的</w:t>
            </w:r>
            <w:r>
              <w:rPr>
                <w:rFonts w:hint="default" w:ascii="Times New Roman" w:hAnsi="Times New Roman" w:eastAsia="宋体" w:cs="Times New Roman"/>
                <w:color w:val="auto"/>
                <w:sz w:val="24"/>
                <w:szCs w:val="24"/>
                <w:u w:val="none" w:color="auto"/>
                <w:lang w:eastAsia="zh-CN"/>
              </w:rPr>
              <w:t>吸附</w:t>
            </w:r>
            <w:r>
              <w:rPr>
                <w:rFonts w:hint="default" w:ascii="Times New Roman" w:hAnsi="Times New Roman" w:cs="Times New Roman"/>
                <w:color w:val="auto"/>
                <w:sz w:val="24"/>
                <w:szCs w:val="24"/>
                <w:u w:val="none" w:color="auto"/>
                <w:lang w:eastAsia="zh-CN"/>
              </w:rPr>
              <w:t>处理</w:t>
            </w:r>
            <w:r>
              <w:rPr>
                <w:rFonts w:hint="default" w:ascii="Times New Roman" w:hAnsi="Times New Roman" w:eastAsia="宋体" w:cs="Times New Roman"/>
                <w:color w:val="auto"/>
                <w:sz w:val="24"/>
                <w:szCs w:val="24"/>
                <w:u w:val="none" w:color="auto"/>
              </w:rPr>
              <w:t>效率为</w:t>
            </w:r>
            <w:r>
              <w:rPr>
                <w:rFonts w:hint="default" w:ascii="Times New Roman" w:hAnsi="Times New Roman" w:eastAsia="宋体" w:cs="Times New Roman"/>
                <w:color w:val="auto"/>
                <w:sz w:val="24"/>
                <w:szCs w:val="24"/>
                <w:u w:val="none" w:color="auto"/>
                <w:lang w:val="en-US" w:eastAsia="zh-CN"/>
              </w:rPr>
              <w:t>8</w:t>
            </w:r>
            <w:r>
              <w:rPr>
                <w:rFonts w:hint="default" w:ascii="Times New Roman" w:hAnsi="Times New Roman" w:eastAsia="宋体" w:cs="Times New Roman"/>
                <w:color w:val="auto"/>
                <w:sz w:val="24"/>
                <w:szCs w:val="24"/>
                <w:u w:val="none" w:color="auto"/>
              </w:rPr>
              <w:t>0%</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设计风量为3000m</w:t>
            </w:r>
            <w:r>
              <w:rPr>
                <w:rFonts w:hint="eastAsia" w:cs="Times New Roman"/>
                <w:color w:val="auto"/>
                <w:sz w:val="24"/>
                <w:szCs w:val="24"/>
                <w:u w:val="none" w:color="auto"/>
                <w:vertAlign w:val="superscript"/>
                <w:lang w:val="en-US" w:eastAsia="zh-CN"/>
              </w:rPr>
              <w:t>3</w:t>
            </w:r>
            <w:r>
              <w:rPr>
                <w:rFonts w:hint="eastAsia" w:cs="Times New Roman"/>
                <w:color w:val="auto"/>
                <w:sz w:val="24"/>
                <w:szCs w:val="24"/>
                <w:u w:val="none" w:color="auto"/>
                <w:lang w:val="en-US" w:eastAsia="zh-CN"/>
              </w:rPr>
              <w:t>/h</w:t>
            </w:r>
            <w:r>
              <w:rPr>
                <w:rFonts w:hint="default" w:ascii="Times New Roman" w:hAnsi="Times New Roman" w:cs="Times New Roman"/>
                <w:color w:val="auto"/>
                <w:sz w:val="24"/>
                <w:szCs w:val="24"/>
                <w:u w:val="none" w:color="auto"/>
                <w:lang w:eastAsia="zh-CN"/>
              </w:rPr>
              <w:t>，喷漆</w:t>
            </w:r>
            <w:r>
              <w:rPr>
                <w:rFonts w:hint="eastAsia" w:cs="Times New Roman"/>
                <w:color w:val="auto"/>
                <w:sz w:val="24"/>
                <w:szCs w:val="24"/>
                <w:u w:val="none" w:color="auto"/>
                <w:lang w:val="en-US" w:eastAsia="zh-CN"/>
              </w:rPr>
              <w:t>烘干</w:t>
            </w:r>
            <w:r>
              <w:rPr>
                <w:rFonts w:hint="default" w:ascii="Times New Roman" w:hAnsi="Times New Roman" w:cs="Times New Roman"/>
                <w:color w:val="auto"/>
                <w:sz w:val="24"/>
                <w:szCs w:val="24"/>
                <w:u w:val="none" w:color="auto"/>
                <w:lang w:eastAsia="zh-CN"/>
              </w:rPr>
              <w:t>房废气经</w:t>
            </w:r>
            <w:r>
              <w:rPr>
                <w:rFonts w:hint="default" w:ascii="Times New Roman" w:hAnsi="Times New Roman" w:cs="Times New Roman"/>
                <w:color w:val="auto"/>
                <w:sz w:val="24"/>
                <w:szCs w:val="24"/>
                <w:u w:val="none" w:color="auto"/>
                <w:lang w:val="en-US" w:eastAsia="zh-CN"/>
              </w:rPr>
              <w:t>处理后</w:t>
            </w:r>
            <w:r>
              <w:rPr>
                <w:rFonts w:hint="default" w:ascii="Times New Roman" w:hAnsi="Times New Roman" w:eastAsia="宋体" w:cs="Times New Roman"/>
                <w:color w:val="auto"/>
                <w:sz w:val="24"/>
                <w:szCs w:val="24"/>
                <w:u w:val="none" w:color="auto"/>
              </w:rPr>
              <w:t>VOCs有组织排放量为</w:t>
            </w:r>
            <w:r>
              <w:rPr>
                <w:rFonts w:hint="eastAsia" w:cs="Times New Roman"/>
                <w:color w:val="auto"/>
                <w:sz w:val="24"/>
                <w:szCs w:val="24"/>
                <w:u w:val="none" w:color="auto"/>
                <w:lang w:val="en-US" w:eastAsia="zh-CN"/>
              </w:rPr>
              <w:t>0.027</w:t>
            </w:r>
            <w:r>
              <w:rPr>
                <w:rFonts w:hint="default" w:ascii="Times New Roman" w:hAnsi="Times New Roman" w:eastAsia="宋体" w:cs="Times New Roman"/>
                <w:color w:val="auto"/>
                <w:sz w:val="24"/>
                <w:szCs w:val="24"/>
                <w:u w:val="none" w:color="auto"/>
              </w:rPr>
              <w:t>t/a（</w:t>
            </w:r>
            <w:r>
              <w:rPr>
                <w:rFonts w:hint="default" w:ascii="Times New Roman" w:hAnsi="Times New Roman" w:cs="Times New Roman"/>
                <w:color w:val="auto"/>
                <w:sz w:val="24"/>
                <w:szCs w:val="24"/>
                <w:u w:val="none" w:color="auto"/>
                <w:lang w:val="en-US" w:eastAsia="zh-CN"/>
              </w:rPr>
              <w:t>0.</w:t>
            </w:r>
            <w:r>
              <w:rPr>
                <w:rFonts w:hint="eastAsia" w:cs="Times New Roman"/>
                <w:color w:val="auto"/>
                <w:sz w:val="24"/>
                <w:szCs w:val="24"/>
                <w:u w:val="none" w:color="auto"/>
                <w:lang w:val="en-US" w:eastAsia="zh-CN"/>
              </w:rPr>
              <w:t>018</w:t>
            </w:r>
            <w:r>
              <w:rPr>
                <w:rFonts w:hint="default" w:ascii="Times New Roman" w:hAnsi="Times New Roman" w:eastAsia="宋体" w:cs="Times New Roman"/>
                <w:color w:val="auto"/>
                <w:sz w:val="24"/>
                <w:szCs w:val="24"/>
                <w:u w:val="none" w:color="auto"/>
              </w:rPr>
              <w:t>kg/h</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6</w:t>
            </w:r>
            <w:r>
              <w:rPr>
                <w:rFonts w:hint="default" w:ascii="Times New Roman" w:hAnsi="Times New Roman" w:eastAsia="宋体" w:cs="Times New Roman"/>
                <w:color w:val="auto"/>
                <w:sz w:val="24"/>
                <w:szCs w:val="24"/>
                <w:u w:val="none" w:color="auto"/>
              </w:rPr>
              <w:t>mg/m</w:t>
            </w:r>
            <w:r>
              <w:rPr>
                <w:rFonts w:hint="default" w:ascii="Times New Roman" w:hAnsi="Times New Roman" w:eastAsia="宋体" w:cs="Times New Roman"/>
                <w:color w:val="auto"/>
                <w:sz w:val="24"/>
                <w:szCs w:val="24"/>
                <w:u w:val="none" w:color="auto"/>
                <w:vertAlign w:val="superscript"/>
              </w:rPr>
              <w:t>3</w:t>
            </w:r>
            <w:r>
              <w:rPr>
                <w:rFonts w:hint="default" w:ascii="Times New Roman" w:hAnsi="Times New Roman" w:eastAsia="宋体" w:cs="Times New Roman"/>
                <w:color w:val="auto"/>
                <w:sz w:val="24"/>
                <w:szCs w:val="24"/>
                <w:u w:val="none" w:color="auto"/>
              </w:rPr>
              <w:t>）</w:t>
            </w:r>
            <w:r>
              <w:rPr>
                <w:rFonts w:hint="default"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VOCs无组织排放量为</w:t>
            </w:r>
            <w:r>
              <w:rPr>
                <w:rFonts w:hint="eastAsia" w:cs="Times New Roman"/>
                <w:color w:val="auto"/>
                <w:sz w:val="24"/>
                <w:szCs w:val="24"/>
                <w:u w:val="none" w:color="auto"/>
                <w:lang w:val="en-US" w:eastAsia="zh-CN"/>
              </w:rPr>
              <w:t>0.015</w:t>
            </w:r>
            <w:r>
              <w:rPr>
                <w:rFonts w:hint="default" w:ascii="Times New Roman" w:hAnsi="Times New Roman" w:eastAsia="宋体" w:cs="Times New Roman"/>
                <w:color w:val="auto"/>
                <w:sz w:val="24"/>
                <w:szCs w:val="24"/>
                <w:u w:val="none" w:color="auto"/>
              </w:rPr>
              <w:t>t/a（</w:t>
            </w:r>
            <w:r>
              <w:rPr>
                <w:rFonts w:hint="eastAsia" w:cs="Times New Roman"/>
                <w:color w:val="auto"/>
                <w:sz w:val="24"/>
                <w:szCs w:val="24"/>
                <w:u w:val="none" w:color="auto"/>
                <w:lang w:val="en-US" w:eastAsia="zh-CN"/>
              </w:rPr>
              <w:t>0.01</w:t>
            </w:r>
            <w:r>
              <w:rPr>
                <w:rFonts w:hint="default" w:ascii="Times New Roman" w:hAnsi="Times New Roman" w:eastAsia="宋体" w:cs="Times New Roman"/>
                <w:color w:val="auto"/>
                <w:sz w:val="24"/>
                <w:szCs w:val="24"/>
                <w:u w:val="none" w:color="auto"/>
              </w:rPr>
              <w:t>kg/h）</w:t>
            </w:r>
            <w:r>
              <w:rPr>
                <w:rFonts w:hint="default"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颗粒物有组织排放量为</w:t>
            </w:r>
            <w:r>
              <w:rPr>
                <w:rFonts w:hint="default" w:ascii="Times New Roman" w:hAnsi="Times New Roman" w:eastAsia="宋体"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lang w:val="en-US" w:eastAsia="zh-CN"/>
              </w:rPr>
              <w:t>0</w:t>
            </w:r>
            <w:r>
              <w:rPr>
                <w:rFonts w:hint="eastAsia" w:cs="Times New Roman"/>
                <w:color w:val="auto"/>
                <w:sz w:val="24"/>
                <w:szCs w:val="24"/>
                <w:u w:val="none" w:color="auto"/>
                <w:lang w:val="en-US" w:eastAsia="zh-CN"/>
              </w:rPr>
              <w:t>09</w:t>
            </w:r>
            <w:r>
              <w:rPr>
                <w:rFonts w:hint="default" w:ascii="Times New Roman" w:hAnsi="Times New Roman" w:eastAsia="宋体" w:cs="Times New Roman"/>
                <w:color w:val="auto"/>
                <w:sz w:val="24"/>
                <w:szCs w:val="24"/>
                <w:u w:val="none" w:color="auto"/>
              </w:rPr>
              <w:t>t/a（</w:t>
            </w:r>
            <w:r>
              <w:rPr>
                <w:rFonts w:hint="default" w:ascii="Times New Roman" w:hAnsi="Times New Roman" w:cs="Times New Roman"/>
                <w:color w:val="auto"/>
                <w:sz w:val="24"/>
                <w:szCs w:val="24"/>
                <w:u w:val="none" w:color="auto"/>
                <w:lang w:val="en-US" w:eastAsia="zh-CN"/>
              </w:rPr>
              <w:t>0.</w:t>
            </w:r>
            <w:r>
              <w:rPr>
                <w:rFonts w:hint="eastAsia" w:cs="Times New Roman"/>
                <w:color w:val="auto"/>
                <w:sz w:val="24"/>
                <w:szCs w:val="24"/>
                <w:u w:val="none" w:color="auto"/>
                <w:lang w:val="en-US" w:eastAsia="zh-CN"/>
              </w:rPr>
              <w:t>006</w:t>
            </w:r>
            <w:r>
              <w:rPr>
                <w:rFonts w:hint="default" w:ascii="Times New Roman" w:hAnsi="Times New Roman" w:eastAsia="宋体" w:cs="Times New Roman"/>
                <w:color w:val="auto"/>
                <w:sz w:val="24"/>
                <w:szCs w:val="24"/>
                <w:u w:val="none" w:color="auto"/>
              </w:rPr>
              <w:t>kg/h</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2.0</w:t>
            </w:r>
            <w:r>
              <w:rPr>
                <w:rFonts w:hint="default" w:ascii="Times New Roman" w:hAnsi="Times New Roman" w:eastAsia="宋体" w:cs="Times New Roman"/>
                <w:color w:val="auto"/>
                <w:sz w:val="24"/>
                <w:szCs w:val="24"/>
                <w:u w:val="none" w:color="auto"/>
              </w:rPr>
              <w:t>mg/m</w:t>
            </w:r>
            <w:r>
              <w:rPr>
                <w:rFonts w:hint="default" w:ascii="Times New Roman" w:hAnsi="Times New Roman" w:eastAsia="宋体" w:cs="Times New Roman"/>
                <w:color w:val="auto"/>
                <w:sz w:val="24"/>
                <w:szCs w:val="24"/>
                <w:u w:val="none" w:color="auto"/>
                <w:vertAlign w:val="superscript"/>
              </w:rPr>
              <w:t>3</w:t>
            </w:r>
            <w:r>
              <w:rPr>
                <w:rFonts w:hint="default" w:ascii="Times New Roman" w:hAnsi="Times New Roman" w:eastAsia="宋体" w:cs="Times New Roman"/>
                <w:color w:val="auto"/>
                <w:sz w:val="24"/>
                <w:szCs w:val="24"/>
                <w:u w:val="none" w:color="auto"/>
              </w:rPr>
              <w:t>）</w:t>
            </w:r>
            <w:r>
              <w:rPr>
                <w:rFonts w:hint="default" w:ascii="Times New Roman" w:hAnsi="Times New Roman" w:cs="Times New Roman"/>
                <w:color w:val="auto"/>
                <w:sz w:val="24"/>
                <w:szCs w:val="24"/>
                <w:u w:val="none" w:color="auto"/>
                <w:lang w:eastAsia="zh-CN"/>
              </w:rPr>
              <w:t>、颗粒物</w:t>
            </w:r>
            <w:r>
              <w:rPr>
                <w:rFonts w:hint="default" w:ascii="Times New Roman" w:hAnsi="Times New Roman" w:eastAsia="宋体" w:cs="Times New Roman"/>
                <w:color w:val="auto"/>
                <w:sz w:val="24"/>
                <w:szCs w:val="24"/>
                <w:u w:val="none" w:color="auto"/>
              </w:rPr>
              <w:t>无组织排放量</w:t>
            </w:r>
            <w:r>
              <w:rPr>
                <w:rFonts w:hint="default" w:ascii="Times New Roman" w:hAnsi="Times New Roman" w:eastAsia="宋体"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lang w:val="en-US" w:eastAsia="zh-CN"/>
              </w:rPr>
              <w:t>0</w:t>
            </w:r>
            <w:r>
              <w:rPr>
                <w:rFonts w:hint="eastAsia" w:cs="Times New Roman"/>
                <w:color w:val="auto"/>
                <w:sz w:val="24"/>
                <w:szCs w:val="24"/>
                <w:u w:val="none" w:color="auto"/>
                <w:lang w:val="en-US" w:eastAsia="zh-CN"/>
              </w:rPr>
              <w:t>1</w:t>
            </w:r>
            <w:r>
              <w:rPr>
                <w:rFonts w:hint="default" w:ascii="Times New Roman" w:hAnsi="Times New Roman" w:eastAsia="宋体" w:cs="Times New Roman"/>
                <w:color w:val="auto"/>
                <w:sz w:val="24"/>
                <w:szCs w:val="24"/>
                <w:u w:val="none" w:color="auto"/>
              </w:rPr>
              <w:t>t/a（0.</w:t>
            </w:r>
            <w:r>
              <w:rPr>
                <w:rFonts w:hint="eastAsia" w:eastAsia="宋体" w:cs="Times New Roman"/>
                <w:color w:val="auto"/>
                <w:sz w:val="24"/>
                <w:szCs w:val="24"/>
                <w:u w:val="none" w:color="auto"/>
                <w:lang w:val="en-US" w:eastAsia="zh-CN"/>
              </w:rPr>
              <w:t>0</w:t>
            </w:r>
            <w:r>
              <w:rPr>
                <w:rFonts w:hint="eastAsia" w:cs="Times New Roman"/>
                <w:color w:val="auto"/>
                <w:sz w:val="24"/>
                <w:szCs w:val="24"/>
                <w:u w:val="none" w:color="auto"/>
                <w:lang w:val="en-US" w:eastAsia="zh-CN"/>
              </w:rPr>
              <w:t>67</w:t>
            </w:r>
            <w:r>
              <w:rPr>
                <w:rFonts w:hint="default" w:ascii="Times New Roman" w:hAnsi="Times New Roman" w:eastAsia="宋体" w:cs="Times New Roman"/>
                <w:color w:val="auto"/>
                <w:sz w:val="24"/>
                <w:szCs w:val="24"/>
                <w:u w:val="none" w:color="auto"/>
              </w:rPr>
              <w:t>kg/h）</w:t>
            </w:r>
            <w:r>
              <w:rPr>
                <w:rFonts w:hint="eastAsia" w:eastAsia="宋体" w:cs="Times New Roman"/>
                <w:color w:val="auto"/>
                <w:sz w:val="24"/>
                <w:szCs w:val="24"/>
                <w:u w:val="none" w:color="auto"/>
                <w:lang w:eastAsia="zh-CN"/>
              </w:rPr>
              <w:t>。</w:t>
            </w:r>
            <w:r>
              <w:rPr>
                <w:rFonts w:hint="eastAsia" w:eastAsia="宋体" w:cs="Times New Roman"/>
                <w:color w:val="auto"/>
                <w:kern w:val="0"/>
                <w:sz w:val="24"/>
                <w:szCs w:val="24"/>
                <w:u w:val="none" w:color="auto"/>
                <w:lang w:val="en-US" w:eastAsia="zh-CN" w:bidi="ar"/>
              </w:rPr>
              <w:t>经处理后本排气筒中</w:t>
            </w:r>
            <w:r>
              <w:rPr>
                <w:rFonts w:hint="default" w:ascii="Times New Roman" w:hAnsi="Times New Roman" w:eastAsia="宋体" w:cs="Times New Roman"/>
                <w:color w:val="auto"/>
                <w:kern w:val="0"/>
                <w:sz w:val="24"/>
                <w:szCs w:val="24"/>
                <w:u w:val="none" w:color="auto"/>
                <w:lang w:val="en-US" w:eastAsia="zh-CN" w:bidi="ar"/>
              </w:rPr>
              <w:t>颗粒物</w:t>
            </w:r>
            <w:r>
              <w:rPr>
                <w:rFonts w:hint="eastAsia" w:eastAsia="宋体" w:cs="Times New Roman"/>
                <w:color w:val="auto"/>
                <w:kern w:val="0"/>
                <w:sz w:val="24"/>
                <w:szCs w:val="24"/>
                <w:u w:val="none" w:color="auto"/>
                <w:lang w:val="en-US" w:eastAsia="zh-CN" w:bidi="ar"/>
              </w:rPr>
              <w:t>满足</w:t>
            </w:r>
            <w:r>
              <w:rPr>
                <w:rFonts w:hint="default" w:ascii="Times New Roman" w:hAnsi="Times New Roman" w:eastAsia="宋体" w:cs="Times New Roman"/>
                <w:color w:val="auto"/>
                <w:kern w:val="0"/>
                <w:sz w:val="24"/>
                <w:szCs w:val="24"/>
                <w:u w:val="none" w:color="auto"/>
                <w:lang w:val="en-US" w:eastAsia="zh-CN" w:bidi="ar"/>
              </w:rPr>
              <w:t>《大气污染物综合排放标准》（GB16297-1996）表2的二级标准</w:t>
            </w:r>
            <w:r>
              <w:rPr>
                <w:rFonts w:hint="eastAsia" w:ascii="Times New Roman" w:hAnsi="Times New Roman" w:cs="Times New Roman"/>
                <w:color w:val="auto"/>
                <w:kern w:val="0"/>
                <w:sz w:val="24"/>
                <w:szCs w:val="24"/>
                <w:u w:val="none" w:color="auto"/>
                <w:lang w:val="en-US" w:eastAsia="zh-CN" w:bidi="ar"/>
              </w:rPr>
              <w:t>和无组织排放标准</w:t>
            </w:r>
            <w:r>
              <w:rPr>
                <w:rFonts w:hint="default" w:ascii="Times New Roman" w:hAnsi="Times New Roman" w:eastAsia="宋体" w:cs="Times New Roman"/>
                <w:color w:val="auto"/>
                <w:kern w:val="0"/>
                <w:sz w:val="24"/>
                <w:szCs w:val="24"/>
                <w:u w:val="none" w:color="auto"/>
                <w:lang w:val="en-US" w:eastAsia="zh-CN" w:bidi="ar"/>
              </w:rPr>
              <w:t>，有机废气</w:t>
            </w:r>
            <w:r>
              <w:rPr>
                <w:rFonts w:hint="eastAsia" w:eastAsia="宋体" w:cs="Times New Roman"/>
                <w:color w:val="auto"/>
                <w:kern w:val="0"/>
                <w:sz w:val="24"/>
                <w:szCs w:val="24"/>
                <w:u w:val="none" w:color="auto"/>
                <w:lang w:val="en-US" w:eastAsia="zh-CN" w:bidi="ar"/>
              </w:rPr>
              <w:t>满足</w:t>
            </w:r>
            <w:r>
              <w:rPr>
                <w:rFonts w:hint="default" w:ascii="Times New Roman" w:hAnsi="Times New Roman" w:eastAsia="宋体" w:cs="Times New Roman"/>
                <w:color w:val="auto"/>
                <w:kern w:val="0"/>
                <w:sz w:val="24"/>
                <w:szCs w:val="24"/>
                <w:u w:val="none" w:color="auto"/>
                <w:lang w:val="en-US" w:eastAsia="zh-CN" w:bidi="ar"/>
              </w:rPr>
              <w:t>《表面涂装（汽车制造及维修）挥发性有机物、镍排放标准》 （DB43/1356-2017）</w:t>
            </w:r>
            <w:r>
              <w:rPr>
                <w:rFonts w:hint="eastAsia" w:cs="Times New Roman"/>
                <w:color w:val="auto"/>
                <w:kern w:val="0"/>
                <w:sz w:val="24"/>
                <w:szCs w:val="24"/>
                <w:u w:val="none" w:color="auto"/>
                <w:lang w:val="en-US" w:eastAsia="zh-CN" w:bidi="ar"/>
              </w:rPr>
              <w:t>表1、表3排放标准要求</w:t>
            </w:r>
            <w:r>
              <w:rPr>
                <w:rFonts w:hint="eastAsia" w:eastAsia="宋体" w:cs="Times New Roman"/>
                <w:color w:val="auto"/>
                <w:sz w:val="24"/>
                <w:szCs w:val="24"/>
                <w:u w:val="none" w:color="auto"/>
                <w:lang w:eastAsia="zh-CN"/>
              </w:rPr>
              <w:t>。</w:t>
            </w:r>
          </w:p>
          <w:p>
            <w:pPr>
              <w:spacing w:line="360" w:lineRule="auto"/>
              <w:ind w:firstLine="466" w:firstLineChars="200"/>
              <w:jc w:val="center"/>
              <w:rPr>
                <w:b/>
                <w:color w:val="auto"/>
                <w:sz w:val="24"/>
                <w:u w:val="none" w:color="auto"/>
              </w:rPr>
            </w:pPr>
            <w:r>
              <w:rPr>
                <w:b/>
                <w:color w:val="auto"/>
                <w:sz w:val="24"/>
                <w:u w:val="none" w:color="auto"/>
              </w:rPr>
              <w:t>表7-</w:t>
            </w:r>
            <w:r>
              <w:rPr>
                <w:rFonts w:hint="eastAsia"/>
                <w:b/>
                <w:color w:val="auto"/>
                <w:sz w:val="24"/>
                <w:u w:val="none" w:color="auto"/>
                <w:lang w:val="en-US" w:eastAsia="zh-CN"/>
              </w:rPr>
              <w:t>1</w:t>
            </w:r>
            <w:r>
              <w:rPr>
                <w:rFonts w:hint="eastAsia"/>
                <w:b/>
                <w:color w:val="auto"/>
                <w:sz w:val="24"/>
                <w:u w:val="none" w:color="auto"/>
              </w:rPr>
              <w:t>本项目主要大气污染物汇总表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1122"/>
              <w:gridCol w:w="1665"/>
              <w:gridCol w:w="1010"/>
              <w:gridCol w:w="1082"/>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30" w:type="pc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排放源</w:t>
                  </w:r>
                </w:p>
              </w:tc>
              <w:tc>
                <w:tcPr>
                  <w:tcW w:w="619" w:type="pc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排放方式</w:t>
                  </w:r>
                </w:p>
              </w:tc>
              <w:tc>
                <w:tcPr>
                  <w:tcW w:w="918" w:type="pc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污染物</w:t>
                  </w:r>
                </w:p>
              </w:tc>
              <w:tc>
                <w:tcPr>
                  <w:tcW w:w="557" w:type="pc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排放速率（kg/h）</w:t>
                  </w:r>
                </w:p>
              </w:tc>
              <w:tc>
                <w:tcPr>
                  <w:tcW w:w="597" w:type="pc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排放形式</w:t>
                  </w:r>
                </w:p>
              </w:tc>
              <w:tc>
                <w:tcPr>
                  <w:tcW w:w="1477" w:type="pc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30" w:type="pct"/>
                  <w:vMerge w:val="restart"/>
                  <w:noWrap w:val="0"/>
                  <w:vAlign w:val="center"/>
                </w:tcPr>
                <w:p>
                  <w:pPr>
                    <w:pStyle w:val="205"/>
                    <w:spacing w:line="240" w:lineRule="auto"/>
                    <w:ind w:firstLine="0" w:firstLineChars="0"/>
                    <w:jc w:val="center"/>
                    <w:rPr>
                      <w:rFonts w:hint="default" w:eastAsia="宋体"/>
                      <w:color w:val="auto"/>
                      <w:sz w:val="21"/>
                      <w:szCs w:val="21"/>
                      <w:u w:val="none" w:color="auto"/>
                      <w:lang w:val="en-US" w:eastAsia="zh-CN"/>
                    </w:rPr>
                  </w:pPr>
                  <w:r>
                    <w:rPr>
                      <w:rFonts w:hint="eastAsia"/>
                      <w:color w:val="auto"/>
                      <w:sz w:val="22"/>
                      <w:szCs w:val="22"/>
                      <w:u w:val="none" w:color="auto"/>
                      <w:lang w:val="en-US" w:eastAsia="zh-CN"/>
                    </w:rPr>
                    <w:t>喷漆烘干废气排气筒</w:t>
                  </w:r>
                </w:p>
              </w:tc>
              <w:tc>
                <w:tcPr>
                  <w:tcW w:w="619" w:type="pct"/>
                  <w:vMerge w:val="restar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排气筒</w:t>
                  </w:r>
                </w:p>
              </w:tc>
              <w:tc>
                <w:tcPr>
                  <w:tcW w:w="918" w:type="pct"/>
                  <w:noWrap w:val="0"/>
                  <w:vAlign w:val="center"/>
                </w:tcPr>
                <w:p>
                  <w:pPr>
                    <w:jc w:val="center"/>
                    <w:rPr>
                      <w:rFonts w:hint="default" w:eastAsia="宋体"/>
                      <w:color w:val="auto"/>
                      <w:szCs w:val="21"/>
                      <w:u w:val="none" w:color="auto"/>
                      <w:lang w:val="en-US" w:eastAsia="zh-CN"/>
                    </w:rPr>
                  </w:pPr>
                  <w:r>
                    <w:rPr>
                      <w:rFonts w:hint="eastAsia"/>
                      <w:color w:val="auto"/>
                      <w:szCs w:val="21"/>
                      <w:u w:val="none" w:color="auto"/>
                      <w:lang w:val="en-US" w:eastAsia="zh-CN"/>
                    </w:rPr>
                    <w:t>VOC</w:t>
                  </w:r>
                  <w:r>
                    <w:rPr>
                      <w:rFonts w:hint="eastAsia"/>
                      <w:color w:val="auto"/>
                      <w:szCs w:val="21"/>
                      <w:u w:val="none" w:color="auto"/>
                      <w:vertAlign w:val="subscript"/>
                      <w:lang w:val="en-US" w:eastAsia="zh-CN"/>
                    </w:rPr>
                    <w:t>S</w:t>
                  </w:r>
                </w:p>
              </w:tc>
              <w:tc>
                <w:tcPr>
                  <w:tcW w:w="557" w:type="pct"/>
                  <w:noWrap w:val="0"/>
                  <w:vAlign w:val="center"/>
                </w:tcPr>
                <w:p>
                  <w:pPr>
                    <w:widowControl/>
                    <w:jc w:val="center"/>
                    <w:textAlignment w:val="center"/>
                    <w:rPr>
                      <w:rFonts w:hint="default" w:eastAsia="宋体"/>
                      <w:color w:val="auto"/>
                      <w:szCs w:val="21"/>
                      <w:u w:val="none" w:color="auto"/>
                      <w:lang w:val="en-US" w:eastAsia="zh-CN"/>
                    </w:rPr>
                  </w:pPr>
                  <w:r>
                    <w:rPr>
                      <w:rFonts w:hint="eastAsia"/>
                      <w:color w:val="auto"/>
                      <w:szCs w:val="21"/>
                      <w:u w:val="none" w:color="auto"/>
                      <w:lang w:val="en-US" w:eastAsia="zh-CN"/>
                    </w:rPr>
                    <w:t>0.018</w:t>
                  </w:r>
                </w:p>
              </w:tc>
              <w:tc>
                <w:tcPr>
                  <w:tcW w:w="597" w:type="pc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有组织</w:t>
                  </w:r>
                </w:p>
              </w:tc>
              <w:tc>
                <w:tcPr>
                  <w:tcW w:w="1477" w:type="pct"/>
                  <w:vMerge w:val="restart"/>
                  <w:noWrap w:val="0"/>
                  <w:vAlign w:val="center"/>
                </w:tcPr>
                <w:p>
                  <w:pPr>
                    <w:pStyle w:val="205"/>
                    <w:spacing w:line="240" w:lineRule="auto"/>
                    <w:ind w:firstLine="0" w:firstLineChars="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过滤棉+活性炭吸附设施+15m高排气筒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30" w:type="pct"/>
                  <w:vMerge w:val="continue"/>
                  <w:noWrap w:val="0"/>
                  <w:vAlign w:val="center"/>
                </w:tcPr>
                <w:p>
                  <w:pPr>
                    <w:pStyle w:val="205"/>
                    <w:spacing w:line="240" w:lineRule="auto"/>
                    <w:ind w:firstLine="0" w:firstLineChars="0"/>
                    <w:jc w:val="center"/>
                    <w:rPr>
                      <w:rFonts w:hint="eastAsia"/>
                      <w:color w:val="auto"/>
                      <w:sz w:val="21"/>
                      <w:szCs w:val="21"/>
                      <w:u w:val="none" w:color="auto"/>
                      <w:lang w:val="en-US" w:eastAsia="zh-CN"/>
                    </w:rPr>
                  </w:pPr>
                </w:p>
              </w:tc>
              <w:tc>
                <w:tcPr>
                  <w:tcW w:w="619" w:type="pct"/>
                  <w:vMerge w:val="continue"/>
                  <w:noWrap w:val="0"/>
                  <w:vAlign w:val="center"/>
                </w:tcPr>
                <w:p>
                  <w:pPr>
                    <w:pStyle w:val="205"/>
                    <w:spacing w:line="240" w:lineRule="auto"/>
                    <w:ind w:firstLine="0" w:firstLineChars="0"/>
                    <w:jc w:val="center"/>
                    <w:rPr>
                      <w:rFonts w:hint="eastAsia"/>
                      <w:color w:val="auto"/>
                      <w:sz w:val="21"/>
                      <w:szCs w:val="21"/>
                      <w:u w:val="none" w:color="auto"/>
                    </w:rPr>
                  </w:pPr>
                </w:p>
              </w:tc>
              <w:tc>
                <w:tcPr>
                  <w:tcW w:w="918" w:type="pct"/>
                  <w:noWrap w:val="0"/>
                  <w:vAlign w:val="center"/>
                </w:tcPr>
                <w:p>
                  <w:pPr>
                    <w:jc w:val="center"/>
                    <w:rPr>
                      <w:rFonts w:hint="default"/>
                      <w:color w:val="auto"/>
                      <w:szCs w:val="21"/>
                      <w:u w:val="none" w:color="auto"/>
                      <w:lang w:val="en-US" w:eastAsia="zh-CN"/>
                    </w:rPr>
                  </w:pPr>
                  <w:r>
                    <w:rPr>
                      <w:rFonts w:hint="eastAsia"/>
                      <w:color w:val="auto"/>
                      <w:szCs w:val="21"/>
                      <w:u w:val="none" w:color="auto"/>
                      <w:lang w:val="en-US" w:eastAsia="zh-CN"/>
                    </w:rPr>
                    <w:t>颗粒物</w:t>
                  </w:r>
                </w:p>
              </w:tc>
              <w:tc>
                <w:tcPr>
                  <w:tcW w:w="557" w:type="pct"/>
                  <w:noWrap w:val="0"/>
                  <w:vAlign w:val="center"/>
                </w:tcPr>
                <w:p>
                  <w:pPr>
                    <w:widowControl/>
                    <w:jc w:val="center"/>
                    <w:textAlignment w:val="center"/>
                    <w:rPr>
                      <w:rFonts w:hint="default"/>
                      <w:color w:val="auto"/>
                      <w:szCs w:val="21"/>
                      <w:u w:val="none" w:color="auto"/>
                      <w:lang w:val="en-US" w:eastAsia="zh-CN"/>
                    </w:rPr>
                  </w:pPr>
                  <w:r>
                    <w:rPr>
                      <w:rFonts w:hint="eastAsia"/>
                      <w:color w:val="auto"/>
                      <w:szCs w:val="21"/>
                      <w:u w:val="none" w:color="auto"/>
                      <w:lang w:val="en-US" w:eastAsia="zh-CN"/>
                    </w:rPr>
                    <w:t>0.006</w:t>
                  </w:r>
                </w:p>
              </w:tc>
              <w:tc>
                <w:tcPr>
                  <w:tcW w:w="597" w:type="pct"/>
                  <w:noWrap w:val="0"/>
                  <w:vAlign w:val="center"/>
                </w:tcPr>
                <w:p>
                  <w:pPr>
                    <w:pStyle w:val="205"/>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有组织</w:t>
                  </w:r>
                </w:p>
              </w:tc>
              <w:tc>
                <w:tcPr>
                  <w:tcW w:w="1477" w:type="pct"/>
                  <w:vMerge w:val="continue"/>
                  <w:noWrap w:val="0"/>
                  <w:vAlign w:val="center"/>
                </w:tcPr>
                <w:p>
                  <w:pPr>
                    <w:pStyle w:val="205"/>
                    <w:spacing w:line="240" w:lineRule="auto"/>
                    <w:ind w:firstLine="0" w:firstLineChars="0"/>
                    <w:jc w:val="center"/>
                    <w:rPr>
                      <w:rFonts w:hint="eastAsia"/>
                      <w:color w:val="auto"/>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0" w:type="pct"/>
                  <w:vMerge w:val="continue"/>
                  <w:noWrap w:val="0"/>
                  <w:vAlign w:val="center"/>
                </w:tcPr>
                <w:p>
                  <w:pPr>
                    <w:pStyle w:val="205"/>
                    <w:spacing w:line="240" w:lineRule="auto"/>
                    <w:ind w:firstLine="0" w:firstLineChars="0"/>
                    <w:jc w:val="center"/>
                    <w:rPr>
                      <w:color w:val="auto"/>
                      <w:sz w:val="21"/>
                      <w:szCs w:val="21"/>
                      <w:u w:val="none" w:color="auto"/>
                    </w:rPr>
                  </w:pPr>
                </w:p>
              </w:tc>
              <w:tc>
                <w:tcPr>
                  <w:tcW w:w="619" w:type="pct"/>
                  <w:vMerge w:val="restar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车间面源</w:t>
                  </w:r>
                </w:p>
              </w:tc>
              <w:tc>
                <w:tcPr>
                  <w:tcW w:w="918" w:type="pct"/>
                  <w:noWrap w:val="0"/>
                  <w:vAlign w:val="center"/>
                </w:tcPr>
                <w:p>
                  <w:pPr>
                    <w:jc w:val="center"/>
                    <w:rPr>
                      <w:color w:val="auto"/>
                      <w:szCs w:val="21"/>
                      <w:u w:val="none" w:color="auto"/>
                    </w:rPr>
                  </w:pPr>
                  <w:r>
                    <w:rPr>
                      <w:rFonts w:hint="eastAsia"/>
                      <w:color w:val="auto"/>
                      <w:szCs w:val="21"/>
                      <w:u w:val="none" w:color="auto"/>
                      <w:lang w:val="en-US" w:eastAsia="zh-CN"/>
                    </w:rPr>
                    <w:t>VOC</w:t>
                  </w:r>
                  <w:r>
                    <w:rPr>
                      <w:rFonts w:hint="eastAsia"/>
                      <w:color w:val="auto"/>
                      <w:szCs w:val="21"/>
                      <w:u w:val="none" w:color="auto"/>
                      <w:vertAlign w:val="subscript"/>
                      <w:lang w:val="en-US" w:eastAsia="zh-CN"/>
                    </w:rPr>
                    <w:t>S</w:t>
                  </w:r>
                </w:p>
              </w:tc>
              <w:tc>
                <w:tcPr>
                  <w:tcW w:w="557" w:type="pct"/>
                  <w:noWrap w:val="0"/>
                  <w:vAlign w:val="center"/>
                </w:tcPr>
                <w:p>
                  <w:pPr>
                    <w:widowControl/>
                    <w:jc w:val="center"/>
                    <w:textAlignment w:val="center"/>
                    <w:rPr>
                      <w:rFonts w:hint="default" w:eastAsia="宋体"/>
                      <w:color w:val="auto"/>
                      <w:szCs w:val="21"/>
                      <w:u w:val="none" w:color="auto"/>
                      <w:lang w:val="en-US" w:eastAsia="zh-CN"/>
                    </w:rPr>
                  </w:pPr>
                  <w:r>
                    <w:rPr>
                      <w:rFonts w:hint="eastAsia"/>
                      <w:color w:val="auto"/>
                      <w:szCs w:val="21"/>
                      <w:u w:val="none" w:color="auto"/>
                      <w:lang w:val="en-US" w:eastAsia="zh-CN"/>
                    </w:rPr>
                    <w:t>0.010</w:t>
                  </w:r>
                </w:p>
              </w:tc>
              <w:tc>
                <w:tcPr>
                  <w:tcW w:w="597" w:type="pc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无组织</w:t>
                  </w:r>
                </w:p>
              </w:tc>
              <w:tc>
                <w:tcPr>
                  <w:tcW w:w="1477" w:type="pct"/>
                  <w:vMerge w:val="restart"/>
                  <w:noWrap w:val="0"/>
                  <w:vAlign w:val="center"/>
                </w:tcPr>
                <w:p>
                  <w:pPr>
                    <w:pStyle w:val="205"/>
                    <w:spacing w:line="240" w:lineRule="auto"/>
                    <w:ind w:firstLine="0" w:firstLineChars="0"/>
                    <w:jc w:val="center"/>
                    <w:rPr>
                      <w:rFonts w:hint="eastAsia" w:eastAsia="宋体"/>
                      <w:color w:val="auto"/>
                      <w:sz w:val="21"/>
                      <w:szCs w:val="21"/>
                      <w:u w:val="none" w:color="auto"/>
                      <w:lang w:eastAsia="zh-CN"/>
                    </w:rPr>
                  </w:pPr>
                  <w:r>
                    <w:rPr>
                      <w:rFonts w:hint="eastAsia"/>
                      <w:color w:val="auto"/>
                      <w:sz w:val="21"/>
                      <w:szCs w:val="21"/>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30" w:type="pct"/>
                  <w:vMerge w:val="continue"/>
                  <w:noWrap w:val="0"/>
                  <w:vAlign w:val="center"/>
                </w:tcPr>
                <w:p>
                  <w:pPr>
                    <w:pStyle w:val="205"/>
                    <w:spacing w:line="240" w:lineRule="auto"/>
                    <w:ind w:firstLine="0" w:firstLineChars="0"/>
                    <w:jc w:val="center"/>
                    <w:rPr>
                      <w:color w:val="auto"/>
                      <w:sz w:val="21"/>
                      <w:szCs w:val="21"/>
                      <w:u w:val="none" w:color="auto"/>
                    </w:rPr>
                  </w:pPr>
                </w:p>
              </w:tc>
              <w:tc>
                <w:tcPr>
                  <w:tcW w:w="619" w:type="pct"/>
                  <w:vMerge w:val="continue"/>
                  <w:noWrap w:val="0"/>
                  <w:vAlign w:val="center"/>
                </w:tcPr>
                <w:p>
                  <w:pPr>
                    <w:pStyle w:val="205"/>
                    <w:spacing w:line="240" w:lineRule="auto"/>
                    <w:ind w:firstLine="0" w:firstLineChars="0"/>
                    <w:jc w:val="center"/>
                    <w:rPr>
                      <w:rFonts w:hint="eastAsia"/>
                      <w:color w:val="auto"/>
                      <w:sz w:val="21"/>
                      <w:szCs w:val="21"/>
                      <w:u w:val="none" w:color="auto"/>
                    </w:rPr>
                  </w:pPr>
                </w:p>
              </w:tc>
              <w:tc>
                <w:tcPr>
                  <w:tcW w:w="918" w:type="pct"/>
                  <w:noWrap w:val="0"/>
                  <w:vAlign w:val="center"/>
                </w:tcPr>
                <w:p>
                  <w:pPr>
                    <w:jc w:val="center"/>
                    <w:rPr>
                      <w:color w:val="auto"/>
                      <w:szCs w:val="21"/>
                      <w:u w:val="none" w:color="auto"/>
                    </w:rPr>
                  </w:pPr>
                  <w:r>
                    <w:rPr>
                      <w:rFonts w:hint="eastAsia"/>
                      <w:color w:val="auto"/>
                      <w:szCs w:val="21"/>
                      <w:u w:val="none" w:color="auto"/>
                      <w:lang w:val="en-US" w:eastAsia="zh-CN"/>
                    </w:rPr>
                    <w:t>颗粒物</w:t>
                  </w:r>
                </w:p>
              </w:tc>
              <w:tc>
                <w:tcPr>
                  <w:tcW w:w="557" w:type="pct"/>
                  <w:noWrap w:val="0"/>
                  <w:vAlign w:val="center"/>
                </w:tcPr>
                <w:p>
                  <w:pPr>
                    <w:widowControl/>
                    <w:jc w:val="center"/>
                    <w:textAlignment w:val="center"/>
                    <w:rPr>
                      <w:rFonts w:hint="default"/>
                      <w:color w:val="auto"/>
                      <w:szCs w:val="21"/>
                      <w:u w:val="none" w:color="auto"/>
                      <w:lang w:val="en-US" w:eastAsia="zh-CN"/>
                    </w:rPr>
                  </w:pPr>
                  <w:r>
                    <w:rPr>
                      <w:rFonts w:hint="eastAsia"/>
                      <w:color w:val="auto"/>
                      <w:szCs w:val="21"/>
                      <w:u w:val="none" w:color="auto"/>
                      <w:lang w:val="en-US" w:eastAsia="zh-CN"/>
                    </w:rPr>
                    <w:t>0.0067</w:t>
                  </w:r>
                </w:p>
              </w:tc>
              <w:tc>
                <w:tcPr>
                  <w:tcW w:w="597" w:type="pct"/>
                  <w:noWrap w:val="0"/>
                  <w:vAlign w:val="center"/>
                </w:tcPr>
                <w:p>
                  <w:pPr>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无组织</w:t>
                  </w:r>
                </w:p>
              </w:tc>
              <w:tc>
                <w:tcPr>
                  <w:tcW w:w="1477" w:type="pct"/>
                  <w:vMerge w:val="continue"/>
                  <w:noWrap w:val="0"/>
                  <w:vAlign w:val="center"/>
                </w:tcPr>
                <w:p>
                  <w:pPr>
                    <w:pStyle w:val="205"/>
                    <w:spacing w:line="240" w:lineRule="auto"/>
                    <w:ind w:firstLine="0" w:firstLineChars="0"/>
                    <w:jc w:val="center"/>
                    <w:rPr>
                      <w:rFonts w:hint="eastAsia"/>
                      <w:color w:val="auto"/>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30" w:type="pct"/>
                  <w:noWrap w:val="0"/>
                  <w:vAlign w:val="center"/>
                </w:tcPr>
                <w:p>
                  <w:pPr>
                    <w:pStyle w:val="205"/>
                    <w:spacing w:line="240" w:lineRule="auto"/>
                    <w:ind w:firstLine="0" w:firstLineChars="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水泥筒仓粉尘</w:t>
                  </w:r>
                </w:p>
              </w:tc>
              <w:tc>
                <w:tcPr>
                  <w:tcW w:w="619" w:type="pct"/>
                  <w:noWrap w:val="0"/>
                  <w:vAlign w:val="center"/>
                </w:tcPr>
                <w:p>
                  <w:pPr>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车间面源</w:t>
                  </w:r>
                </w:p>
              </w:tc>
              <w:tc>
                <w:tcPr>
                  <w:tcW w:w="918" w:type="pct"/>
                  <w:noWrap w:val="0"/>
                  <w:vAlign w:val="center"/>
                </w:tcPr>
                <w:p>
                  <w:pPr>
                    <w:jc w:val="center"/>
                    <w:rPr>
                      <w:rFonts w:hint="eastAsia" w:eastAsia="宋体"/>
                      <w:color w:val="auto"/>
                      <w:szCs w:val="21"/>
                      <w:u w:val="none" w:color="auto"/>
                      <w:lang w:val="en-US" w:eastAsia="zh-CN"/>
                    </w:rPr>
                  </w:pPr>
                  <w:r>
                    <w:rPr>
                      <w:rFonts w:hint="eastAsia"/>
                      <w:color w:val="auto"/>
                      <w:szCs w:val="21"/>
                      <w:u w:val="none" w:color="auto"/>
                      <w:lang w:val="en-US" w:eastAsia="zh-CN"/>
                    </w:rPr>
                    <w:t>颗粒物</w:t>
                  </w:r>
                </w:p>
              </w:tc>
              <w:tc>
                <w:tcPr>
                  <w:tcW w:w="557" w:type="pct"/>
                  <w:noWrap w:val="0"/>
                  <w:vAlign w:val="center"/>
                </w:tcPr>
                <w:p>
                  <w:pPr>
                    <w:widowControl/>
                    <w:jc w:val="center"/>
                    <w:textAlignment w:val="center"/>
                    <w:rPr>
                      <w:rFonts w:hint="default"/>
                      <w:color w:val="auto"/>
                      <w:szCs w:val="21"/>
                      <w:u w:val="none" w:color="auto"/>
                      <w:lang w:val="en-US" w:eastAsia="zh-CN"/>
                    </w:rPr>
                  </w:pPr>
                  <w:r>
                    <w:rPr>
                      <w:rFonts w:hint="eastAsia"/>
                      <w:color w:val="auto"/>
                      <w:szCs w:val="21"/>
                      <w:u w:val="none" w:color="auto"/>
                      <w:lang w:val="en-US" w:eastAsia="zh-CN"/>
                    </w:rPr>
                    <w:t>0.00098</w:t>
                  </w:r>
                </w:p>
              </w:tc>
              <w:tc>
                <w:tcPr>
                  <w:tcW w:w="597" w:type="pct"/>
                  <w:noWrap w:val="0"/>
                  <w:vAlign w:val="center"/>
                </w:tcPr>
                <w:p>
                  <w:pPr>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有组织</w:t>
                  </w:r>
                </w:p>
              </w:tc>
              <w:tc>
                <w:tcPr>
                  <w:tcW w:w="1477" w:type="pct"/>
                  <w:noWrap w:val="0"/>
                  <w:vAlign w:val="center"/>
                </w:tcPr>
                <w:p>
                  <w:pPr>
                    <w:pStyle w:val="205"/>
                    <w:spacing w:line="240" w:lineRule="auto"/>
                    <w:ind w:firstLine="0" w:firstLineChars="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脉冲式布袋除尘器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30" w:type="pct"/>
                  <w:noWrap w:val="0"/>
                  <w:vAlign w:val="center"/>
                </w:tcPr>
                <w:p>
                  <w:pPr>
                    <w:pStyle w:val="205"/>
                    <w:spacing w:line="240" w:lineRule="auto"/>
                    <w:ind w:firstLine="0" w:firstLineChars="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石粉筒仓粉尘</w:t>
                  </w:r>
                </w:p>
              </w:tc>
              <w:tc>
                <w:tcPr>
                  <w:tcW w:w="619" w:type="pct"/>
                  <w:noWrap w:val="0"/>
                  <w:vAlign w:val="center"/>
                </w:tcPr>
                <w:p>
                  <w:pPr>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车间面源</w:t>
                  </w:r>
                </w:p>
              </w:tc>
              <w:tc>
                <w:tcPr>
                  <w:tcW w:w="918" w:type="pct"/>
                  <w:noWrap w:val="0"/>
                  <w:vAlign w:val="center"/>
                </w:tcPr>
                <w:p>
                  <w:pPr>
                    <w:jc w:val="center"/>
                    <w:rPr>
                      <w:color w:val="auto"/>
                      <w:szCs w:val="21"/>
                      <w:u w:val="none" w:color="auto"/>
                    </w:rPr>
                  </w:pPr>
                  <w:r>
                    <w:rPr>
                      <w:rFonts w:hint="eastAsia"/>
                      <w:color w:val="auto"/>
                      <w:szCs w:val="21"/>
                      <w:u w:val="none" w:color="auto"/>
                      <w:lang w:val="en-US" w:eastAsia="zh-CN"/>
                    </w:rPr>
                    <w:t>颗粒物</w:t>
                  </w:r>
                </w:p>
              </w:tc>
              <w:tc>
                <w:tcPr>
                  <w:tcW w:w="557" w:type="pct"/>
                  <w:noWrap w:val="0"/>
                  <w:vAlign w:val="center"/>
                </w:tcPr>
                <w:p>
                  <w:pPr>
                    <w:widowControl/>
                    <w:jc w:val="center"/>
                    <w:textAlignment w:val="center"/>
                    <w:rPr>
                      <w:rFonts w:hint="default"/>
                      <w:color w:val="auto"/>
                      <w:szCs w:val="21"/>
                      <w:u w:val="none" w:color="auto"/>
                      <w:lang w:val="en-US" w:eastAsia="zh-CN"/>
                    </w:rPr>
                  </w:pPr>
                  <w:r>
                    <w:rPr>
                      <w:rFonts w:hint="eastAsia"/>
                      <w:color w:val="auto"/>
                      <w:szCs w:val="21"/>
                      <w:u w:val="none" w:color="auto"/>
                      <w:lang w:val="en-US" w:eastAsia="zh-CN"/>
                    </w:rPr>
                    <w:t>0.00016</w:t>
                  </w:r>
                </w:p>
              </w:tc>
              <w:tc>
                <w:tcPr>
                  <w:tcW w:w="597" w:type="pct"/>
                  <w:noWrap w:val="0"/>
                  <w:vAlign w:val="center"/>
                </w:tcPr>
                <w:p>
                  <w:pPr>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有组织</w:t>
                  </w:r>
                </w:p>
              </w:tc>
              <w:tc>
                <w:tcPr>
                  <w:tcW w:w="1477" w:type="pct"/>
                  <w:noWrap w:val="0"/>
                  <w:vAlign w:val="center"/>
                </w:tcPr>
                <w:p>
                  <w:pPr>
                    <w:pStyle w:val="205"/>
                    <w:spacing w:line="240" w:lineRule="auto"/>
                    <w:ind w:firstLine="0" w:firstLineChars="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脉冲式布袋除尘器</w:t>
                  </w:r>
                </w:p>
              </w:tc>
            </w:tr>
          </w:tbl>
          <w:p>
            <w:pPr>
              <w:pStyle w:val="206"/>
              <w:rPr>
                <w:color w:val="auto"/>
                <w:kern w:val="0"/>
                <w:szCs w:val="22"/>
                <w:u w:val="none" w:color="auto"/>
              </w:rPr>
            </w:pPr>
            <w:r>
              <w:rPr>
                <w:color w:val="auto"/>
                <w:kern w:val="0"/>
                <w:szCs w:val="22"/>
                <w:u w:val="none" w:color="auto"/>
              </w:rPr>
              <w:t>根据《环境影响评价技术导则-大气环境》（HJ2.2-2018），选择推荐模式中的</w:t>
            </w:r>
            <w:r>
              <w:rPr>
                <w:rFonts w:hint="eastAsia"/>
                <w:color w:val="auto"/>
                <w:kern w:val="0"/>
                <w:szCs w:val="22"/>
                <w:u w:val="none" w:color="auto"/>
              </w:rPr>
              <w:t>ARESCREEN筛选及评价等级模式</w:t>
            </w:r>
            <w:r>
              <w:rPr>
                <w:color w:val="auto"/>
                <w:kern w:val="0"/>
                <w:szCs w:val="22"/>
                <w:u w:val="none" w:color="auto"/>
              </w:rPr>
              <w:t>对项目的大气环境评价工作进行</w:t>
            </w:r>
            <w:r>
              <w:rPr>
                <w:rFonts w:hint="eastAsia"/>
                <w:color w:val="auto"/>
                <w:kern w:val="0"/>
                <w:szCs w:val="22"/>
                <w:u w:val="none" w:color="auto"/>
              </w:rPr>
              <w:t>评</w:t>
            </w:r>
            <w:r>
              <w:rPr>
                <w:color w:val="auto"/>
                <w:kern w:val="0"/>
                <w:szCs w:val="22"/>
                <w:u w:val="none" w:color="auto"/>
              </w:rPr>
              <w:t>级。结合项目的工程分析结果，选择正常排放的主要污染物及排放参数，计算各污染物的最大影响程度和最远影响范围，然后按评价工作分级依据进行分级。</w:t>
            </w:r>
            <w:r>
              <w:rPr>
                <w:rFonts w:hint="eastAsia"/>
                <w:color w:val="auto"/>
                <w:kern w:val="0"/>
                <w:szCs w:val="22"/>
                <w:u w:val="none" w:color="auto"/>
              </w:rPr>
              <w:t>计算参数情况如下表7-</w:t>
            </w:r>
            <w:r>
              <w:rPr>
                <w:rFonts w:hint="eastAsia"/>
                <w:color w:val="auto"/>
                <w:kern w:val="0"/>
                <w:szCs w:val="22"/>
                <w:u w:val="none" w:color="auto"/>
                <w:lang w:val="en-US" w:eastAsia="zh-CN"/>
              </w:rPr>
              <w:t>2</w:t>
            </w:r>
            <w:r>
              <w:rPr>
                <w:rFonts w:hint="eastAsia"/>
                <w:color w:val="auto"/>
                <w:kern w:val="0"/>
                <w:szCs w:val="22"/>
                <w:u w:val="none" w:color="auto"/>
              </w:rPr>
              <w:t>—7-</w:t>
            </w:r>
            <w:r>
              <w:rPr>
                <w:rFonts w:hint="eastAsia"/>
                <w:color w:val="auto"/>
                <w:kern w:val="0"/>
                <w:szCs w:val="22"/>
                <w:u w:val="none" w:color="auto"/>
                <w:lang w:val="en-US" w:eastAsia="zh-CN"/>
              </w:rPr>
              <w:t>4</w:t>
            </w:r>
            <w:r>
              <w:rPr>
                <w:rFonts w:hint="eastAsia"/>
                <w:color w:val="auto"/>
                <w:kern w:val="0"/>
                <w:szCs w:val="22"/>
                <w:u w:val="none" w:color="auto"/>
              </w:rPr>
              <w:t>所示。</w:t>
            </w:r>
          </w:p>
          <w:p>
            <w:pPr>
              <w:pStyle w:val="205"/>
              <w:ind w:firstLine="0" w:firstLineChars="0"/>
              <w:jc w:val="center"/>
              <w:rPr>
                <w:b/>
                <w:color w:val="auto"/>
                <w:u w:val="none" w:color="auto"/>
              </w:rPr>
            </w:pPr>
            <w:r>
              <w:rPr>
                <w:b/>
                <w:color w:val="auto"/>
                <w:u w:val="none" w:color="auto"/>
              </w:rPr>
              <w:t>表7-</w:t>
            </w:r>
            <w:r>
              <w:rPr>
                <w:rFonts w:hint="eastAsia"/>
                <w:b/>
                <w:color w:val="auto"/>
                <w:u w:val="none" w:color="auto"/>
                <w:lang w:val="en-US" w:eastAsia="zh-CN"/>
              </w:rPr>
              <w:t>2</w:t>
            </w:r>
            <w:r>
              <w:rPr>
                <w:rFonts w:hint="eastAsia"/>
                <w:b/>
                <w:color w:val="auto"/>
                <w:u w:val="none" w:color="auto"/>
              </w:rPr>
              <w:t>本项目评价因子和评价标准</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170"/>
              <w:gridCol w:w="1267"/>
              <w:gridCol w:w="1898"/>
              <w:gridCol w:w="4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80" w:type="pct"/>
                  <w:noWrap w:val="0"/>
                  <w:vAlign w:val="center"/>
                </w:tcPr>
                <w:p>
                  <w:pPr>
                    <w:pStyle w:val="205"/>
                    <w:spacing w:line="240" w:lineRule="auto"/>
                    <w:ind w:firstLine="0" w:firstLineChars="0"/>
                    <w:jc w:val="center"/>
                    <w:rPr>
                      <w:color w:val="auto"/>
                      <w:sz w:val="21"/>
                      <w:szCs w:val="21"/>
                      <w:u w:val="none" w:color="auto"/>
                    </w:rPr>
                  </w:pPr>
                  <w:r>
                    <w:rPr>
                      <w:color w:val="auto"/>
                      <w:sz w:val="21"/>
                      <w:szCs w:val="21"/>
                      <w:u w:val="none" w:color="auto"/>
                    </w:rPr>
                    <w:t>序号</w:t>
                  </w:r>
                </w:p>
              </w:tc>
              <w:tc>
                <w:tcPr>
                  <w:tcW w:w="645" w:type="pct"/>
                  <w:noWrap w:val="0"/>
                  <w:vAlign w:val="center"/>
                </w:tcPr>
                <w:p>
                  <w:pPr>
                    <w:pStyle w:val="205"/>
                    <w:spacing w:line="240" w:lineRule="auto"/>
                    <w:ind w:firstLine="0" w:firstLineChars="0"/>
                    <w:jc w:val="center"/>
                    <w:rPr>
                      <w:color w:val="auto"/>
                      <w:sz w:val="21"/>
                      <w:szCs w:val="21"/>
                      <w:u w:val="none" w:color="auto"/>
                    </w:rPr>
                  </w:pPr>
                  <w:r>
                    <w:rPr>
                      <w:color w:val="auto"/>
                      <w:sz w:val="21"/>
                      <w:szCs w:val="21"/>
                      <w:u w:val="none" w:color="auto"/>
                    </w:rPr>
                    <w:t>评价因子</w:t>
                  </w:r>
                </w:p>
              </w:tc>
              <w:tc>
                <w:tcPr>
                  <w:tcW w:w="699" w:type="pct"/>
                  <w:noWrap w:val="0"/>
                  <w:vAlign w:val="center"/>
                </w:tcPr>
                <w:p>
                  <w:pPr>
                    <w:pStyle w:val="205"/>
                    <w:spacing w:line="240" w:lineRule="auto"/>
                    <w:ind w:firstLine="0" w:firstLineChars="0"/>
                    <w:jc w:val="center"/>
                    <w:rPr>
                      <w:color w:val="auto"/>
                      <w:sz w:val="21"/>
                      <w:szCs w:val="21"/>
                      <w:u w:val="none" w:color="auto"/>
                    </w:rPr>
                  </w:pPr>
                  <w:r>
                    <w:rPr>
                      <w:color w:val="auto"/>
                      <w:sz w:val="21"/>
                      <w:szCs w:val="21"/>
                      <w:u w:val="none" w:color="auto"/>
                    </w:rPr>
                    <w:t>平均时段</w:t>
                  </w:r>
                </w:p>
              </w:tc>
              <w:tc>
                <w:tcPr>
                  <w:tcW w:w="1047" w:type="pct"/>
                  <w:noWrap w:val="0"/>
                  <w:vAlign w:val="center"/>
                </w:tcPr>
                <w:p>
                  <w:pPr>
                    <w:pStyle w:val="205"/>
                    <w:spacing w:line="240" w:lineRule="auto"/>
                    <w:ind w:firstLine="0" w:firstLineChars="0"/>
                    <w:jc w:val="center"/>
                    <w:rPr>
                      <w:color w:val="auto"/>
                      <w:sz w:val="21"/>
                      <w:szCs w:val="21"/>
                      <w:u w:val="none" w:color="auto"/>
                    </w:rPr>
                  </w:pPr>
                  <w:r>
                    <w:rPr>
                      <w:color w:val="auto"/>
                      <w:sz w:val="21"/>
                      <w:szCs w:val="21"/>
                      <w:u w:val="none" w:color="auto"/>
                    </w:rPr>
                    <w:t>标准值(ug/m</w:t>
                  </w:r>
                  <w:r>
                    <w:rPr>
                      <w:color w:val="auto"/>
                      <w:sz w:val="21"/>
                      <w:szCs w:val="21"/>
                      <w:u w:val="none" w:color="auto"/>
                      <w:vertAlign w:val="superscript"/>
                    </w:rPr>
                    <w:t>3</w:t>
                  </w:r>
                  <w:r>
                    <w:rPr>
                      <w:color w:val="auto"/>
                      <w:sz w:val="21"/>
                      <w:szCs w:val="21"/>
                      <w:u w:val="none" w:color="auto"/>
                    </w:rPr>
                    <w:t>)</w:t>
                  </w:r>
                </w:p>
              </w:tc>
              <w:tc>
                <w:tcPr>
                  <w:tcW w:w="2227" w:type="pct"/>
                  <w:noWrap w:val="0"/>
                  <w:vAlign w:val="center"/>
                </w:tcPr>
                <w:p>
                  <w:pPr>
                    <w:pStyle w:val="205"/>
                    <w:spacing w:line="240" w:lineRule="auto"/>
                    <w:ind w:firstLine="0" w:firstLineChars="0"/>
                    <w:jc w:val="center"/>
                    <w:rPr>
                      <w:color w:val="auto"/>
                      <w:sz w:val="21"/>
                      <w:szCs w:val="21"/>
                      <w:u w:val="none" w:color="auto"/>
                    </w:rPr>
                  </w:pPr>
                  <w:r>
                    <w:rPr>
                      <w:color w:val="auto"/>
                      <w:sz w:val="21"/>
                      <w:szCs w:val="21"/>
                      <w:u w:val="none" w:color="auto"/>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noWrap w:val="0"/>
                  <w:vAlign w:val="center"/>
                </w:tcPr>
                <w:p>
                  <w:pPr>
                    <w:pStyle w:val="205"/>
                    <w:spacing w:line="240" w:lineRule="auto"/>
                    <w:ind w:firstLine="0" w:firstLineChars="0"/>
                    <w:jc w:val="center"/>
                    <w:rPr>
                      <w:rFonts w:hint="eastAsia" w:eastAsia="宋体"/>
                      <w:color w:val="auto"/>
                      <w:sz w:val="21"/>
                      <w:szCs w:val="21"/>
                      <w:u w:val="none" w:color="auto"/>
                      <w:lang w:eastAsia="zh-CN"/>
                    </w:rPr>
                  </w:pPr>
                  <w:r>
                    <w:rPr>
                      <w:rFonts w:hint="eastAsia"/>
                      <w:color w:val="auto"/>
                      <w:sz w:val="21"/>
                      <w:szCs w:val="21"/>
                      <w:u w:val="none" w:color="auto"/>
                      <w:lang w:val="en-US" w:eastAsia="zh-CN"/>
                    </w:rPr>
                    <w:t>1</w:t>
                  </w:r>
                </w:p>
              </w:tc>
              <w:tc>
                <w:tcPr>
                  <w:tcW w:w="645" w:type="pct"/>
                  <w:noWrap w:val="0"/>
                  <w:vAlign w:val="center"/>
                </w:tcPr>
                <w:p>
                  <w:pPr>
                    <w:pStyle w:val="205"/>
                    <w:spacing w:line="240" w:lineRule="auto"/>
                    <w:ind w:firstLine="0" w:firstLineChars="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TVOC</w:t>
                  </w:r>
                </w:p>
              </w:tc>
              <w:tc>
                <w:tcPr>
                  <w:tcW w:w="699" w:type="pc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1</w:t>
                  </w:r>
                  <w:r>
                    <w:rPr>
                      <w:color w:val="auto"/>
                      <w:sz w:val="21"/>
                      <w:szCs w:val="21"/>
                      <w:u w:val="none" w:color="auto"/>
                    </w:rPr>
                    <w:t>h</w:t>
                  </w:r>
                </w:p>
              </w:tc>
              <w:tc>
                <w:tcPr>
                  <w:tcW w:w="1047" w:type="pct"/>
                  <w:noWrap w:val="0"/>
                  <w:vAlign w:val="center"/>
                </w:tcPr>
                <w:p>
                  <w:pPr>
                    <w:pStyle w:val="205"/>
                    <w:spacing w:line="240" w:lineRule="auto"/>
                    <w:ind w:firstLine="0" w:firstLineChars="0"/>
                    <w:jc w:val="center"/>
                    <w:rPr>
                      <w:color w:val="auto"/>
                      <w:sz w:val="21"/>
                      <w:szCs w:val="21"/>
                      <w:u w:val="none" w:color="auto"/>
                    </w:rPr>
                  </w:pPr>
                  <w:r>
                    <w:rPr>
                      <w:color w:val="auto"/>
                      <w:sz w:val="21"/>
                      <w:szCs w:val="21"/>
                      <w:u w:val="none" w:color="auto"/>
                    </w:rPr>
                    <w:t>1200</w:t>
                  </w:r>
                </w:p>
              </w:tc>
              <w:tc>
                <w:tcPr>
                  <w:tcW w:w="2227" w:type="pct"/>
                  <w:noWrap w:val="0"/>
                  <w:vAlign w:val="center"/>
                </w:tcPr>
                <w:p>
                  <w:pPr>
                    <w:pStyle w:val="205"/>
                    <w:spacing w:line="240" w:lineRule="auto"/>
                    <w:ind w:firstLine="0" w:firstLineChars="0"/>
                    <w:jc w:val="center"/>
                    <w:rPr>
                      <w:color w:val="auto"/>
                      <w:sz w:val="21"/>
                      <w:szCs w:val="21"/>
                      <w:u w:val="none" w:color="auto"/>
                    </w:rPr>
                  </w:pPr>
                  <w:r>
                    <w:rPr>
                      <w:rFonts w:hint="eastAsia"/>
                      <w:color w:val="auto"/>
                      <w:sz w:val="21"/>
                      <w:szCs w:val="21"/>
                      <w:u w:val="none" w:color="auto"/>
                    </w:rPr>
                    <w:t>《环境影响评价技术导则大气环境》HJ2.2-2018附录D中表D.1的TVOC8小时平均值600u</w:t>
                  </w:r>
                  <w:r>
                    <w:rPr>
                      <w:color w:val="auto"/>
                      <w:sz w:val="21"/>
                      <w:szCs w:val="21"/>
                      <w:u w:val="none" w:color="auto"/>
                    </w:rPr>
                    <w:t>g/m</w:t>
                  </w:r>
                  <w:r>
                    <w:rPr>
                      <w:color w:val="auto"/>
                      <w:sz w:val="21"/>
                      <w:szCs w:val="21"/>
                      <w:u w:val="none" w:color="auto"/>
                      <w:vertAlign w:val="superscript"/>
                    </w:rPr>
                    <w:t>3</w:t>
                  </w:r>
                  <w:r>
                    <w:rPr>
                      <w:color w:val="auto"/>
                      <w:sz w:val="21"/>
                      <w:szCs w:val="21"/>
                      <w:u w:val="none" w:color="auto"/>
                    </w:rPr>
                    <w:t>的2倍值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noWrap w:val="0"/>
                  <w:vAlign w:val="center"/>
                </w:tcPr>
                <w:p>
                  <w:pPr>
                    <w:pStyle w:val="205"/>
                    <w:spacing w:line="240" w:lineRule="auto"/>
                    <w:ind w:firstLine="0" w:firstLineChars="0"/>
                    <w:jc w:val="center"/>
                    <w:rPr>
                      <w:rFonts w:hint="default"/>
                      <w:color w:val="auto"/>
                      <w:sz w:val="21"/>
                      <w:szCs w:val="21"/>
                      <w:u w:val="none" w:color="auto"/>
                      <w:lang w:val="en-US" w:eastAsia="zh-CN"/>
                    </w:rPr>
                  </w:pPr>
                  <w:r>
                    <w:rPr>
                      <w:rFonts w:hint="eastAsia"/>
                      <w:color w:val="auto"/>
                      <w:sz w:val="21"/>
                      <w:szCs w:val="21"/>
                      <w:u w:val="none" w:color="auto"/>
                      <w:lang w:val="en-US" w:eastAsia="zh-CN"/>
                    </w:rPr>
                    <w:t>2</w:t>
                  </w:r>
                </w:p>
              </w:tc>
              <w:tc>
                <w:tcPr>
                  <w:tcW w:w="645" w:type="pct"/>
                  <w:noWrap w:val="0"/>
                  <w:vAlign w:val="center"/>
                </w:tcPr>
                <w:p>
                  <w:pPr>
                    <w:pStyle w:val="205"/>
                    <w:spacing w:line="240" w:lineRule="auto"/>
                    <w:ind w:firstLine="0" w:firstLineChars="0"/>
                    <w:jc w:val="center"/>
                    <w:rPr>
                      <w:rFonts w:hint="default"/>
                      <w:color w:val="auto"/>
                      <w:sz w:val="21"/>
                      <w:szCs w:val="21"/>
                      <w:u w:val="none" w:color="auto"/>
                      <w:lang w:val="en-US" w:eastAsia="zh-CN"/>
                    </w:rPr>
                  </w:pPr>
                  <w:r>
                    <w:rPr>
                      <w:rFonts w:hint="eastAsia"/>
                      <w:color w:val="auto"/>
                      <w:sz w:val="21"/>
                      <w:szCs w:val="21"/>
                      <w:u w:val="none" w:color="auto"/>
                      <w:lang w:val="en-US" w:eastAsia="zh-CN"/>
                    </w:rPr>
                    <w:t>颗粒物</w:t>
                  </w:r>
                </w:p>
              </w:tc>
              <w:tc>
                <w:tcPr>
                  <w:tcW w:w="699" w:type="pct"/>
                  <w:noWrap w:val="0"/>
                  <w:vAlign w:val="center"/>
                </w:tcPr>
                <w:p>
                  <w:pPr>
                    <w:pStyle w:val="205"/>
                    <w:spacing w:line="240" w:lineRule="auto"/>
                    <w:ind w:firstLine="0" w:firstLineChars="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1h</w:t>
                  </w:r>
                </w:p>
              </w:tc>
              <w:tc>
                <w:tcPr>
                  <w:tcW w:w="1047" w:type="pct"/>
                  <w:noWrap w:val="0"/>
                  <w:vAlign w:val="center"/>
                </w:tcPr>
                <w:p>
                  <w:pPr>
                    <w:pStyle w:val="205"/>
                    <w:spacing w:line="240" w:lineRule="auto"/>
                    <w:ind w:firstLine="0" w:firstLineChars="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900</w:t>
                  </w:r>
                </w:p>
              </w:tc>
              <w:tc>
                <w:tcPr>
                  <w:tcW w:w="2227" w:type="pct"/>
                  <w:noWrap w:val="0"/>
                  <w:vAlign w:val="center"/>
                </w:tcPr>
                <w:p>
                  <w:pPr>
                    <w:pStyle w:val="205"/>
                    <w:spacing w:line="240" w:lineRule="auto"/>
                    <w:ind w:firstLine="0" w:firstLineChars="0"/>
                    <w:jc w:val="center"/>
                    <w:rPr>
                      <w:rFonts w:hint="eastAsia"/>
                      <w:color w:val="auto"/>
                      <w:sz w:val="21"/>
                      <w:szCs w:val="21"/>
                      <w:u w:val="none" w:color="auto"/>
                    </w:rPr>
                  </w:pPr>
                  <w:r>
                    <w:rPr>
                      <w:rFonts w:hint="default" w:ascii="Times New Roman" w:hAnsi="Times New Roman" w:cs="Times New Roman"/>
                      <w:color w:val="auto"/>
                      <w:u w:val="none" w:color="auto"/>
                    </w:rPr>
                    <w:t>《环境空气质量标准》(GB3095-2012)二级标准中24小时平均值为300μg/m</w:t>
                  </w:r>
                  <w:r>
                    <w:rPr>
                      <w:rFonts w:hint="default" w:ascii="Times New Roman" w:hAnsi="Times New Roman" w:cs="Times New Roman"/>
                      <w:color w:val="auto"/>
                      <w:u w:val="none" w:color="auto"/>
                      <w:vertAlign w:val="superscript"/>
                    </w:rPr>
                    <w:t>3</w:t>
                  </w:r>
                </w:p>
              </w:tc>
            </w:tr>
          </w:tbl>
          <w:p>
            <w:pPr>
              <w:pStyle w:val="202"/>
              <w:spacing w:line="360" w:lineRule="auto"/>
              <w:ind w:firstLine="422"/>
              <w:rPr>
                <w:b w:val="0"/>
                <w:bCs/>
                <w:color w:val="auto"/>
                <w:u w:val="none" w:color="auto"/>
              </w:rPr>
            </w:pPr>
            <w:r>
              <w:rPr>
                <w:rFonts w:hint="default" w:ascii="Times New Roman" w:hAnsi="Times New Roman" w:cs="Times New Roman"/>
                <w:b w:val="0"/>
                <w:bCs/>
                <w:color w:val="auto"/>
                <w:u w:val="none" w:color="auto"/>
              </w:rPr>
              <w:t>注：颗粒物参照《环境空气质量标准》(GB3095-2012)二级标准中24小时平均值为300μg/m</w:t>
            </w:r>
            <w:r>
              <w:rPr>
                <w:rFonts w:hint="default" w:ascii="Times New Roman" w:hAnsi="Times New Roman" w:cs="Times New Roman"/>
                <w:b w:val="0"/>
                <w:bCs/>
                <w:color w:val="auto"/>
                <w:u w:val="none" w:color="auto"/>
                <w:vertAlign w:val="superscript"/>
              </w:rPr>
              <w:t>3</w:t>
            </w:r>
            <w:r>
              <w:rPr>
                <w:rFonts w:hint="default" w:ascii="Times New Roman" w:hAnsi="Times New Roman" w:cs="Times New Roman"/>
                <w:b w:val="0"/>
                <w:bCs/>
                <w:color w:val="auto"/>
                <w:u w:val="none" w:color="auto"/>
              </w:rPr>
              <w:t>，折算为1h平均质量浓度限值为900μg/m</w:t>
            </w:r>
            <w:r>
              <w:rPr>
                <w:rFonts w:hint="default" w:ascii="Times New Roman" w:hAnsi="Times New Roman" w:cs="Times New Roman"/>
                <w:b w:val="0"/>
                <w:bCs/>
                <w:color w:val="auto"/>
                <w:u w:val="none" w:color="auto"/>
                <w:vertAlign w:val="superscript"/>
              </w:rPr>
              <w:t>3</w:t>
            </w:r>
            <w:r>
              <w:rPr>
                <w:rFonts w:hint="default" w:ascii="Times New Roman" w:hAnsi="Times New Roman" w:cs="Times New Roman"/>
                <w:b w:val="0"/>
                <w:bCs/>
                <w:color w:val="auto"/>
                <w:u w:val="none" w:color="auto"/>
              </w:rPr>
              <w:t>。VOCs参考《环境影响评价技术导则 大气环境》（HJ2.2－2018）表D.1其它污染物空气质量浓度参考限值中8小时均值为600μg/m</w:t>
            </w:r>
            <w:r>
              <w:rPr>
                <w:rFonts w:hint="default" w:ascii="Times New Roman" w:hAnsi="Times New Roman" w:cs="Times New Roman"/>
                <w:b w:val="0"/>
                <w:bCs/>
                <w:color w:val="auto"/>
                <w:u w:val="none" w:color="auto"/>
                <w:vertAlign w:val="superscript"/>
              </w:rPr>
              <w:t>3</w:t>
            </w:r>
            <w:r>
              <w:rPr>
                <w:rFonts w:hint="default" w:ascii="Times New Roman" w:hAnsi="Times New Roman" w:cs="Times New Roman"/>
                <w:b w:val="0"/>
                <w:bCs/>
                <w:color w:val="auto"/>
                <w:u w:val="none" w:color="auto"/>
              </w:rPr>
              <w:t>，折算为1h平均质量浓度限值为1200μg/m</w:t>
            </w:r>
            <w:r>
              <w:rPr>
                <w:rFonts w:hint="default" w:ascii="Times New Roman" w:hAnsi="Times New Roman" w:cs="Times New Roman"/>
                <w:b w:val="0"/>
                <w:bCs/>
                <w:color w:val="auto"/>
                <w:u w:val="none" w:color="auto"/>
                <w:vertAlign w:val="superscript"/>
              </w:rPr>
              <w:t>3</w:t>
            </w:r>
            <w:r>
              <w:rPr>
                <w:rFonts w:hint="default" w:ascii="Times New Roman" w:hAnsi="Times New Roman" w:cs="Times New Roman"/>
                <w:b w:val="0"/>
                <w:bCs/>
                <w:color w:val="auto"/>
                <w:u w:val="none" w:color="auto"/>
              </w:rPr>
              <w:t>。</w:t>
            </w:r>
          </w:p>
          <w:p>
            <w:pPr>
              <w:pStyle w:val="205"/>
              <w:ind w:firstLine="0" w:firstLineChars="0"/>
              <w:jc w:val="center"/>
              <w:rPr>
                <w:b/>
                <w:color w:val="auto"/>
                <w:u w:val="none" w:color="auto"/>
              </w:rPr>
            </w:pPr>
            <w:r>
              <w:rPr>
                <w:b/>
                <w:color w:val="auto"/>
                <w:u w:val="none" w:color="auto"/>
              </w:rPr>
              <w:t>表7-</w:t>
            </w:r>
            <w:r>
              <w:rPr>
                <w:rFonts w:hint="eastAsia"/>
                <w:b/>
                <w:color w:val="auto"/>
                <w:u w:val="none" w:color="auto"/>
                <w:lang w:val="en-US" w:eastAsia="zh-CN"/>
              </w:rPr>
              <w:t>3</w:t>
            </w:r>
            <w:r>
              <w:rPr>
                <w:rFonts w:hint="eastAsia"/>
                <w:b/>
                <w:color w:val="auto"/>
                <w:u w:val="none" w:color="auto"/>
              </w:rPr>
              <w:t>本项目点源污染源参数表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538"/>
              <w:gridCol w:w="1214"/>
              <w:gridCol w:w="1109"/>
              <w:gridCol w:w="684"/>
              <w:gridCol w:w="940"/>
              <w:gridCol w:w="752"/>
              <w:gridCol w:w="636"/>
              <w:gridCol w:w="459"/>
              <w:gridCol w:w="736"/>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28"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rFonts w:hint="eastAsia"/>
                      <w:color w:val="auto"/>
                      <w:kern w:val="0"/>
                      <w:sz w:val="21"/>
                      <w:u w:val="none" w:color="auto"/>
                    </w:rPr>
                    <w:t>名称</w:t>
                  </w:r>
                </w:p>
              </w:tc>
              <w:tc>
                <w:tcPr>
                  <w:tcW w:w="321"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rFonts w:hint="eastAsia"/>
                      <w:color w:val="auto"/>
                      <w:kern w:val="0"/>
                      <w:sz w:val="21"/>
                      <w:u w:val="none" w:color="auto"/>
                    </w:rPr>
                    <w:t>排气筒高度/m</w:t>
                  </w:r>
                </w:p>
              </w:tc>
              <w:tc>
                <w:tcPr>
                  <w:tcW w:w="1277" w:type="pct"/>
                  <w:gridSpan w:val="2"/>
                  <w:vMerge w:val="restar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排气筒底部中心坐标/m</w:t>
                  </w:r>
                </w:p>
              </w:tc>
              <w:tc>
                <w:tcPr>
                  <w:tcW w:w="401"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color w:val="auto"/>
                      <w:kern w:val="0"/>
                      <w:sz w:val="21"/>
                      <w:u w:val="none" w:color="auto"/>
                    </w:rPr>
                    <w:t>排气筒出口内径</w:t>
                  </w:r>
                  <w:r>
                    <w:rPr>
                      <w:rFonts w:hint="eastAsia"/>
                      <w:color w:val="auto"/>
                      <w:kern w:val="0"/>
                      <w:sz w:val="21"/>
                      <w:u w:val="none" w:color="auto"/>
                    </w:rPr>
                    <w:t>/m</w:t>
                  </w:r>
                </w:p>
              </w:tc>
              <w:tc>
                <w:tcPr>
                  <w:tcW w:w="437"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rFonts w:hint="eastAsia"/>
                      <w:color w:val="auto"/>
                      <w:kern w:val="0"/>
                      <w:sz w:val="21"/>
                      <w:u w:val="none" w:color="auto"/>
                    </w:rPr>
                    <w:t>烟气流速/（m/s）</w:t>
                  </w:r>
                </w:p>
              </w:tc>
              <w:tc>
                <w:tcPr>
                  <w:tcW w:w="438"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color w:val="auto"/>
                      <w:kern w:val="0"/>
                      <w:sz w:val="21"/>
                      <w:u w:val="none" w:color="auto"/>
                    </w:rPr>
                    <w:t>烟气温度</w:t>
                  </w:r>
                  <w:r>
                    <w:rPr>
                      <w:rFonts w:hint="eastAsia"/>
                      <w:color w:val="auto"/>
                      <w:kern w:val="0"/>
                      <w:sz w:val="21"/>
                      <w:u w:val="none" w:color="auto"/>
                    </w:rPr>
                    <w:t>/℃</w:t>
                  </w:r>
                </w:p>
              </w:tc>
              <w:tc>
                <w:tcPr>
                  <w:tcW w:w="358"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color w:val="auto"/>
                      <w:kern w:val="0"/>
                      <w:sz w:val="21"/>
                      <w:u w:val="none" w:color="auto"/>
                    </w:rPr>
                    <w:t>年排放小时</w:t>
                  </w:r>
                  <w:r>
                    <w:rPr>
                      <w:rFonts w:hint="eastAsia"/>
                      <w:color w:val="auto"/>
                      <w:kern w:val="0"/>
                      <w:sz w:val="21"/>
                      <w:u w:val="none" w:color="auto"/>
                    </w:rPr>
                    <w:t>/h</w:t>
                  </w:r>
                </w:p>
              </w:tc>
              <w:tc>
                <w:tcPr>
                  <w:tcW w:w="293"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color w:val="auto"/>
                      <w:kern w:val="0"/>
                      <w:sz w:val="21"/>
                      <w:u w:val="none" w:color="auto"/>
                    </w:rPr>
                    <w:t>排放工况</w:t>
                  </w:r>
                </w:p>
              </w:tc>
              <w:tc>
                <w:tcPr>
                  <w:tcW w:w="842" w:type="pct"/>
                  <w:gridSpan w:val="2"/>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color w:val="auto"/>
                      <w:kern w:val="0"/>
                      <w:sz w:val="21"/>
                      <w:u w:val="none" w:color="auto"/>
                    </w:rPr>
                    <w:t>污染物排放速率</w:t>
                  </w:r>
                  <w:r>
                    <w:rPr>
                      <w:rFonts w:hint="eastAsia"/>
                      <w:color w:val="auto"/>
                      <w:kern w:val="0"/>
                      <w:sz w:val="21"/>
                      <w:u w:val="none" w:color="auto"/>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8"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321"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1277" w:type="pct"/>
                  <w:gridSpan w:val="2"/>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01"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37"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38"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358"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293"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04" w:type="pct"/>
                  <w:vMerge w:val="restar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VOC</w:t>
                  </w:r>
                  <w:r>
                    <w:rPr>
                      <w:rFonts w:hint="eastAsia"/>
                      <w:color w:val="auto"/>
                      <w:kern w:val="0"/>
                      <w:sz w:val="21"/>
                      <w:u w:val="none" w:color="auto"/>
                      <w:vertAlign w:val="subscript"/>
                      <w:lang w:val="en-US" w:eastAsia="zh-CN"/>
                    </w:rPr>
                    <w:t>S</w:t>
                  </w:r>
                </w:p>
              </w:tc>
              <w:tc>
                <w:tcPr>
                  <w:tcW w:w="437" w:type="pct"/>
                  <w:vMerge w:val="restar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28"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321"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667" w:type="pct"/>
                  <w:tcBorders>
                    <w:tl2br w:val="nil"/>
                    <w:tr2bl w:val="nil"/>
                  </w:tcBorders>
                  <w:noWrap w:val="0"/>
                  <w:vAlign w:val="center"/>
                </w:tcPr>
                <w:p>
                  <w:pPr>
                    <w:pStyle w:val="206"/>
                    <w:spacing w:line="240" w:lineRule="auto"/>
                    <w:ind w:firstLine="0" w:firstLineChars="0"/>
                    <w:jc w:val="center"/>
                    <w:rPr>
                      <w:rFonts w:hint="eastAsia" w:eastAsia="宋体"/>
                      <w:color w:val="auto"/>
                      <w:kern w:val="0"/>
                      <w:sz w:val="21"/>
                      <w:u w:val="none" w:color="auto"/>
                      <w:lang w:val="en-US" w:eastAsia="zh-CN"/>
                    </w:rPr>
                  </w:pPr>
                  <w:r>
                    <w:rPr>
                      <w:rFonts w:hint="eastAsia"/>
                      <w:color w:val="auto"/>
                      <w:kern w:val="0"/>
                      <w:sz w:val="21"/>
                      <w:u w:val="none" w:color="auto"/>
                      <w:lang w:val="en-US" w:eastAsia="zh-CN"/>
                    </w:rPr>
                    <w:t>X</w:t>
                  </w:r>
                </w:p>
              </w:tc>
              <w:tc>
                <w:tcPr>
                  <w:tcW w:w="610" w:type="pct"/>
                  <w:tcBorders>
                    <w:tl2br w:val="nil"/>
                    <w:tr2bl w:val="nil"/>
                  </w:tcBorders>
                  <w:noWrap w:val="0"/>
                  <w:vAlign w:val="center"/>
                </w:tcPr>
                <w:p>
                  <w:pPr>
                    <w:pStyle w:val="206"/>
                    <w:spacing w:line="240" w:lineRule="auto"/>
                    <w:ind w:firstLine="0" w:firstLineChars="0"/>
                    <w:jc w:val="center"/>
                    <w:rPr>
                      <w:rFonts w:hint="eastAsia" w:eastAsia="宋体"/>
                      <w:color w:val="auto"/>
                      <w:kern w:val="0"/>
                      <w:sz w:val="21"/>
                      <w:u w:val="none" w:color="auto"/>
                      <w:lang w:val="en-US" w:eastAsia="zh-CN"/>
                    </w:rPr>
                  </w:pPr>
                  <w:r>
                    <w:rPr>
                      <w:rFonts w:hint="eastAsia"/>
                      <w:color w:val="auto"/>
                      <w:kern w:val="0"/>
                      <w:sz w:val="21"/>
                      <w:u w:val="none" w:color="auto"/>
                      <w:lang w:val="en-US" w:eastAsia="zh-CN"/>
                    </w:rPr>
                    <w:t>Y</w:t>
                  </w:r>
                </w:p>
              </w:tc>
              <w:tc>
                <w:tcPr>
                  <w:tcW w:w="401"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37"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38"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358"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293"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04"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37"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28"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sz w:val="22"/>
                      <w:szCs w:val="22"/>
                      <w:u w:val="none" w:color="auto"/>
                      <w:lang w:val="en-US" w:eastAsia="zh-CN"/>
                    </w:rPr>
                    <w:t>喷漆烘干废气排气筒</w:t>
                  </w:r>
                </w:p>
              </w:tc>
              <w:tc>
                <w:tcPr>
                  <w:tcW w:w="321"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eastAsia="宋体"/>
                      <w:color w:val="auto"/>
                      <w:kern w:val="0"/>
                      <w:sz w:val="21"/>
                      <w:u w:val="none" w:color="auto"/>
                      <w:lang w:val="en-US" w:eastAsia="zh-CN"/>
                    </w:rPr>
                    <w:t>15</w:t>
                  </w:r>
                </w:p>
              </w:tc>
              <w:tc>
                <w:tcPr>
                  <w:tcW w:w="667" w:type="pct"/>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r>
                    <w:rPr>
                      <w:rFonts w:hint="eastAsia"/>
                      <w:color w:val="auto"/>
                      <w:kern w:val="0"/>
                      <w:sz w:val="21"/>
                      <w:u w:val="none" w:color="auto"/>
                    </w:rPr>
                    <w:t>112.875332</w:t>
                  </w:r>
                </w:p>
              </w:tc>
              <w:tc>
                <w:tcPr>
                  <w:tcW w:w="610" w:type="pct"/>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r>
                    <w:rPr>
                      <w:rFonts w:hint="eastAsia"/>
                      <w:color w:val="auto"/>
                      <w:kern w:val="0"/>
                      <w:sz w:val="21"/>
                      <w:u w:val="none" w:color="auto"/>
                    </w:rPr>
                    <w:t>28.766996</w:t>
                  </w:r>
                </w:p>
              </w:tc>
              <w:tc>
                <w:tcPr>
                  <w:tcW w:w="401"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0.3</w:t>
                  </w:r>
                </w:p>
              </w:tc>
              <w:tc>
                <w:tcPr>
                  <w:tcW w:w="437"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11.74</w:t>
                  </w:r>
                </w:p>
              </w:tc>
              <w:tc>
                <w:tcPr>
                  <w:tcW w:w="438" w:type="pct"/>
                  <w:tcBorders>
                    <w:tl2br w:val="nil"/>
                    <w:tr2bl w:val="nil"/>
                  </w:tcBorders>
                  <w:noWrap w:val="0"/>
                  <w:vAlign w:val="center"/>
                </w:tcPr>
                <w:p>
                  <w:pPr>
                    <w:pStyle w:val="206"/>
                    <w:spacing w:line="240" w:lineRule="auto"/>
                    <w:ind w:firstLine="0" w:firstLineChars="0"/>
                    <w:jc w:val="center"/>
                    <w:rPr>
                      <w:rFonts w:hint="eastAsia" w:eastAsia="宋体"/>
                      <w:color w:val="auto"/>
                      <w:kern w:val="0"/>
                      <w:sz w:val="21"/>
                      <w:u w:val="none" w:color="auto"/>
                      <w:lang w:eastAsia="zh-CN"/>
                    </w:rPr>
                  </w:pPr>
                  <w:r>
                    <w:rPr>
                      <w:rFonts w:hint="eastAsia"/>
                      <w:color w:val="auto"/>
                      <w:kern w:val="0"/>
                      <w:sz w:val="21"/>
                      <w:u w:val="none" w:color="auto"/>
                    </w:rPr>
                    <w:t>2</w:t>
                  </w:r>
                  <w:r>
                    <w:rPr>
                      <w:rFonts w:hint="eastAsia"/>
                      <w:color w:val="auto"/>
                      <w:kern w:val="0"/>
                      <w:sz w:val="21"/>
                      <w:u w:val="none" w:color="auto"/>
                      <w:lang w:val="en-US" w:eastAsia="zh-CN"/>
                    </w:rPr>
                    <w:t>5</w:t>
                  </w:r>
                </w:p>
              </w:tc>
              <w:tc>
                <w:tcPr>
                  <w:tcW w:w="358"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rPr>
                  </w:pPr>
                  <w:r>
                    <w:rPr>
                      <w:rFonts w:hint="eastAsia"/>
                      <w:color w:val="auto"/>
                      <w:kern w:val="0"/>
                      <w:sz w:val="21"/>
                      <w:u w:val="none" w:color="auto"/>
                      <w:lang w:val="en-US" w:eastAsia="zh-CN"/>
                    </w:rPr>
                    <w:t>1500</w:t>
                  </w:r>
                </w:p>
              </w:tc>
              <w:tc>
                <w:tcPr>
                  <w:tcW w:w="501" w:type="dxa"/>
                  <w:tcBorders>
                    <w:tl2br w:val="nil"/>
                    <w:tr2bl w:val="nil"/>
                  </w:tcBorders>
                  <w:noWrap w:val="0"/>
                  <w:vAlign w:val="center"/>
                </w:tcPr>
                <w:p>
                  <w:pPr>
                    <w:spacing w:line="240" w:lineRule="auto"/>
                    <w:ind w:firstLine="0" w:firstLineChars="0"/>
                    <w:jc w:val="center"/>
                    <w:rPr>
                      <w:color w:val="auto"/>
                      <w:kern w:val="0"/>
                      <w:sz w:val="21"/>
                      <w:u w:val="none" w:color="auto"/>
                    </w:rPr>
                  </w:pPr>
                  <w:r>
                    <w:rPr>
                      <w:color w:val="auto"/>
                      <w:kern w:val="0"/>
                      <w:sz w:val="21"/>
                      <w:u w:val="none" w:color="auto"/>
                    </w:rPr>
                    <w:t>正常</w:t>
                  </w:r>
                </w:p>
              </w:tc>
              <w:tc>
                <w:tcPr>
                  <w:tcW w:w="404"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0.018</w:t>
                  </w:r>
                </w:p>
              </w:tc>
              <w:tc>
                <w:tcPr>
                  <w:tcW w:w="437"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16" w:type="dxa"/>
                  <w:tcBorders>
                    <w:tl2br w:val="nil"/>
                    <w:tr2bl w:val="nil"/>
                  </w:tcBorders>
                  <w:noWrap w:val="0"/>
                  <w:vAlign w:val="center"/>
                </w:tcPr>
                <w:p>
                  <w:pPr>
                    <w:pStyle w:val="205"/>
                    <w:spacing w:line="240" w:lineRule="auto"/>
                    <w:ind w:firstLine="0" w:firstLineChars="0"/>
                    <w:jc w:val="center"/>
                    <w:rPr>
                      <w:rFonts w:hint="eastAsia"/>
                      <w:color w:val="auto"/>
                      <w:sz w:val="22"/>
                      <w:szCs w:val="22"/>
                      <w:u w:val="none" w:color="auto"/>
                      <w:lang w:val="en-US" w:eastAsia="zh-CN"/>
                    </w:rPr>
                  </w:pPr>
                  <w:r>
                    <w:rPr>
                      <w:rFonts w:hint="eastAsia"/>
                      <w:color w:val="auto"/>
                      <w:sz w:val="21"/>
                      <w:szCs w:val="21"/>
                      <w:u w:val="none" w:color="auto"/>
                      <w:lang w:val="en-US" w:eastAsia="zh-CN"/>
                    </w:rPr>
                    <w:t>水泥筒仓粉尘</w:t>
                  </w:r>
                </w:p>
              </w:tc>
              <w:tc>
                <w:tcPr>
                  <w:tcW w:w="321"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10</w:t>
                  </w:r>
                </w:p>
              </w:tc>
              <w:tc>
                <w:tcPr>
                  <w:tcW w:w="1214" w:type="dxa"/>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r>
                    <w:rPr>
                      <w:rFonts w:hint="eastAsia"/>
                      <w:color w:val="auto"/>
                      <w:kern w:val="0"/>
                      <w:sz w:val="21"/>
                      <w:u w:val="none" w:color="auto"/>
                    </w:rPr>
                    <w:t>112.875360</w:t>
                  </w:r>
                </w:p>
              </w:tc>
              <w:tc>
                <w:tcPr>
                  <w:tcW w:w="1109" w:type="dxa"/>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r>
                    <w:rPr>
                      <w:rFonts w:hint="eastAsia"/>
                      <w:color w:val="auto"/>
                      <w:kern w:val="0"/>
                      <w:sz w:val="21"/>
                      <w:u w:val="none" w:color="auto"/>
                    </w:rPr>
                    <w:t>28.767264</w:t>
                  </w:r>
                </w:p>
              </w:tc>
              <w:tc>
                <w:tcPr>
                  <w:tcW w:w="401"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w:t>
                  </w:r>
                </w:p>
              </w:tc>
              <w:tc>
                <w:tcPr>
                  <w:tcW w:w="437"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w:t>
                  </w:r>
                </w:p>
              </w:tc>
              <w:tc>
                <w:tcPr>
                  <w:tcW w:w="438" w:type="pct"/>
                  <w:tcBorders>
                    <w:tl2br w:val="nil"/>
                    <w:tr2bl w:val="nil"/>
                  </w:tcBorders>
                  <w:noWrap w:val="0"/>
                  <w:vAlign w:val="center"/>
                </w:tcPr>
                <w:p>
                  <w:pPr>
                    <w:pStyle w:val="206"/>
                    <w:spacing w:line="240" w:lineRule="auto"/>
                    <w:ind w:firstLine="0" w:firstLineChars="0"/>
                    <w:jc w:val="center"/>
                    <w:rPr>
                      <w:rFonts w:hint="eastAsia" w:eastAsia="宋体"/>
                      <w:color w:val="auto"/>
                      <w:kern w:val="0"/>
                      <w:sz w:val="21"/>
                      <w:u w:val="none" w:color="auto"/>
                      <w:lang w:val="en-US" w:eastAsia="zh-CN"/>
                    </w:rPr>
                  </w:pPr>
                  <w:r>
                    <w:rPr>
                      <w:rFonts w:hint="eastAsia"/>
                      <w:color w:val="auto"/>
                      <w:kern w:val="0"/>
                      <w:sz w:val="21"/>
                      <w:u w:val="none" w:color="auto"/>
                      <w:lang w:val="en-US" w:eastAsia="zh-CN"/>
                    </w:rPr>
                    <w:t>/</w:t>
                  </w:r>
                </w:p>
              </w:tc>
              <w:tc>
                <w:tcPr>
                  <w:tcW w:w="358"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1200</w:t>
                  </w:r>
                </w:p>
              </w:tc>
              <w:tc>
                <w:tcPr>
                  <w:tcW w:w="501" w:type="dxa"/>
                  <w:tcBorders>
                    <w:tl2br w:val="nil"/>
                    <w:tr2bl w:val="nil"/>
                  </w:tcBorders>
                  <w:noWrap w:val="0"/>
                  <w:vAlign w:val="center"/>
                </w:tcPr>
                <w:p>
                  <w:pPr>
                    <w:spacing w:line="240" w:lineRule="auto"/>
                    <w:ind w:firstLine="0" w:firstLineChars="0"/>
                    <w:jc w:val="center"/>
                    <w:rPr>
                      <w:color w:val="auto"/>
                      <w:kern w:val="0"/>
                      <w:sz w:val="21"/>
                      <w:u w:val="none" w:color="auto"/>
                    </w:rPr>
                  </w:pPr>
                  <w:r>
                    <w:rPr>
                      <w:color w:val="auto"/>
                      <w:kern w:val="0"/>
                      <w:sz w:val="21"/>
                      <w:u w:val="none" w:color="auto"/>
                    </w:rPr>
                    <w:t>正常</w:t>
                  </w:r>
                </w:p>
              </w:tc>
              <w:tc>
                <w:tcPr>
                  <w:tcW w:w="404"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w:t>
                  </w:r>
                </w:p>
              </w:tc>
              <w:tc>
                <w:tcPr>
                  <w:tcW w:w="773" w:type="dxa"/>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lang w:val="en-US" w:eastAsia="zh-CN"/>
                    </w:rPr>
                  </w:pPr>
                  <w:r>
                    <w:rPr>
                      <w:rFonts w:hint="eastAsia"/>
                      <w:color w:val="auto"/>
                      <w:kern w:val="0"/>
                      <w:sz w:val="21"/>
                      <w:u w:val="none" w:color="auto"/>
                      <w:lang w:val="en-US" w:eastAsia="zh-CN"/>
                    </w:rPr>
                    <w:t>0.00098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16" w:type="dxa"/>
                  <w:tcBorders>
                    <w:tl2br w:val="nil"/>
                    <w:tr2bl w:val="nil"/>
                  </w:tcBorders>
                  <w:noWrap w:val="0"/>
                  <w:vAlign w:val="center"/>
                </w:tcPr>
                <w:p>
                  <w:pPr>
                    <w:pStyle w:val="205"/>
                    <w:spacing w:line="240" w:lineRule="auto"/>
                    <w:ind w:firstLine="0" w:firstLineChars="0"/>
                    <w:jc w:val="center"/>
                    <w:rPr>
                      <w:rFonts w:hint="eastAsia"/>
                      <w:color w:val="auto"/>
                      <w:sz w:val="22"/>
                      <w:szCs w:val="22"/>
                      <w:u w:val="none" w:color="auto"/>
                      <w:lang w:val="en-US" w:eastAsia="zh-CN"/>
                    </w:rPr>
                  </w:pPr>
                  <w:r>
                    <w:rPr>
                      <w:rFonts w:hint="eastAsia"/>
                      <w:color w:val="auto"/>
                      <w:sz w:val="21"/>
                      <w:szCs w:val="21"/>
                      <w:u w:val="none" w:color="auto"/>
                      <w:lang w:val="en-US" w:eastAsia="zh-CN"/>
                    </w:rPr>
                    <w:t>石粉筒仓粉尘</w:t>
                  </w:r>
                </w:p>
              </w:tc>
              <w:tc>
                <w:tcPr>
                  <w:tcW w:w="321"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10</w:t>
                  </w:r>
                </w:p>
              </w:tc>
              <w:tc>
                <w:tcPr>
                  <w:tcW w:w="1214" w:type="dxa"/>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r>
                    <w:rPr>
                      <w:rFonts w:hint="eastAsia"/>
                      <w:color w:val="auto"/>
                      <w:kern w:val="0"/>
                      <w:sz w:val="21"/>
                      <w:u w:val="none" w:color="auto"/>
                    </w:rPr>
                    <w:t>112.875464</w:t>
                  </w:r>
                </w:p>
              </w:tc>
              <w:tc>
                <w:tcPr>
                  <w:tcW w:w="1109" w:type="dxa"/>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r>
                    <w:rPr>
                      <w:rFonts w:hint="eastAsia"/>
                      <w:color w:val="auto"/>
                      <w:kern w:val="0"/>
                      <w:sz w:val="21"/>
                      <w:u w:val="none" w:color="auto"/>
                    </w:rPr>
                    <w:t>28.767219</w:t>
                  </w:r>
                </w:p>
              </w:tc>
              <w:tc>
                <w:tcPr>
                  <w:tcW w:w="401"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w:t>
                  </w:r>
                </w:p>
              </w:tc>
              <w:tc>
                <w:tcPr>
                  <w:tcW w:w="437"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w:t>
                  </w:r>
                </w:p>
              </w:tc>
              <w:tc>
                <w:tcPr>
                  <w:tcW w:w="438" w:type="pct"/>
                  <w:tcBorders>
                    <w:tl2br w:val="nil"/>
                    <w:tr2bl w:val="nil"/>
                  </w:tcBorders>
                  <w:noWrap w:val="0"/>
                  <w:vAlign w:val="center"/>
                </w:tcPr>
                <w:p>
                  <w:pPr>
                    <w:pStyle w:val="206"/>
                    <w:spacing w:line="240" w:lineRule="auto"/>
                    <w:ind w:firstLine="0" w:firstLineChars="0"/>
                    <w:jc w:val="center"/>
                    <w:rPr>
                      <w:rFonts w:hint="eastAsia" w:eastAsia="宋体"/>
                      <w:color w:val="auto"/>
                      <w:kern w:val="0"/>
                      <w:sz w:val="21"/>
                      <w:u w:val="none" w:color="auto"/>
                      <w:lang w:val="en-US" w:eastAsia="zh-CN"/>
                    </w:rPr>
                  </w:pPr>
                  <w:r>
                    <w:rPr>
                      <w:rFonts w:hint="eastAsia"/>
                      <w:color w:val="auto"/>
                      <w:kern w:val="0"/>
                      <w:sz w:val="21"/>
                      <w:u w:val="none" w:color="auto"/>
                      <w:lang w:val="en-US" w:eastAsia="zh-CN"/>
                    </w:rPr>
                    <w:t>/</w:t>
                  </w:r>
                </w:p>
              </w:tc>
              <w:tc>
                <w:tcPr>
                  <w:tcW w:w="358"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1200</w:t>
                  </w:r>
                </w:p>
              </w:tc>
              <w:tc>
                <w:tcPr>
                  <w:tcW w:w="501" w:type="dxa"/>
                  <w:tcBorders>
                    <w:tl2br w:val="nil"/>
                    <w:tr2bl w:val="nil"/>
                  </w:tcBorders>
                  <w:noWrap w:val="0"/>
                  <w:vAlign w:val="center"/>
                </w:tcPr>
                <w:p>
                  <w:pPr>
                    <w:spacing w:line="240" w:lineRule="auto"/>
                    <w:ind w:firstLine="0" w:firstLineChars="0"/>
                    <w:jc w:val="center"/>
                    <w:rPr>
                      <w:color w:val="auto"/>
                      <w:kern w:val="0"/>
                      <w:sz w:val="21"/>
                      <w:u w:val="none" w:color="auto"/>
                    </w:rPr>
                  </w:pPr>
                  <w:r>
                    <w:rPr>
                      <w:color w:val="auto"/>
                      <w:kern w:val="0"/>
                      <w:sz w:val="21"/>
                      <w:u w:val="none" w:color="auto"/>
                    </w:rPr>
                    <w:t>正常</w:t>
                  </w:r>
                </w:p>
              </w:tc>
              <w:tc>
                <w:tcPr>
                  <w:tcW w:w="404"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w:t>
                  </w:r>
                </w:p>
              </w:tc>
              <w:tc>
                <w:tcPr>
                  <w:tcW w:w="773" w:type="dxa"/>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lang w:val="en-US" w:eastAsia="zh-CN"/>
                    </w:rPr>
                  </w:pPr>
                  <w:r>
                    <w:rPr>
                      <w:rFonts w:hint="eastAsia"/>
                      <w:color w:val="auto"/>
                      <w:kern w:val="0"/>
                      <w:sz w:val="21"/>
                      <w:u w:val="none" w:color="auto"/>
                      <w:lang w:val="en-US" w:eastAsia="zh-CN"/>
                    </w:rPr>
                    <w:t>0.00016</w:t>
                  </w:r>
                </w:p>
              </w:tc>
            </w:tr>
          </w:tbl>
          <w:p>
            <w:pPr>
              <w:pStyle w:val="205"/>
              <w:ind w:firstLine="0" w:firstLineChars="0"/>
              <w:jc w:val="center"/>
              <w:rPr>
                <w:b/>
                <w:color w:val="auto"/>
                <w:u w:val="none" w:color="auto"/>
              </w:rPr>
            </w:pPr>
            <w:r>
              <w:rPr>
                <w:b/>
                <w:color w:val="auto"/>
                <w:u w:val="none" w:color="auto"/>
              </w:rPr>
              <w:t>表7-</w:t>
            </w:r>
            <w:r>
              <w:rPr>
                <w:rFonts w:hint="eastAsia"/>
                <w:b/>
                <w:color w:val="auto"/>
                <w:u w:val="none" w:color="auto"/>
                <w:lang w:val="en-US" w:eastAsia="zh-CN"/>
              </w:rPr>
              <w:t>4</w:t>
            </w:r>
            <w:r>
              <w:rPr>
                <w:rFonts w:hint="eastAsia"/>
                <w:b/>
                <w:color w:val="auto"/>
                <w:u w:val="none" w:color="auto"/>
              </w:rPr>
              <w:t>本项目面源污染源参数表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214"/>
              <w:gridCol w:w="1110"/>
              <w:gridCol w:w="537"/>
              <w:gridCol w:w="629"/>
              <w:gridCol w:w="846"/>
              <w:gridCol w:w="749"/>
              <w:gridCol w:w="733"/>
              <w:gridCol w:w="539"/>
              <w:gridCol w:w="736"/>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1"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rFonts w:hint="eastAsia"/>
                      <w:color w:val="auto"/>
                      <w:kern w:val="0"/>
                      <w:sz w:val="21"/>
                      <w:u w:val="none" w:color="auto"/>
                    </w:rPr>
                    <w:t>名称</w:t>
                  </w:r>
                </w:p>
              </w:tc>
              <w:tc>
                <w:tcPr>
                  <w:tcW w:w="1281" w:type="pct"/>
                  <w:gridSpan w:val="2"/>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面源起点坐标/m</w:t>
                  </w:r>
                </w:p>
              </w:tc>
              <w:tc>
                <w:tcPr>
                  <w:tcW w:w="296" w:type="pct"/>
                  <w:vMerge w:val="restart"/>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r>
                    <w:rPr>
                      <w:rFonts w:hint="eastAsia"/>
                      <w:color w:val="auto"/>
                      <w:kern w:val="0"/>
                      <w:sz w:val="21"/>
                      <w:u w:val="none" w:color="auto"/>
                    </w:rPr>
                    <w:t>面源长度/m</w:t>
                  </w:r>
                </w:p>
              </w:tc>
              <w:tc>
                <w:tcPr>
                  <w:tcW w:w="347"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rFonts w:hint="eastAsia"/>
                      <w:color w:val="auto"/>
                      <w:kern w:val="0"/>
                      <w:sz w:val="21"/>
                      <w:u w:val="none" w:color="auto"/>
                    </w:rPr>
                    <w:t>面源</w:t>
                  </w:r>
                  <w:r>
                    <w:rPr>
                      <w:color w:val="auto"/>
                      <w:kern w:val="0"/>
                      <w:sz w:val="21"/>
                      <w:u w:val="none" w:color="auto"/>
                    </w:rPr>
                    <w:t>宽度</w:t>
                  </w:r>
                  <w:r>
                    <w:rPr>
                      <w:rFonts w:hint="eastAsia"/>
                      <w:color w:val="auto"/>
                      <w:kern w:val="0"/>
                      <w:sz w:val="21"/>
                      <w:u w:val="none" w:color="auto"/>
                    </w:rPr>
                    <w:t>/m</w:t>
                  </w:r>
                </w:p>
              </w:tc>
              <w:tc>
                <w:tcPr>
                  <w:tcW w:w="466"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rFonts w:hint="eastAsia"/>
                      <w:color w:val="auto"/>
                      <w:kern w:val="0"/>
                      <w:sz w:val="21"/>
                      <w:u w:val="none" w:color="auto"/>
                    </w:rPr>
                    <w:t>与正北夹角/（°）</w:t>
                  </w:r>
                </w:p>
              </w:tc>
              <w:tc>
                <w:tcPr>
                  <w:tcW w:w="413"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rFonts w:hint="eastAsia"/>
                      <w:color w:val="auto"/>
                      <w:kern w:val="0"/>
                      <w:sz w:val="21"/>
                      <w:u w:val="none" w:color="auto"/>
                    </w:rPr>
                    <w:t>面源</w:t>
                  </w:r>
                  <w:r>
                    <w:rPr>
                      <w:color w:val="auto"/>
                      <w:kern w:val="0"/>
                      <w:sz w:val="21"/>
                      <w:u w:val="none" w:color="auto"/>
                    </w:rPr>
                    <w:t>有效排放高度</w:t>
                  </w:r>
                  <w:r>
                    <w:rPr>
                      <w:rFonts w:hint="eastAsia"/>
                      <w:color w:val="auto"/>
                      <w:kern w:val="0"/>
                      <w:sz w:val="21"/>
                      <w:u w:val="none" w:color="auto"/>
                    </w:rPr>
                    <w:t>/m</w:t>
                  </w:r>
                </w:p>
              </w:tc>
              <w:tc>
                <w:tcPr>
                  <w:tcW w:w="404"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color w:val="auto"/>
                      <w:kern w:val="0"/>
                      <w:sz w:val="21"/>
                      <w:u w:val="none" w:color="auto"/>
                    </w:rPr>
                    <w:t>年排放小时</w:t>
                  </w:r>
                  <w:r>
                    <w:rPr>
                      <w:rFonts w:hint="eastAsia"/>
                      <w:color w:val="auto"/>
                      <w:kern w:val="0"/>
                      <w:sz w:val="21"/>
                      <w:u w:val="none" w:color="auto"/>
                    </w:rPr>
                    <w:t>/h</w:t>
                  </w:r>
                </w:p>
              </w:tc>
              <w:tc>
                <w:tcPr>
                  <w:tcW w:w="297" w:type="pct"/>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color w:val="auto"/>
                      <w:kern w:val="0"/>
                      <w:sz w:val="21"/>
                      <w:u w:val="none" w:color="auto"/>
                    </w:rPr>
                    <w:t>排放工况</w:t>
                  </w:r>
                </w:p>
              </w:tc>
              <w:tc>
                <w:tcPr>
                  <w:tcW w:w="961" w:type="pct"/>
                  <w:gridSpan w:val="2"/>
                  <w:vMerge w:val="restar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color w:val="auto"/>
                      <w:kern w:val="0"/>
                      <w:sz w:val="21"/>
                      <w:u w:val="none" w:color="auto"/>
                    </w:rPr>
                    <w:t>污染物排放速率</w:t>
                  </w:r>
                  <w:r>
                    <w:rPr>
                      <w:rFonts w:hint="eastAsia"/>
                      <w:color w:val="auto"/>
                      <w:kern w:val="0"/>
                      <w:sz w:val="21"/>
                      <w:u w:val="none" w:color="auto"/>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1" w:type="pct"/>
                  <w:vMerge w:val="continue"/>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p>
              </w:tc>
              <w:tc>
                <w:tcPr>
                  <w:tcW w:w="669" w:type="pct"/>
                  <w:vMerge w:val="restart"/>
                  <w:tcBorders>
                    <w:tl2br w:val="nil"/>
                    <w:tr2bl w:val="nil"/>
                  </w:tcBorders>
                  <w:noWrap w:val="0"/>
                  <w:vAlign w:val="center"/>
                </w:tcPr>
                <w:p>
                  <w:pPr>
                    <w:pStyle w:val="206"/>
                    <w:spacing w:line="240" w:lineRule="auto"/>
                    <w:ind w:firstLine="0" w:firstLineChars="0"/>
                    <w:jc w:val="center"/>
                    <w:rPr>
                      <w:rFonts w:hint="eastAsia" w:eastAsia="宋体"/>
                      <w:color w:val="auto"/>
                      <w:kern w:val="0"/>
                      <w:sz w:val="21"/>
                      <w:u w:val="none" w:color="auto"/>
                      <w:lang w:val="en-US" w:eastAsia="zh-CN"/>
                    </w:rPr>
                  </w:pPr>
                  <w:r>
                    <w:rPr>
                      <w:rFonts w:hint="eastAsia"/>
                      <w:color w:val="auto"/>
                      <w:kern w:val="0"/>
                      <w:sz w:val="21"/>
                      <w:u w:val="none" w:color="auto"/>
                      <w:lang w:val="en-US" w:eastAsia="zh-CN"/>
                    </w:rPr>
                    <w:t>X</w:t>
                  </w:r>
                </w:p>
              </w:tc>
              <w:tc>
                <w:tcPr>
                  <w:tcW w:w="611" w:type="pct"/>
                  <w:vMerge w:val="restart"/>
                  <w:tcBorders>
                    <w:tl2br w:val="nil"/>
                    <w:tr2bl w:val="nil"/>
                  </w:tcBorders>
                  <w:noWrap w:val="0"/>
                  <w:vAlign w:val="center"/>
                </w:tcPr>
                <w:p>
                  <w:pPr>
                    <w:pStyle w:val="206"/>
                    <w:spacing w:line="240" w:lineRule="auto"/>
                    <w:ind w:firstLine="0" w:firstLineChars="0"/>
                    <w:jc w:val="center"/>
                    <w:rPr>
                      <w:rFonts w:hint="eastAsia" w:eastAsia="宋体"/>
                      <w:color w:val="auto"/>
                      <w:kern w:val="0"/>
                      <w:sz w:val="21"/>
                      <w:u w:val="none" w:color="auto"/>
                      <w:lang w:val="en-US" w:eastAsia="zh-CN"/>
                    </w:rPr>
                  </w:pPr>
                  <w:r>
                    <w:rPr>
                      <w:rFonts w:hint="eastAsia"/>
                      <w:color w:val="auto"/>
                      <w:kern w:val="0"/>
                      <w:sz w:val="21"/>
                      <w:u w:val="none" w:color="auto"/>
                      <w:lang w:val="en-US" w:eastAsia="zh-CN"/>
                    </w:rPr>
                    <w:t>Y</w:t>
                  </w:r>
                </w:p>
              </w:tc>
              <w:tc>
                <w:tcPr>
                  <w:tcW w:w="296" w:type="pct"/>
                  <w:vMerge w:val="continue"/>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p>
              </w:tc>
              <w:tc>
                <w:tcPr>
                  <w:tcW w:w="347" w:type="pct"/>
                  <w:vMerge w:val="continue"/>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p>
              </w:tc>
              <w:tc>
                <w:tcPr>
                  <w:tcW w:w="466" w:type="pct"/>
                  <w:vMerge w:val="continue"/>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p>
              </w:tc>
              <w:tc>
                <w:tcPr>
                  <w:tcW w:w="413" w:type="pct"/>
                  <w:vMerge w:val="continue"/>
                  <w:tcBorders>
                    <w:tl2br w:val="nil"/>
                    <w:tr2bl w:val="nil"/>
                  </w:tcBorders>
                  <w:noWrap w:val="0"/>
                  <w:vAlign w:val="center"/>
                </w:tcPr>
                <w:p>
                  <w:pPr>
                    <w:pStyle w:val="206"/>
                    <w:spacing w:line="240" w:lineRule="auto"/>
                    <w:ind w:firstLine="0" w:firstLineChars="0"/>
                    <w:jc w:val="center"/>
                    <w:rPr>
                      <w:rFonts w:hint="eastAsia"/>
                      <w:color w:val="auto"/>
                      <w:kern w:val="0"/>
                      <w:sz w:val="21"/>
                      <w:u w:val="none" w:color="auto"/>
                    </w:rPr>
                  </w:pPr>
                </w:p>
              </w:tc>
              <w:tc>
                <w:tcPr>
                  <w:tcW w:w="404"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297"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961" w:type="pct"/>
                  <w:gridSpan w:val="2"/>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31"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669"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611"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296"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347"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66"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13"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04"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297" w:type="pct"/>
                  <w:vMerge w:val="continue"/>
                  <w:tcBorders>
                    <w:tl2br w:val="nil"/>
                    <w:tr2bl w:val="nil"/>
                  </w:tcBorders>
                  <w:noWrap w:val="0"/>
                  <w:vAlign w:val="center"/>
                </w:tcPr>
                <w:p>
                  <w:pPr>
                    <w:pStyle w:val="206"/>
                    <w:spacing w:line="240" w:lineRule="auto"/>
                    <w:ind w:firstLine="0" w:firstLineChars="0"/>
                    <w:jc w:val="center"/>
                    <w:rPr>
                      <w:color w:val="auto"/>
                      <w:kern w:val="0"/>
                      <w:sz w:val="21"/>
                      <w:u w:val="none" w:color="auto"/>
                    </w:rPr>
                  </w:pPr>
                </w:p>
              </w:tc>
              <w:tc>
                <w:tcPr>
                  <w:tcW w:w="406" w:type="pct"/>
                  <w:tcBorders>
                    <w:tl2br w:val="nil"/>
                    <w:tr2bl w:val="nil"/>
                  </w:tcBorders>
                  <w:noWrap w:val="0"/>
                  <w:vAlign w:val="center"/>
                </w:tcPr>
                <w:p>
                  <w:pPr>
                    <w:pStyle w:val="206"/>
                    <w:spacing w:line="240" w:lineRule="auto"/>
                    <w:ind w:firstLine="0" w:firstLineChars="0"/>
                    <w:jc w:val="center"/>
                    <w:rPr>
                      <w:rFonts w:hint="eastAsia" w:eastAsia="宋体"/>
                      <w:color w:val="auto"/>
                      <w:kern w:val="0"/>
                      <w:sz w:val="21"/>
                      <w:u w:val="none" w:color="auto"/>
                      <w:lang w:eastAsia="zh-CN"/>
                    </w:rPr>
                  </w:pPr>
                  <w:r>
                    <w:rPr>
                      <w:rFonts w:hint="eastAsia"/>
                      <w:color w:val="auto"/>
                      <w:kern w:val="0"/>
                      <w:sz w:val="21"/>
                      <w:u w:val="none" w:color="auto"/>
                      <w:lang w:val="en-US" w:eastAsia="zh-CN"/>
                    </w:rPr>
                    <w:t>VOC</w:t>
                  </w:r>
                  <w:r>
                    <w:rPr>
                      <w:rFonts w:hint="eastAsia"/>
                      <w:color w:val="auto"/>
                      <w:kern w:val="0"/>
                      <w:sz w:val="21"/>
                      <w:u w:val="none" w:color="auto"/>
                      <w:vertAlign w:val="subscript"/>
                      <w:lang w:val="en-US" w:eastAsia="zh-CN"/>
                    </w:rPr>
                    <w:t>S</w:t>
                  </w:r>
                </w:p>
              </w:tc>
              <w:tc>
                <w:tcPr>
                  <w:tcW w:w="554" w:type="pct"/>
                  <w:tcBorders>
                    <w:tl2br w:val="nil"/>
                    <w:tr2bl w:val="nil"/>
                  </w:tcBorders>
                  <w:noWrap w:val="0"/>
                  <w:vAlign w:val="center"/>
                </w:tcPr>
                <w:p>
                  <w:pPr>
                    <w:pStyle w:val="206"/>
                    <w:spacing w:line="240" w:lineRule="auto"/>
                    <w:ind w:firstLine="0" w:firstLineChars="0"/>
                    <w:jc w:val="center"/>
                    <w:rPr>
                      <w:rFonts w:hint="eastAsia"/>
                      <w:color w:val="auto"/>
                      <w:sz w:val="21"/>
                      <w:u w:val="none" w:color="auto"/>
                      <w:lang w:val="en-US" w:eastAsia="zh-CN"/>
                    </w:rPr>
                  </w:pPr>
                  <w:r>
                    <w:rPr>
                      <w:rFonts w:hint="eastAsia"/>
                      <w:color w:val="auto"/>
                      <w:kern w:val="0"/>
                      <w:sz w:val="21"/>
                      <w:u w:val="none" w:color="auto"/>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1"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rPr>
                  </w:pPr>
                  <w:r>
                    <w:rPr>
                      <w:rFonts w:hint="eastAsia"/>
                      <w:color w:val="auto"/>
                      <w:kern w:val="0"/>
                      <w:sz w:val="21"/>
                      <w:u w:val="none" w:color="auto"/>
                      <w:lang w:val="en-US" w:eastAsia="zh-CN"/>
                    </w:rPr>
                    <w:t>喷漆、烘干房</w:t>
                  </w:r>
                </w:p>
              </w:tc>
              <w:tc>
                <w:tcPr>
                  <w:tcW w:w="669" w:type="pc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rFonts w:hint="eastAsia"/>
                      <w:color w:val="auto"/>
                      <w:kern w:val="0"/>
                      <w:sz w:val="21"/>
                      <w:u w:val="none" w:color="auto"/>
                    </w:rPr>
                    <w:t>112.874857</w:t>
                  </w:r>
                </w:p>
              </w:tc>
              <w:tc>
                <w:tcPr>
                  <w:tcW w:w="611" w:type="pc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rFonts w:hint="eastAsia"/>
                      <w:color w:val="auto"/>
                      <w:kern w:val="0"/>
                      <w:sz w:val="21"/>
                      <w:u w:val="none" w:color="auto"/>
                    </w:rPr>
                    <w:t>28.767069</w:t>
                  </w:r>
                </w:p>
              </w:tc>
              <w:tc>
                <w:tcPr>
                  <w:tcW w:w="296"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56</w:t>
                  </w:r>
                </w:p>
              </w:tc>
              <w:tc>
                <w:tcPr>
                  <w:tcW w:w="347"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eastAsia="宋体"/>
                      <w:color w:val="auto"/>
                      <w:kern w:val="0"/>
                      <w:sz w:val="21"/>
                      <w:u w:val="none" w:color="auto"/>
                      <w:lang w:val="en-US" w:eastAsia="zh-CN"/>
                    </w:rPr>
                    <w:t>1</w:t>
                  </w:r>
                  <w:r>
                    <w:rPr>
                      <w:rFonts w:hint="eastAsia"/>
                      <w:color w:val="auto"/>
                      <w:kern w:val="0"/>
                      <w:sz w:val="21"/>
                      <w:u w:val="none" w:color="auto"/>
                      <w:lang w:val="en-US" w:eastAsia="zh-CN"/>
                    </w:rPr>
                    <w:t>1</w:t>
                  </w:r>
                </w:p>
              </w:tc>
              <w:tc>
                <w:tcPr>
                  <w:tcW w:w="466"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15</w:t>
                  </w:r>
                </w:p>
              </w:tc>
              <w:tc>
                <w:tcPr>
                  <w:tcW w:w="413"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7</w:t>
                  </w:r>
                </w:p>
              </w:tc>
              <w:tc>
                <w:tcPr>
                  <w:tcW w:w="404"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1500</w:t>
                  </w:r>
                </w:p>
              </w:tc>
              <w:tc>
                <w:tcPr>
                  <w:tcW w:w="297" w:type="pct"/>
                  <w:tcBorders>
                    <w:tl2br w:val="nil"/>
                    <w:tr2bl w:val="nil"/>
                  </w:tcBorders>
                  <w:noWrap w:val="0"/>
                  <w:vAlign w:val="center"/>
                </w:tcPr>
                <w:p>
                  <w:pPr>
                    <w:pStyle w:val="206"/>
                    <w:spacing w:line="240" w:lineRule="auto"/>
                    <w:ind w:firstLine="0" w:firstLineChars="0"/>
                    <w:jc w:val="center"/>
                    <w:rPr>
                      <w:color w:val="auto"/>
                      <w:kern w:val="0"/>
                      <w:sz w:val="21"/>
                      <w:u w:val="none" w:color="auto"/>
                    </w:rPr>
                  </w:pPr>
                  <w:r>
                    <w:rPr>
                      <w:color w:val="auto"/>
                      <w:kern w:val="0"/>
                      <w:sz w:val="21"/>
                      <w:u w:val="none" w:color="auto"/>
                    </w:rPr>
                    <w:t>正常</w:t>
                  </w:r>
                </w:p>
              </w:tc>
              <w:tc>
                <w:tcPr>
                  <w:tcW w:w="406" w:type="pct"/>
                  <w:tcBorders>
                    <w:tl2br w:val="nil"/>
                    <w:tr2bl w:val="nil"/>
                  </w:tcBorders>
                  <w:noWrap w:val="0"/>
                  <w:vAlign w:val="center"/>
                </w:tcPr>
                <w:p>
                  <w:pPr>
                    <w:pStyle w:val="206"/>
                    <w:spacing w:line="240" w:lineRule="auto"/>
                    <w:ind w:firstLine="0" w:firstLineChars="0"/>
                    <w:jc w:val="center"/>
                    <w:rPr>
                      <w:rFonts w:hint="default" w:eastAsia="宋体"/>
                      <w:color w:val="auto"/>
                      <w:kern w:val="0"/>
                      <w:sz w:val="21"/>
                      <w:u w:val="none" w:color="auto"/>
                      <w:lang w:val="en-US" w:eastAsia="zh-CN"/>
                    </w:rPr>
                  </w:pPr>
                  <w:r>
                    <w:rPr>
                      <w:rFonts w:hint="eastAsia"/>
                      <w:color w:val="auto"/>
                      <w:kern w:val="0"/>
                      <w:sz w:val="21"/>
                      <w:u w:val="none" w:color="auto"/>
                      <w:lang w:val="en-US" w:eastAsia="zh-CN"/>
                    </w:rPr>
                    <w:t>0.010</w:t>
                  </w:r>
                </w:p>
              </w:tc>
              <w:tc>
                <w:tcPr>
                  <w:tcW w:w="554" w:type="pct"/>
                  <w:tcBorders>
                    <w:tl2br w:val="nil"/>
                    <w:tr2bl w:val="nil"/>
                  </w:tcBorders>
                  <w:noWrap w:val="0"/>
                  <w:vAlign w:val="center"/>
                </w:tcPr>
                <w:p>
                  <w:pPr>
                    <w:pStyle w:val="206"/>
                    <w:spacing w:line="240" w:lineRule="auto"/>
                    <w:ind w:firstLine="0" w:firstLineChars="0"/>
                    <w:jc w:val="center"/>
                    <w:rPr>
                      <w:rFonts w:hint="default"/>
                      <w:color w:val="auto"/>
                      <w:kern w:val="0"/>
                      <w:sz w:val="21"/>
                      <w:u w:val="none" w:color="auto"/>
                      <w:lang w:val="en-US" w:eastAsia="zh-CN"/>
                    </w:rPr>
                  </w:pPr>
                  <w:r>
                    <w:rPr>
                      <w:rFonts w:hint="eastAsia"/>
                      <w:color w:val="auto"/>
                      <w:kern w:val="0"/>
                      <w:sz w:val="21"/>
                      <w:u w:val="none" w:color="auto"/>
                      <w:lang w:val="en-US" w:eastAsia="zh-CN"/>
                    </w:rPr>
                    <w:t>0.0067</w:t>
                  </w:r>
                </w:p>
              </w:tc>
            </w:tr>
          </w:tbl>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大气环境影响预测</w:t>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①评价等级的判定</w:t>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根据《环境影响评价技术导则 大气环境》（HJ2.2-2018），采用推荐模式中的估算模型AERSCREEN对污染物的最大地面占标率Pi（第i个污染物）及第i个污染物的地面浓度达标准限值10%时所对应的最远距离D10%进行计算。其中Pi定义如下：</w:t>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 xml:space="preserve">               </w:t>
            </w:r>
            <w:r>
              <w:rPr>
                <w:rFonts w:hint="default" w:ascii="Times New Roman" w:hAnsi="Times New Roman" w:cs="Times New Roman"/>
                <w:color w:val="auto"/>
                <w:sz w:val="24"/>
                <w:szCs w:val="24"/>
                <w:u w:val="none" w:color="auto"/>
                <w:lang w:val="en-US" w:eastAsia="zh-CN"/>
              </w:rPr>
              <w:drawing>
                <wp:inline distT="0" distB="0" distL="114300" distR="114300">
                  <wp:extent cx="1400175" cy="619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stretch>
                            <a:fillRect/>
                          </a:stretch>
                        </pic:blipFill>
                        <pic:spPr>
                          <a:xfrm>
                            <a:off x="0" y="0"/>
                            <a:ext cx="1400175" cy="619125"/>
                          </a:xfrm>
                          <a:prstGeom prst="rect">
                            <a:avLst/>
                          </a:prstGeom>
                          <a:noFill/>
                          <a:ln>
                            <a:noFill/>
                          </a:ln>
                        </pic:spPr>
                      </pic:pic>
                    </a:graphicData>
                  </a:graphic>
                </wp:inline>
              </w:drawing>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Pi—第i个污染物的最大地面浓度占标率，%；</w:t>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Ci—采用估算模式计算出的第i个污染物的最大地面浓度，mg/m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w:t>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C0i—第i 个污染物的环境空气质量标准，mg/m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w:t>
            </w:r>
          </w:p>
          <w:p>
            <w:pPr>
              <w:tabs>
                <w:tab w:val="left" w:pos="103"/>
              </w:tabs>
              <w:autoSpaceDE w:val="0"/>
              <w:autoSpaceDN w:val="0"/>
              <w:spacing w:line="360" w:lineRule="auto"/>
              <w:ind w:firstLine="466" w:firstLineChars="200"/>
              <w:jc w:val="center"/>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表7-</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大气环境评价工作等级分级判据</w:t>
            </w:r>
          </w:p>
          <w:tbl>
            <w:tblPr>
              <w:tblStyle w:val="40"/>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59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评价工作等级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一级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二级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三级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Pmax＜1%</w:t>
                  </w:r>
                </w:p>
              </w:tc>
            </w:tr>
          </w:tbl>
          <w:p>
            <w:pPr>
              <w:pStyle w:val="182"/>
              <w:spacing w:line="360" w:lineRule="auto"/>
              <w:ind w:firstLine="462"/>
              <w:jc w:val="center"/>
              <w:rPr>
                <w:rFonts w:hint="default" w:ascii="Times New Roman" w:hAnsi="Times New Roman" w:cs="Times New Roman"/>
                <w:color w:val="auto"/>
                <w:sz w:val="24"/>
                <w:szCs w:val="24"/>
                <w:u w:val="none" w:color="auto"/>
              </w:rPr>
            </w:pPr>
          </w:p>
          <w:p>
            <w:pPr>
              <w:pStyle w:val="182"/>
              <w:spacing w:line="360" w:lineRule="auto"/>
              <w:ind w:firstLine="462"/>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 xml:space="preserve"> 估算模型参数表</w:t>
            </w:r>
          </w:p>
          <w:tbl>
            <w:tblPr>
              <w:tblStyle w:val="4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13"/>
              <w:gridCol w:w="3016"/>
              <w:gridCol w:w="30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3334" w:type="pct"/>
                  <w:gridSpan w:val="2"/>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参数</w:t>
                  </w:r>
                </w:p>
              </w:tc>
              <w:tc>
                <w:tcPr>
                  <w:tcW w:w="1665" w:type="pct"/>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1666" w:type="pct"/>
                  <w:vMerge w:val="restar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城市/农村选项</w:t>
                  </w:r>
                </w:p>
              </w:tc>
              <w:tc>
                <w:tcPr>
                  <w:tcW w:w="1667"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城市/农村</w:t>
                  </w:r>
                </w:p>
              </w:tc>
              <w:tc>
                <w:tcPr>
                  <w:tcW w:w="1665"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农村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666" w:type="pct"/>
                  <w:vMerge w:val="continue"/>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p>
              </w:tc>
              <w:tc>
                <w:tcPr>
                  <w:tcW w:w="1667"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人口数（城市选项时）</w:t>
                  </w:r>
                </w:p>
              </w:tc>
              <w:tc>
                <w:tcPr>
                  <w:tcW w:w="1665"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3334" w:type="pct"/>
                  <w:gridSpan w:val="2"/>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最高环境温度/℃</w:t>
                  </w:r>
                </w:p>
              </w:tc>
              <w:tc>
                <w:tcPr>
                  <w:tcW w:w="1665" w:type="pct"/>
                  <w:vAlign w:val="center"/>
                </w:tcPr>
                <w:p>
                  <w:pPr>
                    <w:pStyle w:val="182"/>
                    <w:spacing w:line="360" w:lineRule="auto"/>
                    <w:ind w:firstLine="0" w:firstLineChars="0"/>
                    <w:jc w:val="center"/>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38.4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3334" w:type="pct"/>
                  <w:gridSpan w:val="2"/>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最低环境温度/℃</w:t>
                  </w:r>
                </w:p>
              </w:tc>
              <w:tc>
                <w:tcPr>
                  <w:tcW w:w="1665" w:type="pct"/>
                  <w:vAlign w:val="center"/>
                </w:tcPr>
                <w:p>
                  <w:pPr>
                    <w:pStyle w:val="182"/>
                    <w:spacing w:line="360" w:lineRule="auto"/>
                    <w:ind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-1</w:t>
                  </w:r>
                  <w:r>
                    <w:rPr>
                      <w:rFonts w:hint="eastAsia" w:ascii="Times New Roman" w:hAnsi="Times New Roman" w:cs="Times New Roman"/>
                      <w:color w:val="auto"/>
                      <w:sz w:val="22"/>
                      <w:szCs w:val="22"/>
                      <w:u w:val="none" w:color="auto"/>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3334" w:type="pct"/>
                  <w:gridSpan w:val="2"/>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土地利用类型</w:t>
                  </w:r>
                </w:p>
              </w:tc>
              <w:tc>
                <w:tcPr>
                  <w:tcW w:w="1665" w:type="pct"/>
                  <w:vAlign w:val="center"/>
                </w:tcPr>
                <w:p>
                  <w:pPr>
                    <w:pStyle w:val="182"/>
                    <w:spacing w:line="360" w:lineRule="auto"/>
                    <w:ind w:firstLine="0" w:firstLineChars="0"/>
                    <w:jc w:val="center"/>
                    <w:rPr>
                      <w:rFonts w:hint="eastAsia" w:ascii="Times New Roman" w:hAnsi="Times New Roman" w:eastAsia="宋体" w:cs="Times New Roman"/>
                      <w:color w:val="auto"/>
                      <w:sz w:val="22"/>
                      <w:szCs w:val="22"/>
                      <w:u w:val="none" w:color="auto"/>
                      <w:lang w:eastAsia="zh-CN"/>
                    </w:rPr>
                  </w:pPr>
                  <w:r>
                    <w:rPr>
                      <w:rFonts w:hint="eastAsia"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3334" w:type="pct"/>
                  <w:gridSpan w:val="2"/>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区域湿度条件</w:t>
                  </w:r>
                </w:p>
              </w:tc>
              <w:tc>
                <w:tcPr>
                  <w:tcW w:w="1665"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潮湿气候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666" w:type="pct"/>
                  <w:vMerge w:val="restar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是否考虑地形</w:t>
                  </w:r>
                </w:p>
              </w:tc>
              <w:tc>
                <w:tcPr>
                  <w:tcW w:w="1667"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考虑地形</w:t>
                  </w:r>
                </w:p>
              </w:tc>
              <w:tc>
                <w:tcPr>
                  <w:tcW w:w="1665"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sym w:font="Wingdings" w:char="00A8"/>
                  </w:r>
                  <w:r>
                    <w:rPr>
                      <w:rFonts w:hint="default" w:ascii="Times New Roman" w:hAnsi="Times New Roman" w:cs="Times New Roman"/>
                      <w:color w:val="auto"/>
                      <w:sz w:val="22"/>
                      <w:szCs w:val="22"/>
                      <w:u w:val="none" w:color="auto"/>
                    </w:rPr>
                    <w:t xml:space="preserve">是  </w:t>
                  </w:r>
                  <w:r>
                    <w:rPr>
                      <w:rFonts w:hint="default" w:ascii="Times New Roman" w:hAnsi="Times New Roman" w:cs="Times New Roman"/>
                      <w:color w:val="auto"/>
                      <w:sz w:val="22"/>
                      <w:szCs w:val="22"/>
                      <w:u w:val="none" w:color="auto"/>
                    </w:rPr>
                    <w:sym w:font="Wingdings" w:char="00A8"/>
                  </w:r>
                  <w:r>
                    <w:rPr>
                      <w:rFonts w:hint="default" w:ascii="Times New Roman" w:hAnsi="Times New Roman" w:cs="Times New Roman"/>
                      <w:color w:val="auto"/>
                      <w:sz w:val="22"/>
                      <w:szCs w:val="22"/>
                      <w:u w:val="none" w:color="auto"/>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666" w:type="pct"/>
                  <w:vMerge w:val="continue"/>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p>
              </w:tc>
              <w:tc>
                <w:tcPr>
                  <w:tcW w:w="1667"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地形数据分辨率/m</w:t>
                  </w:r>
                </w:p>
              </w:tc>
              <w:tc>
                <w:tcPr>
                  <w:tcW w:w="1665" w:type="pct"/>
                  <w:vAlign w:val="center"/>
                </w:tcPr>
                <w:p>
                  <w:pPr>
                    <w:pStyle w:val="182"/>
                    <w:spacing w:line="360" w:lineRule="auto"/>
                    <w:ind w:firstLine="0" w:firstLineChars="0"/>
                    <w:jc w:val="center"/>
                    <w:rPr>
                      <w:rFonts w:hint="eastAsia" w:ascii="Times New Roman" w:hAnsi="Times New Roman" w:eastAsia="宋体"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restar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是否考虑岸线熏烟</w:t>
                  </w:r>
                </w:p>
              </w:tc>
              <w:tc>
                <w:tcPr>
                  <w:tcW w:w="1667"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考虑岸线熏烟</w:t>
                  </w:r>
                </w:p>
              </w:tc>
              <w:tc>
                <w:tcPr>
                  <w:tcW w:w="1665"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sym w:font="Wingdings" w:char="00A8"/>
                  </w:r>
                  <w:r>
                    <w:rPr>
                      <w:rFonts w:hint="default" w:ascii="Times New Roman" w:hAnsi="Times New Roman" w:cs="Times New Roman"/>
                      <w:color w:val="auto"/>
                      <w:sz w:val="22"/>
                      <w:szCs w:val="22"/>
                      <w:u w:val="none" w:color="auto"/>
                    </w:rPr>
                    <w:t xml:space="preserve">是  </w:t>
                  </w:r>
                  <w:r>
                    <w:rPr>
                      <w:rFonts w:hint="default" w:ascii="Times New Roman" w:hAnsi="Times New Roman" w:cs="Times New Roman"/>
                      <w:color w:val="auto"/>
                      <w:sz w:val="22"/>
                      <w:szCs w:val="22"/>
                      <w:u w:val="none" w:color="auto"/>
                    </w:rPr>
                    <w:sym w:font="Wingdings" w:char="00A8"/>
                  </w:r>
                  <w:r>
                    <w:rPr>
                      <w:rFonts w:hint="default" w:ascii="Times New Roman" w:hAnsi="Times New Roman" w:cs="Times New Roman"/>
                      <w:color w:val="auto"/>
                      <w:sz w:val="22"/>
                      <w:szCs w:val="22"/>
                      <w:u w:val="none" w:color="auto"/>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continue"/>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p>
              </w:tc>
              <w:tc>
                <w:tcPr>
                  <w:tcW w:w="1667"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岸线距离/km</w:t>
                  </w:r>
                </w:p>
              </w:tc>
              <w:tc>
                <w:tcPr>
                  <w:tcW w:w="1665" w:type="pct"/>
                  <w:vAlign w:val="center"/>
                </w:tcPr>
                <w:p>
                  <w:pPr>
                    <w:pStyle w:val="182"/>
                    <w:spacing w:line="360" w:lineRule="auto"/>
                    <w:ind w:firstLine="0" w:firstLineChars="0"/>
                    <w:jc w:val="center"/>
                    <w:rPr>
                      <w:rFonts w:hint="eastAsia" w:ascii="Times New Roman" w:hAnsi="Times New Roman" w:eastAsia="宋体"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continue"/>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p>
              </w:tc>
              <w:tc>
                <w:tcPr>
                  <w:tcW w:w="1667" w:type="pct"/>
                  <w:vAlign w:val="center"/>
                </w:tcPr>
                <w:p>
                  <w:pPr>
                    <w:pStyle w:val="182"/>
                    <w:spacing w:line="360" w:lineRule="auto"/>
                    <w:ind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岸线方向/°</w:t>
                  </w:r>
                </w:p>
              </w:tc>
              <w:tc>
                <w:tcPr>
                  <w:tcW w:w="1665" w:type="pct"/>
                  <w:vAlign w:val="center"/>
                </w:tcPr>
                <w:p>
                  <w:pPr>
                    <w:pStyle w:val="182"/>
                    <w:spacing w:line="360" w:lineRule="auto"/>
                    <w:ind w:firstLine="0" w:firstLineChars="0"/>
                    <w:jc w:val="center"/>
                    <w:rPr>
                      <w:rFonts w:hint="eastAsia" w:ascii="Times New Roman" w:hAnsi="Times New Roman" w:eastAsia="宋体"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w:t>
                  </w:r>
                </w:p>
              </w:tc>
            </w:tr>
          </w:tbl>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②预测结果</w:t>
            </w:r>
          </w:p>
          <w:p>
            <w:pPr>
              <w:tabs>
                <w:tab w:val="left" w:pos="103"/>
              </w:tabs>
              <w:autoSpaceDE w:val="0"/>
              <w:autoSpaceDN w:val="0"/>
              <w:spacing w:line="360" w:lineRule="auto"/>
              <w:ind w:firstLine="466" w:firstLineChars="200"/>
              <w:jc w:val="both"/>
              <w:rPr>
                <w:rFonts w:hint="eastAsia"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采用《环境影响评价技术导则-大气环境》（HJ2.2-2018）中推荐的估算模式—AERSCREEN进行估算，预测结果见</w:t>
            </w:r>
            <w:r>
              <w:rPr>
                <w:rFonts w:hint="eastAsia" w:cs="Times New Roman"/>
                <w:color w:val="auto"/>
                <w:sz w:val="24"/>
                <w:szCs w:val="24"/>
                <w:u w:val="none" w:color="auto"/>
                <w:lang w:val="en-US" w:eastAsia="zh-CN"/>
              </w:rPr>
              <w:t>下</w:t>
            </w:r>
            <w:r>
              <w:rPr>
                <w:rFonts w:hint="default" w:ascii="Times New Roman" w:hAnsi="Times New Roman" w:cs="Times New Roman"/>
                <w:color w:val="auto"/>
                <w:sz w:val="24"/>
                <w:szCs w:val="24"/>
                <w:u w:val="none" w:color="auto"/>
                <w:lang w:val="en-US" w:eastAsia="zh-CN"/>
              </w:rPr>
              <w:t>表</w:t>
            </w:r>
            <w:r>
              <w:rPr>
                <w:rFonts w:hint="eastAsia" w:cs="Times New Roman"/>
                <w:color w:val="auto"/>
                <w:sz w:val="24"/>
                <w:szCs w:val="24"/>
                <w:u w:val="none" w:color="auto"/>
                <w:lang w:val="en-US" w:eastAsia="zh-CN"/>
              </w:rPr>
              <w:t>。</w:t>
            </w:r>
          </w:p>
          <w:p>
            <w:pPr>
              <w:pStyle w:val="188"/>
              <w:bidi w:val="0"/>
              <w:rPr>
                <w:rFonts w:hint="default" w:ascii="Times New Roman" w:hAnsi="Times New Roman" w:cs="Times New Roman"/>
                <w:color w:val="auto"/>
                <w:sz w:val="24"/>
                <w:szCs w:val="24"/>
                <w:u w:val="none" w:color="auto"/>
                <w:lang w:val="en-US" w:eastAsia="zh-CN"/>
              </w:rPr>
            </w:pPr>
            <w:r>
              <w:rPr>
                <w:rFonts w:hint="eastAsia"/>
                <w:color w:val="auto"/>
                <w:u w:val="none" w:color="auto"/>
              </w:rPr>
              <w:t>表7-</w:t>
            </w:r>
            <w:r>
              <w:rPr>
                <w:rFonts w:hint="eastAsia"/>
                <w:color w:val="auto"/>
                <w:u w:val="none" w:color="auto"/>
                <w:lang w:val="en-US" w:eastAsia="zh-CN"/>
              </w:rPr>
              <w:t>7</w:t>
            </w:r>
            <w:r>
              <w:rPr>
                <w:rFonts w:hint="eastAsia"/>
                <w:color w:val="auto"/>
                <w:u w:val="none" w:color="auto"/>
              </w:rPr>
              <w:t xml:space="preserve">  项目大气污染物最大地面浓度预测</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90"/>
              <w:gridCol w:w="1004"/>
              <w:gridCol w:w="812"/>
              <w:gridCol w:w="1735"/>
              <w:gridCol w:w="1321"/>
              <w:gridCol w:w="1089"/>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88" w:hRule="atLeast"/>
                <w:jc w:val="center"/>
              </w:trPr>
              <w:tc>
                <w:tcPr>
                  <w:tcW w:w="660" w:type="pct"/>
                  <w:tcBorders>
                    <w:tl2br w:val="nil"/>
                    <w:tr2bl w:val="nil"/>
                  </w:tcBorders>
                  <w:noWrap w:val="0"/>
                  <w:vAlign w:val="center"/>
                </w:tcPr>
                <w:p>
                  <w:pPr>
                    <w:pStyle w:val="186"/>
                    <w:bidi w:val="0"/>
                    <w:jc w:val="center"/>
                    <w:rPr>
                      <w:color w:val="auto"/>
                      <w:sz w:val="22"/>
                      <w:szCs w:val="22"/>
                      <w:u w:val="none" w:color="auto"/>
                      <w:lang w:eastAsia="zh-CN"/>
                    </w:rPr>
                  </w:pPr>
                  <w:r>
                    <w:rPr>
                      <w:rFonts w:hint="eastAsia"/>
                      <w:color w:val="auto"/>
                      <w:sz w:val="22"/>
                      <w:szCs w:val="22"/>
                      <w:u w:val="none" w:color="auto"/>
                      <w:lang w:eastAsia="zh-CN"/>
                    </w:rPr>
                    <w:t>污染源</w:t>
                  </w:r>
                </w:p>
              </w:tc>
              <w:tc>
                <w:tcPr>
                  <w:tcW w:w="492" w:type="pct"/>
                  <w:tcBorders>
                    <w:tl2br w:val="nil"/>
                    <w:tr2bl w:val="nil"/>
                  </w:tcBorders>
                  <w:noWrap w:val="0"/>
                  <w:vAlign w:val="center"/>
                </w:tcPr>
                <w:p>
                  <w:pPr>
                    <w:pStyle w:val="186"/>
                    <w:bidi w:val="0"/>
                    <w:jc w:val="center"/>
                    <w:rPr>
                      <w:color w:val="auto"/>
                      <w:sz w:val="22"/>
                      <w:szCs w:val="22"/>
                      <w:u w:val="none" w:color="auto"/>
                      <w:lang w:eastAsia="zh-CN"/>
                    </w:rPr>
                  </w:pPr>
                  <w:r>
                    <w:rPr>
                      <w:rFonts w:hint="eastAsia"/>
                      <w:color w:val="auto"/>
                      <w:sz w:val="22"/>
                      <w:szCs w:val="22"/>
                      <w:u w:val="none" w:color="auto"/>
                      <w:lang w:eastAsia="zh-CN"/>
                    </w:rPr>
                    <w:t>类型</w:t>
                  </w:r>
                </w:p>
              </w:tc>
              <w:tc>
                <w:tcPr>
                  <w:tcW w:w="1004" w:type="pct"/>
                  <w:gridSpan w:val="2"/>
                  <w:tcBorders>
                    <w:tl2br w:val="nil"/>
                    <w:tr2bl w:val="nil"/>
                  </w:tcBorders>
                  <w:noWrap w:val="0"/>
                  <w:vAlign w:val="center"/>
                </w:tcPr>
                <w:p>
                  <w:pPr>
                    <w:pStyle w:val="186"/>
                    <w:bidi w:val="0"/>
                    <w:jc w:val="center"/>
                    <w:rPr>
                      <w:color w:val="auto"/>
                      <w:sz w:val="22"/>
                      <w:szCs w:val="22"/>
                      <w:u w:val="none" w:color="auto"/>
                      <w:lang w:eastAsia="zh-CN"/>
                    </w:rPr>
                  </w:pPr>
                  <w:r>
                    <w:rPr>
                      <w:rFonts w:hint="eastAsia"/>
                      <w:color w:val="auto"/>
                      <w:sz w:val="22"/>
                      <w:szCs w:val="22"/>
                      <w:u w:val="none" w:color="auto"/>
                      <w:lang w:eastAsia="zh-CN"/>
                    </w:rPr>
                    <w:t>标准（</w:t>
                  </w:r>
                  <w:r>
                    <w:rPr>
                      <w:color w:val="auto"/>
                      <w:sz w:val="22"/>
                      <w:szCs w:val="22"/>
                      <w:u w:val="none" w:color="auto"/>
                      <w:lang w:eastAsia="zh-CN"/>
                    </w:rPr>
                    <w:t>μ</w:t>
                  </w:r>
                  <w:r>
                    <w:rPr>
                      <w:rFonts w:hint="eastAsia"/>
                      <w:color w:val="auto"/>
                      <w:sz w:val="22"/>
                      <w:szCs w:val="22"/>
                      <w:u w:val="none" w:color="auto"/>
                      <w:lang w:eastAsia="zh-CN"/>
                    </w:rPr>
                    <w:t>g/m</w:t>
                  </w:r>
                  <w:r>
                    <w:rPr>
                      <w:rFonts w:hint="eastAsia"/>
                      <w:color w:val="auto"/>
                      <w:sz w:val="22"/>
                      <w:szCs w:val="22"/>
                      <w:u w:val="none" w:color="auto"/>
                      <w:vertAlign w:val="superscript"/>
                      <w:lang w:eastAsia="zh-CN"/>
                    </w:rPr>
                    <w:t>3</w:t>
                  </w:r>
                  <w:r>
                    <w:rPr>
                      <w:rFonts w:hint="eastAsia"/>
                      <w:color w:val="auto"/>
                      <w:sz w:val="22"/>
                      <w:szCs w:val="22"/>
                      <w:u w:val="none" w:color="auto"/>
                      <w:lang w:eastAsia="zh-CN"/>
                    </w:rPr>
                    <w:t>）</w:t>
                  </w:r>
                </w:p>
              </w:tc>
              <w:tc>
                <w:tcPr>
                  <w:tcW w:w="959" w:type="pct"/>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最大落地浓度</w:t>
                  </w:r>
                </w:p>
                <w:p>
                  <w:pPr>
                    <w:pStyle w:val="186"/>
                    <w:bidi w:val="0"/>
                    <w:jc w:val="center"/>
                    <w:rPr>
                      <w:rFonts w:hint="eastAsia"/>
                      <w:color w:val="auto"/>
                      <w:sz w:val="22"/>
                      <w:szCs w:val="22"/>
                      <w:u w:val="none" w:color="auto"/>
                    </w:rPr>
                  </w:pPr>
                  <w:r>
                    <w:rPr>
                      <w:rFonts w:hint="eastAsia"/>
                      <w:color w:val="auto"/>
                      <w:sz w:val="22"/>
                      <w:szCs w:val="22"/>
                      <w:u w:val="none" w:color="auto"/>
                    </w:rPr>
                    <w:t>（</w:t>
                  </w:r>
                  <w:r>
                    <w:rPr>
                      <w:color w:val="auto"/>
                      <w:sz w:val="22"/>
                      <w:szCs w:val="22"/>
                      <w:u w:val="none" w:color="auto"/>
                    </w:rPr>
                    <w:t>μ</w:t>
                  </w:r>
                  <w:r>
                    <w:rPr>
                      <w:rFonts w:hint="eastAsia"/>
                      <w:color w:val="auto"/>
                      <w:sz w:val="22"/>
                      <w:szCs w:val="22"/>
                      <w:u w:val="none" w:color="auto"/>
                    </w:rPr>
                    <w:t>g/m</w:t>
                  </w:r>
                  <w:r>
                    <w:rPr>
                      <w:rFonts w:hint="eastAsia"/>
                      <w:color w:val="auto"/>
                      <w:sz w:val="22"/>
                      <w:szCs w:val="22"/>
                      <w:u w:val="none" w:color="auto"/>
                      <w:vertAlign w:val="superscript"/>
                    </w:rPr>
                    <w:t>3</w:t>
                  </w:r>
                  <w:r>
                    <w:rPr>
                      <w:rFonts w:hint="eastAsia"/>
                      <w:color w:val="auto"/>
                      <w:sz w:val="22"/>
                      <w:szCs w:val="22"/>
                      <w:u w:val="none" w:color="auto"/>
                    </w:rPr>
                    <w:t>）</w:t>
                  </w:r>
                </w:p>
              </w:tc>
              <w:tc>
                <w:tcPr>
                  <w:tcW w:w="730" w:type="pct"/>
                  <w:tcBorders>
                    <w:tl2br w:val="nil"/>
                    <w:tr2bl w:val="nil"/>
                  </w:tcBorders>
                  <w:noWrap w:val="0"/>
                  <w:vAlign w:val="center"/>
                </w:tcPr>
                <w:p>
                  <w:pPr>
                    <w:pStyle w:val="186"/>
                    <w:bidi w:val="0"/>
                    <w:jc w:val="center"/>
                    <w:rPr>
                      <w:rFonts w:hint="eastAsia"/>
                      <w:color w:val="auto"/>
                      <w:sz w:val="22"/>
                      <w:szCs w:val="22"/>
                      <w:u w:val="none" w:color="auto"/>
                      <w:lang w:eastAsia="zh-CN"/>
                    </w:rPr>
                  </w:pPr>
                  <w:r>
                    <w:rPr>
                      <w:rFonts w:hint="eastAsia"/>
                      <w:color w:val="auto"/>
                      <w:sz w:val="22"/>
                      <w:szCs w:val="22"/>
                      <w:u w:val="none" w:color="auto"/>
                      <w:lang w:eastAsia="zh-CN"/>
                    </w:rPr>
                    <w:t>出现距离</w:t>
                  </w:r>
                </w:p>
                <w:p>
                  <w:pPr>
                    <w:pStyle w:val="186"/>
                    <w:bidi w:val="0"/>
                    <w:jc w:val="center"/>
                    <w:rPr>
                      <w:color w:val="auto"/>
                      <w:sz w:val="22"/>
                      <w:szCs w:val="22"/>
                      <w:u w:val="none" w:color="auto"/>
                    </w:rPr>
                  </w:pPr>
                  <w:r>
                    <w:rPr>
                      <w:rFonts w:hint="eastAsia"/>
                      <w:color w:val="auto"/>
                      <w:sz w:val="22"/>
                      <w:szCs w:val="22"/>
                      <w:u w:val="none" w:color="auto"/>
                    </w:rPr>
                    <w:t>（m）</w:t>
                  </w:r>
                </w:p>
              </w:tc>
              <w:tc>
                <w:tcPr>
                  <w:tcW w:w="602" w:type="pct"/>
                  <w:tcBorders>
                    <w:tl2br w:val="nil"/>
                    <w:tr2bl w:val="nil"/>
                  </w:tcBorders>
                  <w:noWrap w:val="0"/>
                  <w:vAlign w:val="center"/>
                </w:tcPr>
                <w:p>
                  <w:pPr>
                    <w:pStyle w:val="186"/>
                    <w:bidi w:val="0"/>
                    <w:jc w:val="center"/>
                    <w:rPr>
                      <w:color w:val="auto"/>
                      <w:sz w:val="22"/>
                      <w:szCs w:val="22"/>
                      <w:u w:val="none" w:color="auto"/>
                      <w:lang w:eastAsia="zh-CN"/>
                    </w:rPr>
                  </w:pPr>
                  <w:r>
                    <w:rPr>
                      <w:color w:val="auto"/>
                      <w:sz w:val="22"/>
                      <w:szCs w:val="22"/>
                      <w:u w:val="none" w:color="auto"/>
                      <w:lang w:eastAsia="zh-CN"/>
                    </w:rPr>
                    <w:t>占标率</w:t>
                  </w:r>
                </w:p>
                <w:p>
                  <w:pPr>
                    <w:pStyle w:val="186"/>
                    <w:bidi w:val="0"/>
                    <w:jc w:val="center"/>
                    <w:rPr>
                      <w:color w:val="auto"/>
                      <w:sz w:val="22"/>
                      <w:szCs w:val="22"/>
                      <w:u w:val="none" w:color="auto"/>
                    </w:rPr>
                  </w:pPr>
                  <w:r>
                    <w:rPr>
                      <w:color w:val="auto"/>
                      <w:sz w:val="22"/>
                      <w:szCs w:val="22"/>
                      <w:u w:val="none" w:color="auto"/>
                    </w:rPr>
                    <w:t>（%）</w:t>
                  </w:r>
                </w:p>
              </w:tc>
              <w:tc>
                <w:tcPr>
                  <w:tcW w:w="548" w:type="pct"/>
                  <w:tcBorders>
                    <w:tl2br w:val="nil"/>
                    <w:tr2bl w:val="nil"/>
                  </w:tcBorders>
                  <w:noWrap w:val="0"/>
                  <w:vAlign w:val="center"/>
                </w:tcPr>
                <w:p>
                  <w:pPr>
                    <w:pStyle w:val="186"/>
                    <w:bidi w:val="0"/>
                    <w:jc w:val="center"/>
                    <w:rPr>
                      <w:rFonts w:hint="eastAsia"/>
                      <w:color w:val="auto"/>
                      <w:sz w:val="22"/>
                      <w:szCs w:val="22"/>
                      <w:u w:val="none" w:color="auto"/>
                      <w:lang w:eastAsia="zh-CN"/>
                    </w:rPr>
                  </w:pPr>
                  <w:r>
                    <w:rPr>
                      <w:rFonts w:hint="eastAsia"/>
                      <w:color w:val="auto"/>
                      <w:sz w:val="22"/>
                      <w:szCs w:val="22"/>
                      <w:u w:val="none" w:color="auto"/>
                      <w:lang w:eastAsia="zh-CN"/>
                    </w:rPr>
                    <w:t>Pmax</w:t>
                  </w:r>
                </w:p>
                <w:p>
                  <w:pPr>
                    <w:pStyle w:val="186"/>
                    <w:bidi w:val="0"/>
                    <w:jc w:val="center"/>
                    <w:rPr>
                      <w:color w:val="auto"/>
                      <w:sz w:val="22"/>
                      <w:szCs w:val="22"/>
                      <w:u w:val="none" w:color="auto"/>
                    </w:rPr>
                  </w:pPr>
                  <w:r>
                    <w:rPr>
                      <w:rFonts w:hint="eastAsia"/>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60" w:type="pct"/>
                  <w:vMerge w:val="restart"/>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lang w:val="en-US" w:eastAsia="zh-CN"/>
                    </w:rPr>
                    <w:t>喷漆烘干废气排气筒</w:t>
                  </w:r>
                </w:p>
              </w:tc>
              <w:tc>
                <w:tcPr>
                  <w:tcW w:w="492" w:type="pct"/>
                  <w:vMerge w:val="restart"/>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点源</w:t>
                  </w:r>
                </w:p>
              </w:tc>
              <w:tc>
                <w:tcPr>
                  <w:tcW w:w="555"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颗粒物</w:t>
                  </w:r>
                </w:p>
              </w:tc>
              <w:tc>
                <w:tcPr>
                  <w:tcW w:w="449"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900</w:t>
                  </w:r>
                </w:p>
              </w:tc>
              <w:tc>
                <w:tcPr>
                  <w:tcW w:w="959" w:type="pct"/>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cs="Times New Roman"/>
                      <w:i w:val="0"/>
                      <w:color w:val="auto"/>
                      <w:kern w:val="0"/>
                      <w:sz w:val="22"/>
                      <w:szCs w:val="22"/>
                      <w:u w:val="none" w:color="auto"/>
                      <w:lang w:val="en-US" w:eastAsia="zh-CN" w:bidi="ar"/>
                    </w:rPr>
                    <w:t>0.621</w:t>
                  </w:r>
                </w:p>
              </w:tc>
              <w:tc>
                <w:tcPr>
                  <w:tcW w:w="730" w:type="pct"/>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ascii="Times New Roman" w:hAnsi="Times New Roman"/>
                      <w:color w:val="auto"/>
                      <w:kern w:val="2"/>
                      <w:sz w:val="22"/>
                      <w:szCs w:val="22"/>
                      <w:u w:val="none" w:color="auto"/>
                      <w:lang w:val="en-US" w:eastAsia="zh-CN" w:bidi="ar-SA"/>
                    </w:rPr>
                    <w:t>1</w:t>
                  </w:r>
                  <w:r>
                    <w:rPr>
                      <w:rFonts w:hint="eastAsia"/>
                      <w:color w:val="auto"/>
                      <w:kern w:val="2"/>
                      <w:sz w:val="22"/>
                      <w:szCs w:val="22"/>
                      <w:u w:val="none" w:color="auto"/>
                      <w:lang w:val="en-US" w:eastAsia="zh-CN" w:bidi="ar-SA"/>
                    </w:rPr>
                    <w:t>3</w:t>
                  </w:r>
                  <w:r>
                    <w:rPr>
                      <w:rFonts w:hint="eastAsia" w:ascii="Times New Roman" w:hAnsi="Times New Roman"/>
                      <w:color w:val="auto"/>
                      <w:kern w:val="2"/>
                      <w:sz w:val="22"/>
                      <w:szCs w:val="22"/>
                      <w:u w:val="none" w:color="auto"/>
                      <w:lang w:val="en-US" w:eastAsia="zh-CN" w:bidi="ar-SA"/>
                    </w:rPr>
                    <w:t>5</w:t>
                  </w:r>
                </w:p>
              </w:tc>
              <w:tc>
                <w:tcPr>
                  <w:tcW w:w="602" w:type="pct"/>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ascii="Times New Roman" w:hAnsi="Times New Roman"/>
                      <w:color w:val="auto"/>
                      <w:kern w:val="2"/>
                      <w:sz w:val="22"/>
                      <w:szCs w:val="22"/>
                      <w:u w:val="none" w:color="auto"/>
                      <w:lang w:val="en-US" w:eastAsia="zh-CN" w:bidi="ar-SA"/>
                    </w:rPr>
                    <w:t>0.</w:t>
                  </w:r>
                  <w:r>
                    <w:rPr>
                      <w:rFonts w:hint="eastAsia"/>
                      <w:color w:val="auto"/>
                      <w:kern w:val="2"/>
                      <w:sz w:val="22"/>
                      <w:szCs w:val="22"/>
                      <w:u w:val="none" w:color="auto"/>
                      <w:lang w:val="en-US" w:eastAsia="zh-CN" w:bidi="ar-SA"/>
                    </w:rPr>
                    <w:t>3</w:t>
                  </w:r>
                  <w:r>
                    <w:rPr>
                      <w:rFonts w:hint="eastAsia" w:ascii="Times New Roman" w:hAnsi="Times New Roman"/>
                      <w:color w:val="auto"/>
                      <w:kern w:val="2"/>
                      <w:sz w:val="22"/>
                      <w:szCs w:val="22"/>
                      <w:u w:val="none" w:color="auto"/>
                      <w:lang w:val="en-US" w:eastAsia="zh-CN" w:bidi="ar-SA"/>
                    </w:rPr>
                    <w:t>3</w:t>
                  </w:r>
                </w:p>
              </w:tc>
              <w:tc>
                <w:tcPr>
                  <w:tcW w:w="548" w:type="pct"/>
                  <w:vMerge w:val="restar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2.66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0" w:type="pct"/>
                  <w:vMerge w:val="continue"/>
                  <w:tcBorders>
                    <w:tl2br w:val="nil"/>
                    <w:tr2bl w:val="nil"/>
                  </w:tcBorders>
                  <w:noWrap w:val="0"/>
                  <w:vAlign w:val="center"/>
                </w:tcPr>
                <w:p>
                  <w:pPr>
                    <w:pStyle w:val="186"/>
                    <w:bidi w:val="0"/>
                    <w:jc w:val="center"/>
                    <w:rPr>
                      <w:rFonts w:hint="eastAsia"/>
                      <w:color w:val="auto"/>
                      <w:sz w:val="22"/>
                      <w:szCs w:val="22"/>
                      <w:u w:val="none" w:color="auto"/>
                    </w:rPr>
                  </w:pPr>
                </w:p>
              </w:tc>
              <w:tc>
                <w:tcPr>
                  <w:tcW w:w="492" w:type="pct"/>
                  <w:vMerge w:val="continue"/>
                  <w:tcBorders>
                    <w:tl2br w:val="nil"/>
                    <w:tr2bl w:val="nil"/>
                  </w:tcBorders>
                  <w:noWrap w:val="0"/>
                  <w:vAlign w:val="center"/>
                </w:tcPr>
                <w:p>
                  <w:pPr>
                    <w:pStyle w:val="186"/>
                    <w:bidi w:val="0"/>
                    <w:jc w:val="center"/>
                    <w:rPr>
                      <w:rFonts w:hint="eastAsia"/>
                      <w:color w:val="auto"/>
                      <w:sz w:val="22"/>
                      <w:szCs w:val="22"/>
                      <w:u w:val="none" w:color="auto"/>
                    </w:rPr>
                  </w:pPr>
                </w:p>
              </w:tc>
              <w:tc>
                <w:tcPr>
                  <w:tcW w:w="555"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VOCs</w:t>
                  </w:r>
                </w:p>
              </w:tc>
              <w:tc>
                <w:tcPr>
                  <w:tcW w:w="449" w:type="pct"/>
                  <w:tcBorders>
                    <w:tl2br w:val="nil"/>
                    <w:tr2bl w:val="nil"/>
                  </w:tcBorders>
                  <w:noWrap w:val="0"/>
                  <w:vAlign w:val="center"/>
                </w:tcPr>
                <w:p>
                  <w:pPr>
                    <w:pStyle w:val="186"/>
                    <w:bidi w:val="0"/>
                    <w:jc w:val="center"/>
                    <w:rPr>
                      <w:rFonts w:hint="eastAsia" w:ascii="Times New Roman" w:hAnsi="Times New Roman" w:cs="Times New Roman"/>
                      <w:color w:val="auto"/>
                      <w:kern w:val="2"/>
                      <w:sz w:val="22"/>
                      <w:szCs w:val="22"/>
                      <w:u w:val="none" w:color="auto"/>
                      <w:lang w:val="en-US" w:eastAsia="zh-CN" w:bidi="ar-SA"/>
                    </w:rPr>
                  </w:pPr>
                  <w:r>
                    <w:rPr>
                      <w:rFonts w:hint="eastAsia"/>
                      <w:color w:val="auto"/>
                      <w:sz w:val="22"/>
                      <w:szCs w:val="22"/>
                      <w:u w:val="none" w:color="auto"/>
                      <w:lang w:val="en-US" w:eastAsia="zh-CN"/>
                    </w:rPr>
                    <w:t>1200</w:t>
                  </w:r>
                </w:p>
              </w:tc>
              <w:tc>
                <w:tcPr>
                  <w:tcW w:w="959"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ascii="Times New Roman" w:hAnsi="Times New Roman" w:eastAsia="宋体" w:cs="Times New Roman"/>
                      <w:i w:val="0"/>
                      <w:color w:val="auto"/>
                      <w:kern w:val="0"/>
                      <w:sz w:val="22"/>
                      <w:szCs w:val="22"/>
                      <w:u w:val="none" w:color="auto"/>
                      <w:lang w:val="en-US" w:eastAsia="zh-CN" w:bidi="ar"/>
                    </w:rPr>
                    <w:t xml:space="preserve"> </w:t>
                  </w:r>
                  <w:r>
                    <w:rPr>
                      <w:rFonts w:hint="eastAsia" w:cs="Times New Roman"/>
                      <w:i w:val="0"/>
                      <w:color w:val="auto"/>
                      <w:kern w:val="0"/>
                      <w:sz w:val="22"/>
                      <w:szCs w:val="22"/>
                      <w:u w:val="none" w:color="auto"/>
                      <w:lang w:val="en-US" w:eastAsia="zh-CN" w:bidi="ar"/>
                    </w:rPr>
                    <w:t>1.325</w:t>
                  </w:r>
                  <w:r>
                    <w:rPr>
                      <w:rFonts w:hint="eastAsia" w:ascii="Times New Roman" w:hAnsi="Times New Roman" w:eastAsia="宋体" w:cs="Times New Roman"/>
                      <w:i w:val="0"/>
                      <w:color w:val="auto"/>
                      <w:kern w:val="0"/>
                      <w:sz w:val="22"/>
                      <w:szCs w:val="22"/>
                      <w:u w:val="none" w:color="auto"/>
                      <w:lang w:val="en-US" w:eastAsia="zh-CN" w:bidi="ar"/>
                    </w:rPr>
                    <w:t xml:space="preserve"> </w:t>
                  </w:r>
                </w:p>
              </w:tc>
              <w:tc>
                <w:tcPr>
                  <w:tcW w:w="730"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135</w:t>
                  </w:r>
                </w:p>
              </w:tc>
              <w:tc>
                <w:tcPr>
                  <w:tcW w:w="602"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0.52</w:t>
                  </w:r>
                </w:p>
              </w:tc>
              <w:tc>
                <w:tcPr>
                  <w:tcW w:w="548" w:type="pct"/>
                  <w:vMerge w:val="continue"/>
                  <w:tcBorders>
                    <w:tl2br w:val="nil"/>
                    <w:tr2bl w:val="nil"/>
                  </w:tcBorders>
                  <w:noWrap w:val="0"/>
                  <w:vAlign w:val="center"/>
                </w:tcPr>
                <w:p>
                  <w:pPr>
                    <w:pStyle w:val="186"/>
                    <w:bidi w:val="0"/>
                    <w:jc w:val="center"/>
                    <w:rPr>
                      <w:rFonts w:hint="eastAsia"/>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60" w:type="pct"/>
                  <w:vMerge w:val="restart"/>
                  <w:tcBorders>
                    <w:tl2br w:val="nil"/>
                    <w:tr2bl w:val="nil"/>
                  </w:tcBorders>
                  <w:noWrap w:val="0"/>
                  <w:vAlign w:val="center"/>
                </w:tcPr>
                <w:p>
                  <w:pPr>
                    <w:pStyle w:val="186"/>
                    <w:jc w:val="center"/>
                    <w:rPr>
                      <w:rFonts w:hint="default" w:ascii="Times New Roman" w:hAnsi="Times New Roman"/>
                      <w:color w:val="auto"/>
                      <w:kern w:val="2"/>
                      <w:sz w:val="22"/>
                      <w:szCs w:val="22"/>
                      <w:u w:val="none" w:color="auto"/>
                      <w:lang w:val="en-US" w:eastAsia="zh-CN" w:bidi="ar-SA"/>
                    </w:rPr>
                  </w:pPr>
                  <w:r>
                    <w:rPr>
                      <w:rFonts w:hint="eastAsia" w:ascii="Times New Roman" w:hAnsi="Times New Roman"/>
                      <w:color w:val="auto"/>
                      <w:kern w:val="2"/>
                      <w:sz w:val="22"/>
                      <w:szCs w:val="22"/>
                      <w:u w:val="none" w:color="auto"/>
                      <w:lang w:val="en-US" w:eastAsia="zh-CN" w:bidi="ar-SA"/>
                    </w:rPr>
                    <w:t>无组织</w:t>
                  </w:r>
                  <w:r>
                    <w:rPr>
                      <w:rFonts w:hint="eastAsia"/>
                      <w:color w:val="auto"/>
                      <w:kern w:val="2"/>
                      <w:sz w:val="22"/>
                      <w:szCs w:val="22"/>
                      <w:u w:val="none" w:color="auto"/>
                      <w:lang w:val="en-US" w:eastAsia="zh-CN" w:bidi="ar-SA"/>
                    </w:rPr>
                    <w:t>喷漆烘干废气</w:t>
                  </w:r>
                </w:p>
              </w:tc>
              <w:tc>
                <w:tcPr>
                  <w:tcW w:w="492" w:type="pct"/>
                  <w:vMerge w:val="restart"/>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面源</w:t>
                  </w:r>
                </w:p>
              </w:tc>
              <w:tc>
                <w:tcPr>
                  <w:tcW w:w="555" w:type="pct"/>
                  <w:tcBorders>
                    <w:tl2br w:val="nil"/>
                    <w:tr2bl w:val="nil"/>
                  </w:tcBorders>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颗粒物</w:t>
                  </w:r>
                </w:p>
              </w:tc>
              <w:tc>
                <w:tcPr>
                  <w:tcW w:w="449"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900</w:t>
                  </w:r>
                </w:p>
              </w:tc>
              <w:tc>
                <w:tcPr>
                  <w:tcW w:w="959"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33.254</w:t>
                  </w:r>
                </w:p>
              </w:tc>
              <w:tc>
                <w:tcPr>
                  <w:tcW w:w="730"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104</w:t>
                  </w:r>
                </w:p>
              </w:tc>
              <w:tc>
                <w:tcPr>
                  <w:tcW w:w="602"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1.21</w:t>
                  </w:r>
                </w:p>
              </w:tc>
              <w:tc>
                <w:tcPr>
                  <w:tcW w:w="548" w:type="pct"/>
                  <w:vMerge w:val="continue"/>
                  <w:tcBorders>
                    <w:tl2br w:val="nil"/>
                    <w:tr2bl w:val="nil"/>
                  </w:tcBorders>
                  <w:noWrap w:val="0"/>
                  <w:vAlign w:val="center"/>
                </w:tcPr>
                <w:p>
                  <w:pPr>
                    <w:pStyle w:val="186"/>
                    <w:bidi w:val="0"/>
                    <w:jc w:val="center"/>
                    <w:rPr>
                      <w:rFonts w:hint="eastAsia"/>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0" w:type="pct"/>
                  <w:vMerge w:val="continue"/>
                  <w:tcBorders>
                    <w:tl2br w:val="nil"/>
                    <w:tr2bl w:val="nil"/>
                  </w:tcBorders>
                  <w:noWrap w:val="0"/>
                  <w:vAlign w:val="center"/>
                </w:tcPr>
                <w:p>
                  <w:pPr>
                    <w:pStyle w:val="186"/>
                    <w:jc w:val="center"/>
                    <w:rPr>
                      <w:rFonts w:hint="eastAsia"/>
                      <w:color w:val="auto"/>
                      <w:sz w:val="22"/>
                      <w:szCs w:val="22"/>
                      <w:u w:val="none" w:color="auto"/>
                      <w:lang w:eastAsia="zh-CN"/>
                    </w:rPr>
                  </w:pPr>
                </w:p>
              </w:tc>
              <w:tc>
                <w:tcPr>
                  <w:tcW w:w="492" w:type="pct"/>
                  <w:vMerge w:val="continue"/>
                  <w:tcBorders>
                    <w:tl2br w:val="nil"/>
                    <w:tr2bl w:val="nil"/>
                  </w:tcBorders>
                  <w:noWrap w:val="0"/>
                  <w:vAlign w:val="center"/>
                </w:tcPr>
                <w:p>
                  <w:pPr>
                    <w:pStyle w:val="186"/>
                    <w:bidi w:val="0"/>
                    <w:jc w:val="center"/>
                    <w:rPr>
                      <w:rFonts w:hint="eastAsia"/>
                      <w:color w:val="auto"/>
                      <w:sz w:val="22"/>
                      <w:szCs w:val="22"/>
                      <w:u w:val="none" w:color="auto"/>
                    </w:rPr>
                  </w:pPr>
                </w:p>
              </w:tc>
              <w:tc>
                <w:tcPr>
                  <w:tcW w:w="555" w:type="pct"/>
                  <w:tcBorders>
                    <w:tl2br w:val="nil"/>
                    <w:tr2bl w:val="nil"/>
                  </w:tcBorders>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VOCs</w:t>
                  </w:r>
                </w:p>
              </w:tc>
              <w:tc>
                <w:tcPr>
                  <w:tcW w:w="449"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1200</w:t>
                  </w:r>
                </w:p>
              </w:tc>
              <w:tc>
                <w:tcPr>
                  <w:tcW w:w="959"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57.131</w:t>
                  </w:r>
                </w:p>
              </w:tc>
              <w:tc>
                <w:tcPr>
                  <w:tcW w:w="730"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104</w:t>
                  </w:r>
                </w:p>
              </w:tc>
              <w:tc>
                <w:tcPr>
                  <w:tcW w:w="602" w:type="pc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2.66</w:t>
                  </w:r>
                </w:p>
              </w:tc>
              <w:tc>
                <w:tcPr>
                  <w:tcW w:w="548" w:type="pct"/>
                  <w:vMerge w:val="continue"/>
                  <w:tcBorders>
                    <w:tl2br w:val="nil"/>
                    <w:tr2bl w:val="nil"/>
                  </w:tcBorders>
                  <w:noWrap w:val="0"/>
                  <w:vAlign w:val="center"/>
                </w:tcPr>
                <w:p>
                  <w:pPr>
                    <w:pStyle w:val="186"/>
                    <w:bidi w:val="0"/>
                    <w:jc w:val="center"/>
                    <w:rPr>
                      <w:rFonts w:hint="eastAsia"/>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60" w:type="pct"/>
                  <w:noWrap w:val="0"/>
                  <w:vAlign w:val="center"/>
                </w:tcPr>
                <w:p>
                  <w:pPr>
                    <w:pStyle w:val="186"/>
                    <w:jc w:val="center"/>
                    <w:rPr>
                      <w:rFonts w:hint="default" w:ascii="Times New Roman" w:hAnsi="Times New Roman" w:eastAsia="宋体"/>
                      <w:color w:val="auto"/>
                      <w:kern w:val="2"/>
                      <w:sz w:val="22"/>
                      <w:szCs w:val="22"/>
                      <w:u w:val="none" w:color="auto"/>
                      <w:lang w:val="en-US" w:eastAsia="zh-CN" w:bidi="ar-SA"/>
                    </w:rPr>
                  </w:pPr>
                  <w:r>
                    <w:rPr>
                      <w:rFonts w:hint="eastAsia"/>
                      <w:color w:val="auto"/>
                      <w:kern w:val="2"/>
                      <w:sz w:val="22"/>
                      <w:szCs w:val="22"/>
                      <w:u w:val="none" w:color="auto"/>
                      <w:lang w:val="en-US" w:eastAsia="zh-CN" w:bidi="ar-SA"/>
                    </w:rPr>
                    <w:t>水泥筒仓粉尘</w:t>
                  </w:r>
                </w:p>
              </w:tc>
              <w:tc>
                <w:tcPr>
                  <w:tcW w:w="492" w:type="pct"/>
                  <w:vMerge w:val="restart"/>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点源</w:t>
                  </w:r>
                </w:p>
              </w:tc>
              <w:tc>
                <w:tcPr>
                  <w:tcW w:w="555" w:type="pct"/>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颗粒物</w:t>
                  </w:r>
                </w:p>
              </w:tc>
              <w:tc>
                <w:tcPr>
                  <w:tcW w:w="449" w:type="pct"/>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900</w:t>
                  </w:r>
                </w:p>
              </w:tc>
              <w:tc>
                <w:tcPr>
                  <w:tcW w:w="959" w:type="pct"/>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1.011</w:t>
                  </w:r>
                </w:p>
              </w:tc>
              <w:tc>
                <w:tcPr>
                  <w:tcW w:w="730" w:type="pct"/>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160</w:t>
                  </w:r>
                </w:p>
              </w:tc>
              <w:tc>
                <w:tcPr>
                  <w:tcW w:w="602" w:type="pct"/>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0.62</w:t>
                  </w:r>
                </w:p>
              </w:tc>
              <w:tc>
                <w:tcPr>
                  <w:tcW w:w="548" w:type="pct"/>
                  <w:vMerge w:val="continue"/>
                  <w:noWrap w:val="0"/>
                  <w:vAlign w:val="center"/>
                </w:tcPr>
                <w:p>
                  <w:pPr>
                    <w:pStyle w:val="186"/>
                    <w:bidi w:val="0"/>
                    <w:jc w:val="center"/>
                    <w:rPr>
                      <w:color w:val="auto"/>
                      <w:sz w:val="22"/>
                      <w:szCs w:val="22"/>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60" w:type="pct"/>
                  <w:noWrap w:val="0"/>
                  <w:vAlign w:val="center"/>
                </w:tcPr>
                <w:p>
                  <w:pPr>
                    <w:pStyle w:val="186"/>
                    <w:jc w:val="center"/>
                    <w:rPr>
                      <w:rFonts w:hint="default"/>
                      <w:color w:val="auto"/>
                      <w:sz w:val="22"/>
                      <w:szCs w:val="22"/>
                      <w:u w:val="none" w:color="auto"/>
                      <w:lang w:val="en-US" w:eastAsia="zh-CN"/>
                    </w:rPr>
                  </w:pPr>
                  <w:r>
                    <w:rPr>
                      <w:rFonts w:hint="eastAsia"/>
                      <w:color w:val="auto"/>
                      <w:sz w:val="22"/>
                      <w:szCs w:val="22"/>
                      <w:u w:val="none" w:color="auto"/>
                      <w:lang w:val="en-US" w:eastAsia="zh-CN"/>
                    </w:rPr>
                    <w:t>石粉筒仓粉尘</w:t>
                  </w:r>
                </w:p>
              </w:tc>
              <w:tc>
                <w:tcPr>
                  <w:tcW w:w="492" w:type="pct"/>
                  <w:vMerge w:val="continue"/>
                  <w:noWrap w:val="0"/>
                  <w:vAlign w:val="center"/>
                </w:tcPr>
                <w:p>
                  <w:pPr>
                    <w:pStyle w:val="186"/>
                    <w:bidi w:val="0"/>
                    <w:jc w:val="center"/>
                    <w:rPr>
                      <w:rFonts w:hint="eastAsia"/>
                      <w:color w:val="auto"/>
                      <w:sz w:val="22"/>
                      <w:szCs w:val="22"/>
                      <w:u w:val="none" w:color="auto"/>
                    </w:rPr>
                  </w:pPr>
                </w:p>
              </w:tc>
              <w:tc>
                <w:tcPr>
                  <w:tcW w:w="555" w:type="pct"/>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颗粒物</w:t>
                  </w:r>
                </w:p>
              </w:tc>
              <w:tc>
                <w:tcPr>
                  <w:tcW w:w="449" w:type="pct"/>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900</w:t>
                  </w:r>
                </w:p>
              </w:tc>
              <w:tc>
                <w:tcPr>
                  <w:tcW w:w="959" w:type="pct"/>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0.714</w:t>
                  </w:r>
                </w:p>
              </w:tc>
              <w:tc>
                <w:tcPr>
                  <w:tcW w:w="730" w:type="pct"/>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152</w:t>
                  </w:r>
                </w:p>
              </w:tc>
              <w:tc>
                <w:tcPr>
                  <w:tcW w:w="602" w:type="pct"/>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0.40</w:t>
                  </w:r>
                </w:p>
              </w:tc>
              <w:tc>
                <w:tcPr>
                  <w:tcW w:w="548" w:type="pct"/>
                  <w:vMerge w:val="continue"/>
                  <w:noWrap w:val="0"/>
                  <w:vAlign w:val="center"/>
                </w:tcPr>
                <w:p>
                  <w:pPr>
                    <w:pStyle w:val="186"/>
                    <w:bidi w:val="0"/>
                    <w:jc w:val="center"/>
                    <w:rPr>
                      <w:color w:val="auto"/>
                      <w:sz w:val="22"/>
                      <w:szCs w:val="22"/>
                      <w:u w:val="none" w:color="auto"/>
                      <w:lang w:eastAsia="zh-CN"/>
                    </w:rPr>
                  </w:pPr>
                </w:p>
              </w:tc>
            </w:tr>
          </w:tbl>
          <w:p>
            <w:pPr>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对于同一个项目有多个污染源时，按各污染源分别确定评价等级，并取评价等级最高者作为项目的评价等级。综上计算可知，本项目评价等级为</w:t>
            </w:r>
            <w:r>
              <w:rPr>
                <w:rFonts w:hint="eastAsia" w:cs="Times New Roman"/>
                <w:color w:val="auto"/>
                <w:sz w:val="24"/>
                <w:szCs w:val="24"/>
                <w:u w:val="none" w:color="auto"/>
                <w:lang w:val="en-US" w:eastAsia="zh-CN"/>
              </w:rPr>
              <w:t>二</w:t>
            </w:r>
            <w:r>
              <w:rPr>
                <w:rFonts w:hint="default" w:ascii="Times New Roman" w:hAnsi="Times New Roman" w:cs="Times New Roman"/>
                <w:color w:val="auto"/>
                <w:sz w:val="24"/>
                <w:szCs w:val="24"/>
                <w:u w:val="none" w:color="auto"/>
              </w:rPr>
              <w:t>级。</w:t>
            </w:r>
          </w:p>
          <w:p>
            <w:pPr>
              <w:snapToGrid w:val="0"/>
              <w:spacing w:line="360" w:lineRule="auto"/>
              <w:ind w:firstLine="47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根据估算模式预测结果</w:t>
            </w:r>
            <w:r>
              <w:rPr>
                <w:rFonts w:hint="eastAsia" w:cs="Times New Roman"/>
                <w:color w:val="auto"/>
                <w:sz w:val="24"/>
                <w:szCs w:val="24"/>
                <w:u w:val="none" w:color="auto"/>
                <w:lang w:val="en-US" w:eastAsia="zh-CN"/>
              </w:rPr>
              <w:t>和</w:t>
            </w:r>
            <w:r>
              <w:rPr>
                <w:rFonts w:hint="eastAsia" w:cs="Times New Roman"/>
                <w:color w:val="auto"/>
                <w:sz w:val="24"/>
                <w:u w:val="none" w:color="auto"/>
                <w:lang w:val="en-US" w:eastAsia="zh-CN"/>
              </w:rPr>
              <w:t>湖南中骏高新科技股份有限公司</w:t>
            </w:r>
            <w:r>
              <w:rPr>
                <w:rFonts w:hint="default" w:ascii="Times New Roman" w:hAnsi="Times New Roman" w:cs="Times New Roman"/>
                <w:color w:val="auto"/>
                <w:sz w:val="24"/>
                <w:u w:val="none" w:color="auto"/>
                <w:lang w:eastAsia="zh-CN"/>
              </w:rPr>
              <w:t>于</w:t>
            </w:r>
            <w:r>
              <w:rPr>
                <w:rFonts w:hint="default" w:ascii="Times New Roman" w:hAnsi="Times New Roman" w:cs="Times New Roman"/>
                <w:color w:val="auto"/>
                <w:sz w:val="24"/>
                <w:u w:val="none" w:color="auto"/>
                <w:lang w:val="en-US" w:eastAsia="zh-CN"/>
              </w:rPr>
              <w:t>20</w:t>
            </w:r>
            <w:r>
              <w:rPr>
                <w:rFonts w:hint="eastAsia" w:ascii="Times New Roman" w:hAnsi="Times New Roman" w:cs="Times New Roman"/>
                <w:color w:val="auto"/>
                <w:sz w:val="24"/>
                <w:u w:val="none" w:color="auto"/>
                <w:lang w:val="en-US" w:eastAsia="zh-CN"/>
              </w:rPr>
              <w:t>20</w:t>
            </w:r>
            <w:r>
              <w:rPr>
                <w:rFonts w:hint="default" w:ascii="Times New Roman" w:hAnsi="Times New Roman" w:cs="Times New Roman"/>
                <w:color w:val="auto"/>
                <w:sz w:val="24"/>
                <w:u w:val="none" w:color="auto"/>
                <w:lang w:val="en-US" w:eastAsia="zh-CN"/>
              </w:rPr>
              <w:t>年</w:t>
            </w:r>
            <w:r>
              <w:rPr>
                <w:rFonts w:hint="eastAsia" w:cs="Times New Roman"/>
                <w:color w:val="auto"/>
                <w:sz w:val="24"/>
                <w:u w:val="none" w:color="auto"/>
                <w:lang w:val="en-US" w:eastAsia="zh-CN"/>
              </w:rPr>
              <w:t>7</w:t>
            </w:r>
            <w:r>
              <w:rPr>
                <w:rFonts w:hint="default" w:ascii="Times New Roman" w:hAnsi="Times New Roman" w:cs="Times New Roman"/>
                <w:color w:val="auto"/>
                <w:sz w:val="24"/>
                <w:u w:val="none" w:color="auto"/>
                <w:lang w:val="en-US" w:eastAsia="zh-CN"/>
              </w:rPr>
              <w:t>月</w:t>
            </w:r>
            <w:r>
              <w:rPr>
                <w:rFonts w:hint="eastAsia" w:cs="Times New Roman"/>
                <w:color w:val="auto"/>
                <w:sz w:val="24"/>
                <w:u w:val="none" w:color="auto"/>
                <w:lang w:val="en-US" w:eastAsia="zh-CN"/>
              </w:rPr>
              <w:t>10-11</w:t>
            </w:r>
            <w:r>
              <w:rPr>
                <w:rFonts w:hint="default" w:ascii="Times New Roman" w:hAnsi="Times New Roman" w:cs="Times New Roman"/>
                <w:color w:val="auto"/>
                <w:sz w:val="24"/>
                <w:u w:val="none" w:color="auto"/>
                <w:lang w:val="en-US" w:eastAsia="zh-CN"/>
              </w:rPr>
              <w:t>日对其厂界上风向、下风向</w:t>
            </w:r>
            <w:r>
              <w:rPr>
                <w:rFonts w:hint="eastAsia" w:ascii="Times New Roman" w:hAnsi="Times New Roman" w:cs="Times New Roman"/>
                <w:color w:val="auto"/>
                <w:sz w:val="24"/>
                <w:u w:val="none" w:color="auto"/>
                <w:lang w:val="en-US" w:eastAsia="zh-CN"/>
              </w:rPr>
              <w:t>颗粒物</w:t>
            </w:r>
            <w:r>
              <w:rPr>
                <w:rFonts w:hint="eastAsia" w:cs="Times New Roman"/>
                <w:color w:val="auto"/>
                <w:sz w:val="24"/>
                <w:u w:val="none" w:color="auto"/>
                <w:lang w:val="en-US" w:eastAsia="zh-CN"/>
              </w:rPr>
              <w:t>、VOC</w:t>
            </w:r>
            <w:r>
              <w:rPr>
                <w:rFonts w:hint="eastAsia" w:cs="Times New Roman"/>
                <w:color w:val="auto"/>
                <w:sz w:val="24"/>
                <w:u w:val="none" w:color="auto"/>
                <w:vertAlign w:val="subscript"/>
                <w:lang w:val="en-US" w:eastAsia="zh-CN"/>
              </w:rPr>
              <w:t>S</w:t>
            </w:r>
            <w:r>
              <w:rPr>
                <w:rFonts w:hint="default" w:ascii="Times New Roman" w:hAnsi="Times New Roman" w:cs="Times New Roman"/>
                <w:color w:val="auto"/>
                <w:sz w:val="24"/>
                <w:u w:val="none" w:color="auto"/>
                <w:lang w:val="en-US" w:eastAsia="zh-CN"/>
              </w:rPr>
              <w:t>进行了监测</w:t>
            </w:r>
            <w:r>
              <w:rPr>
                <w:rFonts w:hint="eastAsia" w:cs="Times New Roman"/>
                <w:color w:val="auto"/>
                <w:sz w:val="24"/>
                <w:u w:val="none" w:color="auto"/>
                <w:lang w:val="en-US" w:eastAsia="zh-CN"/>
              </w:rPr>
              <w:t>可知</w:t>
            </w:r>
            <w:r>
              <w:rPr>
                <w:rFonts w:hint="default" w:ascii="Times New Roman" w:hAnsi="Times New Roman" w:cs="Times New Roman"/>
                <w:color w:val="auto"/>
                <w:sz w:val="24"/>
                <w:szCs w:val="24"/>
                <w:u w:val="none" w:color="auto"/>
              </w:rPr>
              <w:t>，项目营运期产生的</w:t>
            </w:r>
            <w:r>
              <w:rPr>
                <w:rFonts w:hint="default" w:ascii="Times New Roman" w:hAnsi="Times New Roman" w:eastAsia="宋体" w:cs="Times New Roman"/>
                <w:color w:val="auto"/>
                <w:kern w:val="0"/>
                <w:sz w:val="24"/>
                <w:szCs w:val="24"/>
                <w:u w:val="none" w:color="auto"/>
                <w:lang w:val="en-US" w:eastAsia="zh-CN" w:bidi="ar"/>
              </w:rPr>
              <w:t>颗粒物</w:t>
            </w:r>
            <w:r>
              <w:rPr>
                <w:rFonts w:hint="eastAsia" w:cs="Times New Roman"/>
                <w:color w:val="auto"/>
                <w:kern w:val="0"/>
                <w:sz w:val="24"/>
                <w:szCs w:val="24"/>
                <w:u w:val="none" w:color="auto"/>
                <w:lang w:val="en-US" w:eastAsia="zh-CN" w:bidi="ar"/>
              </w:rPr>
              <w:t>满足</w:t>
            </w:r>
            <w:r>
              <w:rPr>
                <w:rFonts w:hint="default" w:ascii="Times New Roman" w:hAnsi="Times New Roman" w:eastAsia="宋体" w:cs="Times New Roman"/>
                <w:color w:val="auto"/>
                <w:kern w:val="0"/>
                <w:sz w:val="24"/>
                <w:szCs w:val="24"/>
                <w:u w:val="none" w:color="auto"/>
                <w:lang w:val="en-US" w:eastAsia="zh-CN" w:bidi="ar"/>
              </w:rPr>
              <w:t>《大气污染物综合排放标准》（GB16297-1996）表2的二级标准</w:t>
            </w:r>
            <w:r>
              <w:rPr>
                <w:rFonts w:hint="eastAsia" w:ascii="Times New Roman" w:hAnsi="Times New Roman" w:cs="Times New Roman"/>
                <w:color w:val="auto"/>
                <w:kern w:val="0"/>
                <w:sz w:val="24"/>
                <w:szCs w:val="24"/>
                <w:u w:val="none" w:color="auto"/>
                <w:lang w:val="en-US" w:eastAsia="zh-CN" w:bidi="ar"/>
              </w:rPr>
              <w:t>和无组织排放标准</w:t>
            </w:r>
            <w:r>
              <w:rPr>
                <w:rFonts w:hint="default" w:ascii="Times New Roman" w:hAnsi="Times New Roman" w:eastAsia="宋体" w:cs="Times New Roman"/>
                <w:color w:val="auto"/>
                <w:kern w:val="0"/>
                <w:sz w:val="24"/>
                <w:szCs w:val="24"/>
                <w:u w:val="none" w:color="auto"/>
                <w:lang w:val="en-US" w:eastAsia="zh-CN" w:bidi="ar"/>
              </w:rPr>
              <w:t>，有机废气</w:t>
            </w:r>
            <w:r>
              <w:rPr>
                <w:rFonts w:hint="eastAsia" w:cs="Times New Roman"/>
                <w:color w:val="auto"/>
                <w:kern w:val="0"/>
                <w:sz w:val="24"/>
                <w:szCs w:val="24"/>
                <w:u w:val="none" w:color="auto"/>
                <w:lang w:val="en-US" w:eastAsia="zh-CN" w:bidi="ar"/>
              </w:rPr>
              <w:t>满足</w:t>
            </w:r>
            <w:r>
              <w:rPr>
                <w:rFonts w:hint="default" w:ascii="Times New Roman" w:hAnsi="Times New Roman" w:eastAsia="宋体" w:cs="Times New Roman"/>
                <w:color w:val="auto"/>
                <w:kern w:val="0"/>
                <w:sz w:val="24"/>
                <w:szCs w:val="24"/>
                <w:u w:val="none" w:color="auto"/>
                <w:lang w:val="en-US" w:eastAsia="zh-CN" w:bidi="ar"/>
              </w:rPr>
              <w:t>《表面涂装（汽车制造及维修）挥发性有机物、镍排放标准》 （DB43/1356-2017）</w:t>
            </w:r>
            <w:r>
              <w:rPr>
                <w:rFonts w:hint="eastAsia" w:cs="Times New Roman"/>
                <w:color w:val="auto"/>
                <w:kern w:val="0"/>
                <w:sz w:val="24"/>
                <w:szCs w:val="24"/>
                <w:u w:val="none" w:color="auto"/>
                <w:lang w:val="en-US" w:eastAsia="zh-CN" w:bidi="ar"/>
              </w:rPr>
              <w:t>表1、表3排放标准要求</w:t>
            </w:r>
            <w:r>
              <w:rPr>
                <w:rFonts w:hint="default"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厂区内</w:t>
            </w:r>
            <w:r>
              <w:rPr>
                <w:rFonts w:hint="default" w:ascii="Times New Roman" w:hAnsi="Times New Roman" w:eastAsia="宋体" w:cs="Times New Roman"/>
                <w:color w:val="auto"/>
                <w:kern w:val="0"/>
                <w:sz w:val="24"/>
                <w:szCs w:val="24"/>
                <w:u w:val="none" w:color="auto"/>
                <w:lang w:val="en-US" w:eastAsia="zh-CN" w:bidi="ar"/>
              </w:rPr>
              <w:t>无组织有机废气排放</w:t>
            </w:r>
            <w:r>
              <w:rPr>
                <w:rFonts w:hint="eastAsia" w:cs="Times New Roman"/>
                <w:color w:val="auto"/>
                <w:kern w:val="0"/>
                <w:sz w:val="24"/>
                <w:szCs w:val="24"/>
                <w:u w:val="none" w:color="auto"/>
                <w:lang w:val="en-US" w:eastAsia="zh-CN" w:bidi="ar"/>
              </w:rPr>
              <w:t>满足</w:t>
            </w:r>
            <w:r>
              <w:rPr>
                <w:rFonts w:hint="default" w:ascii="Times New Roman" w:hAnsi="Times New Roman" w:eastAsia="宋体" w:cs="Times New Roman"/>
                <w:color w:val="auto"/>
                <w:kern w:val="0"/>
                <w:sz w:val="24"/>
                <w:szCs w:val="24"/>
                <w:u w:val="none" w:color="auto"/>
                <w:lang w:val="en-US" w:eastAsia="zh-CN" w:bidi="ar"/>
              </w:rPr>
              <w:t>《挥发性有机物无组织排放控制标准》（GB37822-2019）中限值要求</w:t>
            </w:r>
            <w:r>
              <w:rPr>
                <w:rFonts w:hint="default" w:ascii="Times New Roman" w:hAnsi="Times New Roman" w:cs="Times New Roman"/>
                <w:color w:val="auto"/>
                <w:sz w:val="24"/>
                <w:szCs w:val="24"/>
                <w:u w:val="none" w:color="auto"/>
              </w:rPr>
              <w:t>，对周围环境影响较小</w:t>
            </w:r>
            <w:r>
              <w:rPr>
                <w:rFonts w:hint="default" w:ascii="Times New Roman" w:hAnsi="Times New Roman" w:cs="Times New Roman"/>
                <w:color w:val="auto"/>
                <w:sz w:val="24"/>
                <w:szCs w:val="24"/>
                <w:u w:val="none" w:color="auto"/>
                <w:lang w:val="en-US" w:eastAsia="zh-CN"/>
              </w:rPr>
              <w:t>。</w:t>
            </w:r>
          </w:p>
          <w:p>
            <w:pPr>
              <w:pStyle w:val="167"/>
              <w:numPr>
                <w:ilvl w:val="0"/>
                <w:numId w:val="0"/>
              </w:numPr>
              <w:spacing w:line="360" w:lineRule="auto"/>
              <w:ind w:left="400" w:leftChars="0"/>
              <w:jc w:val="left"/>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污染物排放达标分析</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根据《大气污染物综合排放标准》（GB16297-1996）由“7.4新污染源的排气筒一般不低于15米”；“7.1还应高出周围200米半径范围的建筑5m以上”；</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eastAsia="zh-CN"/>
              </w:rPr>
              <w:t>共</w:t>
            </w:r>
            <w:r>
              <w:rPr>
                <w:rFonts w:hint="default" w:ascii="Times New Roman" w:hAnsi="Times New Roman" w:cs="Times New Roman"/>
                <w:color w:val="auto"/>
                <w:sz w:val="24"/>
                <w:szCs w:val="24"/>
                <w:u w:val="none" w:color="auto"/>
              </w:rPr>
              <w:t>设置</w:t>
            </w:r>
            <w:r>
              <w:rPr>
                <w:rFonts w:hint="eastAsia" w:cs="Times New Roman"/>
                <w:color w:val="auto"/>
                <w:sz w:val="24"/>
                <w:szCs w:val="24"/>
                <w:u w:val="none" w:color="auto"/>
                <w:lang w:val="en-US" w:eastAsia="zh-CN"/>
              </w:rPr>
              <w:t>1个排气筒（</w:t>
            </w:r>
            <w:r>
              <w:rPr>
                <w:rFonts w:hint="eastAsia"/>
                <w:color w:val="auto"/>
                <w:sz w:val="24"/>
                <w:szCs w:val="24"/>
                <w:u w:val="none" w:color="auto"/>
                <w:lang w:val="en-US" w:eastAsia="zh-CN"/>
              </w:rPr>
              <w:t>喷漆烘干废气排气筒</w:t>
            </w:r>
            <w:r>
              <w:rPr>
                <w:rFonts w:hint="eastAsia" w:cs="Times New Roman"/>
                <w:color w:val="auto"/>
                <w:sz w:val="24"/>
                <w:szCs w:val="24"/>
                <w:u w:val="none" w:color="auto"/>
                <w:lang w:val="en-US" w:eastAsia="zh-CN"/>
              </w:rPr>
              <w:t>），其</w:t>
            </w:r>
            <w:r>
              <w:rPr>
                <w:rFonts w:hint="default" w:ascii="Times New Roman" w:hAnsi="Times New Roman" w:cs="Times New Roman"/>
                <w:color w:val="auto"/>
                <w:sz w:val="24"/>
                <w:szCs w:val="24"/>
                <w:u w:val="none" w:color="auto"/>
              </w:rPr>
              <w:t>排气筒高度为15m，根据现场调查，项目厂区附近200m范围内所有建筑高度不超过</w:t>
            </w:r>
            <w:r>
              <w:rPr>
                <w:rFonts w:hint="eastAsia" w:cs="Times New Roman"/>
                <w:color w:val="auto"/>
                <w:sz w:val="24"/>
                <w:szCs w:val="24"/>
                <w:u w:val="none" w:color="auto"/>
                <w:lang w:val="en-US" w:eastAsia="zh-CN"/>
              </w:rPr>
              <w:t>10</w:t>
            </w:r>
            <w:r>
              <w:rPr>
                <w:rFonts w:hint="default" w:ascii="Times New Roman" w:hAnsi="Times New Roman" w:cs="Times New Roman"/>
                <w:color w:val="auto"/>
                <w:sz w:val="24"/>
                <w:szCs w:val="24"/>
                <w:u w:val="none" w:color="auto"/>
              </w:rPr>
              <w:t>米，项目生产车间等标高约为</w:t>
            </w:r>
            <w:r>
              <w:rPr>
                <w:rFonts w:hint="eastAsia"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rPr>
              <w:t>m。项目排气筒位置、高度均严格按照生产工艺特征、国家标准进行设置，总体而言是合理的。</w:t>
            </w:r>
          </w:p>
          <w:p>
            <w:pPr>
              <w:spacing w:line="360" w:lineRule="auto"/>
              <w:ind w:firstLine="466" w:firstLineChars="200"/>
              <w:jc w:val="left"/>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污染物排放量核算</w:t>
            </w:r>
          </w:p>
          <w:p>
            <w:pPr>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①有组织排放量核算</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rPr>
              <w:t xml:space="preserve"> 大气污染物有组织排放量核算表</w:t>
            </w:r>
          </w:p>
          <w:tbl>
            <w:tblPr>
              <w:tblStyle w:val="40"/>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24"/>
              <w:gridCol w:w="1596"/>
              <w:gridCol w:w="1135"/>
              <w:gridCol w:w="2136"/>
              <w:gridCol w:w="1875"/>
              <w:gridCol w:w="18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89"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880"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排放口编号</w:t>
                  </w:r>
                </w:p>
              </w:tc>
              <w:tc>
                <w:tcPr>
                  <w:tcW w:w="626"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1178"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核算排放浓度（mg/m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rPr>
                    <w:t>）</w:t>
                  </w:r>
                </w:p>
              </w:tc>
              <w:tc>
                <w:tcPr>
                  <w:tcW w:w="1031"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核算排放速率（kg/h）</w:t>
                  </w:r>
                </w:p>
              </w:tc>
              <w:tc>
                <w:tcPr>
                  <w:tcW w:w="992"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核算年排放量（t/a）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5000" w:type="pct"/>
                  <w:gridSpan w:val="6"/>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主要排放口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289" w:type="pct"/>
                  <w:vMerge w:val="restar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w:t>
                  </w:r>
                </w:p>
              </w:tc>
              <w:tc>
                <w:tcPr>
                  <w:tcW w:w="880" w:type="pct"/>
                  <w:vMerge w:val="restart"/>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olor w:val="auto"/>
                      <w:sz w:val="22"/>
                      <w:szCs w:val="22"/>
                      <w:u w:val="none" w:color="auto"/>
                      <w:lang w:val="en-US" w:eastAsia="zh-CN"/>
                    </w:rPr>
                    <w:t>喷漆烘干废气排气筒</w:t>
                  </w:r>
                </w:p>
              </w:tc>
              <w:tc>
                <w:tcPr>
                  <w:tcW w:w="626" w:type="pc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VOCs</w:t>
                  </w:r>
                </w:p>
              </w:tc>
              <w:tc>
                <w:tcPr>
                  <w:tcW w:w="1178"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1031"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0.018</w:t>
                  </w:r>
                </w:p>
              </w:tc>
              <w:tc>
                <w:tcPr>
                  <w:tcW w:w="992"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13" w:hRule="atLeast"/>
              </w:trPr>
              <w:tc>
                <w:tcPr>
                  <w:tcW w:w="289" w:type="pct"/>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880" w:type="pct"/>
                  <w:vMerge w:val="continue"/>
                  <w:tcBorders>
                    <w:tl2br w:val="nil"/>
                    <w:tr2bl w:val="nil"/>
                  </w:tcBorders>
                  <w:vAlign w:val="center"/>
                </w:tcPr>
                <w:p>
                  <w:pPr>
                    <w:spacing w:line="360" w:lineRule="auto"/>
                    <w:jc w:val="center"/>
                    <w:rPr>
                      <w:rFonts w:hint="eastAsia" w:cs="Times New Roman"/>
                      <w:color w:val="auto"/>
                      <w:sz w:val="22"/>
                      <w:szCs w:val="22"/>
                      <w:u w:val="none" w:color="auto"/>
                      <w:lang w:val="en-US" w:eastAsia="zh-CN"/>
                    </w:rPr>
                  </w:pPr>
                </w:p>
              </w:tc>
              <w:tc>
                <w:tcPr>
                  <w:tcW w:w="626" w:type="pc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ascii="Times New Roman" w:hAnsi="Times New Roman" w:cs="Times New Roman"/>
                      <w:color w:val="auto"/>
                      <w:sz w:val="22"/>
                      <w:szCs w:val="22"/>
                      <w:u w:val="none" w:color="auto"/>
                      <w:lang w:eastAsia="zh-CN"/>
                    </w:rPr>
                    <w:t>颗粒物</w:t>
                  </w:r>
                </w:p>
              </w:tc>
              <w:tc>
                <w:tcPr>
                  <w:tcW w:w="1178"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2.0</w:t>
                  </w:r>
                </w:p>
              </w:tc>
              <w:tc>
                <w:tcPr>
                  <w:tcW w:w="1031"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0.006</w:t>
                  </w:r>
                </w:p>
              </w:tc>
              <w:tc>
                <w:tcPr>
                  <w:tcW w:w="992"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4007" w:type="pct"/>
                  <w:gridSpan w:val="5"/>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有组织排放总计</w:t>
                  </w:r>
                </w:p>
              </w:tc>
              <w:tc>
                <w:tcPr>
                  <w:tcW w:w="992"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0.036</w:t>
                  </w:r>
                </w:p>
              </w:tc>
            </w:tr>
          </w:tbl>
          <w:p>
            <w:pPr>
              <w:spacing w:line="360" w:lineRule="auto"/>
              <w:ind w:firstLine="466" w:firstLineChars="200"/>
              <w:jc w:val="left"/>
              <w:rPr>
                <w:rFonts w:hint="default" w:ascii="Times New Roman" w:hAnsi="Times New Roman" w:cs="Times New Roman"/>
                <w:color w:val="auto"/>
                <w:sz w:val="24"/>
                <w:szCs w:val="24"/>
                <w:u w:val="none" w:color="auto"/>
              </w:rPr>
            </w:pPr>
          </w:p>
          <w:p>
            <w:pPr>
              <w:spacing w:line="360" w:lineRule="auto"/>
              <w:ind w:firstLine="466" w:firstLineChars="200"/>
              <w:jc w:val="left"/>
              <w:rPr>
                <w:rFonts w:hint="default" w:ascii="Times New Roman" w:hAnsi="Times New Roman" w:cs="Times New Roman"/>
                <w:color w:val="auto"/>
                <w:sz w:val="24"/>
                <w:szCs w:val="24"/>
                <w:u w:val="none" w:color="auto"/>
              </w:rPr>
            </w:pPr>
          </w:p>
          <w:p>
            <w:pPr>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②无组织排放量核算</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rPr>
              <w:t xml:space="preserve"> 大气污染物无组织排放量核算表</w:t>
            </w:r>
          </w:p>
          <w:tbl>
            <w:tblPr>
              <w:tblStyle w:val="40"/>
              <w:tblW w:w="90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7"/>
              <w:gridCol w:w="1049"/>
              <w:gridCol w:w="1347"/>
              <w:gridCol w:w="789"/>
              <w:gridCol w:w="1044"/>
              <w:gridCol w:w="1950"/>
              <w:gridCol w:w="1269"/>
              <w:gridCol w:w="11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42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1049"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排放口</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编号</w:t>
                  </w:r>
                </w:p>
              </w:tc>
              <w:tc>
                <w:tcPr>
                  <w:tcW w:w="134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产污环节</w:t>
                  </w:r>
                </w:p>
              </w:tc>
              <w:tc>
                <w:tcPr>
                  <w:tcW w:w="789"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1044"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主要污染防治措施</w:t>
                  </w:r>
                </w:p>
              </w:tc>
              <w:tc>
                <w:tcPr>
                  <w:tcW w:w="3219" w:type="dxa"/>
                  <w:gridSpan w:val="2"/>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国家或地方污染物排放标准</w:t>
                  </w:r>
                </w:p>
              </w:tc>
              <w:tc>
                <w:tcPr>
                  <w:tcW w:w="114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42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049"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34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789"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044"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标准名称</w:t>
                  </w:r>
                </w:p>
              </w:tc>
              <w:tc>
                <w:tcPr>
                  <w:tcW w:w="126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浓度限值（mg/m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rPr>
                    <w:t>）</w:t>
                  </w:r>
                </w:p>
              </w:tc>
              <w:tc>
                <w:tcPr>
                  <w:tcW w:w="114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2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1049"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喷漆</w:t>
                  </w:r>
                </w:p>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烘干</w:t>
                  </w:r>
                  <w:r>
                    <w:rPr>
                      <w:rFonts w:hint="eastAsia" w:cs="Times New Roman"/>
                      <w:color w:val="auto"/>
                      <w:sz w:val="22"/>
                      <w:szCs w:val="22"/>
                      <w:u w:val="none" w:color="auto"/>
                      <w:lang w:eastAsia="zh-CN"/>
                    </w:rPr>
                    <w:t>房</w:t>
                  </w:r>
                </w:p>
              </w:tc>
              <w:tc>
                <w:tcPr>
                  <w:tcW w:w="1347" w:type="dxa"/>
                  <w:vMerge w:val="restart"/>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喷漆</w:t>
                  </w:r>
                  <w:r>
                    <w:rPr>
                      <w:rFonts w:hint="eastAsia" w:cs="Times New Roman"/>
                      <w:color w:val="auto"/>
                      <w:sz w:val="22"/>
                      <w:szCs w:val="22"/>
                      <w:u w:val="none" w:color="auto"/>
                      <w:lang w:eastAsia="zh-CN"/>
                    </w:rPr>
                    <w:t>、</w:t>
                  </w:r>
                  <w:r>
                    <w:rPr>
                      <w:rFonts w:hint="eastAsia" w:cs="Times New Roman"/>
                      <w:color w:val="auto"/>
                      <w:sz w:val="22"/>
                      <w:szCs w:val="22"/>
                      <w:u w:val="none" w:color="auto"/>
                      <w:lang w:val="en-US" w:eastAsia="zh-CN"/>
                    </w:rPr>
                    <w:t>烘干</w:t>
                  </w:r>
                </w:p>
              </w:tc>
              <w:tc>
                <w:tcPr>
                  <w:tcW w:w="789"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颗粒物</w:t>
                  </w:r>
                </w:p>
              </w:tc>
              <w:tc>
                <w:tcPr>
                  <w:tcW w:w="1044"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w:t>
                  </w: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r>
                    <w:rPr>
                      <w:bCs/>
                      <w:color w:val="auto"/>
                      <w:sz w:val="22"/>
                      <w:szCs w:val="22"/>
                    </w:rPr>
                    <w:t>GB4915-20</w:t>
                  </w:r>
                  <w:r>
                    <w:rPr>
                      <w:rFonts w:hint="eastAsia"/>
                      <w:bCs/>
                      <w:color w:val="auto"/>
                      <w:sz w:val="22"/>
                      <w:szCs w:val="22"/>
                    </w:rPr>
                    <w:t>13</w:t>
                  </w:r>
                  <w:r>
                    <w:rPr>
                      <w:rFonts w:hint="default" w:ascii="Times New Roman" w:hAnsi="Times New Roman" w:cs="Times New Roman"/>
                      <w:color w:val="auto"/>
                      <w:sz w:val="22"/>
                      <w:szCs w:val="22"/>
                      <w:u w:val="none" w:color="auto"/>
                    </w:rPr>
                    <w:t>）</w:t>
                  </w:r>
                </w:p>
              </w:tc>
              <w:tc>
                <w:tcPr>
                  <w:tcW w:w="126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w:t>
                  </w:r>
                </w:p>
              </w:tc>
              <w:tc>
                <w:tcPr>
                  <w:tcW w:w="114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9" w:hRule="atLeast"/>
              </w:trPr>
              <w:tc>
                <w:tcPr>
                  <w:tcW w:w="42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049"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34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78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VOCs</w:t>
                  </w:r>
                </w:p>
              </w:tc>
              <w:tc>
                <w:tcPr>
                  <w:tcW w:w="1044"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w:t>
                  </w: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r>
                    <w:rPr>
                      <w:rFonts w:hint="default" w:ascii="Times New Roman" w:hAnsi="Times New Roman" w:eastAsia="宋体" w:cs="Times New Roman"/>
                      <w:color w:val="auto"/>
                      <w:kern w:val="0"/>
                      <w:sz w:val="22"/>
                      <w:szCs w:val="22"/>
                      <w:u w:val="none" w:color="auto"/>
                      <w:lang w:val="en-US" w:eastAsia="zh-CN" w:bidi="ar"/>
                    </w:rPr>
                    <w:t>GB37822-2019</w:t>
                  </w:r>
                  <w:r>
                    <w:rPr>
                      <w:rFonts w:hint="default" w:ascii="Times New Roman" w:hAnsi="Times New Roman" w:cs="Times New Roman"/>
                      <w:color w:val="auto"/>
                      <w:sz w:val="22"/>
                      <w:szCs w:val="22"/>
                      <w:u w:val="none" w:color="auto"/>
                    </w:rPr>
                    <w:t>）</w:t>
                  </w:r>
                </w:p>
              </w:tc>
              <w:tc>
                <w:tcPr>
                  <w:tcW w:w="1269" w:type="dxa"/>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30</w:t>
                  </w:r>
                </w:p>
              </w:tc>
              <w:tc>
                <w:tcPr>
                  <w:tcW w:w="114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427"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w:t>
                  </w:r>
                </w:p>
              </w:tc>
              <w:tc>
                <w:tcPr>
                  <w:tcW w:w="1049" w:type="dxa"/>
                  <w:tcBorders>
                    <w:tl2br w:val="nil"/>
                    <w:tr2bl w:val="nil"/>
                  </w:tcBorders>
                  <w:vAlign w:val="center"/>
                </w:tcPr>
                <w:p>
                  <w:pPr>
                    <w:pStyle w:val="186"/>
                    <w:jc w:val="center"/>
                    <w:rPr>
                      <w:rFonts w:hint="eastAsia" w:cs="Times New Roman"/>
                      <w:color w:val="auto"/>
                      <w:sz w:val="22"/>
                      <w:szCs w:val="22"/>
                      <w:u w:val="none" w:color="auto"/>
                      <w:lang w:eastAsia="zh-CN"/>
                    </w:rPr>
                  </w:pPr>
                  <w:r>
                    <w:rPr>
                      <w:rFonts w:hint="eastAsia"/>
                      <w:color w:val="auto"/>
                      <w:kern w:val="2"/>
                      <w:sz w:val="22"/>
                      <w:szCs w:val="22"/>
                      <w:u w:val="none" w:color="auto"/>
                      <w:lang w:val="en-US" w:eastAsia="zh-CN" w:bidi="ar-SA"/>
                    </w:rPr>
                    <w:t>水泥筒仓粉尘</w:t>
                  </w:r>
                </w:p>
              </w:tc>
              <w:tc>
                <w:tcPr>
                  <w:tcW w:w="134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进料、出料</w:t>
                  </w:r>
                </w:p>
              </w:tc>
              <w:tc>
                <w:tcPr>
                  <w:tcW w:w="789"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粉尘</w:t>
                  </w:r>
                </w:p>
              </w:tc>
              <w:tc>
                <w:tcPr>
                  <w:tcW w:w="1044" w:type="dxa"/>
                  <w:vMerge w:val="restart"/>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脉冲式布袋除尘器</w:t>
                  </w: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r>
                    <w:rPr>
                      <w:bCs/>
                      <w:color w:val="auto"/>
                      <w:sz w:val="22"/>
                      <w:szCs w:val="22"/>
                    </w:rPr>
                    <w:t>GB4915-20</w:t>
                  </w:r>
                  <w:r>
                    <w:rPr>
                      <w:rFonts w:hint="eastAsia"/>
                      <w:bCs/>
                      <w:color w:val="auto"/>
                      <w:sz w:val="22"/>
                      <w:szCs w:val="22"/>
                    </w:rPr>
                    <w:t>13</w:t>
                  </w:r>
                  <w:r>
                    <w:rPr>
                      <w:rFonts w:hint="default" w:ascii="Times New Roman" w:hAnsi="Times New Roman" w:cs="Times New Roman"/>
                      <w:color w:val="auto"/>
                      <w:sz w:val="22"/>
                      <w:szCs w:val="22"/>
                      <w:u w:val="none" w:color="auto"/>
                    </w:rPr>
                    <w:t>）</w:t>
                  </w:r>
                </w:p>
              </w:tc>
              <w:tc>
                <w:tcPr>
                  <w:tcW w:w="126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w:t>
                  </w:r>
                </w:p>
              </w:tc>
              <w:tc>
                <w:tcPr>
                  <w:tcW w:w="114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0.00117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427"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3</w:t>
                  </w:r>
                </w:p>
              </w:tc>
              <w:tc>
                <w:tcPr>
                  <w:tcW w:w="1049" w:type="dxa"/>
                  <w:tcBorders>
                    <w:tl2br w:val="nil"/>
                    <w:tr2bl w:val="nil"/>
                  </w:tcBorders>
                  <w:vAlign w:val="center"/>
                </w:tcPr>
                <w:p>
                  <w:pPr>
                    <w:pStyle w:val="186"/>
                    <w:jc w:val="center"/>
                    <w:rPr>
                      <w:rFonts w:hint="default" w:cs="Times New Roman"/>
                      <w:color w:val="auto"/>
                      <w:sz w:val="22"/>
                      <w:szCs w:val="22"/>
                      <w:u w:val="none" w:color="auto"/>
                      <w:lang w:val="en-US" w:eastAsia="zh-CN"/>
                    </w:rPr>
                  </w:pPr>
                  <w:r>
                    <w:rPr>
                      <w:rFonts w:hint="eastAsia"/>
                      <w:color w:val="auto"/>
                      <w:sz w:val="22"/>
                      <w:szCs w:val="22"/>
                      <w:u w:val="none" w:color="auto"/>
                      <w:lang w:val="en-US" w:eastAsia="zh-CN"/>
                    </w:rPr>
                    <w:t>石粉筒仓粉尘</w:t>
                  </w:r>
                </w:p>
              </w:tc>
              <w:tc>
                <w:tcPr>
                  <w:tcW w:w="1347" w:type="dxa"/>
                  <w:tcBorders>
                    <w:tl2br w:val="nil"/>
                    <w:tr2bl w:val="nil"/>
                  </w:tcBorders>
                  <w:vAlign w:val="center"/>
                </w:tcPr>
                <w:p>
                  <w:pPr>
                    <w:spacing w:line="360" w:lineRule="auto"/>
                    <w:jc w:val="center"/>
                    <w:rPr>
                      <w:rFonts w:hint="eastAsia" w:cs="Times New Roman"/>
                      <w:color w:val="auto"/>
                      <w:sz w:val="22"/>
                      <w:szCs w:val="22"/>
                      <w:u w:val="none" w:color="auto"/>
                      <w:lang w:eastAsia="zh-CN"/>
                    </w:rPr>
                  </w:pPr>
                  <w:r>
                    <w:rPr>
                      <w:rFonts w:hint="eastAsia" w:cs="Times New Roman"/>
                      <w:color w:val="auto"/>
                      <w:sz w:val="22"/>
                      <w:szCs w:val="22"/>
                      <w:u w:val="none" w:color="auto"/>
                      <w:lang w:val="en-US" w:eastAsia="zh-CN"/>
                    </w:rPr>
                    <w:t>进料、出料</w:t>
                  </w:r>
                </w:p>
              </w:tc>
              <w:tc>
                <w:tcPr>
                  <w:tcW w:w="789"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粉尘</w:t>
                  </w:r>
                </w:p>
              </w:tc>
              <w:tc>
                <w:tcPr>
                  <w:tcW w:w="1044" w:type="dxa"/>
                  <w:vMerge w:val="continue"/>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r>
                    <w:rPr>
                      <w:bCs/>
                      <w:color w:val="auto"/>
                      <w:sz w:val="22"/>
                      <w:szCs w:val="22"/>
                    </w:rPr>
                    <w:t>GB4915-20</w:t>
                  </w:r>
                  <w:r>
                    <w:rPr>
                      <w:rFonts w:hint="eastAsia"/>
                      <w:bCs/>
                      <w:color w:val="auto"/>
                      <w:sz w:val="22"/>
                      <w:szCs w:val="22"/>
                    </w:rPr>
                    <w:t>13</w:t>
                  </w:r>
                  <w:r>
                    <w:rPr>
                      <w:rFonts w:hint="default" w:ascii="Times New Roman" w:hAnsi="Times New Roman" w:cs="Times New Roman"/>
                      <w:color w:val="auto"/>
                      <w:sz w:val="22"/>
                      <w:szCs w:val="22"/>
                      <w:u w:val="none" w:color="auto"/>
                    </w:rPr>
                    <w:t>）</w:t>
                  </w:r>
                </w:p>
              </w:tc>
              <w:tc>
                <w:tcPr>
                  <w:tcW w:w="1269" w:type="dxa"/>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c>
                <w:tcPr>
                  <w:tcW w:w="1147"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0.000195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7875" w:type="dxa"/>
                  <w:gridSpan w:val="7"/>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无组织排放量总计</w:t>
                  </w:r>
                </w:p>
              </w:tc>
              <w:tc>
                <w:tcPr>
                  <w:tcW w:w="114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22"/>
                      <w:szCs w:val="22"/>
                      <w:u w:val="none" w:color="auto"/>
                      <w:lang w:val="en-US" w:eastAsia="zh-CN" w:bidi="ar-SA"/>
                    </w:rPr>
                  </w:pPr>
                  <w:r>
                    <w:rPr>
                      <w:rFonts w:hint="eastAsia" w:cs="Times New Roman"/>
                      <w:i w:val="0"/>
                      <w:color w:val="auto"/>
                      <w:kern w:val="2"/>
                      <w:sz w:val="22"/>
                      <w:szCs w:val="22"/>
                      <w:u w:val="none" w:color="auto"/>
                      <w:lang w:val="en-US" w:eastAsia="zh-CN" w:bidi="ar-SA"/>
                    </w:rPr>
                    <w:t>0.026365</w:t>
                  </w:r>
                </w:p>
              </w:tc>
            </w:tr>
          </w:tbl>
          <w:p>
            <w:pPr>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③项目大气污染物年排放量核算</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10</w:t>
            </w:r>
            <w:r>
              <w:rPr>
                <w:rFonts w:hint="default" w:ascii="Times New Roman" w:hAnsi="Times New Roman" w:cs="Times New Roman"/>
                <w:color w:val="auto"/>
                <w:sz w:val="24"/>
                <w:szCs w:val="24"/>
                <w:u w:val="none" w:color="auto"/>
              </w:rPr>
              <w:t>大气污染物年排放量核算表</w:t>
            </w:r>
          </w:p>
          <w:tbl>
            <w:tblPr>
              <w:tblStyle w:val="40"/>
              <w:tblW w:w="90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12"/>
              <w:gridCol w:w="2999"/>
              <w:gridCol w:w="4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2"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2999"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4211"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2"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2999" w:type="dxa"/>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颗粒物</w:t>
                  </w:r>
                </w:p>
              </w:tc>
              <w:tc>
                <w:tcPr>
                  <w:tcW w:w="4211" w:type="dxa"/>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0.020365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2"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2</w:t>
                  </w:r>
                </w:p>
              </w:tc>
              <w:tc>
                <w:tcPr>
                  <w:tcW w:w="2999"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VOCs</w:t>
                  </w:r>
                </w:p>
              </w:tc>
              <w:tc>
                <w:tcPr>
                  <w:tcW w:w="4211" w:type="dxa"/>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0.042</w:t>
                  </w:r>
                </w:p>
              </w:tc>
            </w:tr>
          </w:tbl>
          <w:p>
            <w:pPr>
              <w:pStyle w:val="34"/>
              <w:spacing w:line="360" w:lineRule="auto"/>
              <w:ind w:left="400"/>
              <w:rPr>
                <w:rFonts w:hint="default"/>
                <w:color w:val="auto"/>
                <w:sz w:val="24"/>
                <w:szCs w:val="24"/>
                <w:u w:val="none" w:color="auto"/>
              </w:rPr>
            </w:pPr>
            <w:r>
              <w:rPr>
                <w:rFonts w:hint="eastAsia" w:cs="Times New Roman"/>
                <w:b/>
                <w:bCs/>
                <w:color w:val="auto"/>
                <w:sz w:val="24"/>
                <w:szCs w:val="24"/>
                <w:u w:val="none" w:color="auto"/>
                <w:lang w:eastAsia="zh-CN"/>
              </w:rPr>
              <w:t>喷漆</w:t>
            </w:r>
            <w:r>
              <w:rPr>
                <w:rFonts w:hint="eastAsia" w:cs="Times New Roman"/>
                <w:b/>
                <w:bCs/>
                <w:color w:val="auto"/>
                <w:sz w:val="24"/>
                <w:szCs w:val="24"/>
                <w:u w:val="none" w:color="auto"/>
                <w:lang w:val="en-US" w:eastAsia="zh-CN"/>
              </w:rPr>
              <w:t>烘干</w:t>
            </w:r>
            <w:r>
              <w:rPr>
                <w:rFonts w:hint="default" w:ascii="Times New Roman" w:hAnsi="Times New Roman" w:cs="Times New Roman"/>
                <w:b/>
                <w:bCs/>
                <w:color w:val="auto"/>
                <w:sz w:val="24"/>
                <w:szCs w:val="24"/>
                <w:u w:val="none" w:color="auto"/>
              </w:rPr>
              <w:t>废气</w:t>
            </w:r>
            <w:r>
              <w:rPr>
                <w:rFonts w:hint="eastAsia" w:cs="Times New Roman"/>
                <w:b/>
                <w:bCs/>
                <w:color w:val="auto"/>
                <w:sz w:val="24"/>
                <w:szCs w:val="24"/>
                <w:u w:val="none" w:color="auto"/>
                <w:lang w:eastAsia="zh-CN"/>
              </w:rPr>
              <w:t>处理设施</w:t>
            </w:r>
            <w:r>
              <w:rPr>
                <w:rFonts w:hint="default"/>
                <w:b/>
                <w:bCs/>
                <w:color w:val="auto"/>
                <w:sz w:val="24"/>
                <w:szCs w:val="24"/>
                <w:u w:val="none" w:color="auto"/>
              </w:rPr>
              <w:t>可行性分析</w:t>
            </w:r>
            <w:r>
              <w:rPr>
                <w:rFonts w:hint="default"/>
                <w:color w:val="auto"/>
                <w:sz w:val="24"/>
                <w:szCs w:val="24"/>
                <w:u w:val="none" w:color="auto"/>
              </w:rPr>
              <w:t xml:space="preserve"> </w:t>
            </w:r>
          </w:p>
          <w:p>
            <w:pPr>
              <w:pStyle w:val="174"/>
              <w:spacing w:line="360" w:lineRule="auto"/>
              <w:ind w:firstLine="466" w:firstLineChars="200"/>
              <w:rPr>
                <w:rFonts w:hint="default"/>
                <w:color w:val="auto"/>
                <w:sz w:val="24"/>
                <w:szCs w:val="24"/>
                <w:u w:val="none" w:color="auto"/>
              </w:rPr>
            </w:pPr>
            <w:r>
              <w:rPr>
                <w:rFonts w:hint="eastAsia" w:cs="Times New Roman"/>
                <w:color w:val="auto"/>
                <w:sz w:val="24"/>
                <w:szCs w:val="32"/>
                <w:u w:val="none" w:color="auto"/>
                <w:lang w:eastAsia="zh-CN"/>
              </w:rPr>
              <w:t>废气经过滤棉</w:t>
            </w:r>
            <w:r>
              <w:rPr>
                <w:rFonts w:hint="eastAsia" w:cs="Times New Roman"/>
                <w:color w:val="auto"/>
                <w:sz w:val="24"/>
                <w:szCs w:val="32"/>
                <w:u w:val="none" w:color="auto"/>
                <w:lang w:val="en-US" w:eastAsia="zh-CN"/>
              </w:rPr>
              <w:t>+活性炭吸附设备处理后由15m高排气筒高空排放</w:t>
            </w:r>
            <w:r>
              <w:rPr>
                <w:rFonts w:hint="default"/>
                <w:color w:val="auto"/>
                <w:sz w:val="24"/>
                <w:szCs w:val="24"/>
                <w:u w:val="none" w:color="auto"/>
              </w:rPr>
              <w:t xml:space="preserve">。 </w:t>
            </w:r>
          </w:p>
          <w:p>
            <w:pPr>
              <w:spacing w:line="360" w:lineRule="auto"/>
              <w:ind w:firstLine="466" w:firstLineChars="200"/>
              <w:rPr>
                <w:rFonts w:hint="default" w:ascii="Times New Roman" w:hAnsi="Times New Roman" w:cs="Times New Roman"/>
                <w:color w:val="auto"/>
                <w:sz w:val="24"/>
                <w:szCs w:val="32"/>
                <w:u w:val="none" w:color="auto"/>
              </w:rPr>
            </w:pPr>
            <w:r>
              <w:rPr>
                <w:rFonts w:hint="eastAsia" w:cs="Times New Roman"/>
                <w:b/>
                <w:bCs/>
                <w:color w:val="auto"/>
                <w:sz w:val="24"/>
                <w:szCs w:val="32"/>
                <w:u w:val="none" w:color="auto"/>
                <w:lang w:eastAsia="zh-CN"/>
              </w:rPr>
              <w:t>过滤棉：</w:t>
            </w:r>
            <w:r>
              <w:rPr>
                <w:rFonts w:hint="default" w:ascii="Times New Roman" w:hAnsi="Times New Roman" w:cs="Times New Roman"/>
                <w:color w:val="auto"/>
                <w:sz w:val="24"/>
                <w:szCs w:val="32"/>
                <w:u w:val="none" w:color="auto"/>
              </w:rPr>
              <w:t>过滤棉漆雾净化</w:t>
            </w:r>
            <w:r>
              <w:rPr>
                <w:rFonts w:hint="eastAsia" w:ascii="Times New Roman" w:hAnsi="Times New Roman" w:cs="Times New Roman"/>
                <w:color w:val="auto"/>
                <w:sz w:val="24"/>
                <w:szCs w:val="32"/>
                <w:u w:val="none" w:color="auto"/>
                <w:lang w:eastAsia="zh-CN"/>
              </w:rPr>
              <w:t>器</w:t>
            </w:r>
            <w:r>
              <w:rPr>
                <w:rFonts w:hint="default" w:ascii="Times New Roman" w:hAnsi="Times New Roman" w:cs="Times New Roman"/>
                <w:color w:val="auto"/>
                <w:sz w:val="24"/>
                <w:szCs w:val="32"/>
                <w:u w:val="none" w:color="auto"/>
              </w:rPr>
              <w:t>主要是采用过滤网干式过滤漆雾</w:t>
            </w:r>
            <w:r>
              <w:rPr>
                <w:rFonts w:hint="eastAsia" w:ascii="Times New Roman" w:hAnsi="Times New Roman" w:cs="Times New Roman"/>
                <w:color w:val="auto"/>
                <w:sz w:val="24"/>
                <w:szCs w:val="32"/>
                <w:u w:val="none" w:color="auto"/>
                <w:lang w:eastAsia="zh-CN"/>
              </w:rPr>
              <w:t>，</w:t>
            </w:r>
            <w:r>
              <w:rPr>
                <w:rFonts w:hint="default" w:ascii="Times New Roman" w:hAnsi="Times New Roman" w:cs="Times New Roman"/>
                <w:color w:val="auto"/>
                <w:sz w:val="24"/>
                <w:szCs w:val="32"/>
                <w:u w:val="none" w:color="auto"/>
              </w:rPr>
              <w:t>漆雾在通风机的作用下，进入过滤器被粘附捕集，过滤器结构是用过滤棉制成滤网固定在框架上，</w:t>
            </w:r>
            <w:r>
              <w:rPr>
                <w:rFonts w:hint="eastAsia" w:cs="Times New Roman"/>
                <w:color w:val="auto"/>
                <w:sz w:val="24"/>
                <w:szCs w:val="32"/>
                <w:u w:val="none" w:color="auto"/>
                <w:lang w:eastAsia="zh-CN"/>
              </w:rPr>
              <w:t>喷漆烘干废气</w:t>
            </w:r>
            <w:r>
              <w:rPr>
                <w:rFonts w:hint="default" w:ascii="Times New Roman" w:hAnsi="Times New Roman" w:cs="Times New Roman"/>
                <w:color w:val="auto"/>
                <w:sz w:val="24"/>
                <w:szCs w:val="32"/>
                <w:u w:val="none" w:color="auto"/>
              </w:rPr>
              <w:t>通过多重逐渐加密的过滤</w:t>
            </w:r>
            <w:r>
              <w:rPr>
                <w:rFonts w:hint="eastAsia" w:cs="Times New Roman"/>
                <w:color w:val="auto"/>
                <w:sz w:val="24"/>
                <w:szCs w:val="32"/>
                <w:u w:val="none" w:color="auto"/>
                <w:lang w:eastAsia="zh-CN"/>
              </w:rPr>
              <w:t>棉</w:t>
            </w:r>
            <w:r>
              <w:rPr>
                <w:rFonts w:hint="default" w:ascii="Times New Roman" w:hAnsi="Times New Roman" w:cs="Times New Roman"/>
                <w:color w:val="auto"/>
                <w:sz w:val="24"/>
                <w:szCs w:val="32"/>
                <w:u w:val="none" w:color="auto"/>
              </w:rPr>
              <w:t>，漆雾粒子在拦截、碰撞、吸收等作用下容纳在过滤棉中，从而达到净化漆雾的目的。过滤棉定期进行拆除和更换，该方式去除漆雾的效率可达9</w:t>
            </w:r>
            <w:r>
              <w:rPr>
                <w:rFonts w:hint="eastAsia" w:cs="Times New Roman"/>
                <w:color w:val="auto"/>
                <w:sz w:val="24"/>
                <w:szCs w:val="32"/>
                <w:u w:val="none" w:color="auto"/>
                <w:lang w:val="en-US" w:eastAsia="zh-CN"/>
              </w:rPr>
              <w:t>0</w:t>
            </w:r>
            <w:r>
              <w:rPr>
                <w:rFonts w:hint="default" w:ascii="Times New Roman" w:hAnsi="Times New Roman" w:cs="Times New Roman"/>
                <w:color w:val="auto"/>
                <w:sz w:val="24"/>
                <w:szCs w:val="32"/>
                <w:u w:val="none" w:color="auto"/>
              </w:rPr>
              <w:t>%。</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32"/>
                <w:u w:val="none" w:color="auto"/>
              </w:rPr>
              <w:t>过滤棉漆雾净化器优点为结构简单，能耗较低，无二次水污染，设备使用寿命较长不会腐蚀</w:t>
            </w:r>
            <w:r>
              <w:rPr>
                <w:rFonts w:hint="default" w:ascii="Times New Roman" w:hAnsi="Times New Roman" w:cs="Times New Roman"/>
                <w:color w:val="auto"/>
                <w:sz w:val="24"/>
                <w:szCs w:val="24"/>
                <w:u w:val="none" w:color="auto"/>
              </w:rPr>
              <w:t>。</w:t>
            </w:r>
          </w:p>
          <w:p>
            <w:pPr>
              <w:spacing w:line="360" w:lineRule="auto"/>
              <w:ind w:firstLine="466" w:firstLineChars="200"/>
              <w:rPr>
                <w:rFonts w:hint="default" w:ascii="Times New Roman" w:hAnsi="Times New Roman" w:cs="Times New Roman"/>
                <w:color w:val="auto"/>
                <w:sz w:val="24"/>
                <w:szCs w:val="24"/>
                <w:u w:val="none" w:color="auto"/>
              </w:rPr>
            </w:pPr>
            <w:r>
              <w:rPr>
                <w:rFonts w:hint="eastAsia"/>
                <w:b/>
                <w:color w:val="auto"/>
                <w:sz w:val="24"/>
                <w:szCs w:val="24"/>
                <w:u w:val="none" w:color="auto"/>
              </w:rPr>
              <w:t>活性炭吸附：</w:t>
            </w:r>
            <w:r>
              <w:rPr>
                <w:rFonts w:hint="eastAsia"/>
                <w:color w:val="auto"/>
                <w:sz w:val="24"/>
                <w:szCs w:val="24"/>
                <w:u w:val="none" w:color="auto"/>
                <w:lang w:eastAsia="zh-CN"/>
              </w:rPr>
              <w:t>为了进一步处理有机废气</w:t>
            </w:r>
            <w:r>
              <w:rPr>
                <w:rFonts w:hint="eastAsia"/>
                <w:color w:val="auto"/>
                <w:sz w:val="24"/>
                <w:szCs w:val="24"/>
                <w:u w:val="none" w:color="auto"/>
              </w:rPr>
              <w:t>采用活性炭吸附处理，活性炭是国内最为有效的办法。吸附作用是一种界面现象。所谓吸附，是当两相存在时，在相与相的界面附近的浓度与相内部不一样的现象，吸附的物质称作吸附剂或吸附载体。活性炭的吸附是用活性炭作为载体的吸附。吸附的作用力是吸附载体与吸附物质（有机废气）之间在能量方面的相互作用，承担这种相互作用的是电子。吸附载体表面上的原子与吸附质（有机废气）分子互相接近时，即使是无极性，也会瞬时性地造成电子分布的不对称而形成电极，并诱导与其相对应的原子或分子产生分电极。在这两个分电极之间，便产生微弱的静电相互作用力。活性炭也能通过使用氧化剂、还原剂进行处理，让比表面积及比孔容积大，单位重量的吸附量也大。活性炭应定期更换</w:t>
            </w:r>
            <w:r>
              <w:rPr>
                <w:rFonts w:hint="default" w:ascii="Times New Roman" w:hAnsi="Times New Roman" w:cs="Times New Roman"/>
                <w:color w:val="auto"/>
                <w:sz w:val="24"/>
                <w:szCs w:val="24"/>
                <w:u w:val="none" w:color="auto"/>
              </w:rPr>
              <w:t>。</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综上分析可知，本项目</w:t>
            </w:r>
            <w:r>
              <w:rPr>
                <w:rFonts w:hint="eastAsia" w:cs="Times New Roman"/>
                <w:color w:val="auto"/>
                <w:sz w:val="24"/>
                <w:szCs w:val="24"/>
                <w:u w:val="none" w:color="auto"/>
                <w:lang w:val="en-US" w:eastAsia="zh-CN"/>
              </w:rPr>
              <w:t>喷漆烘干</w:t>
            </w:r>
            <w:r>
              <w:rPr>
                <w:rFonts w:hint="default" w:ascii="Times New Roman" w:hAnsi="Times New Roman" w:cs="Times New Roman"/>
                <w:color w:val="auto"/>
                <w:sz w:val="24"/>
                <w:szCs w:val="24"/>
                <w:u w:val="none" w:color="auto"/>
              </w:rPr>
              <w:t>废气的处理措施合理可行。</w:t>
            </w:r>
          </w:p>
          <w:p>
            <w:pPr>
              <w:numPr>
                <w:ilvl w:val="0"/>
                <w:numId w:val="7"/>
              </w:numPr>
              <w:adjustRightInd w:val="0"/>
              <w:snapToGrid w:val="0"/>
              <w:spacing w:line="360" w:lineRule="auto"/>
              <w:ind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地表水环境影响分析</w:t>
            </w:r>
          </w:p>
          <w:p>
            <w:pPr>
              <w:snapToGrid w:val="0"/>
              <w:spacing w:line="360" w:lineRule="auto"/>
              <w:ind w:firstLine="457" w:firstLineChars="196"/>
              <w:rPr>
                <w:rFonts w:hint="default" w:ascii="Times New Roman" w:hAnsi="Times New Roman" w:cs="Times New Roman"/>
                <w:bCs/>
                <w:color w:val="auto"/>
                <w:sz w:val="24"/>
                <w:u w:val="none" w:color="auto"/>
              </w:rPr>
            </w:pPr>
            <w:r>
              <w:rPr>
                <w:rFonts w:hint="default" w:ascii="Times New Roman" w:hAnsi="Times New Roman" w:cs="Times New Roman"/>
                <w:color w:val="auto"/>
                <w:sz w:val="24"/>
                <w:szCs w:val="24"/>
                <w:u w:val="none" w:color="auto"/>
              </w:rPr>
              <w:t>根据工程分析内容可知，本项目产生的废水主要来自于员工的生活污水</w:t>
            </w:r>
            <w:r>
              <w:rPr>
                <w:rFonts w:hint="eastAsia" w:cs="Times New Roman"/>
                <w:color w:val="auto"/>
                <w:sz w:val="24"/>
                <w:szCs w:val="24"/>
                <w:u w:val="none" w:color="auto"/>
                <w:lang w:eastAsia="zh-CN"/>
              </w:rPr>
              <w:t>、</w:t>
            </w:r>
            <w:r>
              <w:rPr>
                <w:rFonts w:hint="eastAsia" w:cs="Times New Roman"/>
                <w:bCs/>
                <w:color w:val="auto"/>
                <w:sz w:val="24"/>
                <w:szCs w:val="24"/>
                <w:u w:val="none" w:color="auto"/>
                <w:lang w:val="en-US" w:eastAsia="zh-CN"/>
              </w:rPr>
              <w:t>地面清洗废水、真空脱水、挤压脱水废水</w:t>
            </w:r>
            <w:r>
              <w:rPr>
                <w:rFonts w:hint="default" w:ascii="Times New Roman" w:hAnsi="Times New Roman" w:cs="Times New Roman"/>
                <w:bCs/>
                <w:color w:val="auto"/>
                <w:sz w:val="24"/>
                <w:szCs w:val="24"/>
                <w:u w:val="none" w:color="auto"/>
              </w:rPr>
              <w:t>。</w:t>
            </w:r>
          </w:p>
          <w:p>
            <w:pPr>
              <w:pStyle w:val="34"/>
              <w:adjustRightInd w:val="0"/>
              <w:snapToGrid w:val="0"/>
              <w:spacing w:line="360" w:lineRule="auto"/>
              <w:ind w:left="0" w:leftChars="0" w:firstLine="466" w:firstLineChars="200"/>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bidi="ar"/>
              </w:rPr>
              <w:t>生活污水经三级化粪池处理后回用于周边农田、绿化施肥，不外排</w:t>
            </w:r>
            <w:r>
              <w:rPr>
                <w:rFonts w:hint="default" w:ascii="Times New Roman" w:hAnsi="Times New Roman" w:cs="Times New Roman"/>
                <w:color w:val="auto"/>
                <w:sz w:val="24"/>
                <w:u w:val="none" w:color="auto"/>
              </w:rPr>
              <w:t>。</w:t>
            </w:r>
            <w:r>
              <w:rPr>
                <w:rFonts w:hint="eastAsia" w:cs="Times New Roman"/>
                <w:bCs/>
                <w:color w:val="auto"/>
                <w:sz w:val="24"/>
                <w:szCs w:val="24"/>
                <w:u w:val="none" w:color="auto"/>
                <w:lang w:val="en-US" w:eastAsia="zh-CN"/>
              </w:rPr>
              <w:t>地面清洗废水、真空脱水、挤压脱水废水</w:t>
            </w:r>
            <w:r>
              <w:rPr>
                <w:rFonts w:hint="eastAsia" w:cs="Times New Roman"/>
                <w:color w:val="auto"/>
                <w:sz w:val="24"/>
                <w:szCs w:val="24"/>
                <w:u w:val="none" w:color="auto"/>
                <w:lang w:val="en-US" w:eastAsia="zh-CN"/>
              </w:rPr>
              <w:t>经收集后回用于打料制浆工序，不外排</w:t>
            </w:r>
            <w:r>
              <w:rPr>
                <w:rFonts w:hint="default" w:ascii="Times New Roman" w:hAnsi="Times New Roman" w:cs="Times New Roman"/>
                <w:color w:val="auto"/>
                <w:sz w:val="24"/>
                <w:szCs w:val="24"/>
                <w:u w:val="none" w:color="auto"/>
              </w:rPr>
              <w:t>。因此对区域水环境影响较小。</w:t>
            </w:r>
          </w:p>
          <w:p>
            <w:pPr>
              <w:spacing w:line="520" w:lineRule="exact"/>
              <w:ind w:firstLine="466" w:firstLineChars="200"/>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u w:val="none" w:color="auto"/>
              </w:rPr>
              <w:t>地表水影响预测与评价：</w:t>
            </w:r>
          </w:p>
          <w:p>
            <w:pPr>
              <w:spacing w:line="360" w:lineRule="auto"/>
              <w:ind w:firstLine="480"/>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b w:val="0"/>
                <w:bCs w:val="0"/>
                <w:color w:val="auto"/>
                <w:sz w:val="24"/>
                <w:u w:val="none" w:color="auto"/>
              </w:rPr>
              <w:t>评价等级确认：</w:t>
            </w:r>
            <w:r>
              <w:rPr>
                <w:rFonts w:hint="default" w:ascii="Times New Roman" w:hAnsi="Times New Roman" w:eastAsia="宋体" w:cs="Times New Roman"/>
                <w:color w:val="auto"/>
                <w:kern w:val="0"/>
                <w:sz w:val="24"/>
                <w:u w:val="none" w:color="auto"/>
              </w:rPr>
              <w:t>根据《环境影响评价技术导则—地表水环境》（HJ2.3-2018）关于评价等级的划分方法，水环境评价工作等级按照影响类型、排放方式、排放量或影响情况、受纳水体环境质量现状、水环境保护目标等综合确定。</w:t>
            </w:r>
          </w:p>
          <w:p>
            <w:pPr>
              <w:jc w:val="center"/>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表7-</w:t>
            </w:r>
            <w:r>
              <w:rPr>
                <w:rFonts w:hint="eastAsia" w:cs="Times New Roman"/>
                <w:b/>
                <w:bCs/>
                <w:color w:val="auto"/>
                <w:szCs w:val="21"/>
                <w:u w:val="none" w:color="auto"/>
                <w:lang w:val="en-US" w:eastAsia="zh-CN"/>
              </w:rPr>
              <w:t>11</w:t>
            </w:r>
            <w:r>
              <w:rPr>
                <w:rFonts w:hint="default" w:ascii="Times New Roman" w:hAnsi="Times New Roman" w:eastAsia="宋体" w:cs="Times New Roman"/>
                <w:b/>
                <w:bCs/>
                <w:color w:val="auto"/>
                <w:szCs w:val="21"/>
                <w:u w:val="none" w:color="auto"/>
              </w:rPr>
              <w:t xml:space="preserve">  水污染影响型建设项目评价等级判定</w:t>
            </w:r>
          </w:p>
          <w:tbl>
            <w:tblPr>
              <w:tblStyle w:val="40"/>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1422"/>
              <w:gridCol w:w="62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评价等级</w:t>
                  </w:r>
                </w:p>
              </w:tc>
              <w:tc>
                <w:tcPr>
                  <w:tcW w:w="421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p>
              </w:tc>
              <w:tc>
                <w:tcPr>
                  <w:tcW w:w="78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排放方式</w:t>
                  </w:r>
                </w:p>
              </w:tc>
              <w:tc>
                <w:tcPr>
                  <w:tcW w:w="343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废水排放量Q/（m</w:t>
                  </w:r>
                  <w:r>
                    <w:rPr>
                      <w:rFonts w:hint="default" w:ascii="Times New Roman" w:hAnsi="Times New Roman" w:eastAsia="宋体" w:cs="Times New Roman"/>
                      <w:bCs/>
                      <w:color w:val="auto"/>
                      <w:sz w:val="22"/>
                      <w:szCs w:val="22"/>
                      <w:u w:val="none" w:color="auto"/>
                      <w:vertAlign w:val="superscript"/>
                    </w:rPr>
                    <w:t>3</w:t>
                  </w:r>
                  <w:r>
                    <w:rPr>
                      <w:rFonts w:hint="default" w:ascii="Times New Roman" w:hAnsi="Times New Roman" w:eastAsia="宋体" w:cs="Times New Roman"/>
                      <w:bCs/>
                      <w:color w:val="auto"/>
                      <w:sz w:val="22"/>
                      <w:szCs w:val="22"/>
                      <w:u w:val="none" w:color="auto"/>
                    </w:rPr>
                    <w:t>/d）；水污染物当量数W（无量纲）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一级</w:t>
                  </w:r>
                </w:p>
              </w:tc>
              <w:tc>
                <w:tcPr>
                  <w:tcW w:w="78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直接排放</w:t>
                  </w:r>
                </w:p>
              </w:tc>
              <w:tc>
                <w:tcPr>
                  <w:tcW w:w="343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Q≥20000或W≥600000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二级</w:t>
                  </w:r>
                </w:p>
              </w:tc>
              <w:tc>
                <w:tcPr>
                  <w:tcW w:w="78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直接排放</w:t>
                  </w:r>
                </w:p>
              </w:tc>
              <w:tc>
                <w:tcPr>
                  <w:tcW w:w="343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三级A</w:t>
                  </w:r>
                </w:p>
              </w:tc>
              <w:tc>
                <w:tcPr>
                  <w:tcW w:w="78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直接排放</w:t>
                  </w:r>
                </w:p>
              </w:tc>
              <w:tc>
                <w:tcPr>
                  <w:tcW w:w="343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Q＜200且W＜6000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三级B</w:t>
                  </w:r>
                </w:p>
              </w:tc>
              <w:tc>
                <w:tcPr>
                  <w:tcW w:w="78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间接排放</w:t>
                  </w:r>
                </w:p>
              </w:tc>
              <w:tc>
                <w:tcPr>
                  <w:tcW w:w="343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2"/>
                      <w:szCs w:val="22"/>
                      <w:u w:val="none" w:color="auto"/>
                    </w:rPr>
                  </w:pPr>
                  <w:r>
                    <w:rPr>
                      <w:rFonts w:hint="default" w:ascii="Times New Roman" w:hAnsi="Times New Roman" w:eastAsia="宋体" w:cs="Times New Roman"/>
                      <w:bCs/>
                      <w:color w:val="auto"/>
                      <w:sz w:val="22"/>
                      <w:szCs w:val="22"/>
                      <w:u w:val="none" w:color="auto"/>
                    </w:rPr>
                    <w:t>/</w:t>
                  </w:r>
                </w:p>
              </w:tc>
            </w:tr>
          </w:tbl>
          <w:p>
            <w:pPr>
              <w:pStyle w:val="34"/>
              <w:adjustRightInd w:val="0"/>
              <w:snapToGrid w:val="0"/>
              <w:spacing w:line="360" w:lineRule="auto"/>
              <w:ind w:left="0" w:leftChars="0" w:firstLine="466" w:firstLineChars="200"/>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根据上表和废水处理情况可知，</w:t>
            </w:r>
            <w:r>
              <w:rPr>
                <w:rFonts w:hint="default" w:ascii="Times New Roman" w:hAnsi="Times New Roman" w:cs="Times New Roman"/>
                <w:color w:val="auto"/>
                <w:sz w:val="24"/>
                <w:szCs w:val="24"/>
                <w:u w:val="none" w:color="auto"/>
                <w:lang w:val="en-US" w:eastAsia="zh-CN"/>
              </w:rPr>
              <w:t>项目地表水环境影响评价等级为</w:t>
            </w:r>
            <w:r>
              <w:rPr>
                <w:rFonts w:hint="default" w:ascii="Times New Roman" w:hAnsi="Times New Roman" w:cs="Times New Roman"/>
                <w:b w:val="0"/>
                <w:bCs w:val="0"/>
                <w:color w:val="auto"/>
                <w:sz w:val="24"/>
                <w:szCs w:val="24"/>
                <w:u w:val="none" w:color="auto"/>
                <w:lang w:val="en-US" w:eastAsia="zh-CN"/>
              </w:rPr>
              <w:t>三级</w:t>
            </w:r>
            <w:r>
              <w:rPr>
                <w:rFonts w:hint="eastAsia" w:cs="Times New Roman"/>
                <w:b w:val="0"/>
                <w:bCs w:val="0"/>
                <w:color w:val="auto"/>
                <w:sz w:val="24"/>
                <w:szCs w:val="24"/>
                <w:u w:val="none" w:color="auto"/>
                <w:lang w:val="en-US" w:eastAsia="zh-CN"/>
              </w:rPr>
              <w:t>B。需对其进行简单分析</w:t>
            </w:r>
            <w:r>
              <w:rPr>
                <w:rFonts w:hint="eastAsia" w:ascii="Times New Roman" w:hAnsi="Times New Roman"/>
                <w:color w:val="auto"/>
                <w:sz w:val="24"/>
                <w:highlight w:val="none"/>
                <w:u w:val="none" w:color="auto"/>
                <w:lang w:val="en-US" w:eastAsia="zh-CN"/>
              </w:rPr>
              <w:t>。</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生活污水经三级化粪池处理后可用于施肥，本项目位于白泥湖园艺场周边绿化较多，可消纳本项目产生的生活污水</w:t>
            </w: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项目打料制浆工序对水质要求不高，</w:t>
            </w:r>
            <w:r>
              <w:rPr>
                <w:rFonts w:hint="eastAsia" w:cs="Times New Roman"/>
                <w:bCs/>
                <w:color w:val="auto"/>
                <w:sz w:val="24"/>
                <w:szCs w:val="24"/>
                <w:u w:val="none" w:color="auto"/>
                <w:lang w:val="en-US" w:eastAsia="zh-CN"/>
              </w:rPr>
              <w:t>真空脱水、挤压脱水废水经水罐沉淀后</w:t>
            </w:r>
            <w:r>
              <w:rPr>
                <w:rFonts w:hint="eastAsia" w:cs="Times New Roman"/>
                <w:color w:val="auto"/>
                <w:sz w:val="24"/>
                <w:szCs w:val="24"/>
                <w:u w:val="none" w:color="auto"/>
                <w:lang w:val="en-US" w:eastAsia="zh-CN"/>
              </w:rPr>
              <w:t>，可去除大部分沉渣，且水质中残留的悬浮物为本项目原材料，因此回用于打料制浆工序，可减少原材料的损耗，也可减少水资源浪费</w:t>
            </w:r>
            <w:r>
              <w:rPr>
                <w:rFonts w:hint="default" w:ascii="Times New Roman" w:hAnsi="Times New Roman" w:cs="Times New Roman"/>
                <w:color w:val="auto"/>
                <w:sz w:val="24"/>
                <w:szCs w:val="24"/>
                <w:u w:val="none" w:color="auto"/>
              </w:rPr>
              <w:t>。</w:t>
            </w:r>
          </w:p>
          <w:p>
            <w:pPr>
              <w:snapToGrid/>
              <w:spacing w:line="360" w:lineRule="auto"/>
              <w:ind w:firstLine="466" w:firstLineChars="200"/>
              <w:rPr>
                <w:rFonts w:hint="default" w:ascii="Times New Roman" w:hAnsi="Times New Roman" w:cs="Times New Roman"/>
                <w:color w:val="auto"/>
                <w:kern w:val="0"/>
                <w:sz w:val="24"/>
                <w:szCs w:val="24"/>
                <w:u w:val="none" w:color="auto"/>
              </w:rPr>
            </w:pPr>
            <w:r>
              <w:rPr>
                <w:rFonts w:hint="default" w:ascii="Times New Roman" w:hAnsi="Times New Roman" w:eastAsia="宋体" w:cs="Times New Roman"/>
                <w:iCs w:val="0"/>
                <w:color w:val="auto"/>
                <w:kern w:val="2"/>
                <w:sz w:val="24"/>
                <w:szCs w:val="24"/>
                <w:u w:val="none" w:color="auto"/>
                <w:lang w:val="en-US" w:eastAsia="zh-CN" w:bidi="ar-SA"/>
              </w:rPr>
              <w:t>综上所述，污水经以上措施处理后，可以符合相关要求。只要加强管理， 确保处理效率，其废水不会对项目周围的水体环境造成明显不利影响</w:t>
            </w:r>
            <w:r>
              <w:rPr>
                <w:rFonts w:hint="default" w:ascii="Times New Roman" w:hAnsi="Times New Roman" w:cs="Times New Roman"/>
                <w:color w:val="auto"/>
                <w:kern w:val="0"/>
                <w:sz w:val="24"/>
                <w:szCs w:val="24"/>
                <w:u w:val="none" w:color="auto"/>
              </w:rPr>
              <w:t>。</w:t>
            </w:r>
          </w:p>
          <w:p>
            <w:pPr>
              <w:pStyle w:val="34"/>
              <w:adjustRightInd w:val="0"/>
              <w:snapToGrid w:val="0"/>
              <w:spacing w:line="360" w:lineRule="auto"/>
              <w:ind w:left="0" w:leftChars="0"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3、声环境影响分析</w:t>
            </w:r>
          </w:p>
          <w:p>
            <w:pPr>
              <w:spacing w:line="360" w:lineRule="auto"/>
              <w:ind w:firstLine="583" w:firstLineChars="250"/>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本项目建设单位</w:t>
            </w:r>
            <w:r>
              <w:rPr>
                <w:rFonts w:hint="eastAsia" w:ascii="Times New Roman" w:hAnsi="Times New Roman" w:cs="Times New Roman"/>
                <w:color w:val="auto"/>
                <w:sz w:val="24"/>
                <w:szCs w:val="24"/>
                <w:u w:val="none" w:color="auto"/>
                <w:lang w:val="en-US" w:eastAsia="zh-CN"/>
              </w:rPr>
              <w:t>进行了</w:t>
            </w:r>
            <w:r>
              <w:rPr>
                <w:rFonts w:hint="default" w:ascii="Times New Roman" w:hAnsi="Times New Roman" w:cs="Times New Roman"/>
                <w:color w:val="auto"/>
                <w:sz w:val="24"/>
                <w:szCs w:val="24"/>
                <w:u w:val="none" w:color="auto"/>
              </w:rPr>
              <w:t>合理厂区平面布置，高噪声设备布置在车间中部；选用低噪声设备，尤</w:t>
            </w:r>
            <w:r>
              <w:rPr>
                <w:rFonts w:hint="eastAsia" w:cs="Times New Roman"/>
                <w:color w:val="auto"/>
                <w:sz w:val="24"/>
                <w:szCs w:val="24"/>
                <w:u w:val="none" w:color="auto"/>
                <w:lang w:eastAsia="zh-CN"/>
              </w:rPr>
              <w:t>其</w:t>
            </w:r>
            <w:r>
              <w:rPr>
                <w:rFonts w:hint="default" w:ascii="Times New Roman" w:hAnsi="Times New Roman" w:cs="Times New Roman"/>
                <w:color w:val="auto"/>
                <w:sz w:val="24"/>
                <w:szCs w:val="24"/>
                <w:u w:val="none" w:color="auto"/>
              </w:rPr>
              <w:t>高噪声设备；同时，对生产设备加强日常维护和管理，确保其良好的运行状态，避免机械设备“带病”运行产生的噪声；采用基础减振；厂房内吸声墙壁；采取以上措施可有效隔声降噪</w:t>
            </w:r>
            <w:r>
              <w:rPr>
                <w:rFonts w:hint="eastAsia" w:cs="Times New Roman"/>
                <w:color w:val="auto"/>
                <w:sz w:val="24"/>
                <w:szCs w:val="24"/>
                <w:u w:val="none" w:color="auto"/>
                <w:lang w:eastAsia="zh-CN"/>
              </w:rPr>
              <w:t>，</w:t>
            </w:r>
            <w:r>
              <w:rPr>
                <w:rFonts w:hint="default" w:ascii="Times New Roman" w:hAnsi="Times New Roman" w:cs="Times New Roman"/>
                <w:color w:val="auto"/>
                <w:sz w:val="24"/>
                <w:u w:val="none" w:color="auto"/>
                <w:lang w:eastAsia="zh-CN"/>
              </w:rPr>
              <w:t>根据</w:t>
            </w:r>
            <w:r>
              <w:rPr>
                <w:rFonts w:hint="eastAsia" w:cs="Times New Roman"/>
                <w:color w:val="auto"/>
                <w:sz w:val="24"/>
                <w:u w:val="none" w:color="auto"/>
                <w:lang w:val="en-US" w:eastAsia="zh-CN"/>
              </w:rPr>
              <w:t>湖南中骏高新科技股份有限公司</w:t>
            </w:r>
            <w:r>
              <w:rPr>
                <w:rFonts w:hint="default" w:ascii="Times New Roman" w:hAnsi="Times New Roman" w:cs="Times New Roman"/>
                <w:color w:val="auto"/>
                <w:sz w:val="24"/>
                <w:u w:val="none" w:color="auto"/>
                <w:lang w:eastAsia="zh-CN"/>
              </w:rPr>
              <w:t>于</w:t>
            </w:r>
            <w:r>
              <w:rPr>
                <w:rFonts w:hint="default" w:ascii="Times New Roman" w:hAnsi="Times New Roman" w:cs="Times New Roman"/>
                <w:color w:val="auto"/>
                <w:sz w:val="24"/>
                <w:u w:val="none" w:color="auto"/>
                <w:lang w:val="en-US" w:eastAsia="zh-CN"/>
              </w:rPr>
              <w:t>20</w:t>
            </w:r>
            <w:r>
              <w:rPr>
                <w:rFonts w:hint="eastAsia" w:ascii="Times New Roman" w:hAnsi="Times New Roman" w:cs="Times New Roman"/>
                <w:color w:val="auto"/>
                <w:sz w:val="24"/>
                <w:u w:val="none" w:color="auto"/>
                <w:lang w:val="en-US" w:eastAsia="zh-CN"/>
              </w:rPr>
              <w:t>20</w:t>
            </w:r>
            <w:r>
              <w:rPr>
                <w:rFonts w:hint="default" w:ascii="Times New Roman" w:hAnsi="Times New Roman" w:cs="Times New Roman"/>
                <w:color w:val="auto"/>
                <w:sz w:val="24"/>
                <w:u w:val="none" w:color="auto"/>
                <w:lang w:val="en-US" w:eastAsia="zh-CN"/>
              </w:rPr>
              <w:t>年</w:t>
            </w:r>
            <w:r>
              <w:rPr>
                <w:rFonts w:hint="eastAsia" w:cs="Times New Roman"/>
                <w:color w:val="auto"/>
                <w:sz w:val="24"/>
                <w:u w:val="none" w:color="auto"/>
                <w:lang w:val="en-US" w:eastAsia="zh-CN"/>
              </w:rPr>
              <w:t>7</w:t>
            </w:r>
            <w:r>
              <w:rPr>
                <w:rFonts w:hint="default" w:ascii="Times New Roman" w:hAnsi="Times New Roman" w:cs="Times New Roman"/>
                <w:color w:val="auto"/>
                <w:sz w:val="24"/>
                <w:u w:val="none" w:color="auto"/>
                <w:lang w:val="en-US" w:eastAsia="zh-CN"/>
              </w:rPr>
              <w:t>月</w:t>
            </w:r>
            <w:r>
              <w:rPr>
                <w:rFonts w:hint="eastAsia" w:cs="Times New Roman"/>
                <w:color w:val="auto"/>
                <w:sz w:val="24"/>
                <w:u w:val="none" w:color="auto"/>
                <w:lang w:val="en-US" w:eastAsia="zh-CN"/>
              </w:rPr>
              <w:t>10-11</w:t>
            </w:r>
            <w:r>
              <w:rPr>
                <w:rFonts w:hint="default" w:ascii="Times New Roman" w:hAnsi="Times New Roman" w:cs="Times New Roman"/>
                <w:color w:val="auto"/>
                <w:sz w:val="24"/>
                <w:u w:val="none" w:color="auto"/>
                <w:lang w:val="en-US" w:eastAsia="zh-CN"/>
              </w:rPr>
              <w:t>日对其厂界四周进行了监测</w:t>
            </w:r>
            <w:r>
              <w:rPr>
                <w:rFonts w:hint="eastAsia" w:cs="Times New Roman"/>
                <w:color w:val="auto"/>
                <w:sz w:val="24"/>
                <w:u w:val="none" w:color="auto"/>
                <w:lang w:val="en-US" w:eastAsia="zh-CN"/>
              </w:rPr>
              <w:t>，检测结果见下表。</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w:t>
            </w:r>
            <w:r>
              <w:rPr>
                <w:rFonts w:hint="eastAsia" w:cs="Times New Roman"/>
                <w:color w:val="auto"/>
                <w:sz w:val="24"/>
                <w:szCs w:val="24"/>
                <w:u w:val="none" w:color="auto"/>
                <w:lang w:val="en-US" w:eastAsia="zh-CN"/>
              </w:rPr>
              <w:t>7-12</w:t>
            </w:r>
            <w:r>
              <w:rPr>
                <w:rFonts w:hint="default" w:ascii="Times New Roman" w:hAnsi="Times New Roman" w:cs="Times New Roman"/>
                <w:color w:val="auto"/>
                <w:sz w:val="24"/>
                <w:szCs w:val="24"/>
                <w:u w:val="none" w:color="auto"/>
              </w:rPr>
              <w:t xml:space="preserve"> </w:t>
            </w:r>
            <w:r>
              <w:rPr>
                <w:rFonts w:hint="eastAsia" w:cs="Times New Roman"/>
                <w:color w:val="auto"/>
                <w:sz w:val="24"/>
                <w:szCs w:val="24"/>
                <w:u w:val="none" w:color="auto"/>
                <w:lang w:eastAsia="zh-CN"/>
              </w:rPr>
              <w:t>噪声监测结果一览表</w:t>
            </w:r>
            <w:r>
              <w:rPr>
                <w:rFonts w:hint="default" w:ascii="Times New Roman" w:hAnsi="Times New Roman" w:cs="Times New Roman"/>
                <w:color w:val="auto"/>
                <w:sz w:val="24"/>
                <w:szCs w:val="24"/>
                <w:u w:val="none" w:color="auto"/>
              </w:rPr>
              <w:t xml:space="preserve">    单位：dB(A)</w:t>
            </w:r>
          </w:p>
          <w:tbl>
            <w:tblPr>
              <w:tblStyle w:val="40"/>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56.6</w:t>
                  </w:r>
                </w:p>
              </w:tc>
              <w:tc>
                <w:tcPr>
                  <w:tcW w:w="97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47.6</w:t>
                  </w:r>
                </w:p>
              </w:tc>
              <w:tc>
                <w:tcPr>
                  <w:tcW w:w="9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4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57.0</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47.4</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48.5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46.5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r>
                    <w:rPr>
                      <w:rFonts w:hint="eastAsia" w:cs="Times New Roman"/>
                      <w:color w:val="auto"/>
                      <w:sz w:val="22"/>
                      <w:szCs w:val="22"/>
                      <w:u w:val="none" w:color="auto"/>
                      <w:lang w:val="en-US" w:eastAsia="zh-CN"/>
                    </w:rPr>
                    <w:t>厂界外1m处</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47.9</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47.8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583" w:firstLineChars="250"/>
              <w:rPr>
                <w:rFonts w:hint="eastAsia" w:ascii="Times New Roman" w:hAnsi="Times New Roman" w:eastAsia="宋体" w:cs="Times New Roman"/>
                <w:color w:val="auto"/>
                <w:sz w:val="24"/>
                <w:u w:val="none" w:color="auto"/>
                <w:lang w:eastAsia="zh-CN"/>
              </w:rPr>
            </w:pPr>
            <w:r>
              <w:rPr>
                <w:rFonts w:hint="eastAsia" w:cs="Times New Roman"/>
                <w:color w:val="auto"/>
                <w:sz w:val="24"/>
                <w:szCs w:val="24"/>
                <w:u w:val="none" w:color="auto"/>
                <w:lang w:eastAsia="zh-CN"/>
              </w:rPr>
              <w:t>监测结果表明，本项目厂界四周噪声满足</w:t>
            </w:r>
            <w:r>
              <w:rPr>
                <w:color w:val="auto"/>
                <w:sz w:val="24"/>
                <w:szCs w:val="24"/>
                <w:u w:val="none" w:color="auto"/>
              </w:rPr>
              <w:t>《工业企业厂界环境噪声排放标准》（GB12348-2008）</w:t>
            </w:r>
            <w:r>
              <w:rPr>
                <w:rFonts w:hint="eastAsia"/>
                <w:color w:val="auto"/>
                <w:sz w:val="24"/>
                <w:szCs w:val="24"/>
                <w:u w:val="none" w:color="auto"/>
                <w:lang w:val="en-US" w:eastAsia="zh-CN"/>
              </w:rPr>
              <w:t>2</w:t>
            </w:r>
            <w:r>
              <w:rPr>
                <w:color w:val="auto"/>
                <w:sz w:val="24"/>
                <w:szCs w:val="24"/>
                <w:u w:val="none" w:color="auto"/>
              </w:rPr>
              <w:t>类标准</w:t>
            </w:r>
            <w:r>
              <w:rPr>
                <w:rFonts w:hint="eastAsia"/>
                <w:color w:val="auto"/>
                <w:sz w:val="24"/>
                <w:u w:val="none" w:color="auto"/>
                <w:lang w:eastAsia="zh-CN"/>
              </w:rPr>
              <w:t>。</w:t>
            </w:r>
          </w:p>
          <w:p>
            <w:pPr>
              <w:snapToGrid w:val="0"/>
              <w:spacing w:line="360" w:lineRule="auto"/>
              <w:ind w:firstLine="466" w:firstLineChars="200"/>
              <w:rPr>
                <w:rFonts w:hint="default" w:ascii="Times New Roman" w:hAnsi="Times New Roman" w:cs="Times New Roman"/>
                <w:color w:val="auto"/>
                <w:sz w:val="24"/>
                <w:szCs w:val="24"/>
                <w:u w:val="none" w:color="auto"/>
              </w:rPr>
            </w:pPr>
            <w:r>
              <w:rPr>
                <w:rFonts w:hint="eastAsia" w:cs="Times New Roman"/>
                <w:b w:val="0"/>
                <w:bCs w:val="0"/>
                <w:color w:val="auto"/>
                <w:sz w:val="24"/>
                <w:u w:val="none" w:color="auto"/>
                <w:lang w:val="en-US" w:eastAsia="zh-CN"/>
              </w:rPr>
              <w:t>由于项目现已建设完成</w:t>
            </w:r>
            <w:r>
              <w:rPr>
                <w:rFonts w:hint="default" w:ascii="Times New Roman" w:hAnsi="Times New Roman" w:cs="Times New Roman"/>
                <w:b w:val="0"/>
                <w:bCs w:val="0"/>
                <w:color w:val="auto"/>
                <w:sz w:val="24"/>
                <w:u w:val="none" w:color="auto"/>
                <w:lang w:val="en-US" w:eastAsia="zh-CN"/>
              </w:rPr>
              <w:t>，</w:t>
            </w:r>
            <w:r>
              <w:rPr>
                <w:rFonts w:hint="eastAsia" w:cs="Times New Roman"/>
                <w:b w:val="0"/>
                <w:bCs w:val="0"/>
                <w:color w:val="auto"/>
                <w:sz w:val="24"/>
                <w:u w:val="none" w:color="auto"/>
                <w:lang w:val="en-US" w:eastAsia="zh-CN"/>
              </w:rPr>
              <w:t>公司</w:t>
            </w:r>
            <w:r>
              <w:rPr>
                <w:rFonts w:hint="default" w:ascii="Times New Roman" w:hAnsi="Times New Roman" w:cs="Times New Roman"/>
                <w:b w:val="0"/>
                <w:bCs w:val="0"/>
                <w:color w:val="auto"/>
                <w:sz w:val="24"/>
                <w:u w:val="none" w:color="auto"/>
                <w:lang w:val="en-US" w:eastAsia="zh-CN"/>
              </w:rPr>
              <w:t>为缓解及降低本项目生产所带来的噪声影响。因此企业已采了取以下强化措施降低对周边声环境的影响</w:t>
            </w:r>
            <w:r>
              <w:rPr>
                <w:rFonts w:hint="eastAsia" w:cs="Times New Roman"/>
                <w:color w:val="auto"/>
                <w:sz w:val="24"/>
                <w:szCs w:val="24"/>
                <w:u w:val="none" w:color="auto"/>
                <w:lang w:eastAsia="zh-CN"/>
              </w:rPr>
              <w:t>。</w:t>
            </w:r>
          </w:p>
          <w:p>
            <w:pPr>
              <w:snapToGrid w:val="0"/>
              <w:spacing w:line="360" w:lineRule="auto"/>
              <w:ind w:firstLine="466" w:firstLineChars="200"/>
              <w:rPr>
                <w:rFonts w:hint="default" w:ascii="Times New Roman" w:hAnsi="Times New Roman" w:cs="Times New Roman"/>
                <w:b w:val="0"/>
                <w:bCs w:val="0"/>
                <w:color w:val="auto"/>
                <w:sz w:val="24"/>
                <w:u w:val="none" w:color="auto"/>
                <w:lang w:eastAsia="zh-CN"/>
              </w:rPr>
            </w:pPr>
            <w:r>
              <w:rPr>
                <w:rFonts w:hint="default" w:ascii="Times New Roman" w:hAnsi="Times New Roman" w:cs="Times New Roman"/>
                <w:b w:val="0"/>
                <w:bCs w:val="0"/>
                <w:color w:val="auto"/>
                <w:sz w:val="24"/>
                <w:u w:val="none" w:color="auto"/>
                <w:lang w:eastAsia="zh-CN"/>
              </w:rPr>
              <w:t>（1）从设备选型上，采用技术先进的低噪声机械设备。</w:t>
            </w:r>
          </w:p>
          <w:p>
            <w:pPr>
              <w:snapToGrid w:val="0"/>
              <w:spacing w:line="360" w:lineRule="auto"/>
              <w:ind w:firstLine="466" w:firstLineChars="200"/>
              <w:rPr>
                <w:rFonts w:hint="default" w:ascii="Times New Roman" w:hAnsi="Times New Roman" w:cs="Times New Roman"/>
                <w:b w:val="0"/>
                <w:bCs w:val="0"/>
                <w:color w:val="auto"/>
                <w:sz w:val="24"/>
                <w:u w:val="none" w:color="auto"/>
                <w:lang w:eastAsia="zh-CN"/>
              </w:rPr>
            </w:pPr>
            <w:r>
              <w:rPr>
                <w:rFonts w:hint="default" w:ascii="Times New Roman" w:hAnsi="Times New Roman" w:cs="Times New Roman"/>
                <w:b w:val="0"/>
                <w:bCs w:val="0"/>
                <w:color w:val="auto"/>
                <w:sz w:val="24"/>
                <w:u w:val="none" w:color="auto"/>
                <w:lang w:eastAsia="zh-CN"/>
              </w:rPr>
              <w:t>（2）做好生产车间和高噪声设备的吸音封闭隔声措施，另外加强生产车间的绿化种植，以起到绿化隔音带的作用降低噪声的影响。</w:t>
            </w:r>
          </w:p>
          <w:p>
            <w:pPr>
              <w:snapToGrid w:val="0"/>
              <w:spacing w:line="360" w:lineRule="auto"/>
              <w:ind w:firstLine="466" w:firstLineChars="200"/>
              <w:rPr>
                <w:rFonts w:hint="default" w:ascii="Times New Roman" w:hAnsi="Times New Roman" w:cs="Times New Roman"/>
                <w:b w:val="0"/>
                <w:bCs w:val="0"/>
                <w:color w:val="auto"/>
                <w:sz w:val="24"/>
                <w:u w:val="none" w:color="auto"/>
                <w:lang w:eastAsia="zh-CN"/>
              </w:rPr>
            </w:pPr>
            <w:r>
              <w:rPr>
                <w:rFonts w:hint="default" w:ascii="Times New Roman" w:hAnsi="Times New Roman" w:cs="Times New Roman"/>
                <w:b w:val="0"/>
                <w:bCs w:val="0"/>
                <w:color w:val="auto"/>
                <w:sz w:val="24"/>
                <w:u w:val="none" w:color="auto"/>
                <w:lang w:eastAsia="zh-CN"/>
              </w:rPr>
              <w:t>（3）对高噪声设备均设置在厂房内，远离居民点，利用实心墙体进行隔声，并对其高噪声设备加装减震基座。</w:t>
            </w:r>
          </w:p>
          <w:p>
            <w:pPr>
              <w:snapToGrid w:val="0"/>
              <w:spacing w:line="360" w:lineRule="auto"/>
              <w:ind w:firstLine="466" w:firstLineChars="200"/>
              <w:rPr>
                <w:rFonts w:hint="default" w:ascii="Times New Roman" w:hAnsi="Times New Roman" w:cs="Times New Roman"/>
                <w:b w:val="0"/>
                <w:bCs w:val="0"/>
                <w:color w:val="auto"/>
                <w:sz w:val="24"/>
                <w:u w:val="none" w:color="auto"/>
                <w:lang w:eastAsia="zh-CN"/>
              </w:rPr>
            </w:pPr>
            <w:r>
              <w:rPr>
                <w:rFonts w:hint="default" w:ascii="Times New Roman" w:hAnsi="Times New Roman" w:cs="Times New Roman"/>
                <w:b w:val="0"/>
                <w:bCs w:val="0"/>
                <w:color w:val="auto"/>
                <w:sz w:val="24"/>
                <w:u w:val="none" w:color="auto"/>
                <w:lang w:eastAsia="zh-CN"/>
              </w:rPr>
              <w:t>（4）夜间不运输原辅材料和产品。早上和中午居民休息时间不运输。控制车速：车速控制在40公里/小时。控制鸣喇叭：要求运输司机该路段不鸣喇叭。</w:t>
            </w:r>
          </w:p>
          <w:p>
            <w:pPr>
              <w:snapToGrid w:val="0"/>
              <w:spacing w:line="360" w:lineRule="auto"/>
              <w:ind w:firstLine="466" w:firstLineChars="200"/>
              <w:rPr>
                <w:rFonts w:hint="default" w:ascii="Times New Roman" w:hAnsi="Times New Roman" w:cs="Times New Roman"/>
                <w:b w:val="0"/>
                <w:bCs w:val="0"/>
                <w:color w:val="auto"/>
                <w:sz w:val="24"/>
                <w:u w:val="none" w:color="auto"/>
                <w:lang w:eastAsia="zh-CN"/>
              </w:rPr>
            </w:pPr>
            <w:r>
              <w:rPr>
                <w:rFonts w:hint="default" w:ascii="Times New Roman" w:hAnsi="Times New Roman" w:cs="Times New Roman"/>
                <w:b w:val="0"/>
                <w:bCs w:val="0"/>
                <w:color w:val="auto"/>
                <w:sz w:val="24"/>
                <w:u w:val="none" w:color="auto"/>
                <w:lang w:eastAsia="zh-CN"/>
              </w:rPr>
              <w:t>（5）定期检查，维护设备，保持设备正常运行。</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b w:val="0"/>
                <w:bCs w:val="0"/>
                <w:color w:val="auto"/>
                <w:sz w:val="24"/>
                <w:u w:val="none" w:color="auto"/>
                <w:lang w:eastAsia="zh-CN"/>
              </w:rPr>
              <w:t>（</w:t>
            </w:r>
            <w:r>
              <w:rPr>
                <w:rFonts w:hint="default" w:ascii="Times New Roman" w:hAnsi="Times New Roman" w:cs="Times New Roman"/>
                <w:b w:val="0"/>
                <w:bCs w:val="0"/>
                <w:color w:val="auto"/>
                <w:sz w:val="24"/>
                <w:u w:val="none" w:color="auto"/>
                <w:lang w:val="en-US" w:eastAsia="zh-CN"/>
              </w:rPr>
              <w:t>6</w:t>
            </w:r>
            <w:r>
              <w:rPr>
                <w:rFonts w:hint="default" w:ascii="Times New Roman" w:hAnsi="Times New Roman" w:cs="Times New Roman"/>
                <w:b w:val="0"/>
                <w:bCs w:val="0"/>
                <w:color w:val="auto"/>
                <w:sz w:val="24"/>
                <w:u w:val="none" w:color="auto"/>
                <w:lang w:eastAsia="zh-CN"/>
              </w:rPr>
              <w:t>）强化生产车间外的绿化隔音带建设，合理规划，利用绿化进行隔音</w:t>
            </w:r>
            <w:r>
              <w:rPr>
                <w:rFonts w:hint="eastAsia" w:cs="Times New Roman"/>
                <w:b w:val="0"/>
                <w:bCs w:val="0"/>
                <w:color w:val="auto"/>
                <w:sz w:val="24"/>
                <w:u w:val="none" w:color="auto"/>
                <w:lang w:eastAsia="zh-CN"/>
              </w:rPr>
              <w:t>。</w:t>
            </w:r>
          </w:p>
          <w:p>
            <w:pPr>
              <w:snapToGrid w:val="0"/>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综上，在采取相应降噪措施后，对厂界外声环境产生的影响极小。</w:t>
            </w:r>
          </w:p>
          <w:p>
            <w:pPr>
              <w:adjustRightInd w:val="0"/>
              <w:snapToGrid w:val="0"/>
              <w:spacing w:line="360" w:lineRule="auto"/>
              <w:ind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4、固体废物影响分析</w:t>
            </w:r>
          </w:p>
          <w:p>
            <w:pPr>
              <w:pStyle w:val="34"/>
              <w:spacing w:line="360" w:lineRule="auto"/>
              <w:ind w:left="0" w:leftChars="0"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lang w:eastAsia="zh-CN"/>
              </w:rPr>
              <w:t>本项目运营期固体废物主要为</w:t>
            </w:r>
            <w:r>
              <w:rPr>
                <w:rFonts w:hint="eastAsia" w:cs="Times New Roman"/>
                <w:color w:val="auto"/>
                <w:sz w:val="24"/>
                <w:u w:val="none" w:color="auto"/>
                <w:lang w:val="en-US" w:eastAsia="zh-CN"/>
              </w:rPr>
              <w:t>生活垃圾、废边角料及不合格产品、水罐内沉渣、除尘器收集的粉尘、废活性炭、废过滤棉、废水性漆桶、废漆渣、废包装袋</w:t>
            </w:r>
            <w:r>
              <w:rPr>
                <w:rFonts w:hint="default" w:ascii="Times New Roman" w:hAnsi="Times New Roman" w:cs="Times New Roman"/>
                <w:color w:val="auto"/>
                <w:sz w:val="24"/>
                <w:szCs w:val="24"/>
                <w:u w:val="none" w:color="auto"/>
              </w:rPr>
              <w:t>。</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lang w:eastAsia="zh-CN"/>
              </w:rPr>
              <w:t>废边角料</w:t>
            </w:r>
            <w:r>
              <w:rPr>
                <w:rFonts w:hint="eastAsia" w:cs="Times New Roman"/>
                <w:color w:val="auto"/>
                <w:sz w:val="24"/>
                <w:szCs w:val="24"/>
                <w:u w:val="none" w:color="auto"/>
                <w:lang w:val="en-US" w:eastAsia="zh-CN"/>
              </w:rPr>
              <w:t>及不合格产品</w:t>
            </w:r>
            <w:r>
              <w:rPr>
                <w:rFonts w:hint="default" w:ascii="Times New Roman" w:hAnsi="Times New Roman" w:cs="Times New Roman"/>
                <w:color w:val="auto"/>
                <w:sz w:val="24"/>
                <w:szCs w:val="24"/>
                <w:u w:val="none" w:color="auto"/>
              </w:rPr>
              <w:t>收集后均</w:t>
            </w:r>
            <w:r>
              <w:rPr>
                <w:rFonts w:hint="eastAsia" w:cs="Times New Roman"/>
                <w:color w:val="auto"/>
                <w:sz w:val="24"/>
                <w:szCs w:val="24"/>
                <w:u w:val="none" w:color="auto"/>
                <w:lang w:val="en-US" w:eastAsia="zh-CN"/>
              </w:rPr>
              <w:t>回用于打料制浆工序；</w:t>
            </w:r>
            <w:r>
              <w:rPr>
                <w:rFonts w:hint="default" w:ascii="Times New Roman" w:hAnsi="Times New Roman" w:cs="Times New Roman"/>
                <w:color w:val="auto"/>
                <w:sz w:val="24"/>
                <w:szCs w:val="24"/>
                <w:u w:val="none" w:color="auto"/>
              </w:rPr>
              <w:t>生活垃圾集中收集后交环卫部门统一清运处理</w:t>
            </w:r>
            <w:r>
              <w:rPr>
                <w:rFonts w:hint="eastAsia"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废</w:t>
            </w:r>
            <w:r>
              <w:rPr>
                <w:rFonts w:hint="default" w:ascii="Times New Roman" w:hAnsi="Times New Roman" w:cs="Times New Roman"/>
                <w:color w:val="auto"/>
                <w:sz w:val="24"/>
                <w:szCs w:val="24"/>
                <w:u w:val="none" w:color="auto"/>
                <w:lang w:eastAsia="zh-CN"/>
              </w:rPr>
              <w:t>水性</w:t>
            </w:r>
            <w:r>
              <w:rPr>
                <w:rFonts w:hint="default" w:ascii="Times New Roman" w:hAnsi="Times New Roman" w:cs="Times New Roman"/>
                <w:color w:val="auto"/>
                <w:sz w:val="24"/>
                <w:szCs w:val="24"/>
                <w:u w:val="none" w:color="auto"/>
              </w:rPr>
              <w:t>漆</w:t>
            </w:r>
            <w:r>
              <w:rPr>
                <w:rFonts w:hint="eastAsia" w:cs="Times New Roman"/>
                <w:color w:val="auto"/>
                <w:sz w:val="24"/>
                <w:szCs w:val="24"/>
                <w:u w:val="none" w:color="auto"/>
                <w:lang w:val="en-US" w:eastAsia="zh-CN"/>
              </w:rPr>
              <w:t>桶</w:t>
            </w:r>
            <w:r>
              <w:rPr>
                <w:rFonts w:hint="default" w:ascii="Times New Roman" w:hAnsi="Times New Roman" w:cs="Times New Roman"/>
                <w:color w:val="auto"/>
                <w:sz w:val="24"/>
                <w:szCs w:val="24"/>
                <w:u w:val="none" w:color="auto"/>
                <w:lang w:val="en-US" w:eastAsia="zh-CN"/>
              </w:rPr>
              <w:t>收集后交由环卫部门进行处理</w:t>
            </w:r>
            <w:r>
              <w:rPr>
                <w:rFonts w:hint="eastAsia"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废包装袋收集后外售废品回收站处理</w:t>
            </w:r>
            <w:r>
              <w:rPr>
                <w:rFonts w:hint="eastAsia"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cs="Times New Roman"/>
                <w:color w:val="auto"/>
                <w:kern w:val="2"/>
                <w:sz w:val="24"/>
                <w:szCs w:val="24"/>
                <w:u w:val="none" w:color="auto"/>
                <w:lang w:val="en-US" w:eastAsia="zh-CN" w:bidi="ar-SA"/>
              </w:rPr>
              <w:t>除尘器</w:t>
            </w:r>
            <w:r>
              <w:rPr>
                <w:rFonts w:hint="default" w:ascii="Times New Roman" w:hAnsi="Times New Roman" w:eastAsia="宋体" w:cs="Times New Roman"/>
                <w:color w:val="auto"/>
                <w:kern w:val="2"/>
                <w:sz w:val="24"/>
                <w:szCs w:val="24"/>
                <w:u w:val="none" w:color="auto"/>
                <w:lang w:val="en-US" w:eastAsia="zh-CN" w:bidi="ar-SA"/>
              </w:rPr>
              <w:t>收集的粉尘收集后</w:t>
            </w:r>
            <w:r>
              <w:rPr>
                <w:rFonts w:hint="eastAsia" w:cs="Times New Roman"/>
                <w:color w:val="auto"/>
                <w:kern w:val="2"/>
                <w:sz w:val="24"/>
                <w:szCs w:val="24"/>
                <w:u w:val="none" w:color="auto"/>
                <w:lang w:val="en-US" w:eastAsia="zh-CN" w:bidi="ar-SA"/>
              </w:rPr>
              <w:t>回用于生产</w:t>
            </w:r>
            <w:r>
              <w:rPr>
                <w:rFonts w:hint="eastAsia"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cs="Times New Roman"/>
                <w:color w:val="auto"/>
                <w:sz w:val="24"/>
                <w:szCs w:val="24"/>
                <w:u w:val="none" w:color="auto"/>
                <w:lang w:eastAsia="zh-CN"/>
              </w:rPr>
              <w:t>沉渣</w:t>
            </w:r>
            <w:r>
              <w:rPr>
                <w:rFonts w:hint="eastAsia" w:cs="Times New Roman"/>
                <w:color w:val="auto"/>
                <w:sz w:val="24"/>
                <w:szCs w:val="24"/>
                <w:u w:val="none" w:color="auto"/>
                <w:lang w:val="en-US" w:eastAsia="zh-CN"/>
              </w:rPr>
              <w:t>收集后回用于打料制浆工序</w:t>
            </w:r>
            <w:r>
              <w:rPr>
                <w:rFonts w:hint="default" w:ascii="Times New Roman" w:hAnsi="Times New Roman" w:cs="Times New Roman"/>
                <w:color w:val="auto"/>
                <w:sz w:val="24"/>
                <w:szCs w:val="24"/>
                <w:u w:val="none" w:color="auto"/>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highlight w:val="none"/>
                <w:u w:val="none" w:color="auto"/>
                <w:lang w:eastAsia="zh-CN"/>
              </w:rPr>
              <w:t>废过滤棉、漆渣</w:t>
            </w:r>
            <w:r>
              <w:rPr>
                <w:rFonts w:hint="eastAsia" w:cs="Times New Roman"/>
                <w:color w:val="auto"/>
                <w:sz w:val="24"/>
                <w:szCs w:val="24"/>
                <w:highlight w:val="none"/>
                <w:u w:val="none" w:color="auto"/>
                <w:lang w:eastAsia="zh-CN"/>
              </w:rPr>
              <w:t>、</w:t>
            </w:r>
            <w:r>
              <w:rPr>
                <w:rFonts w:hint="default" w:ascii="Times New Roman" w:hAnsi="Times New Roman" w:eastAsia="宋体" w:cs="Times New Roman"/>
                <w:color w:val="auto"/>
                <w:kern w:val="2"/>
                <w:sz w:val="24"/>
                <w:szCs w:val="24"/>
                <w:u w:val="none" w:color="auto"/>
                <w:lang w:val="en-US" w:eastAsia="zh-CN" w:bidi="ar-SA"/>
              </w:rPr>
              <w:t>废活性炭</w:t>
            </w:r>
            <w:r>
              <w:rPr>
                <w:rFonts w:hint="default" w:ascii="Times New Roman" w:hAnsi="Times New Roman" w:cs="Times New Roman"/>
                <w:color w:val="auto"/>
                <w:sz w:val="24"/>
                <w:szCs w:val="24"/>
                <w:highlight w:val="none"/>
                <w:u w:val="none" w:color="auto"/>
                <w:lang w:eastAsia="zh-CN"/>
              </w:rPr>
              <w:t>属于危险废物，收集于危险废物储存间内，再交由有资质单位进行处理</w:t>
            </w:r>
            <w:r>
              <w:rPr>
                <w:rFonts w:hint="eastAsia" w:cs="Times New Roman"/>
                <w:color w:val="auto"/>
                <w:sz w:val="24"/>
                <w:szCs w:val="24"/>
                <w:u w:val="none" w:color="auto"/>
                <w:lang w:val="en-US" w:eastAsia="zh-CN"/>
              </w:rPr>
              <w:t>。</w:t>
            </w:r>
          </w:p>
          <w:p>
            <w:pPr>
              <w:keepNext w:val="0"/>
              <w:keepLines w:val="0"/>
              <w:pageBreakBefore w:val="0"/>
              <w:widowControl w:val="0"/>
              <w:kinsoku/>
              <w:wordWrap/>
              <w:overflowPunct/>
              <w:topLinePunct w:val="0"/>
              <w:autoSpaceDE/>
              <w:autoSpaceDN/>
              <w:bidi w:val="0"/>
              <w:spacing w:line="360" w:lineRule="auto"/>
              <w:ind w:firstLine="512"/>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固体废物在外售前，分类放入仓库暂存，避免下雨冲刷，污染环境，并做好防渗措施，避免因雨水淋溶而污染区域地表水和地下水。</w:t>
            </w:r>
          </w:p>
          <w:p>
            <w:pPr>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一般固体废物暂存库建设要求：</w:t>
            </w:r>
          </w:p>
          <w:p>
            <w:pPr>
              <w:keepNext w:val="0"/>
              <w:keepLines w:val="0"/>
              <w:pageBreakBefore w:val="0"/>
              <w:widowControl w:val="0"/>
              <w:numPr>
                <w:ilvl w:val="0"/>
                <w:numId w:val="8"/>
              </w:numPr>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为防止雨水径流进入暂存场地，场地周边应设置导流渠和集水池；</w:t>
            </w:r>
          </w:p>
          <w:p>
            <w:pPr>
              <w:keepNext w:val="0"/>
              <w:keepLines w:val="0"/>
              <w:pageBreakBefore w:val="0"/>
              <w:widowControl w:val="0"/>
              <w:numPr>
                <w:ilvl w:val="0"/>
                <w:numId w:val="8"/>
              </w:numPr>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rPr>
              <w:t>为加强监督管理，暂存场地应按环境《保护图形标志--固体废物贮存(处置)场》(GB 15562.2-1995) 设置环境保护图形标志</w:t>
            </w:r>
            <w:r>
              <w:rPr>
                <w:rFonts w:hint="default" w:ascii="Times New Roman" w:hAnsi="Times New Roman"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由于本项目现未设置危险废物储存间且未签订危险废物处理合同，因此本环评建议项目新增危险废物储存间，位于</w:t>
            </w:r>
            <w:r>
              <w:rPr>
                <w:rFonts w:hint="eastAsia" w:cs="Times New Roman"/>
                <w:color w:val="auto"/>
                <w:sz w:val="24"/>
                <w:szCs w:val="24"/>
                <w:u w:val="none" w:color="auto"/>
                <w:lang w:eastAsia="zh-CN"/>
              </w:rPr>
              <w:t>东</w:t>
            </w:r>
            <w:r>
              <w:rPr>
                <w:rFonts w:hint="eastAsia" w:cs="Times New Roman"/>
                <w:color w:val="auto"/>
                <w:sz w:val="24"/>
                <w:szCs w:val="24"/>
                <w:u w:val="none" w:color="auto"/>
                <w:lang w:val="en-US" w:eastAsia="zh-CN"/>
              </w:rPr>
              <w:t>北角（办公区旁），面积约为10m</w:t>
            </w:r>
            <w:r>
              <w:rPr>
                <w:rFonts w:hint="eastAsia"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eastAsia="zh-CN"/>
              </w:rPr>
              <w:t>，且危险废物储存区</w:t>
            </w:r>
            <w:r>
              <w:rPr>
                <w:rFonts w:hint="eastAsia" w:cs="Times New Roman"/>
                <w:color w:val="auto"/>
                <w:sz w:val="24"/>
                <w:szCs w:val="24"/>
                <w:u w:val="none" w:color="auto"/>
                <w:lang w:val="en-US" w:eastAsia="zh-CN"/>
              </w:rPr>
              <w:t>需</w:t>
            </w:r>
            <w:r>
              <w:rPr>
                <w:rFonts w:hint="eastAsia" w:cs="Times New Roman"/>
                <w:color w:val="auto"/>
                <w:sz w:val="24"/>
                <w:szCs w:val="24"/>
                <w:u w:val="none" w:color="auto"/>
                <w:lang w:eastAsia="zh-CN"/>
              </w:rPr>
              <w:t>按照要求</w:t>
            </w:r>
            <w:r>
              <w:rPr>
                <w:rFonts w:hint="default" w:ascii="Times New Roman" w:hAnsi="Times New Roman" w:cs="Times New Roman"/>
                <w:color w:val="auto"/>
                <w:sz w:val="24"/>
                <w:szCs w:val="24"/>
                <w:u w:val="none" w:color="auto"/>
                <w:lang w:eastAsia="zh-CN"/>
              </w:rPr>
              <w:t>建设：</w:t>
            </w:r>
            <w:r>
              <w:rPr>
                <w:rFonts w:hint="default" w:ascii="Times New Roman" w:hAnsi="Times New Roman" w:cs="Times New Roman"/>
                <w:color w:val="auto"/>
                <w:sz w:val="24"/>
                <w:szCs w:val="24"/>
                <w:u w:val="none" w:color="auto"/>
              </w:rPr>
              <w:t>根据《危险废物贮存污染控制标准》（GB18597-2001）和《危险废物收集贮存运输技术规范》的要求，本项目危废贮存场所应按以下要求设置：</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产生危废的车间，必须设置专用的危废收集容器，产生的危废随时放置在容器中，绝不能和其他废物一起混合收集，贮存危险废物时应按危险废物的种类和特性进行分区贮存，每个贮存区域之间宜设置挡墙间隔，并应设置防雨、防火、防雷、防扬尘装置。</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③危险废物的收集和转运过程中，应采取相应的安全防护和污染防治措施，包括防爆、防火、防中毒、防感染、防泄露、防飞扬、防雨或其它防止污染环境的措施。④危险废物贮存设施要符合国家危险固废贮存场所的建设要求，危险固废贮存设施要建有堵截泄漏的裙脚，地面与裙脚用坚固的防渗材料建造，并建有隔离设施和防风、防晒、防雨设施</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基础防渗。储存间内清理出来的泄漏物也属于危险废物，必须按照危险废物处理原则处理。</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⑤危险废物存放间内部场地要进行人工材料的防渗处理。</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⑥公司应设置专门的危险固废处置机构，作为厂内环境管理、监测的重要组成部分，主要负责危险固废的收集、贮存及处置。</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贮存安全管理规定：</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危废的安全管理：必须将危废在桶装好后放入坚固的柜或箱中；盛装、贮存危险废物须作好记录，记录上须注明名称、来源、数量、特性和入库日期、废物出库日期及接收单位名称；必须定期对所贮存的的贮存库进行检查，发现破损，应及时采取措施清理更换；贮存库必须设置警示标志。</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rPr>
              <w:t>运输注意事项：危险废物产生单位在转移危险废物前，须按照国家有关规定报批危险废物转移计划，经批准后，产生单位应当向移出地环境保护行政主管部门申请领取联单。危险废物产生单位每转移一车、船（次）同类危险废物，应当填写一份联单。每车、船（次）有多类危险废物的，应当按每一类危险废物填写一份联单。 危险废物产生单位应当如实填写联单中产生单位栏目，并加盖公章，经交付危险废物运输单位核实验收签字后，将联单第一联副联自留存档，将联单第二联交移出地环境保护行政主管部门，联单第一联正联及其余各联交付运输单位随危险废物转移运行。危废的外运应委托有危险化学品运输质资的单位负责运输。运输车辆、司机、押运人员应具备危险化学品从业资质，有危险化学品从业资格证；运输时运输车辆应配备相应品种和数量的消防器材及泄漏应急处理设备；危险废物运输的收集应制定详细的操作规程，内容至少应包括适用范围、操作程序和方法、专业设备和工具、转移和交接、安全保障和应急防护等；夏季最好早晚运输。运输时所用的槽（罐）车应有接地链，槽内可设孔隔板以减少震荡产生静电；运输途中应防曝晒、雨淋，防高温。中途停留时应远离火种、热源、高温区；装运该物品的车辆排气管必须配备阻火装置，禁止使用易产生火花的机械设备和工具装卸；运输时要按规定路线行驶，勿在居民区和人口稠密区停留。</w:t>
            </w:r>
          </w:p>
          <w:p>
            <w:pPr>
              <w:snapToGrid w:val="0"/>
              <w:spacing w:line="360" w:lineRule="auto"/>
              <w:ind w:firstLine="466" w:firstLineChars="200"/>
              <w:rPr>
                <w:rFonts w:hint="eastAsia"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采取上述措施后，本工程固体废物可得到妥善的处理，对周围环境造影响较小</w:t>
            </w:r>
            <w:r>
              <w:rPr>
                <w:rFonts w:hint="eastAsia" w:cs="Times New Roman"/>
                <w:color w:val="auto"/>
                <w:sz w:val="24"/>
                <w:szCs w:val="24"/>
                <w:u w:val="none" w:color="auto"/>
                <w:lang w:eastAsia="zh-CN"/>
              </w:rPr>
              <w:t>。</w:t>
            </w:r>
          </w:p>
          <w:p>
            <w:pPr>
              <w:pStyle w:val="187"/>
              <w:spacing w:line="360" w:lineRule="auto"/>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val="en-US" w:eastAsia="zh-CN"/>
              </w:rPr>
              <w:t>5、土壤环境质量分析</w:t>
            </w:r>
          </w:p>
          <w:p>
            <w:pPr>
              <w:pStyle w:val="3"/>
              <w:spacing w:after="0" w:line="480" w:lineRule="exact"/>
              <w:ind w:firstLine="482"/>
              <w:rPr>
                <w:rFonts w:hint="default" w:ascii="Times New Roman" w:hAnsi="Times New Roman" w:cs="Times New Roman"/>
                <w:color w:val="auto"/>
                <w:kern w:val="0"/>
                <w:sz w:val="24"/>
                <w:u w:val="single" w:color="auto"/>
              </w:rPr>
            </w:pPr>
            <w:r>
              <w:rPr>
                <w:rFonts w:hint="eastAsia" w:ascii="Times New Roman" w:hAnsi="Times New Roman" w:eastAsia="宋体" w:cs="Times New Roman"/>
                <w:color w:val="auto"/>
                <w:sz w:val="24"/>
                <w:szCs w:val="24"/>
                <w:u w:val="single" w:color="auto"/>
                <w:lang w:val="en-US" w:eastAsia="zh-CN"/>
              </w:rPr>
              <w:t>根据《环境影响评价技术导则---土壤环境》（HJ964-2018）中可知，本项目属于污染影响型，本项目为</w:t>
            </w:r>
            <w:r>
              <w:rPr>
                <w:rFonts w:hint="eastAsia" w:cs="Times New Roman"/>
                <w:color w:val="auto"/>
                <w:sz w:val="24"/>
                <w:szCs w:val="24"/>
                <w:u w:val="single" w:color="auto"/>
                <w:lang w:val="en-US" w:eastAsia="zh-CN"/>
              </w:rPr>
              <w:t>石棉水泥制品制造</w:t>
            </w:r>
            <w:r>
              <w:rPr>
                <w:rFonts w:hint="eastAsia" w:ascii="Times New Roman" w:hAnsi="Times New Roman" w:eastAsia="宋体" w:cs="Times New Roman"/>
                <w:color w:val="auto"/>
                <w:sz w:val="24"/>
                <w:szCs w:val="24"/>
                <w:u w:val="single" w:color="auto"/>
                <w:lang w:val="en-US" w:eastAsia="zh-CN"/>
              </w:rPr>
              <w:t>，土壤环境影响评价项目类别中，属于“</w:t>
            </w:r>
            <w:r>
              <w:rPr>
                <w:rFonts w:hint="eastAsia" w:cs="Times New Roman"/>
                <w:color w:val="auto"/>
                <w:sz w:val="24"/>
                <w:szCs w:val="24"/>
                <w:u w:val="single" w:color="auto"/>
                <w:lang w:val="en-US" w:eastAsia="zh-CN"/>
              </w:rPr>
              <w:t>金属冶炼和压延加工及非金属矿物制品中</w:t>
            </w:r>
            <w:r>
              <w:rPr>
                <w:rFonts w:hint="eastAsia" w:ascii="Times New Roman" w:hAnsi="Times New Roman" w:eastAsia="宋体" w:cs="Times New Roman"/>
                <w:color w:val="auto"/>
                <w:sz w:val="24"/>
                <w:szCs w:val="24"/>
                <w:u w:val="single" w:color="auto"/>
                <w:lang w:val="en-US" w:eastAsia="zh-CN"/>
              </w:rPr>
              <w:t>的</w:t>
            </w:r>
            <w:r>
              <w:rPr>
                <w:rFonts w:hint="eastAsia" w:cs="Times New Roman"/>
                <w:color w:val="auto"/>
                <w:sz w:val="24"/>
                <w:szCs w:val="24"/>
                <w:u w:val="single" w:color="auto"/>
                <w:lang w:val="en-US" w:eastAsia="zh-CN"/>
              </w:rPr>
              <w:t>其他</w:t>
            </w:r>
            <w:r>
              <w:rPr>
                <w:rFonts w:hint="eastAsia" w:ascii="Times New Roman" w:hAnsi="Times New Roman" w:eastAsia="宋体" w:cs="Times New Roman"/>
                <w:color w:val="auto"/>
                <w:sz w:val="24"/>
                <w:szCs w:val="24"/>
                <w:u w:val="single" w:color="auto"/>
                <w:lang w:val="en-US" w:eastAsia="zh-CN"/>
              </w:rPr>
              <w:t>”，因此类别为</w:t>
            </w:r>
            <w:r>
              <w:rPr>
                <w:rFonts w:hint="eastAsia" w:ascii="Times New Roman" w:hAnsi="Times New Roman" w:eastAsia="宋体" w:cs="Times New Roman"/>
                <w:color w:val="auto"/>
                <w:sz w:val="24"/>
                <w:szCs w:val="24"/>
                <w:u w:val="single" w:color="auto"/>
                <w:lang w:val="en-US" w:eastAsia="zh-CN"/>
              </w:rPr>
              <w:fldChar w:fldCharType="begin"/>
            </w:r>
            <w:r>
              <w:rPr>
                <w:rFonts w:hint="eastAsia" w:ascii="Times New Roman" w:hAnsi="Times New Roman" w:eastAsia="宋体" w:cs="Times New Roman"/>
                <w:color w:val="auto"/>
                <w:sz w:val="24"/>
                <w:szCs w:val="24"/>
                <w:u w:val="single" w:color="auto"/>
                <w:lang w:val="en-US" w:eastAsia="zh-CN"/>
              </w:rPr>
              <w:instrText xml:space="preserve"> = 3 \* ROMAN \* MERGEFORMAT </w:instrText>
            </w:r>
            <w:r>
              <w:rPr>
                <w:rFonts w:hint="eastAsia" w:ascii="Times New Roman" w:hAnsi="Times New Roman" w:eastAsia="宋体" w:cs="Times New Roman"/>
                <w:color w:val="auto"/>
                <w:sz w:val="24"/>
                <w:szCs w:val="24"/>
                <w:u w:val="single" w:color="auto"/>
                <w:lang w:val="en-US" w:eastAsia="zh-CN"/>
              </w:rPr>
              <w:fldChar w:fldCharType="separate"/>
            </w:r>
            <w:r>
              <w:rPr>
                <w:color w:val="auto"/>
                <w:u w:val="single" w:color="auto"/>
              </w:rPr>
              <w:t>III</w:t>
            </w:r>
            <w:r>
              <w:rPr>
                <w:rFonts w:hint="eastAsia" w:ascii="Times New Roman" w:hAnsi="Times New Roman" w:eastAsia="宋体" w:cs="Times New Roman"/>
                <w:color w:val="auto"/>
                <w:sz w:val="24"/>
                <w:szCs w:val="24"/>
                <w:u w:val="single" w:color="auto"/>
                <w:lang w:val="en-US" w:eastAsia="zh-CN"/>
              </w:rPr>
              <w:fldChar w:fldCharType="end"/>
            </w:r>
            <w:r>
              <w:rPr>
                <w:rFonts w:hint="eastAsia" w:ascii="Times New Roman" w:hAnsi="Times New Roman" w:eastAsia="宋体" w:cs="Times New Roman"/>
                <w:color w:val="auto"/>
                <w:sz w:val="24"/>
                <w:szCs w:val="24"/>
                <w:u w:val="single" w:color="auto"/>
                <w:lang w:val="en-US" w:eastAsia="zh-CN"/>
              </w:rPr>
              <w:t>类。</w:t>
            </w:r>
            <w:r>
              <w:rPr>
                <w:rFonts w:hint="default" w:ascii="Times New Roman" w:hAnsi="Times New Roman" w:cs="Times New Roman"/>
                <w:color w:val="auto"/>
                <w:kern w:val="0"/>
                <w:sz w:val="24"/>
                <w:u w:val="single" w:color="auto"/>
              </w:rPr>
              <w:t>建设项目所在地周边的土壤环境敏感程度分级依据见表7-</w:t>
            </w:r>
            <w:r>
              <w:rPr>
                <w:rFonts w:hint="eastAsia" w:ascii="Times New Roman" w:hAnsi="Times New Roman" w:cs="Times New Roman"/>
                <w:color w:val="auto"/>
                <w:kern w:val="0"/>
                <w:sz w:val="24"/>
                <w:u w:val="single" w:color="auto"/>
                <w:lang w:val="en-US" w:eastAsia="zh-CN"/>
              </w:rPr>
              <w:t>1</w:t>
            </w:r>
            <w:r>
              <w:rPr>
                <w:rFonts w:hint="eastAsia" w:cs="Times New Roman"/>
                <w:color w:val="auto"/>
                <w:kern w:val="0"/>
                <w:sz w:val="24"/>
                <w:u w:val="single" w:color="auto"/>
                <w:lang w:val="en-US" w:eastAsia="zh-CN"/>
              </w:rPr>
              <w:t>3</w:t>
            </w:r>
            <w:r>
              <w:rPr>
                <w:rFonts w:hint="default" w:ascii="Times New Roman" w:hAnsi="Times New Roman" w:cs="Times New Roman"/>
                <w:color w:val="auto"/>
                <w:kern w:val="0"/>
                <w:sz w:val="24"/>
                <w:u w:val="single" w:color="auto"/>
              </w:rPr>
              <w:t>，评价等级划分依据见表7-</w:t>
            </w:r>
            <w:r>
              <w:rPr>
                <w:rFonts w:hint="eastAsia" w:ascii="Times New Roman" w:hAnsi="Times New Roman" w:cs="Times New Roman"/>
                <w:color w:val="auto"/>
                <w:kern w:val="0"/>
                <w:sz w:val="24"/>
                <w:u w:val="single" w:color="auto"/>
                <w:lang w:val="en-US" w:eastAsia="zh-CN"/>
              </w:rPr>
              <w:t>1</w:t>
            </w:r>
            <w:r>
              <w:rPr>
                <w:rFonts w:hint="eastAsia" w:cs="Times New Roman"/>
                <w:color w:val="auto"/>
                <w:kern w:val="0"/>
                <w:sz w:val="24"/>
                <w:u w:val="single" w:color="auto"/>
                <w:lang w:val="en-US" w:eastAsia="zh-CN"/>
              </w:rPr>
              <w:t>4</w:t>
            </w:r>
            <w:r>
              <w:rPr>
                <w:rFonts w:hint="default" w:ascii="Times New Roman" w:hAnsi="Times New Roman" w:cs="Times New Roman"/>
                <w:color w:val="auto"/>
                <w:kern w:val="0"/>
                <w:sz w:val="24"/>
                <w:u w:val="single" w:color="auto"/>
              </w:rPr>
              <w:t>。</w:t>
            </w:r>
          </w:p>
          <w:p>
            <w:pPr>
              <w:pStyle w:val="3"/>
              <w:spacing w:line="360" w:lineRule="auto"/>
              <w:ind w:firstLine="484"/>
              <w:jc w:val="center"/>
              <w:rPr>
                <w:rFonts w:hint="default" w:ascii="Times New Roman" w:hAnsi="Times New Roman" w:cs="Times New Roman"/>
                <w:b/>
                <w:color w:val="auto"/>
                <w:kern w:val="0"/>
                <w:sz w:val="24"/>
                <w:u w:val="single" w:color="auto"/>
              </w:rPr>
            </w:pPr>
            <w:r>
              <w:rPr>
                <w:rFonts w:hint="default" w:ascii="Times New Roman" w:hAnsi="Times New Roman" w:cs="Times New Roman"/>
                <w:b/>
                <w:color w:val="auto"/>
                <w:kern w:val="0"/>
                <w:sz w:val="24"/>
                <w:u w:val="single" w:color="auto"/>
              </w:rPr>
              <w:t>表7-</w:t>
            </w:r>
            <w:r>
              <w:rPr>
                <w:rFonts w:hint="eastAsia" w:ascii="Times New Roman" w:hAnsi="Times New Roman" w:cs="Times New Roman"/>
                <w:b/>
                <w:color w:val="auto"/>
                <w:kern w:val="0"/>
                <w:sz w:val="24"/>
                <w:u w:val="single" w:color="auto"/>
                <w:lang w:val="en-US" w:eastAsia="zh-CN"/>
              </w:rPr>
              <w:t>1</w:t>
            </w:r>
            <w:r>
              <w:rPr>
                <w:rFonts w:hint="eastAsia" w:cs="Times New Roman"/>
                <w:b/>
                <w:color w:val="auto"/>
                <w:kern w:val="0"/>
                <w:sz w:val="24"/>
                <w:u w:val="single" w:color="auto"/>
                <w:lang w:val="en-US" w:eastAsia="zh-CN"/>
              </w:rPr>
              <w:t>3</w:t>
            </w:r>
            <w:r>
              <w:rPr>
                <w:rFonts w:hint="default" w:ascii="Times New Roman" w:hAnsi="Times New Roman" w:cs="Times New Roman"/>
                <w:b/>
                <w:color w:val="auto"/>
                <w:kern w:val="0"/>
                <w:sz w:val="24"/>
                <w:u w:val="single" w:color="auto"/>
              </w:rPr>
              <w:t>污染影响型敏感程度分级表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敏感程度</w:t>
                  </w:r>
                </w:p>
              </w:tc>
              <w:tc>
                <w:tcPr>
                  <w:tcW w:w="3892"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敏感</w:t>
                  </w:r>
                </w:p>
              </w:tc>
              <w:tc>
                <w:tcPr>
                  <w:tcW w:w="3892" w:type="pct"/>
                  <w:tcBorders>
                    <w:top w:val="single" w:color="auto" w:sz="4" w:space="0"/>
                    <w:left w:val="nil"/>
                    <w:bottom w:val="single" w:color="auto" w:sz="4" w:space="0"/>
                    <w:right w:val="single" w:color="auto" w:sz="4" w:space="0"/>
                  </w:tcBorders>
                  <w:noWrap w:val="0"/>
                  <w:vAlign w:val="center"/>
                </w:tcPr>
                <w:p>
                  <w:pPr>
                    <w:pStyle w:val="3"/>
                    <w:spacing w:line="360" w:lineRule="auto"/>
                    <w:jc w:val="both"/>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建设项目周边存在耕地、园地、牧草地、饮用水水源地或居民区、学校、医院、疗养院、养老院等土壤环境敏感目标的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较敏感</w:t>
                  </w:r>
                </w:p>
              </w:tc>
              <w:tc>
                <w:tcPr>
                  <w:tcW w:w="3892"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建设项目周边存在其他土壤环境敏感目标的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不敏感</w:t>
                  </w:r>
                </w:p>
              </w:tc>
              <w:tc>
                <w:tcPr>
                  <w:tcW w:w="3892"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其他情况</w:t>
                  </w:r>
                </w:p>
              </w:tc>
            </w:tr>
          </w:tbl>
          <w:p>
            <w:pPr>
              <w:spacing w:line="360" w:lineRule="auto"/>
              <w:jc w:val="center"/>
              <w:rPr>
                <w:rFonts w:hint="default" w:ascii="Times New Roman" w:hAnsi="Times New Roman" w:cs="Times New Roman"/>
                <w:b/>
                <w:color w:val="auto"/>
                <w:kern w:val="0"/>
                <w:sz w:val="24"/>
                <w:u w:val="single" w:color="auto"/>
              </w:rPr>
            </w:pPr>
            <w:r>
              <w:rPr>
                <w:rFonts w:hint="default" w:ascii="Times New Roman" w:hAnsi="Times New Roman" w:cs="Times New Roman"/>
                <w:color w:val="auto"/>
                <w:kern w:val="0"/>
                <w:szCs w:val="21"/>
                <w:u w:val="single" w:color="auto"/>
              </w:rPr>
              <mc:AlternateContent>
                <mc:Choice Requires="wps">
                  <w:drawing>
                    <wp:anchor distT="0" distB="0" distL="114300" distR="114300" simplePos="0" relativeHeight="2182214656" behindDoc="0" locked="0" layoutInCell="1" allowOverlap="1">
                      <wp:simplePos x="0" y="0"/>
                      <wp:positionH relativeFrom="column">
                        <wp:posOffset>226060</wp:posOffset>
                      </wp:positionH>
                      <wp:positionV relativeFrom="paragraph">
                        <wp:posOffset>270510</wp:posOffset>
                      </wp:positionV>
                      <wp:extent cx="563245" cy="4889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63525" cy="488950"/>
                              </a:xfrm>
                              <a:prstGeom prst="rect">
                                <a:avLst/>
                              </a:prstGeom>
                              <a:noFill/>
                              <a:ln w="6350">
                                <a:noFill/>
                              </a:ln>
                              <a:effectLst/>
                            </wps:spPr>
                            <wps:txbx>
                              <w:txbxContent>
                                <w:p>
                                  <w:r>
                                    <w:rPr>
                                      <w:rFonts w:hint="eastAsia"/>
                                    </w:rPr>
                                    <w:t>项目</w:t>
                                  </w:r>
                                </w:p>
                                <w:p>
                                  <w:r>
                                    <w:rPr>
                                      <w:rFonts w:hint="eastAsia"/>
                                    </w:rPr>
                                    <w:t>类别</w:t>
                                  </w:r>
                                </w:p>
                                <w:p>
                                  <w:pPr>
                                    <w:ind w:firstLine="315" w:firstLineChars="150"/>
                                  </w:pPr>
                                  <w:r>
                                    <w:rPr>
                                      <w:rFonts w:hint="eastAsia"/>
                                    </w:rPr>
                                    <w:t>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21.3pt;height:38.5pt;width:44.35pt;z-index:-2112752640;mso-width-relative:page;mso-height-relative:page;" filled="f" stroked="f" coordsize="21600,21600" o:gfxdata="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AwR+HbAAAACQEAAA8AAAAAAAAAAQAgAAAA&#10;IgAAAGRycy9kb3ducmV2LnhtbFBLAQIUABQAAAAIAIdO4kDilJhRQQIAAHUEAAAOAAAAAAAAAAEA&#10;IAAAACoBAABkcnMvZTJvRG9jLnhtbFBLBQYAAAAABgAGAFkBAADdBQAAAAA=&#10;">
                      <v:fill on="f" focussize="0,0"/>
                      <v:stroke on="f" weight="0.5pt"/>
                      <v:imagedata o:title=""/>
                      <o:lock v:ext="edit" aspectratio="f"/>
                      <v:textbox>
                        <w:txbxContent>
                          <w:p>
                            <w:r>
                              <w:rPr>
                                <w:rFonts w:hint="eastAsia"/>
                              </w:rPr>
                              <w:t>项目</w:t>
                            </w:r>
                          </w:p>
                          <w:p>
                            <w:r>
                              <w:rPr>
                                <w:rFonts w:hint="eastAsia"/>
                              </w:rPr>
                              <w:t>类别</w:t>
                            </w:r>
                          </w:p>
                          <w:p>
                            <w:pPr>
                              <w:ind w:firstLine="315" w:firstLineChars="150"/>
                            </w:pPr>
                            <w:r>
                              <w:rPr>
                                <w:rFonts w:hint="eastAsia"/>
                              </w:rPr>
                              <w:t>别</w:t>
                            </w:r>
                          </w:p>
                        </w:txbxContent>
                      </v:textbox>
                    </v:shape>
                  </w:pict>
                </mc:Fallback>
              </mc:AlternateContent>
            </w:r>
            <w:r>
              <w:rPr>
                <w:rFonts w:hint="default" w:ascii="Times New Roman" w:hAnsi="Times New Roman" w:cs="Times New Roman"/>
                <w:b/>
                <w:color w:val="auto"/>
                <w:kern w:val="0"/>
                <w:sz w:val="24"/>
                <w:u w:val="single" w:color="auto"/>
              </w:rPr>
              <w:t>表7-</w:t>
            </w:r>
            <w:r>
              <w:rPr>
                <w:rFonts w:hint="eastAsia" w:ascii="Times New Roman" w:hAnsi="Times New Roman" w:cs="Times New Roman"/>
                <w:b/>
                <w:color w:val="auto"/>
                <w:kern w:val="0"/>
                <w:sz w:val="24"/>
                <w:u w:val="single" w:color="auto"/>
                <w:lang w:val="en-US" w:eastAsia="zh-CN"/>
              </w:rPr>
              <w:t>1</w:t>
            </w:r>
            <w:r>
              <w:rPr>
                <w:rFonts w:hint="eastAsia" w:cs="Times New Roman"/>
                <w:b/>
                <w:color w:val="auto"/>
                <w:kern w:val="0"/>
                <w:sz w:val="24"/>
                <w:u w:val="single" w:color="auto"/>
                <w:lang w:val="en-US" w:eastAsia="zh-CN"/>
              </w:rPr>
              <w:t xml:space="preserve">4  </w:t>
            </w:r>
            <w:r>
              <w:rPr>
                <w:rFonts w:hint="default" w:ascii="Times New Roman" w:hAnsi="Times New Roman" w:cs="Times New Roman"/>
                <w:b/>
                <w:color w:val="auto"/>
                <w:kern w:val="0"/>
                <w:sz w:val="24"/>
                <w:u w:val="single" w:color="auto"/>
              </w:rPr>
              <w:t>污染影响型评价工作等级划分表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734"/>
              <w:gridCol w:w="906"/>
              <w:gridCol w:w="906"/>
              <w:gridCol w:w="906"/>
              <w:gridCol w:w="906"/>
              <w:gridCol w:w="906"/>
              <w:gridCol w:w="906"/>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3"/>
                    <w:spacing w:after="0"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mc:AlternateContent>
                      <mc:Choice Requires="wps">
                        <w:drawing>
                          <wp:anchor distT="0" distB="0" distL="114300" distR="114300" simplePos="0" relativeHeight="2182215680" behindDoc="0" locked="0" layoutInCell="1" allowOverlap="1">
                            <wp:simplePos x="0" y="0"/>
                            <wp:positionH relativeFrom="column">
                              <wp:posOffset>-114300</wp:posOffset>
                            </wp:positionH>
                            <wp:positionV relativeFrom="paragraph">
                              <wp:posOffset>304165</wp:posOffset>
                            </wp:positionV>
                            <wp:extent cx="563245" cy="4889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63245" cy="488950"/>
                                    </a:xfrm>
                                    <a:prstGeom prst="rect">
                                      <a:avLst/>
                                    </a:prstGeom>
                                    <a:noFill/>
                                    <a:ln w="6350">
                                      <a:noFill/>
                                    </a:ln>
                                    <a:effectLst/>
                                  </wps:spPr>
                                  <wps:txbx>
                                    <w:txbxContent>
                                      <w:p>
                                        <w:r>
                                          <w:rPr>
                                            <w:rFonts w:hint="eastAsia"/>
                                          </w:rPr>
                                          <w:t>敏感</w:t>
                                        </w:r>
                                      </w:p>
                                      <w:p>
                                        <w:r>
                                          <w:rPr>
                                            <w:rFonts w:hint="eastAsia"/>
                                          </w:rPr>
                                          <w:t>程度</w:t>
                                        </w:r>
                                      </w:p>
                                      <w:p>
                                        <w:pPr>
                                          <w:ind w:firstLine="315" w:firstLineChars="150"/>
                                        </w:pPr>
                                        <w:r>
                                          <w:rPr>
                                            <w:rFonts w:hint="eastAsia"/>
                                          </w:rPr>
                                          <w:t>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23.95pt;height:38.5pt;width:44.35pt;z-index:-2112751616;mso-width-relative:page;mso-height-relative:page;" filled="f" stroked="f" coordsize="21600,21600" o:gfxdata="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NWD/9oAAAAJAQAADwAAAAAAAAABACAAAAAi&#10;AAAAZHJzL2Rvd25yZXYueG1sUEsBAhQAFAAAAAgAh07iQG82LlZBAgAAdQQAAA4AAAAAAAAAAQAg&#10;AAAAKQEAAGRycy9lMm9Eb2MueG1sUEsFBgAAAAAGAAYAWQEAANwFAAAAAA==&#10;">
                            <v:fill on="f" focussize="0,0"/>
                            <v:stroke on="f" weight="0.5pt"/>
                            <v:imagedata o:title=""/>
                            <o:lock v:ext="edit" aspectratio="f"/>
                            <v:textbox>
                              <w:txbxContent>
                                <w:p>
                                  <w:r>
                                    <w:rPr>
                                      <w:rFonts w:hint="eastAsia"/>
                                    </w:rPr>
                                    <w:t>敏感</w:t>
                                  </w:r>
                                </w:p>
                                <w:p>
                                  <w:r>
                                    <w:rPr>
                                      <w:rFonts w:hint="eastAsia"/>
                                    </w:rPr>
                                    <w:t>程度</w:t>
                                  </w:r>
                                </w:p>
                                <w:p>
                                  <w:pPr>
                                    <w:ind w:firstLine="315" w:firstLineChars="150"/>
                                  </w:pPr>
                                  <w:r>
                                    <w:rPr>
                                      <w:rFonts w:hint="eastAsia"/>
                                    </w:rPr>
                                    <w:t>别</w:t>
                                  </w:r>
                                </w:p>
                              </w:txbxContent>
                            </v:textbox>
                          </v:shape>
                        </w:pict>
                      </mc:Fallback>
                    </mc:AlternateContent>
                  </w:r>
                </w:p>
              </w:tc>
              <w:tc>
                <w:tcPr>
                  <w:tcW w:w="1404" w:type="pct"/>
                  <w:gridSpan w:val="3"/>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I</w:t>
                  </w:r>
                  <w:r>
                    <w:rPr>
                      <w:rFonts w:hint="default" w:ascii="Times New Roman" w:hAnsi="Times New Roman" w:cs="Times New Roman"/>
                      <w:color w:val="auto"/>
                      <w:sz w:val="22"/>
                      <w:szCs w:val="22"/>
                      <w:u w:val="single" w:color="auto"/>
                    </w:rPr>
                    <w:t>类</w:t>
                  </w:r>
                </w:p>
              </w:tc>
              <w:tc>
                <w:tcPr>
                  <w:tcW w:w="1500" w:type="pct"/>
                  <w:gridSpan w:val="3"/>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II</w:t>
                  </w:r>
                  <w:r>
                    <w:rPr>
                      <w:rFonts w:hint="default" w:ascii="Times New Roman" w:hAnsi="Times New Roman" w:cs="Times New Roman"/>
                      <w:color w:val="auto"/>
                      <w:sz w:val="22"/>
                      <w:szCs w:val="22"/>
                      <w:u w:val="single" w:color="auto"/>
                    </w:rPr>
                    <w:t>类</w:t>
                  </w:r>
                </w:p>
              </w:tc>
              <w:tc>
                <w:tcPr>
                  <w:tcW w:w="1501" w:type="pct"/>
                  <w:gridSpan w:val="3"/>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III</w:t>
                  </w:r>
                  <w:r>
                    <w:rPr>
                      <w:rFonts w:hint="default" w:ascii="Times New Roman" w:hAnsi="Times New Roman" w:cs="Times New Roman"/>
                      <w:color w:val="auto"/>
                      <w:sz w:val="22"/>
                      <w:szCs w:val="22"/>
                      <w:u w:val="single" w:color="auto"/>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2"/>
                      <w:szCs w:val="22"/>
                      <w:u w:val="single" w:color="auto"/>
                    </w:rPr>
                  </w:pPr>
                </w:p>
              </w:tc>
              <w:tc>
                <w:tcPr>
                  <w:tcW w:w="405"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小</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小</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敏感</w:t>
                  </w:r>
                </w:p>
              </w:tc>
              <w:tc>
                <w:tcPr>
                  <w:tcW w:w="405"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较敏感</w:t>
                  </w:r>
                </w:p>
              </w:tc>
              <w:tc>
                <w:tcPr>
                  <w:tcW w:w="405"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不敏感</w:t>
                  </w:r>
                </w:p>
              </w:tc>
              <w:tc>
                <w:tcPr>
                  <w:tcW w:w="405"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w:t>
                  </w:r>
                </w:p>
              </w:tc>
              <w:tc>
                <w:tcPr>
                  <w:tcW w:w="500" w:type="pct"/>
                  <w:tcBorders>
                    <w:top w:val="single" w:color="auto" w:sz="4" w:space="0"/>
                    <w:left w:val="nil"/>
                    <w:bottom w:val="single" w:color="auto" w:sz="4" w:space="0"/>
                    <w:right w:val="single" w:color="auto" w:sz="4" w:space="0"/>
                  </w:tcBorders>
                  <w:noWrap w:val="0"/>
                  <w:vAlign w:val="center"/>
                </w:tcPr>
                <w:p>
                  <w:pPr>
                    <w:pStyle w:val="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left"/>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注：“--”表示可不开展土壤环境影响评价工作。</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699" w:firstLineChars="300"/>
              <w:textAlignment w:val="auto"/>
              <w:rPr>
                <w:rFonts w:hint="eastAsia" w:cs="Times New Roman"/>
                <w:color w:val="auto"/>
                <w:sz w:val="24"/>
                <w:szCs w:val="24"/>
                <w:u w:val="single" w:color="auto"/>
                <w:lang w:val="en-US" w:eastAsia="zh-CN"/>
              </w:rPr>
            </w:pPr>
            <w:r>
              <w:rPr>
                <w:rFonts w:hint="eastAsia" w:ascii="Times New Roman" w:hAnsi="Times New Roman" w:eastAsia="宋体" w:cs="Times New Roman"/>
                <w:color w:val="auto"/>
                <w:sz w:val="24"/>
                <w:szCs w:val="24"/>
                <w:u w:val="single" w:color="auto"/>
                <w:lang w:val="en-US" w:eastAsia="zh-CN"/>
              </w:rPr>
              <w:t>项目位于</w:t>
            </w:r>
            <w:r>
              <w:rPr>
                <w:rFonts w:hint="eastAsia" w:cs="Times New Roman"/>
                <w:color w:val="auto"/>
                <w:sz w:val="24"/>
                <w:szCs w:val="24"/>
                <w:u w:val="single" w:color="auto"/>
                <w:lang w:val="en-US" w:eastAsia="zh-CN"/>
              </w:rPr>
              <w:t>白泥湖园艺场</w:t>
            </w:r>
            <w:r>
              <w:rPr>
                <w:rFonts w:hint="eastAsia" w:ascii="Times New Roman" w:hAnsi="Times New Roman" w:eastAsia="宋体" w:cs="Times New Roman"/>
                <w:color w:val="auto"/>
                <w:sz w:val="24"/>
                <w:szCs w:val="24"/>
                <w:u w:val="single" w:color="auto"/>
                <w:lang w:val="en-US" w:eastAsia="zh-CN"/>
              </w:rPr>
              <w:t>，周边均为</w:t>
            </w:r>
            <w:r>
              <w:rPr>
                <w:rFonts w:hint="eastAsia" w:cs="Times New Roman"/>
                <w:color w:val="auto"/>
                <w:sz w:val="24"/>
                <w:szCs w:val="24"/>
                <w:u w:val="single" w:color="auto"/>
                <w:lang w:val="en-US" w:eastAsia="zh-CN"/>
              </w:rPr>
              <w:t>闲置厂房、企业、农田、居民区等，</w:t>
            </w:r>
            <w:r>
              <w:rPr>
                <w:rFonts w:hint="eastAsia" w:ascii="Times New Roman" w:hAnsi="Times New Roman" w:eastAsia="宋体" w:cs="Times New Roman"/>
                <w:color w:val="auto"/>
                <w:sz w:val="24"/>
                <w:szCs w:val="24"/>
                <w:u w:val="single" w:color="auto"/>
                <w:lang w:val="en-US" w:eastAsia="zh-CN"/>
              </w:rPr>
              <w:t>对照敏感程度分类表可知，本项目为“敏感”，</w:t>
            </w:r>
            <w:r>
              <w:rPr>
                <w:rFonts w:hint="eastAsia" w:cs="Times New Roman"/>
                <w:color w:val="auto"/>
                <w:sz w:val="24"/>
                <w:szCs w:val="24"/>
                <w:u w:val="single" w:color="auto"/>
                <w:lang w:val="en-US" w:eastAsia="zh-CN"/>
              </w:rPr>
              <w:t>本项目占地面积为</w:t>
            </w:r>
            <w:r>
              <w:rPr>
                <w:rFonts w:hint="eastAsia" w:cs="Times New Roman"/>
                <w:color w:val="auto"/>
                <w:spacing w:val="-6"/>
                <w:sz w:val="24"/>
                <w:u w:val="single" w:color="auto"/>
                <w:lang w:val="en-US" w:eastAsia="zh-CN"/>
              </w:rPr>
              <w:t>26640m</w:t>
            </w:r>
            <w:r>
              <w:rPr>
                <w:rFonts w:hint="eastAsia" w:cs="Times New Roman"/>
                <w:color w:val="auto"/>
                <w:spacing w:val="-6"/>
                <w:sz w:val="24"/>
                <w:u w:val="single" w:color="auto"/>
                <w:vertAlign w:val="superscript"/>
                <w:lang w:val="en-US" w:eastAsia="zh-CN"/>
              </w:rPr>
              <w:t>2</w:t>
            </w:r>
            <w:r>
              <w:rPr>
                <w:rFonts w:hint="eastAsia" w:cs="Times New Roman"/>
                <w:color w:val="auto"/>
                <w:spacing w:val="-6"/>
                <w:sz w:val="24"/>
                <w:u w:val="single" w:color="auto"/>
                <w:lang w:val="en-US" w:eastAsia="zh-CN"/>
              </w:rPr>
              <w:t>，对照建设项目占地规模可知，项目属于小型，</w:t>
            </w:r>
            <w:r>
              <w:rPr>
                <w:rFonts w:hint="eastAsia" w:ascii="Times New Roman" w:hAnsi="Times New Roman" w:eastAsia="宋体" w:cs="Times New Roman"/>
                <w:color w:val="auto"/>
                <w:sz w:val="24"/>
                <w:szCs w:val="24"/>
                <w:u w:val="single" w:color="auto"/>
                <w:lang w:val="en-US" w:eastAsia="zh-CN"/>
              </w:rPr>
              <w:t>对照土壤分级表可知，本项目</w:t>
            </w:r>
            <w:r>
              <w:rPr>
                <w:rFonts w:hint="eastAsia" w:cs="Times New Roman"/>
                <w:color w:val="auto"/>
                <w:sz w:val="24"/>
                <w:szCs w:val="24"/>
                <w:u w:val="single" w:color="auto"/>
                <w:lang w:val="en-US" w:eastAsia="zh-CN"/>
              </w:rPr>
              <w:t>属于三级评价等级。</w:t>
            </w:r>
          </w:p>
          <w:p>
            <w:pPr>
              <w:pStyle w:val="3"/>
              <w:keepNext w:val="0"/>
              <w:keepLines w:val="0"/>
              <w:pageBreakBefore w:val="0"/>
              <w:kinsoku/>
              <w:wordWrap/>
              <w:overflowPunct/>
              <w:topLinePunct w:val="0"/>
              <w:autoSpaceDE/>
              <w:autoSpaceDN/>
              <w:bidi w:val="0"/>
              <w:adjustRightInd/>
              <w:snapToGrid/>
              <w:spacing w:after="0" w:line="450" w:lineRule="exact"/>
              <w:ind w:firstLine="466" w:firstLineChars="200"/>
              <w:jc w:val="both"/>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本项目为</w:t>
            </w:r>
            <w:r>
              <w:rPr>
                <w:rFonts w:hint="eastAsia" w:cs="Times New Roman"/>
                <w:color w:val="auto"/>
                <w:sz w:val="24"/>
                <w:szCs w:val="24"/>
                <w:u w:val="single" w:color="auto"/>
                <w:lang w:val="en-US" w:eastAsia="zh-CN"/>
              </w:rPr>
              <w:t>石棉瓦</w:t>
            </w:r>
            <w:r>
              <w:rPr>
                <w:rFonts w:hint="default" w:ascii="Times New Roman" w:hAnsi="Times New Roman" w:eastAsia="宋体" w:cs="Times New Roman"/>
                <w:color w:val="auto"/>
                <w:sz w:val="24"/>
                <w:szCs w:val="24"/>
                <w:u w:val="single" w:color="auto"/>
                <w:lang w:eastAsia="zh-CN"/>
              </w:rPr>
              <w:t>制造，主要生产工艺为</w:t>
            </w:r>
            <w:r>
              <w:rPr>
                <w:rFonts w:hint="eastAsia" w:cs="Times New Roman"/>
                <w:color w:val="auto"/>
                <w:sz w:val="24"/>
                <w:szCs w:val="24"/>
                <w:u w:val="single" w:color="auto"/>
                <w:lang w:val="en-US" w:eastAsia="zh-CN"/>
              </w:rPr>
              <w:t>打料制浆、脱水、成型、养护、喷漆</w:t>
            </w:r>
            <w:r>
              <w:rPr>
                <w:rFonts w:hint="default" w:ascii="Times New Roman" w:hAnsi="Times New Roman" w:eastAsia="宋体" w:cs="Times New Roman"/>
                <w:color w:val="auto"/>
                <w:sz w:val="24"/>
                <w:szCs w:val="24"/>
                <w:u w:val="single" w:color="auto"/>
                <w:lang w:eastAsia="zh-CN"/>
              </w:rPr>
              <w:t>等，项目使用的原辅材料主要为</w:t>
            </w:r>
            <w:r>
              <w:rPr>
                <w:rFonts w:hint="eastAsia" w:cs="Times New Roman"/>
                <w:color w:val="auto"/>
                <w:sz w:val="24"/>
                <w:szCs w:val="24"/>
                <w:u w:val="single" w:color="auto"/>
                <w:lang w:val="en-US" w:eastAsia="zh-CN"/>
              </w:rPr>
              <w:t>水泥、石粉、石棉纤维、玻璃纤维、纸纤维、水性漆</w:t>
            </w:r>
            <w:r>
              <w:rPr>
                <w:rFonts w:hint="default" w:ascii="Times New Roman" w:hAnsi="Times New Roman" w:eastAsia="宋体" w:cs="Times New Roman"/>
                <w:color w:val="auto"/>
                <w:sz w:val="24"/>
                <w:szCs w:val="24"/>
                <w:u w:val="single" w:color="auto"/>
                <w:lang w:eastAsia="zh-CN"/>
              </w:rPr>
              <w:t>等；产生的废气污染物主要为颗粒物和挥发性有机物；产生的废水污染物主要为</w:t>
            </w:r>
            <w:r>
              <w:rPr>
                <w:rFonts w:hint="default" w:ascii="Times New Roman" w:hAnsi="Times New Roman" w:eastAsia="宋体" w:cs="Times New Roman"/>
                <w:color w:val="auto"/>
                <w:sz w:val="24"/>
                <w:szCs w:val="24"/>
                <w:u w:val="single" w:color="auto"/>
              </w:rPr>
              <w:t>SS</w:t>
            </w:r>
            <w:r>
              <w:rPr>
                <w:rFonts w:hint="default" w:ascii="Times New Roman" w:hAnsi="Times New Roman" w:eastAsia="宋体" w:cs="Times New Roman"/>
                <w:color w:val="auto"/>
                <w:sz w:val="24"/>
                <w:szCs w:val="24"/>
                <w:u w:val="single" w:color="auto"/>
                <w:lang w:eastAsia="zh-CN"/>
              </w:rPr>
              <w:t>等；产生的危险废物主要为</w:t>
            </w:r>
            <w:r>
              <w:rPr>
                <w:rFonts w:hint="default" w:ascii="Times New Roman" w:hAnsi="Times New Roman" w:cs="Times New Roman"/>
                <w:color w:val="auto"/>
                <w:sz w:val="24"/>
                <w:szCs w:val="24"/>
                <w:highlight w:val="none"/>
                <w:u w:val="single" w:color="auto"/>
                <w:lang w:eastAsia="zh-CN"/>
              </w:rPr>
              <w:t>废过滤棉</w:t>
            </w:r>
            <w:r>
              <w:rPr>
                <w:rFonts w:hint="eastAsia"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lang w:eastAsia="zh-CN"/>
              </w:rPr>
              <w:t>漆渣</w:t>
            </w:r>
            <w:r>
              <w:rPr>
                <w:rFonts w:hint="eastAsia" w:ascii="Times New Roman" w:hAnsi="Times New Roman" w:cs="Times New Roman"/>
                <w:color w:val="auto"/>
                <w:sz w:val="24"/>
                <w:szCs w:val="24"/>
                <w:u w:val="single" w:color="auto"/>
                <w:lang w:val="en-US" w:eastAsia="zh-CN"/>
              </w:rPr>
              <w:t>、废活性炭</w:t>
            </w:r>
            <w:r>
              <w:rPr>
                <w:rFonts w:hint="default" w:ascii="Times New Roman" w:hAnsi="Times New Roman" w:eastAsia="宋体" w:cs="Times New Roman"/>
                <w:color w:val="auto"/>
                <w:sz w:val="24"/>
                <w:szCs w:val="24"/>
                <w:u w:val="single" w:color="auto"/>
                <w:lang w:eastAsia="zh-CN"/>
              </w:rPr>
              <w:t>等。</w:t>
            </w:r>
          </w:p>
          <w:p>
            <w:pPr>
              <w:pStyle w:val="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lang w:eastAsia="zh-CN"/>
              </w:rPr>
            </w:pPr>
            <w:r>
              <w:rPr>
                <w:rFonts w:hint="eastAsia" w:ascii="Times New Roman" w:hAnsi="Times New Roman" w:eastAsia="宋体" w:cs="Times New Roman"/>
                <w:color w:val="auto"/>
                <w:sz w:val="24"/>
                <w:szCs w:val="24"/>
                <w:u w:val="single" w:color="auto"/>
                <w:lang w:val="en-US" w:eastAsia="zh-CN"/>
              </w:rPr>
              <w:t>经检测可知，土壤中</w:t>
            </w:r>
            <w:r>
              <w:rPr>
                <w:rFonts w:hint="default" w:ascii="Times New Roman" w:hAnsi="Times New Roman" w:eastAsia="宋体" w:cs="Times New Roman"/>
                <w:color w:val="auto"/>
                <w:sz w:val="24"/>
                <w:szCs w:val="24"/>
                <w:u w:val="single" w:color="auto"/>
                <w:lang w:eastAsia="zh-CN"/>
              </w:rPr>
              <w:t>各因子均满足《土壤环境质量 建设用地土壤污染风险管控标准（试行）》（GB36600-2018）相对应标准。</w:t>
            </w:r>
          </w:p>
          <w:p>
            <w:pPr>
              <w:pStyle w:val="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项目土壤污染源主要为</w:t>
            </w:r>
            <w:r>
              <w:rPr>
                <w:rFonts w:hint="eastAsia" w:cs="Times New Roman"/>
                <w:color w:val="auto"/>
                <w:sz w:val="24"/>
                <w:szCs w:val="24"/>
                <w:u w:val="single" w:color="auto"/>
                <w:lang w:val="en-US" w:eastAsia="zh-CN"/>
              </w:rPr>
              <w:t>水性漆储存区</w:t>
            </w:r>
            <w:r>
              <w:rPr>
                <w:rFonts w:hint="default" w:ascii="Times New Roman" w:hAnsi="Times New Roman" w:eastAsia="宋体" w:cs="Times New Roman"/>
                <w:color w:val="auto"/>
                <w:sz w:val="24"/>
                <w:szCs w:val="24"/>
                <w:u w:val="single" w:color="auto"/>
                <w:lang w:eastAsia="zh-CN"/>
              </w:rPr>
              <w:t>以及危废暂存库等。污染物主要通过垂直入渗、地面漫流和大气沉降污染土壤环境，其中的垂直入渗和地面漫流主要通过失效的防渗层，泄漏进入土壤环境，导致土壤环境的改变，大气沉降主要通过不达标排放沉降至土壤中</w:t>
            </w:r>
            <w:r>
              <w:rPr>
                <w:rFonts w:hint="eastAsia" w:ascii="Times New Roman" w:hAnsi="Times New Roman" w:eastAsia="宋体" w:cs="Times New Roman"/>
                <w:color w:val="auto"/>
                <w:sz w:val="24"/>
                <w:szCs w:val="24"/>
                <w:u w:val="single" w:color="auto"/>
                <w:lang w:eastAsia="zh-CN"/>
              </w:rPr>
              <w:t>。</w:t>
            </w:r>
            <w:r>
              <w:rPr>
                <w:rFonts w:hint="eastAsia" w:ascii="Times New Roman" w:hAnsi="Times New Roman" w:eastAsia="宋体" w:cs="Times New Roman"/>
                <w:color w:val="auto"/>
                <w:sz w:val="24"/>
                <w:szCs w:val="24"/>
                <w:u w:val="single" w:color="auto"/>
                <w:lang w:val="en-US" w:eastAsia="zh-CN"/>
              </w:rPr>
              <w:t>因此项目采取地方硬化等防渗处理，设置围堰，定期检查和维护废气处理设施，定期进行废气监测，确保废气达标排放。</w:t>
            </w:r>
            <w:r>
              <w:rPr>
                <w:rFonts w:hint="default" w:ascii="Times New Roman" w:hAnsi="Times New Roman" w:eastAsia="宋体" w:cs="Times New Roman"/>
                <w:color w:val="auto"/>
                <w:sz w:val="24"/>
                <w:szCs w:val="24"/>
                <w:u w:val="single" w:color="auto"/>
                <w:lang w:eastAsia="zh-CN"/>
              </w:rPr>
              <w:t>以降低对土壤环境的影响</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具体措施如下：</w:t>
            </w:r>
          </w:p>
          <w:p>
            <w:pPr>
              <w:pStyle w:val="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eastAsia="zh-CN"/>
              </w:rPr>
              <w:t>①源头控制</w:t>
            </w:r>
          </w:p>
          <w:p>
            <w:pPr>
              <w:pStyle w:val="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eastAsia="zh-CN"/>
              </w:rPr>
              <w:t>项目生产车间建有完善的防风、防雨、防流失设施，地面采取有效的防渗措施，防止渗漏液体产生及进入土壤。</w:t>
            </w:r>
            <w:r>
              <w:rPr>
                <w:rFonts w:hint="eastAsia" w:cs="Times New Roman"/>
                <w:color w:val="auto"/>
                <w:sz w:val="24"/>
                <w:szCs w:val="24"/>
                <w:u w:val="single" w:color="auto"/>
                <w:lang w:val="en-US" w:eastAsia="zh-CN"/>
              </w:rPr>
              <w:t>水性漆</w:t>
            </w:r>
            <w:r>
              <w:rPr>
                <w:rFonts w:hint="default" w:ascii="Times New Roman" w:hAnsi="Times New Roman" w:eastAsia="宋体" w:cs="Times New Roman"/>
                <w:color w:val="auto"/>
                <w:sz w:val="24"/>
                <w:szCs w:val="24"/>
                <w:u w:val="single" w:color="auto"/>
                <w:lang w:eastAsia="zh-CN"/>
              </w:rPr>
              <w:t>均桶装密封运输进厂，危险废物也应桶装密封后运输出厂，要求轻拿轻放，避免包装桶破碎引起泄露，将污染物泄露、渗漏污染地下水的环境风险降到最低程度；厂区地面除绿化区外全部进行水泥硬化处理，防止物料运输时散落，进而由于雨淋下渗污染地下水。占地范围内应采取绿化措施，以种植具有较强吸附能力的植物为主。</w:t>
            </w:r>
          </w:p>
          <w:p>
            <w:pPr>
              <w:pStyle w:val="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②分区防控</w:t>
            </w:r>
          </w:p>
          <w:p>
            <w:pPr>
              <w:pStyle w:val="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lang w:eastAsia="zh-CN"/>
              </w:rPr>
              <w:t>将项目场区分为重点防渗区和一般防渗区。</w:t>
            </w:r>
            <w:r>
              <w:rPr>
                <w:rFonts w:hint="default" w:ascii="Times New Roman" w:hAnsi="Times New Roman" w:eastAsia="宋体" w:cs="Times New Roman"/>
                <w:color w:val="auto"/>
                <w:sz w:val="24"/>
                <w:szCs w:val="24"/>
                <w:u w:val="single" w:color="auto"/>
              </w:rPr>
              <w:t>重点防渗区主要为：生产车间、</w:t>
            </w:r>
            <w:r>
              <w:rPr>
                <w:rFonts w:hint="eastAsia" w:cs="Times New Roman"/>
                <w:color w:val="auto"/>
                <w:sz w:val="24"/>
                <w:szCs w:val="24"/>
                <w:u w:val="single" w:color="auto"/>
                <w:lang w:val="en-US" w:eastAsia="zh-CN"/>
              </w:rPr>
              <w:t>水性漆储存区</w:t>
            </w:r>
            <w:r>
              <w:rPr>
                <w:rFonts w:hint="default" w:ascii="Times New Roman" w:hAnsi="Times New Roman" w:eastAsia="宋体" w:cs="Times New Roman"/>
                <w:color w:val="auto"/>
                <w:sz w:val="24"/>
                <w:szCs w:val="24"/>
                <w:u w:val="single" w:color="auto"/>
                <w:lang w:eastAsia="zh-CN"/>
              </w:rPr>
              <w:t>、危废暂存间</w:t>
            </w:r>
            <w:r>
              <w:rPr>
                <w:rFonts w:hint="default" w:ascii="Times New Roman" w:hAnsi="Times New Roman" w:eastAsia="宋体" w:cs="Times New Roman"/>
                <w:color w:val="auto"/>
                <w:sz w:val="24"/>
                <w:szCs w:val="24"/>
                <w:u w:val="single" w:color="auto"/>
              </w:rPr>
              <w:t>等；一般防渗区主要为：办公楼、成品库房及一般废物暂存场所等。</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66" w:firstLineChars="200"/>
              <w:textAlignment w:val="auto"/>
              <w:rPr>
                <w:rFonts w:hint="default" w:ascii="Times New Roman" w:hAnsi="Times New Roman" w:eastAsia="宋体" w:cs="Times New Roman"/>
                <w:color w:val="auto"/>
                <w:spacing w:val="-6"/>
                <w:sz w:val="24"/>
                <w:szCs w:val="24"/>
                <w:u w:val="single" w:color="auto"/>
              </w:rPr>
            </w:pPr>
            <w:r>
              <w:rPr>
                <w:rFonts w:hint="default" w:ascii="Times New Roman" w:hAnsi="Times New Roman" w:eastAsia="宋体" w:cs="Times New Roman"/>
                <w:color w:val="auto"/>
                <w:sz w:val="24"/>
                <w:szCs w:val="24"/>
                <w:u w:val="single" w:color="auto"/>
              </w:rPr>
              <w:t>一般防渗区防渗设计要求参照《一般工业固体废物贮存、处置场污染控制标准</w:t>
            </w:r>
            <w:r>
              <w:rPr>
                <w:rFonts w:hint="default" w:ascii="Times New Roman" w:hAnsi="Times New Roman" w:eastAsia="宋体" w:cs="Times New Roman"/>
                <w:color w:val="auto"/>
                <w:spacing w:val="-6"/>
                <w:sz w:val="24"/>
                <w:szCs w:val="24"/>
                <w:u w:val="single" w:color="auto"/>
              </w:rPr>
              <w:t>》（GB18599-2001）。一般污染区地坪混凝土防渗层抗渗等级不应小于P6，其厚度不宜小于100mm，其防渗层性能与1.5m厚粘土层（渗透系1.0×10</w:t>
            </w:r>
            <w:r>
              <w:rPr>
                <w:rFonts w:hint="default" w:ascii="Times New Roman" w:hAnsi="Times New Roman" w:eastAsia="宋体" w:cs="Times New Roman"/>
                <w:color w:val="auto"/>
                <w:spacing w:val="-6"/>
                <w:sz w:val="24"/>
                <w:szCs w:val="24"/>
                <w:u w:val="single" w:color="auto"/>
                <w:vertAlign w:val="superscript"/>
              </w:rPr>
              <w:t>-7</w:t>
            </w:r>
            <w:r>
              <w:rPr>
                <w:rFonts w:hint="default" w:ascii="Times New Roman" w:hAnsi="Times New Roman" w:eastAsia="宋体" w:cs="Times New Roman"/>
                <w:color w:val="auto"/>
                <w:spacing w:val="-6"/>
                <w:sz w:val="24"/>
                <w:szCs w:val="24"/>
                <w:u w:val="single" w:color="auto"/>
              </w:rPr>
              <w:t>cm/s）等效。</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66" w:firstLineChars="200"/>
              <w:jc w:val="both"/>
              <w:textAlignment w:val="auto"/>
              <w:rPr>
                <w:rFonts w:hint="default" w:ascii="Times New Roman" w:hAnsi="Times New Roman" w:eastAsia="宋体" w:cs="Times New Roman"/>
                <w:color w:val="auto"/>
                <w:spacing w:val="-6"/>
                <w:sz w:val="24"/>
                <w:szCs w:val="24"/>
                <w:u w:val="single" w:color="auto"/>
              </w:rPr>
            </w:pPr>
            <w:r>
              <w:rPr>
                <w:rFonts w:hint="default" w:ascii="Times New Roman" w:hAnsi="Times New Roman" w:eastAsia="宋体" w:cs="Times New Roman"/>
                <w:color w:val="auto"/>
                <w:sz w:val="24"/>
                <w:szCs w:val="24"/>
                <w:u w:val="single" w:color="auto"/>
              </w:rPr>
              <w:t>重点防渗区防渗设计要求参照《危险废物填埋污染控制标准》（GB18598-2001）。重点污染区地坪混凝土防渗层抗渗等级不应小于P8，其厚度不宜小</w:t>
            </w:r>
            <w:r>
              <w:rPr>
                <w:rFonts w:hint="default" w:ascii="Times New Roman" w:hAnsi="Times New Roman" w:eastAsia="宋体" w:cs="Times New Roman"/>
                <w:color w:val="auto"/>
                <w:spacing w:val="-6"/>
                <w:sz w:val="24"/>
                <w:szCs w:val="24"/>
                <w:u w:val="single" w:color="auto"/>
              </w:rPr>
              <w:t>于150mm，防渗层性能应与6m厚粘土层（渗透系数1.0×10</w:t>
            </w:r>
            <w:r>
              <w:rPr>
                <w:rFonts w:hint="default" w:ascii="Times New Roman" w:hAnsi="Times New Roman" w:eastAsia="宋体" w:cs="Times New Roman"/>
                <w:color w:val="auto"/>
                <w:spacing w:val="-6"/>
                <w:sz w:val="24"/>
                <w:szCs w:val="24"/>
                <w:u w:val="single" w:color="auto"/>
                <w:vertAlign w:val="superscript"/>
              </w:rPr>
              <w:t>-7</w:t>
            </w:r>
            <w:r>
              <w:rPr>
                <w:rFonts w:hint="default" w:ascii="Times New Roman" w:hAnsi="Times New Roman" w:eastAsia="宋体" w:cs="Times New Roman"/>
                <w:color w:val="auto"/>
                <w:spacing w:val="-6"/>
                <w:sz w:val="24"/>
                <w:szCs w:val="24"/>
                <w:u w:val="single" w:color="auto"/>
              </w:rPr>
              <w:t>cm/s）等效。</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single" w:color="auto"/>
              </w:rPr>
              <w:t>综上所述，项目充分采取防渗措施、加强日常管理，项目运营后对所在区域土壤环境影响较小</w:t>
            </w:r>
            <w:r>
              <w:rPr>
                <w:rFonts w:hint="eastAsia" w:cs="Times New Roman"/>
                <w:color w:val="auto"/>
                <w:kern w:val="0"/>
                <w:sz w:val="24"/>
                <w:u w:val="none" w:color="auto"/>
                <w:lang w:eastAsia="zh-CN"/>
              </w:rPr>
              <w:t>。</w:t>
            </w:r>
          </w:p>
          <w:p>
            <w:pPr>
              <w:pStyle w:val="187"/>
              <w:spacing w:line="360" w:lineRule="auto"/>
              <w:rPr>
                <w:rFonts w:hint="eastAsia" w:cs="Times New Roman"/>
                <w:color w:val="auto"/>
                <w:sz w:val="24"/>
                <w:szCs w:val="24"/>
                <w:u w:val="none" w:color="auto"/>
                <w:lang w:val="en-US" w:eastAsia="zh-CN"/>
              </w:rPr>
            </w:pPr>
          </w:p>
          <w:p>
            <w:pPr>
              <w:pStyle w:val="187"/>
              <w:spacing w:line="360" w:lineRule="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、环境风险分析及防范措施</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境风险评价的目的是分析和预测建设项目存在的潜在危险、有害因素，建设项目建设和运行期间可能发生的突发性事件或事故，引起有毒有害和易燃易爆等物质泄漏，所造成的人身安全与环境影响和损害程度，提出合理可行的防范、应急与减缓措施，以使建设项目事故率、损失和环境影响达到可接受水平。</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《建设项目环境风险评价技术导则》（HJ/T169-20</w:t>
            </w:r>
            <w:r>
              <w:rPr>
                <w:rFonts w:hint="default" w:ascii="Times New Roman" w:hAnsi="Times New Roman" w:cs="Times New Roman"/>
                <w:color w:val="auto"/>
                <w:sz w:val="24"/>
                <w:szCs w:val="24"/>
                <w:u w:val="none" w:color="auto"/>
                <w:lang w:val="en-US" w:eastAsia="zh-CN"/>
              </w:rPr>
              <w:t>18</w:t>
            </w:r>
            <w:r>
              <w:rPr>
                <w:rFonts w:hint="default" w:ascii="Times New Roman" w:hAnsi="Times New Roman" w:cs="Times New Roman"/>
                <w:color w:val="auto"/>
                <w:sz w:val="24"/>
                <w:szCs w:val="24"/>
                <w:u w:val="none" w:color="auto"/>
              </w:rPr>
              <w:t>）适用于涉及有毒有害和易燃易爆物质的生产、使用和贮运等的新建、改建、扩建和技术改造项目，本次评价以该导则为基准，通过对工程的风险识别、分析和后果预测，提出本项目的风险防范措施和应急预案，把项目环境风险尽可能降低至可接受水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color w:val="auto"/>
                <w:sz w:val="24"/>
                <w:szCs w:val="24"/>
                <w:u w:val="none" w:color="auto"/>
                <w:lang w:val="en-US" w:eastAsia="zh-CN"/>
              </w:rPr>
              <w:t>本次环境风险评价采用《建设项目环境风险评价技术导则》（HJ169-2018）中要求对建设项目的环境风险进行分析、计算和评估，提出环境风险预防、控制、减缓措施，明确环境风险监控及应急建议要求，为建设项目环境风险防控提供科学依据。</w:t>
            </w:r>
          </w:p>
          <w:p>
            <w:pPr>
              <w:pStyle w:val="193"/>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bCs/>
                <w:color w:val="auto"/>
                <w:sz w:val="24"/>
                <w:u w:val="none" w:color="auto"/>
                <w:lang w:val="en-US" w:eastAsia="zh-CN"/>
              </w:rPr>
              <w:t>风险调查</w:t>
            </w:r>
          </w:p>
          <w:p>
            <w:pPr>
              <w:pStyle w:val="193"/>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eastAsia" w:cs="Times New Roman"/>
                <w:b/>
                <w:bCs/>
                <w:color w:val="auto"/>
                <w:sz w:val="24"/>
                <w:szCs w:val="24"/>
                <w:u w:val="none" w:color="auto"/>
                <w:lang w:eastAsia="zh-CN"/>
              </w:rPr>
            </w:pPr>
            <w:r>
              <w:rPr>
                <w:rFonts w:hint="default" w:ascii="Times New Roman" w:hAnsi="Times New Roman" w:cs="Times New Roman"/>
                <w:b w:val="0"/>
                <w:bCs w:val="0"/>
                <w:color w:val="auto"/>
                <w:sz w:val="24"/>
                <w:u w:val="none" w:color="auto"/>
                <w:lang w:val="en-US" w:eastAsia="zh-CN"/>
              </w:rPr>
              <w:t>通过对项目进行分析，可判断项目营运期</w:t>
            </w:r>
            <w:r>
              <w:rPr>
                <w:rFonts w:hint="eastAsia" w:ascii="Times New Roman" w:hAnsi="Times New Roman" w:cs="Times New Roman"/>
                <w:b w:val="0"/>
                <w:bCs w:val="0"/>
                <w:color w:val="auto"/>
                <w:sz w:val="24"/>
                <w:u w:val="none" w:color="auto"/>
                <w:lang w:val="en-US" w:eastAsia="zh-CN"/>
              </w:rPr>
              <w:t>有组织废气超标排放、水性漆</w:t>
            </w:r>
            <w:r>
              <w:rPr>
                <w:rFonts w:hint="default" w:ascii="Times New Roman" w:hAnsi="Times New Roman" w:cs="Times New Roman"/>
                <w:b w:val="0"/>
                <w:bCs w:val="0"/>
                <w:color w:val="auto"/>
                <w:sz w:val="24"/>
                <w:u w:val="none" w:color="auto"/>
                <w:lang w:val="en-US" w:eastAsia="zh-CN"/>
              </w:rPr>
              <w:t>泄漏风险等。</w:t>
            </w:r>
          </w:p>
          <w:p>
            <w:pPr>
              <w:pStyle w:val="174"/>
              <w:spacing w:line="360" w:lineRule="auto"/>
              <w:ind w:firstLine="48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eastAsia="zh-CN"/>
              </w:rPr>
              <w:t>环境风险分析</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（1）物质识别</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eastAsia="zh-CN"/>
              </w:rPr>
              <w:t>原辅材</w:t>
            </w:r>
            <w:r>
              <w:rPr>
                <w:rFonts w:hint="default" w:ascii="Times New Roman" w:hAnsi="Times New Roman" w:cs="Times New Roman"/>
                <w:color w:val="auto"/>
                <w:sz w:val="24"/>
                <w:szCs w:val="24"/>
                <w:u w:val="none" w:color="auto"/>
                <w:lang w:eastAsia="zh-CN"/>
              </w:rPr>
              <w:t>料</w:t>
            </w:r>
            <w:r>
              <w:rPr>
                <w:rFonts w:hint="eastAsia" w:cs="Times New Roman"/>
                <w:color w:val="auto"/>
                <w:sz w:val="24"/>
                <w:szCs w:val="24"/>
                <w:u w:val="none" w:color="auto"/>
                <w:lang w:eastAsia="zh-CN"/>
              </w:rPr>
              <w:t>有</w:t>
            </w:r>
            <w:r>
              <w:rPr>
                <w:rFonts w:hint="eastAsia" w:ascii="Times New Roman" w:hAnsi="Times New Roman" w:cs="Times New Roman"/>
                <w:b w:val="0"/>
                <w:bCs w:val="0"/>
                <w:color w:val="auto"/>
                <w:sz w:val="24"/>
                <w:u w:val="none" w:color="auto"/>
                <w:lang w:val="en-US" w:eastAsia="zh-CN"/>
              </w:rPr>
              <w:t>水性漆、</w:t>
            </w:r>
            <w:r>
              <w:rPr>
                <w:rFonts w:hint="eastAsia" w:cs="Times New Roman"/>
                <w:b w:val="0"/>
                <w:bCs w:val="0"/>
                <w:color w:val="auto"/>
                <w:sz w:val="24"/>
                <w:u w:val="none" w:color="auto"/>
                <w:lang w:val="en-US" w:eastAsia="zh-CN"/>
              </w:rPr>
              <w:t>石棉纤维、玻璃纤维、纸纤维等</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eastAsia="zh-CN"/>
              </w:rPr>
              <w:t>本项目的危险废物有</w:t>
            </w:r>
            <w:r>
              <w:rPr>
                <w:rFonts w:hint="eastAsia" w:ascii="宋体" w:hAnsi="宋体"/>
                <w:color w:val="auto"/>
                <w:sz w:val="24"/>
                <w:szCs w:val="32"/>
                <w:u w:val="none" w:color="auto"/>
                <w:lang w:eastAsia="zh-CN"/>
              </w:rPr>
              <w:t>废活性炭、</w:t>
            </w:r>
            <w:r>
              <w:rPr>
                <w:rFonts w:hint="eastAsia" w:ascii="宋体" w:hAnsi="宋体"/>
                <w:color w:val="auto"/>
                <w:sz w:val="24"/>
                <w:szCs w:val="32"/>
                <w:u w:val="none" w:color="auto"/>
                <w:lang w:val="en-US" w:eastAsia="zh-CN"/>
              </w:rPr>
              <w:t>废过滤棉、漆渣</w:t>
            </w:r>
            <w:r>
              <w:rPr>
                <w:rFonts w:hint="eastAsia" w:cs="Times New Roman"/>
                <w:color w:val="auto"/>
                <w:sz w:val="24"/>
                <w:szCs w:val="24"/>
                <w:u w:val="none" w:color="auto"/>
                <w:lang w:val="en-US" w:eastAsia="zh-CN"/>
              </w:rPr>
              <w:t>等</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详见下表。</w:t>
            </w:r>
          </w:p>
          <w:p>
            <w:pPr>
              <w:pStyle w:val="188"/>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15</w:t>
            </w:r>
            <w:r>
              <w:rPr>
                <w:rFonts w:hint="default" w:ascii="Times New Roman" w:hAnsi="Times New Roman" w:cs="Times New Roman"/>
                <w:color w:val="auto"/>
                <w:sz w:val="24"/>
                <w:szCs w:val="24"/>
                <w:u w:val="none" w:color="auto"/>
              </w:rPr>
              <w:t xml:space="preserve">  物质危险性识别表</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59"/>
              <w:gridCol w:w="2213"/>
              <w:gridCol w:w="1616"/>
              <w:gridCol w:w="22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pct"/>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品名</w:t>
                  </w:r>
                </w:p>
              </w:tc>
              <w:tc>
                <w:tcPr>
                  <w:tcW w:w="1224" w:type="pct"/>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主（次）危险性类别</w:t>
                  </w:r>
                </w:p>
              </w:tc>
              <w:tc>
                <w:tcPr>
                  <w:tcW w:w="894" w:type="pct"/>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类别</w:t>
                  </w:r>
                </w:p>
              </w:tc>
              <w:tc>
                <w:tcPr>
                  <w:tcW w:w="1244" w:type="pct"/>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是否是环境风险物质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pct"/>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eastAsia" w:cs="Times New Roman"/>
                      <w:color w:val="auto"/>
                      <w:sz w:val="22"/>
                      <w:szCs w:val="22"/>
                      <w:u w:val="none" w:color="auto"/>
                      <w:lang w:eastAsia="zh-CN"/>
                    </w:rPr>
                    <w:t>水性漆</w:t>
                  </w:r>
                </w:p>
              </w:tc>
              <w:tc>
                <w:tcPr>
                  <w:tcW w:w="1224" w:type="pct"/>
                  <w:noWrap w:val="0"/>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泄漏</w:t>
                  </w:r>
                  <w:r>
                    <w:rPr>
                      <w:rFonts w:hint="eastAsia" w:ascii="Times New Roman" w:hAnsi="Times New Roman" w:cs="Times New Roman"/>
                      <w:color w:val="auto"/>
                      <w:sz w:val="22"/>
                      <w:szCs w:val="22"/>
                      <w:u w:val="none" w:color="auto"/>
                      <w:lang w:eastAsia="zh-CN"/>
                    </w:rPr>
                    <w:t>、火灾</w:t>
                  </w:r>
                </w:p>
              </w:tc>
              <w:tc>
                <w:tcPr>
                  <w:tcW w:w="894" w:type="pct"/>
                  <w:noWrap w:val="0"/>
                  <w:vAlign w:val="center"/>
                </w:tcPr>
                <w:p>
                  <w:pPr>
                    <w:pStyle w:val="186"/>
                    <w:spacing w:line="360" w:lineRule="auto"/>
                    <w:rPr>
                      <w:rFonts w:hint="eastAsia" w:ascii="Times New Roman" w:hAnsi="Times New Roman" w:cs="Times New Roman"/>
                      <w:color w:val="auto"/>
                      <w:sz w:val="22"/>
                      <w:szCs w:val="22"/>
                      <w:u w:val="none" w:color="auto"/>
                      <w:lang w:eastAsia="zh-CN"/>
                    </w:rPr>
                  </w:pPr>
                  <w:r>
                    <w:rPr>
                      <w:rFonts w:hint="eastAsia" w:cs="Times New Roman"/>
                      <w:color w:val="auto"/>
                      <w:sz w:val="22"/>
                      <w:szCs w:val="22"/>
                      <w:u w:val="none" w:color="auto"/>
                      <w:lang w:eastAsia="zh-CN"/>
                    </w:rPr>
                    <w:t>原辅材料</w:t>
                  </w:r>
                </w:p>
              </w:tc>
              <w:tc>
                <w:tcPr>
                  <w:tcW w:w="1244" w:type="pct"/>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pct"/>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eastAsia" w:cs="Times New Roman"/>
                      <w:b w:val="0"/>
                      <w:bCs w:val="0"/>
                      <w:color w:val="auto"/>
                      <w:sz w:val="22"/>
                      <w:szCs w:val="22"/>
                      <w:u w:val="none" w:color="auto"/>
                      <w:lang w:val="en-US" w:eastAsia="zh-CN"/>
                    </w:rPr>
                    <w:t>石棉纤维、玻璃纤维、纸纤维</w:t>
                  </w:r>
                </w:p>
              </w:tc>
              <w:tc>
                <w:tcPr>
                  <w:tcW w:w="1224" w:type="pct"/>
                  <w:noWrap w:val="0"/>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eastAsia" w:ascii="Times New Roman" w:hAnsi="Times New Roman" w:cs="Times New Roman"/>
                      <w:color w:val="auto"/>
                      <w:sz w:val="22"/>
                      <w:szCs w:val="22"/>
                      <w:u w:val="none" w:color="auto"/>
                      <w:lang w:eastAsia="zh-CN"/>
                    </w:rPr>
                    <w:t>火灾</w:t>
                  </w:r>
                </w:p>
              </w:tc>
              <w:tc>
                <w:tcPr>
                  <w:tcW w:w="894" w:type="pct"/>
                  <w:noWrap w:val="0"/>
                  <w:vAlign w:val="center"/>
                </w:tcPr>
                <w:p>
                  <w:pPr>
                    <w:pStyle w:val="186"/>
                    <w:spacing w:line="360" w:lineRule="auto"/>
                    <w:rPr>
                      <w:rFonts w:hint="eastAsia" w:ascii="Times New Roman" w:hAnsi="Times New Roman" w:cs="Times New Roman"/>
                      <w:color w:val="auto"/>
                      <w:sz w:val="22"/>
                      <w:szCs w:val="22"/>
                      <w:u w:val="none" w:color="auto"/>
                      <w:lang w:eastAsia="zh-CN"/>
                    </w:rPr>
                  </w:pPr>
                  <w:r>
                    <w:rPr>
                      <w:rFonts w:hint="eastAsia" w:cs="Times New Roman"/>
                      <w:color w:val="auto"/>
                      <w:sz w:val="22"/>
                      <w:szCs w:val="22"/>
                      <w:u w:val="none" w:color="auto"/>
                      <w:lang w:eastAsia="zh-CN"/>
                    </w:rPr>
                    <w:t>原辅材料</w:t>
                  </w:r>
                </w:p>
              </w:tc>
              <w:tc>
                <w:tcPr>
                  <w:tcW w:w="1244" w:type="pct"/>
                  <w:noWrap w:val="0"/>
                  <w:vAlign w:val="center"/>
                </w:tcPr>
                <w:p>
                  <w:pPr>
                    <w:pStyle w:val="186"/>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pct"/>
                  <w:noWrap w:val="0"/>
                  <w:vAlign w:val="center"/>
                </w:tcPr>
                <w:p>
                  <w:pPr>
                    <w:pStyle w:val="186"/>
                    <w:spacing w:line="360" w:lineRule="auto"/>
                    <w:rPr>
                      <w:rFonts w:hint="eastAsia" w:cs="Times New Roman"/>
                      <w:color w:val="auto"/>
                      <w:sz w:val="22"/>
                      <w:szCs w:val="22"/>
                      <w:u w:val="none" w:color="auto"/>
                      <w:lang w:eastAsia="zh-CN"/>
                    </w:rPr>
                  </w:pPr>
                  <w:r>
                    <w:rPr>
                      <w:rFonts w:hint="eastAsia" w:cs="Times New Roman"/>
                      <w:color w:val="auto"/>
                      <w:sz w:val="22"/>
                      <w:szCs w:val="22"/>
                      <w:u w:val="none" w:color="auto"/>
                      <w:lang w:eastAsia="zh-CN"/>
                    </w:rPr>
                    <w:t>危险废物</w:t>
                  </w:r>
                </w:p>
              </w:tc>
              <w:tc>
                <w:tcPr>
                  <w:tcW w:w="1224" w:type="pct"/>
                  <w:noWrap w:val="0"/>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泄漏</w:t>
                  </w:r>
                  <w:r>
                    <w:rPr>
                      <w:rFonts w:hint="eastAsia" w:ascii="Times New Roman" w:hAnsi="Times New Roman" w:cs="Times New Roman"/>
                      <w:color w:val="auto"/>
                      <w:sz w:val="22"/>
                      <w:szCs w:val="22"/>
                      <w:u w:val="none" w:color="auto"/>
                      <w:lang w:eastAsia="zh-CN"/>
                    </w:rPr>
                    <w:t>、火灾</w:t>
                  </w:r>
                </w:p>
              </w:tc>
              <w:tc>
                <w:tcPr>
                  <w:tcW w:w="894" w:type="pct"/>
                  <w:noWrap w:val="0"/>
                  <w:vAlign w:val="center"/>
                </w:tcPr>
                <w:p>
                  <w:pPr>
                    <w:pStyle w:val="186"/>
                    <w:spacing w:line="360" w:lineRule="auto"/>
                    <w:rPr>
                      <w:rFonts w:hint="eastAsia" w:cs="Times New Roman"/>
                      <w:color w:val="auto"/>
                      <w:sz w:val="22"/>
                      <w:szCs w:val="22"/>
                      <w:u w:val="none" w:color="auto"/>
                      <w:lang w:eastAsia="zh-CN"/>
                    </w:rPr>
                  </w:pPr>
                  <w:r>
                    <w:rPr>
                      <w:rFonts w:hint="eastAsia" w:cs="Times New Roman"/>
                      <w:color w:val="auto"/>
                      <w:sz w:val="22"/>
                      <w:szCs w:val="22"/>
                      <w:u w:val="none" w:color="auto"/>
                      <w:lang w:eastAsia="zh-CN"/>
                    </w:rPr>
                    <w:t>危废</w:t>
                  </w:r>
                </w:p>
              </w:tc>
              <w:tc>
                <w:tcPr>
                  <w:tcW w:w="1244" w:type="pct"/>
                  <w:noWrap w:val="0"/>
                  <w:vAlign w:val="center"/>
                </w:tcPr>
                <w:p>
                  <w:pPr>
                    <w:pStyle w:val="186"/>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w:t>
                  </w:r>
                </w:p>
              </w:tc>
            </w:tr>
          </w:tbl>
          <w:p>
            <w:pPr>
              <w:keepNext w:val="0"/>
              <w:keepLines w:val="0"/>
              <w:widowControl/>
              <w:suppressLineNumbers w:val="0"/>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w:t>
            </w:r>
            <w:r>
              <w:rPr>
                <w:rFonts w:hint="default" w:ascii="Times New Roman" w:hAnsi="Times New Roman" w:eastAsia="宋体" w:cs="Times New Roman"/>
                <w:color w:val="auto"/>
                <w:kern w:val="0"/>
                <w:sz w:val="24"/>
                <w:szCs w:val="24"/>
                <w:u w:val="none" w:color="auto"/>
                <w:lang w:val="en-US" w:eastAsia="zh-CN" w:bidi="ar"/>
              </w:rPr>
              <w:t>风险潜势初判</w:t>
            </w:r>
          </w:p>
          <w:p>
            <w:pPr>
              <w:keepNext w:val="0"/>
              <w:keepLines w:val="0"/>
              <w:widowControl/>
              <w:suppressLineNumbers w:val="0"/>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根据建设项目环境风险评价技术导则附录</w:t>
            </w:r>
            <w:r>
              <w:rPr>
                <w:rFonts w:hint="default" w:ascii="Times New Roman" w:hAnsi="Times New Roman" w:eastAsia="TimesNewRomanPSMT" w:cs="Times New Roman"/>
                <w:color w:val="auto"/>
                <w:kern w:val="0"/>
                <w:sz w:val="24"/>
                <w:szCs w:val="24"/>
                <w:u w:val="none" w:color="auto"/>
                <w:lang w:val="en-US" w:eastAsia="zh-CN" w:bidi="ar"/>
              </w:rPr>
              <w:t>B.1</w:t>
            </w:r>
            <w:r>
              <w:rPr>
                <w:rFonts w:hint="default" w:ascii="Times New Roman" w:hAnsi="Times New Roman" w:eastAsia="宋体" w:cs="Times New Roman"/>
                <w:color w:val="auto"/>
                <w:kern w:val="0"/>
                <w:sz w:val="24"/>
                <w:szCs w:val="24"/>
                <w:u w:val="none" w:color="auto"/>
                <w:lang w:val="en-US" w:eastAsia="zh-CN" w:bidi="ar"/>
              </w:rPr>
              <w:t>和</w:t>
            </w:r>
            <w:r>
              <w:rPr>
                <w:rFonts w:hint="default" w:ascii="Times New Roman" w:hAnsi="Times New Roman" w:eastAsia="TimesNewRomanPSMT" w:cs="Times New Roman"/>
                <w:color w:val="auto"/>
                <w:kern w:val="0"/>
                <w:sz w:val="24"/>
                <w:szCs w:val="24"/>
                <w:u w:val="none" w:color="auto"/>
                <w:lang w:val="en-US" w:eastAsia="zh-CN" w:bidi="ar"/>
              </w:rPr>
              <w:t>B.2</w:t>
            </w:r>
            <w:r>
              <w:rPr>
                <w:rFonts w:hint="eastAsia" w:eastAsia="TimesNewRomanPSMT" w:cs="Times New Roman"/>
                <w:color w:val="auto"/>
                <w:kern w:val="0"/>
                <w:sz w:val="24"/>
                <w:szCs w:val="24"/>
                <w:u w:val="none" w:color="auto"/>
                <w:lang w:val="en-US" w:eastAsia="zh-CN" w:bidi="ar"/>
              </w:rPr>
              <w:t>可知</w:t>
            </w:r>
            <w:r>
              <w:rPr>
                <w:rFonts w:hint="eastAsia" w:ascii="Times New Roman" w:hAnsi="Times New Roman" w:eastAsia="TimesNewRomanPSMT" w:cs="Times New Roman"/>
                <w:color w:val="auto"/>
                <w:kern w:val="0"/>
                <w:sz w:val="24"/>
                <w:szCs w:val="24"/>
                <w:u w:val="none" w:color="auto"/>
                <w:lang w:val="en-US" w:eastAsia="zh-CN" w:bidi="ar"/>
              </w:rPr>
              <w:t>，</w:t>
            </w:r>
            <w:r>
              <w:rPr>
                <w:rFonts w:hint="eastAsia" w:eastAsia="宋体" w:cs="Times New Roman"/>
                <w:color w:val="auto"/>
                <w:sz w:val="24"/>
                <w:szCs w:val="24"/>
                <w:u w:val="none" w:color="auto"/>
                <w:lang w:val="en-US" w:eastAsia="zh-CN"/>
              </w:rPr>
              <w:t>本项目无导则附录中物质，因此</w:t>
            </w:r>
            <w:r>
              <w:rPr>
                <w:rFonts w:hint="default" w:ascii="Times New Roman" w:hAnsi="Times New Roman" w:cs="Times New Roman"/>
                <w:color w:val="auto"/>
                <w:sz w:val="24"/>
                <w:szCs w:val="24"/>
                <w:u w:val="none" w:color="auto"/>
              </w:rPr>
              <w:t>项目</w:t>
            </w:r>
            <w:r>
              <w:rPr>
                <w:rFonts w:hint="default" w:ascii="Times New Roman" w:hAnsi="Times New Roman" w:cs="Times New Roman"/>
                <w:color w:val="auto"/>
                <w:sz w:val="24"/>
                <w:szCs w:val="24"/>
                <w:u w:val="none" w:color="auto"/>
                <w:lang w:val="en-US" w:eastAsia="zh-CN"/>
              </w:rPr>
              <w:t>qi/Qi</w:t>
            </w:r>
            <w:r>
              <w:rPr>
                <w:rFonts w:hint="eastAsia" w:ascii="Times New Roman" w:hAnsi="Times New Roman" w:cs="Times New Roman"/>
                <w:color w:val="auto"/>
                <w:sz w:val="24"/>
                <w:szCs w:val="24"/>
                <w:u w:val="none" w:color="auto"/>
                <w:lang w:val="en-US" w:eastAsia="zh-CN"/>
              </w:rPr>
              <w:t>=</w:t>
            </w:r>
            <w:r>
              <w:rPr>
                <w:rFonts w:hint="eastAsia"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rPr>
              <w:t>＜1，</w:t>
            </w:r>
            <w:r>
              <w:rPr>
                <w:rFonts w:hint="default" w:ascii="Times New Roman" w:hAnsi="Times New Roman" w:cs="Times New Roman"/>
                <w:color w:val="auto"/>
                <w:sz w:val="24"/>
                <w:szCs w:val="24"/>
                <w:u w:val="none" w:color="auto"/>
                <w:lang w:val="en-US" w:eastAsia="zh-CN"/>
              </w:rPr>
              <w:t>则</w:t>
            </w:r>
            <w:r>
              <w:rPr>
                <w:rFonts w:hint="default" w:ascii="Times New Roman" w:hAnsi="Times New Roman" w:cs="Times New Roman"/>
                <w:b/>
                <w:bCs/>
                <w:color w:val="auto"/>
                <w:sz w:val="24"/>
                <w:szCs w:val="24"/>
                <w:u w:val="none" w:color="auto"/>
                <w:lang w:val="en-US" w:eastAsia="zh-CN"/>
              </w:rPr>
              <w:t>该项目环境风险潜势为Ⅰ</w:t>
            </w:r>
            <w:r>
              <w:rPr>
                <w:rFonts w:hint="default" w:ascii="Times New Roman" w:hAnsi="Times New Roman" w:cs="Times New Roman"/>
                <w:color w:val="auto"/>
                <w:sz w:val="24"/>
                <w:u w:val="none" w:color="auto"/>
                <w:lang w:val="en-US" w:eastAsia="zh-CN"/>
              </w:rPr>
              <w:t>，评价工作等级为简单分析</w:t>
            </w:r>
            <w:r>
              <w:rPr>
                <w:rFonts w:hint="default" w:ascii="Times New Roman" w:hAnsi="Times New Roman" w:cs="Times New Roman"/>
                <w:color w:val="auto"/>
                <w:sz w:val="24"/>
                <w:szCs w:val="24"/>
                <w:u w:val="none" w:color="auto"/>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本项目的环境风险评价工作等级为简单分析</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环境风险：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）项目营运期会用到水性漆</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均用桶储存，若水性漆</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泄漏到环境中，可能污染大气环境。如泄漏经雨水管网进入</w:t>
            </w:r>
            <w:r>
              <w:rPr>
                <w:rFonts w:hint="eastAsia" w:cs="Times New Roman"/>
                <w:color w:val="auto"/>
                <w:kern w:val="0"/>
                <w:sz w:val="24"/>
                <w:szCs w:val="24"/>
                <w:u w:val="none" w:color="auto"/>
                <w:lang w:val="en-US" w:eastAsia="zh-CN" w:bidi="ar"/>
              </w:rPr>
              <w:t>附近地表水</w:t>
            </w:r>
            <w:r>
              <w:rPr>
                <w:rFonts w:hint="eastAsia" w:ascii="Times New Roman" w:hAnsi="Times New Roman" w:eastAsia="宋体" w:cs="Times New Roman"/>
                <w:color w:val="auto"/>
                <w:kern w:val="0"/>
                <w:sz w:val="24"/>
                <w:szCs w:val="24"/>
                <w:u w:val="none" w:color="auto"/>
                <w:lang w:val="en-US" w:eastAsia="zh-CN" w:bidi="ar"/>
              </w:rPr>
              <w:t>，将会对</w:t>
            </w:r>
            <w:r>
              <w:rPr>
                <w:rFonts w:hint="eastAsia" w:cs="Times New Roman"/>
                <w:color w:val="auto"/>
                <w:kern w:val="0"/>
                <w:sz w:val="24"/>
                <w:szCs w:val="24"/>
                <w:u w:val="none" w:color="auto"/>
                <w:lang w:val="en-US" w:eastAsia="zh-CN" w:bidi="ar"/>
              </w:rPr>
              <w:t>附近地表水</w:t>
            </w:r>
            <w:r>
              <w:rPr>
                <w:rFonts w:hint="eastAsia" w:ascii="Times New Roman" w:hAnsi="Times New Roman" w:eastAsia="宋体" w:cs="Times New Roman"/>
                <w:color w:val="auto"/>
                <w:kern w:val="0"/>
                <w:sz w:val="24"/>
                <w:szCs w:val="24"/>
                <w:u w:val="none" w:color="auto"/>
                <w:lang w:val="en-US" w:eastAsia="zh-CN" w:bidi="ar"/>
              </w:rPr>
              <w:t>水质造成影响；</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）本项目水性漆、</w:t>
            </w:r>
            <w:r>
              <w:rPr>
                <w:rFonts w:hint="eastAsia" w:cs="Times New Roman"/>
                <w:b w:val="0"/>
                <w:bCs w:val="0"/>
                <w:color w:val="auto"/>
                <w:sz w:val="24"/>
                <w:u w:val="none" w:color="auto"/>
                <w:lang w:val="en-US" w:eastAsia="zh-CN"/>
              </w:rPr>
              <w:t>石棉纤维、玻璃纤维、纸纤维</w:t>
            </w:r>
            <w:r>
              <w:rPr>
                <w:rFonts w:hint="eastAsia" w:ascii="Times New Roman" w:hAnsi="Times New Roman" w:eastAsia="宋体" w:cs="Times New Roman"/>
                <w:color w:val="auto"/>
                <w:kern w:val="0"/>
                <w:sz w:val="24"/>
                <w:szCs w:val="24"/>
                <w:u w:val="none" w:color="auto"/>
                <w:lang w:val="en-US" w:eastAsia="zh-CN" w:bidi="ar"/>
              </w:rPr>
              <w:t>遇明火易燃，故本项目最大可信事故为遇明火导致火灾风险。</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（3）项目废气经处理后高空排放，如遇处理设备故障或者吸附效率低下导致废气超标排放，将对周边大气环境造成影响。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 xml:space="preserve"> </w:t>
            </w:r>
            <w:r>
              <w:rPr>
                <w:rFonts w:hint="eastAsia" w:ascii="Times New Roman" w:hAnsi="Times New Roman" w:eastAsia="宋体" w:cs="Times New Roman"/>
                <w:color w:val="auto"/>
                <w:kern w:val="0"/>
                <w:sz w:val="24"/>
                <w:szCs w:val="24"/>
                <w:u w:val="none" w:color="auto"/>
                <w:lang w:val="en-US" w:eastAsia="zh-CN" w:bidi="ar"/>
              </w:rPr>
              <w:t xml:space="preserve">环境风险分析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环评参照过往已经发生的事故情况确定本次评价的最大可信事故为：</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、水性漆泄漏事故、废气超标排放</w:t>
            </w:r>
            <w:r>
              <w:rPr>
                <w:rFonts w:hint="eastAsia" w:cs="Times New Roman"/>
                <w:color w:val="auto"/>
                <w:kern w:val="0"/>
                <w:sz w:val="24"/>
                <w:szCs w:val="24"/>
                <w:u w:val="none" w:color="auto"/>
                <w:lang w:val="en-US" w:eastAsia="zh-CN" w:bidi="ar"/>
              </w:rPr>
              <w:t>、火灾事件</w:t>
            </w:r>
            <w:r>
              <w:rPr>
                <w:rFonts w:hint="eastAsia" w:ascii="Times New Roman" w:hAnsi="Times New Roman" w:eastAsia="宋体" w:cs="Times New Roman"/>
                <w:color w:val="auto"/>
                <w:kern w:val="0"/>
                <w:sz w:val="24"/>
                <w:szCs w:val="24"/>
                <w:u w:val="none" w:color="auto"/>
                <w:lang w:val="en-US" w:eastAsia="zh-CN" w:bidi="ar"/>
              </w:rPr>
              <w:t xml:space="preserve">。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 xml:space="preserve">）泄漏事故影响分析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本项目若管理操作不当或意外事故，存在着水性漆</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 xml:space="preserve">泄漏事故风险。这不仅会对周围环境产生较大的污染影响，甚至还要危及人身的生命安全。此外，储存、装卸过程可能造成的原料泄漏，部分会随着地面冲洗水进入污水管道，如果不做好清污分流，地面冲洗水有可能进入雨水管道，从而造成地表水体污染。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 xml:space="preserve">）火灾事故影响分析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一旦发生火灾事故，有毒有害气体可通过热辐射、烟雾及冲击波等形式扩散至空气中，泄漏液体和消防水将进入排水系统以及渗透到土壤中，会造成财产损失和人员伤亡，以及水环境、土壤环境的污染。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（3）废气超标排放事故影响分析 </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本项目若管理操作不当或设备故障、处理能力低下，如风机、活性炭已饱和吸附效率低下、脉冲式</w:t>
            </w:r>
            <w:r>
              <w:rPr>
                <w:rFonts w:hint="eastAsia" w:cs="Times New Roman"/>
                <w:color w:val="auto"/>
                <w:kern w:val="0"/>
                <w:sz w:val="24"/>
                <w:szCs w:val="24"/>
                <w:u w:val="none" w:color="auto"/>
                <w:lang w:val="en-US" w:eastAsia="zh-CN" w:bidi="ar"/>
              </w:rPr>
              <w:t>布袋除尘器</w:t>
            </w:r>
            <w:r>
              <w:rPr>
                <w:rFonts w:hint="eastAsia" w:ascii="Times New Roman" w:hAnsi="Times New Roman" w:eastAsia="宋体" w:cs="Times New Roman"/>
                <w:color w:val="auto"/>
                <w:kern w:val="0"/>
                <w:sz w:val="24"/>
                <w:szCs w:val="24"/>
                <w:u w:val="none" w:color="auto"/>
                <w:lang w:val="en-US" w:eastAsia="zh-CN" w:bidi="ar"/>
              </w:rPr>
              <w:t>故障或者损坏导致废气超标排放。这不仅会对周围环境产生较大的污染影响，甚至还要危及人身的生命安全。</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环境风险防范措施及应急要求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 xml:space="preserve">）火灾风险防范措施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a</w:t>
            </w:r>
            <w:r>
              <w:rPr>
                <w:rFonts w:hint="eastAsia" w:ascii="Times New Roman" w:hAnsi="Times New Roman" w:eastAsia="宋体" w:cs="Times New Roman"/>
                <w:color w:val="auto"/>
                <w:kern w:val="0"/>
                <w:sz w:val="24"/>
                <w:szCs w:val="24"/>
                <w:u w:val="none" w:color="auto"/>
                <w:lang w:val="en-US" w:eastAsia="zh-CN" w:bidi="ar"/>
              </w:rPr>
              <w:t xml:space="preserve">、火患往往起于细微之处，要格外注意用电的安全，合理布置电源电线的使用。不要同时使用大功率电器，也不要把所有电器设备的插头都插在一个接线板上，避免线路老化，短路发生火灾。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b</w:t>
            </w:r>
            <w:r>
              <w:rPr>
                <w:rFonts w:hint="eastAsia" w:ascii="Times New Roman" w:hAnsi="Times New Roman" w:eastAsia="宋体" w:cs="Times New Roman"/>
                <w:color w:val="auto"/>
                <w:kern w:val="0"/>
                <w:sz w:val="24"/>
                <w:szCs w:val="24"/>
                <w:u w:val="none" w:color="auto"/>
                <w:lang w:val="en-US" w:eastAsia="zh-CN" w:bidi="ar"/>
              </w:rPr>
              <w:t xml:space="preserve">、易燃物品贮存区禁止明火进入，严禁吸烟。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c</w:t>
            </w:r>
            <w:r>
              <w:rPr>
                <w:rFonts w:hint="eastAsia" w:ascii="Times New Roman" w:hAnsi="Times New Roman" w:eastAsia="宋体" w:cs="Times New Roman"/>
                <w:color w:val="auto"/>
                <w:kern w:val="0"/>
                <w:sz w:val="24"/>
                <w:szCs w:val="24"/>
                <w:u w:val="none" w:color="auto"/>
                <w:lang w:val="en-US" w:eastAsia="zh-CN" w:bidi="ar"/>
              </w:rPr>
              <w:t xml:space="preserve">、生产厂房、易燃物品贮存区须确保全面通风、配备相应品种和数量的消防器材，预留必要的安全间距，远离火种和热源，防止阳光直射。车间工作人员及相关责任人均应熟悉其放置地点，用法，而且要经常检查，消防通道保持畅通。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d</w:t>
            </w:r>
            <w:r>
              <w:rPr>
                <w:rFonts w:hint="eastAsia" w:ascii="Times New Roman" w:hAnsi="Times New Roman" w:eastAsia="宋体" w:cs="Times New Roman"/>
                <w:color w:val="auto"/>
                <w:kern w:val="0"/>
                <w:sz w:val="24"/>
                <w:szCs w:val="24"/>
                <w:u w:val="none" w:color="auto"/>
                <w:lang w:val="en-US" w:eastAsia="zh-CN" w:bidi="ar"/>
              </w:rPr>
              <w:t xml:space="preserve">、应加强消防设施及消防教育建设，对重要场所需要重点防范，制定严格的操作规范，避免火灾等事故发生。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e</w:t>
            </w:r>
            <w:r>
              <w:rPr>
                <w:rFonts w:hint="eastAsia" w:ascii="Times New Roman" w:hAnsi="Times New Roman" w:eastAsia="宋体" w:cs="Times New Roman"/>
                <w:color w:val="auto"/>
                <w:kern w:val="0"/>
                <w:sz w:val="24"/>
                <w:szCs w:val="24"/>
                <w:u w:val="none" w:color="auto"/>
                <w:lang w:val="en-US" w:eastAsia="zh-CN" w:bidi="ar"/>
              </w:rPr>
              <w:t xml:space="preserve">、确保安全出口和疏散通道畅通无阻。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f</w:t>
            </w:r>
            <w:r>
              <w:rPr>
                <w:rFonts w:hint="eastAsia" w:ascii="Times New Roman" w:hAnsi="Times New Roman" w:eastAsia="宋体" w:cs="Times New Roman"/>
                <w:color w:val="auto"/>
                <w:kern w:val="0"/>
                <w:sz w:val="24"/>
                <w:szCs w:val="24"/>
                <w:u w:val="none" w:color="auto"/>
                <w:lang w:val="en-US" w:eastAsia="zh-CN" w:bidi="ar"/>
              </w:rPr>
              <w:t>、加强电气防火安全管理，消除火灾隐患，不得超负荷用电，不得擅自拉接临时电线。</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g</w:t>
            </w:r>
            <w:r>
              <w:rPr>
                <w:rFonts w:hint="eastAsia" w:ascii="Times New Roman" w:hAnsi="Times New Roman" w:eastAsia="宋体" w:cs="Times New Roman"/>
                <w:color w:val="auto"/>
                <w:kern w:val="0"/>
                <w:sz w:val="24"/>
                <w:szCs w:val="24"/>
                <w:u w:val="none" w:color="auto"/>
                <w:lang w:val="en-US" w:eastAsia="zh-CN" w:bidi="ar"/>
              </w:rPr>
              <w:t xml:space="preserve">、对于电器的使用，应当养成随手断电、随手关灯的好习惯。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h</w:t>
            </w:r>
            <w:r>
              <w:rPr>
                <w:rFonts w:hint="eastAsia" w:ascii="Times New Roman" w:hAnsi="Times New Roman" w:eastAsia="宋体" w:cs="Times New Roman"/>
                <w:color w:val="auto"/>
                <w:kern w:val="0"/>
                <w:sz w:val="24"/>
                <w:szCs w:val="24"/>
                <w:u w:val="none" w:color="auto"/>
                <w:lang w:val="en-US" w:eastAsia="zh-CN" w:bidi="ar"/>
              </w:rPr>
              <w:t>、定期对操作人员进行安全生产与安全知识培训，并制定严格的安全操作规程</w:t>
            </w:r>
            <w:r>
              <w:rPr>
                <w:rFonts w:hint="eastAsia" w:cs="Times New Roman"/>
                <w:color w:val="auto"/>
                <w:kern w:val="0"/>
                <w:sz w:val="24"/>
                <w:szCs w:val="24"/>
                <w:u w:val="none" w:color="auto"/>
                <w:lang w:val="en-US" w:eastAsia="zh-CN" w:bidi="ar"/>
              </w:rPr>
              <w:t>，</w:t>
            </w:r>
            <w:r>
              <w:rPr>
                <w:rFonts w:hint="eastAsia" w:ascii="Times New Roman" w:hAnsi="Times New Roman" w:eastAsia="宋体" w:cs="Times New Roman"/>
                <w:color w:val="auto"/>
                <w:kern w:val="0"/>
                <w:sz w:val="24"/>
                <w:szCs w:val="24"/>
                <w:u w:val="none" w:color="auto"/>
                <w:lang w:val="en-US" w:eastAsia="zh-CN" w:bidi="ar"/>
              </w:rPr>
              <w:t xml:space="preserve">切实加强生产过程中的温度控制，保证劳动安全，防止意外事故的发生。应加强消防设施及消防教育建设，对厂区等重要场所需要重点防范，制定严格的操作规范，避免火灾等事故发生。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i</w:t>
            </w:r>
            <w:r>
              <w:rPr>
                <w:rFonts w:hint="eastAsia" w:ascii="Times New Roman" w:hAnsi="Times New Roman" w:eastAsia="宋体" w:cs="Times New Roman"/>
                <w:color w:val="auto"/>
                <w:kern w:val="0"/>
                <w:sz w:val="24"/>
                <w:szCs w:val="24"/>
                <w:u w:val="none" w:color="auto"/>
                <w:lang w:val="en-US" w:eastAsia="zh-CN" w:bidi="ar"/>
              </w:rPr>
              <w:t xml:space="preserve">、火灾发生时，先把总电源关掉，按响警铃以警示车间内其他人员，同时联络消防队，利用灭火器尽量灭火，如果无效，应该马上离开现场到安全地点集合，在离开时要确保所有人都已经离开车间，再把门窗关上。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j</w:t>
            </w:r>
            <w:r>
              <w:rPr>
                <w:rFonts w:hint="eastAsia" w:ascii="Times New Roman" w:hAnsi="Times New Roman" w:eastAsia="宋体" w:cs="Times New Roman"/>
                <w:color w:val="auto"/>
                <w:kern w:val="0"/>
                <w:sz w:val="24"/>
                <w:szCs w:val="24"/>
                <w:u w:val="none" w:color="auto"/>
                <w:lang w:val="en-US" w:eastAsia="zh-CN" w:bidi="ar"/>
              </w:rPr>
              <w:t xml:space="preserve">、为了减轻万一发生火灾事故造成的损失，工厂还应该制定火灾应急预案，并报上级主管部门批准，并定期演练。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 xml:space="preserve">）泄漏防范措施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a</w:t>
            </w:r>
            <w:r>
              <w:rPr>
                <w:rFonts w:hint="eastAsia" w:ascii="Times New Roman" w:hAnsi="Times New Roman" w:eastAsia="宋体" w:cs="Times New Roman"/>
                <w:color w:val="auto"/>
                <w:kern w:val="0"/>
                <w:sz w:val="24"/>
                <w:szCs w:val="24"/>
                <w:u w:val="none" w:color="auto"/>
                <w:lang w:val="en-US" w:eastAsia="zh-CN" w:bidi="ar"/>
              </w:rPr>
              <w:t>、运营期除定期检查水性漆等是否发生泄露外，还应对车间地面进行水泥硬化，并作防渗处理，特别是</w:t>
            </w:r>
            <w:r>
              <w:rPr>
                <w:rFonts w:hint="eastAsia" w:cs="Times New Roman"/>
                <w:color w:val="auto"/>
                <w:kern w:val="0"/>
                <w:sz w:val="24"/>
                <w:szCs w:val="24"/>
                <w:u w:val="none" w:color="auto"/>
                <w:lang w:val="en-US" w:eastAsia="zh-CN" w:bidi="ar"/>
              </w:rPr>
              <w:t>围堰</w:t>
            </w:r>
            <w:r>
              <w:rPr>
                <w:rFonts w:hint="eastAsia" w:ascii="Times New Roman" w:hAnsi="Times New Roman" w:eastAsia="宋体" w:cs="Times New Roman"/>
                <w:color w:val="auto"/>
                <w:kern w:val="0"/>
                <w:sz w:val="24"/>
                <w:szCs w:val="24"/>
                <w:u w:val="none" w:color="auto"/>
                <w:lang w:val="en-US" w:eastAsia="zh-CN" w:bidi="ar"/>
              </w:rPr>
              <w:t xml:space="preserve">。应按照有关消防规范储存，并配备必要的消防设施。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b</w:t>
            </w:r>
            <w:r>
              <w:rPr>
                <w:rFonts w:hint="eastAsia" w:ascii="Times New Roman" w:hAnsi="Times New Roman" w:eastAsia="宋体" w:cs="Times New Roman"/>
                <w:color w:val="auto"/>
                <w:kern w:val="0"/>
                <w:sz w:val="24"/>
                <w:szCs w:val="24"/>
                <w:u w:val="none" w:color="auto"/>
                <w:lang w:val="en-US" w:eastAsia="zh-CN" w:bidi="ar"/>
              </w:rPr>
              <w:t>、危废暂存间应按规范设置、门口设置拱背型围堰，防止泄露的危废污染地表水体。同时，应强化管理，并及时交有资质的单位处置</w:t>
            </w:r>
            <w:r>
              <w:rPr>
                <w:rFonts w:hint="eastAsia" w:ascii="Times New Roman" w:hAnsi="Times New Roman"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3</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废气超标排放防范措施</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a、</w:t>
            </w:r>
            <w:r>
              <w:rPr>
                <w:rFonts w:hint="default" w:ascii="Times New Roman" w:hAnsi="Times New Roman" w:eastAsia="宋体" w:cs="Times New Roman"/>
                <w:color w:val="auto"/>
                <w:kern w:val="0"/>
                <w:sz w:val="24"/>
                <w:szCs w:val="24"/>
                <w:u w:val="none" w:color="auto"/>
                <w:lang w:val="en-US" w:eastAsia="zh-CN" w:bidi="ar"/>
              </w:rPr>
              <w:t>废气末端治理措施必须确保日常正常运行，如发现人为原因不开启环保治理设置，责任人应受行政和经济处罚，并承担事故排放责任。若末端治理措施因故不能运行，则必须停止生产。</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b、</w:t>
            </w:r>
            <w:r>
              <w:rPr>
                <w:rFonts w:hint="default" w:ascii="Times New Roman" w:hAnsi="Times New Roman" w:eastAsia="宋体" w:cs="Times New Roman"/>
                <w:color w:val="auto"/>
                <w:kern w:val="0"/>
                <w:sz w:val="24"/>
                <w:szCs w:val="24"/>
                <w:u w:val="none" w:color="auto"/>
                <w:lang w:val="en-US" w:eastAsia="zh-CN" w:bidi="ar"/>
              </w:rPr>
              <w:t>为确保处理效率，在车间设备检修期间，末端处理系统也应同时进行检修，日常应有专人负责进行维护。</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c、</w:t>
            </w:r>
            <w:r>
              <w:rPr>
                <w:rFonts w:hint="default" w:ascii="Times New Roman" w:hAnsi="Times New Roman" w:eastAsia="宋体" w:cs="Times New Roman"/>
                <w:color w:val="auto"/>
                <w:kern w:val="0"/>
                <w:sz w:val="24"/>
                <w:szCs w:val="24"/>
                <w:u w:val="none" w:color="auto"/>
                <w:lang w:val="en-US" w:eastAsia="zh-CN" w:bidi="ar"/>
              </w:rPr>
              <w:t>废气处理岗位严格按照操作规程进行，确保废气处理效果。</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d、</w:t>
            </w:r>
            <w:r>
              <w:rPr>
                <w:rFonts w:hint="default" w:ascii="Times New Roman" w:hAnsi="Times New Roman" w:eastAsia="宋体" w:cs="Times New Roman"/>
                <w:color w:val="auto"/>
                <w:kern w:val="0"/>
                <w:sz w:val="24"/>
                <w:szCs w:val="24"/>
                <w:u w:val="none" w:color="auto"/>
                <w:lang w:val="en-US" w:eastAsia="zh-CN" w:bidi="ar"/>
              </w:rPr>
              <w:t>对废气治理设施进行定期检修（每周至少一次），保证其正常运行，同时，为了确保废气净化设施的电力供应，本环评要求：</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如果全厂停电，停止生产，无污染物产生。为确保安全，风机仍然继续运转（采用应急发电机）。风机出现故障时，备用风机立即启动。</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（4）</w:t>
            </w:r>
            <w:r>
              <w:rPr>
                <w:rFonts w:hint="default" w:ascii="Times New Roman" w:hAnsi="Times New Roman" w:eastAsia="宋体" w:cs="Times New Roman"/>
                <w:color w:val="auto"/>
                <w:kern w:val="0"/>
                <w:sz w:val="24"/>
                <w:szCs w:val="24"/>
                <w:u w:val="none" w:color="auto"/>
                <w:lang w:val="en-US" w:eastAsia="zh-CN" w:bidi="ar"/>
              </w:rPr>
              <w:t>其他防范措施</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厂区内应按照规范的要求配置手提式干粉灭火器、二氧化碳灭火器等。按规范要求配备足够的正压式防毒面具</w:t>
            </w:r>
            <w:r>
              <w:rPr>
                <w:rFonts w:hint="eastAsia" w:ascii="Times New Roman" w:hAnsi="Times New Roman" w:eastAsia="宋体"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（5）</w:t>
            </w:r>
            <w:r>
              <w:rPr>
                <w:rFonts w:hint="eastAsia" w:ascii="Times New Roman" w:hAnsi="Times New Roman" w:eastAsia="宋体" w:cs="Times New Roman"/>
                <w:color w:val="auto"/>
                <w:kern w:val="0"/>
                <w:sz w:val="24"/>
                <w:szCs w:val="24"/>
                <w:u w:val="none" w:color="auto"/>
                <w:lang w:val="en-US" w:eastAsia="zh-CN" w:bidi="ar"/>
              </w:rPr>
              <w:t xml:space="preserve">建立事故救援应急机制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为保证企业及人民生命财产的安全，在发生事故时，能够迅速有序的开展救援工作，尽最大努力减少事故的危害和损失，根据《企业事业单位突发环境事件应急预案备案管理办法（试行）》，公司需成立一负责人为总指挥，分管生产负责人为副指挥的事故应急救援队伍，指挥部下设立办公室、工程抢修救援组、医疗救护组、后勤保障组。制定《突发环境事故应急救援预案》和实施细则，组织专业队伍学习和演练，提高队伍实战能力，防患于未然，以便应急救援工作的顺利开展。同时该厂必须将本单位危险源及有关安全措施、应急措施报告地方政府的安全生产监督管理部门和有关部门，以便政府及有关部门能够及时掌握有关情况，一旦发生事故，政府及其有关部门可以调动有关方面的力量进行救援，以减少事故损失</w:t>
            </w:r>
            <w:r>
              <w:rPr>
                <w:rFonts w:hint="eastAsia" w:cs="Times New Roman"/>
                <w:color w:val="auto"/>
                <w:kern w:val="0"/>
                <w:sz w:val="24"/>
                <w:szCs w:val="24"/>
                <w:u w:val="none" w:color="auto"/>
                <w:lang w:val="en-US" w:eastAsia="zh-CN" w:bidi="ar"/>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ind w:firstLine="466" w:firstLineChars="200"/>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项目环境风险简单分析内容表见表</w:t>
            </w:r>
            <w:r>
              <w:rPr>
                <w:rFonts w:hint="eastAsia" w:cs="Times New Roman"/>
                <w:color w:val="auto"/>
                <w:kern w:val="0"/>
                <w:sz w:val="24"/>
                <w:szCs w:val="24"/>
                <w:u w:val="none" w:color="auto"/>
                <w:lang w:val="en-US" w:eastAsia="zh-CN"/>
              </w:rPr>
              <w:t>7-16</w:t>
            </w:r>
            <w:r>
              <w:rPr>
                <w:rFonts w:hint="default" w:ascii="Times New Roman" w:hAnsi="Times New Roman" w:cs="Times New Roman"/>
                <w:color w:val="auto"/>
                <w:kern w:val="0"/>
                <w:sz w:val="24"/>
                <w:szCs w:val="24"/>
                <w:u w:val="none" w:color="auto"/>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olor w:val="auto"/>
                <w:kern w:val="0"/>
                <w:sz w:val="21"/>
                <w:szCs w:val="21"/>
                <w:u w:val="none" w:color="auto"/>
              </w:rPr>
            </w:pPr>
            <w:r>
              <w:rPr>
                <w:rFonts w:hint="default" w:ascii="Times New Roman" w:hAnsi="Times New Roman" w:eastAsia="宋体" w:cs="Times New Roman"/>
                <w:b/>
                <w:bCs w:val="0"/>
                <w:color w:val="auto"/>
                <w:sz w:val="21"/>
                <w:szCs w:val="21"/>
                <w:u w:val="none" w:color="auto"/>
              </w:rPr>
              <w:t>表</w:t>
            </w:r>
            <w:r>
              <w:rPr>
                <w:rFonts w:hint="eastAsia" w:cs="Times New Roman"/>
                <w:b/>
                <w:bCs w:val="0"/>
                <w:color w:val="auto"/>
                <w:sz w:val="21"/>
                <w:szCs w:val="21"/>
                <w:u w:val="none" w:color="auto"/>
                <w:lang w:val="en-US" w:eastAsia="zh-CN"/>
              </w:rPr>
              <w:t>7-16</w:t>
            </w:r>
            <w:r>
              <w:rPr>
                <w:rFonts w:hint="default" w:ascii="Times New Roman" w:hAnsi="Times New Roman" w:eastAsia="宋体" w:cs="Times New Roman"/>
                <w:b/>
                <w:bCs w:val="0"/>
                <w:color w:val="auto"/>
                <w:sz w:val="21"/>
                <w:szCs w:val="21"/>
                <w:u w:val="none" w:color="auto"/>
              </w:rPr>
              <w:t xml:space="preserve">  建设项目环境风险简单分析内容表</w:t>
            </w:r>
          </w:p>
          <w:tbl>
            <w:tblPr>
              <w:tblStyle w:val="40"/>
              <w:tblW w:w="906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1260"/>
              <w:gridCol w:w="1992"/>
              <w:gridCol w:w="1315"/>
              <w:gridCol w:w="22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建设项目名称</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eastAsia" w:cs="Times New Roman"/>
                      <w:color w:val="auto"/>
                      <w:sz w:val="24"/>
                      <w:szCs w:val="24"/>
                      <w:u w:val="none" w:color="auto"/>
                      <w:lang w:eastAsia="zh-CN"/>
                    </w:rPr>
                    <w:t>年产20万片石棉瓦建设项目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建设地点</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4"/>
                      <w:szCs w:val="24"/>
                      <w:u w:val="none" w:color="auto"/>
                      <w:lang w:eastAsia="zh-CN"/>
                    </w:rPr>
                  </w:pPr>
                  <w:r>
                    <w:rPr>
                      <w:rFonts w:hint="eastAsia" w:ascii="Times New Roman" w:hAnsi="Times New Roman" w:cs="Times New Roman"/>
                      <w:color w:val="auto"/>
                      <w:kern w:val="0"/>
                      <w:sz w:val="24"/>
                      <w:szCs w:val="24"/>
                      <w:u w:val="none" w:color="auto"/>
                      <w:lang w:eastAsia="zh-CN"/>
                    </w:rPr>
                    <w:t>湖南省</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4"/>
                      <w:szCs w:val="24"/>
                      <w:u w:val="none" w:color="auto"/>
                      <w:lang w:eastAsia="zh-CN"/>
                    </w:rPr>
                  </w:pPr>
                  <w:r>
                    <w:rPr>
                      <w:rFonts w:hint="eastAsia" w:cs="Times New Roman"/>
                      <w:color w:val="auto"/>
                      <w:kern w:val="0"/>
                      <w:sz w:val="24"/>
                      <w:szCs w:val="24"/>
                      <w:u w:val="none" w:color="auto"/>
                      <w:lang w:eastAsia="zh-CN"/>
                    </w:rPr>
                    <w:t>岳阳市</w:t>
                  </w:r>
                </w:p>
              </w:tc>
              <w:tc>
                <w:tcPr>
                  <w:tcW w:w="3611" w:type="dxa"/>
                  <w:gridSpan w:val="2"/>
                  <w:tcBorders>
                    <w:tl2br w:val="nil"/>
                    <w:tr2bl w:val="nil"/>
                  </w:tcBorders>
                  <w:noWrap w:val="0"/>
                  <w:vAlign w:val="center"/>
                </w:tcPr>
                <w:p>
                  <w:pPr>
                    <w:tabs>
                      <w:tab w:val="left" w:pos="942"/>
                    </w:tabs>
                    <w:adjustRightInd w:val="0"/>
                    <w:snapToGrid w:val="0"/>
                    <w:spacing w:line="360" w:lineRule="auto"/>
                    <w:jc w:val="center"/>
                    <w:rPr>
                      <w:rFonts w:hint="default" w:cs="Times New Roman"/>
                      <w:color w:val="auto"/>
                      <w:kern w:val="0"/>
                      <w:sz w:val="24"/>
                      <w:szCs w:val="24"/>
                      <w:u w:val="none" w:color="auto"/>
                      <w:lang w:val="en-US" w:eastAsia="zh-CN"/>
                    </w:rPr>
                  </w:pPr>
                  <w:r>
                    <w:rPr>
                      <w:rFonts w:hint="eastAsia" w:cs="Times New Roman"/>
                      <w:color w:val="auto"/>
                      <w:sz w:val="24"/>
                      <w:u w:val="none" w:color="auto"/>
                      <w:lang w:eastAsia="zh-CN"/>
                    </w:rPr>
                    <w:t>湘阴县</w:t>
                  </w:r>
                  <w:r>
                    <w:rPr>
                      <w:rFonts w:hint="eastAsia" w:cs="Times New Roman"/>
                      <w:color w:val="auto"/>
                      <w:sz w:val="24"/>
                      <w:u w:val="none" w:color="auto"/>
                      <w:lang w:val="en-US" w:eastAsia="zh-CN"/>
                    </w:rPr>
                    <w:t>白泥湖园艺场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地理坐标</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经度</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112.874849</w:t>
                  </w:r>
                </w:p>
              </w:tc>
              <w:tc>
                <w:tcPr>
                  <w:tcW w:w="1315"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纬度</w:t>
                  </w:r>
                </w:p>
              </w:tc>
              <w:tc>
                <w:tcPr>
                  <w:tcW w:w="2296"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28.767104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主要危险物质</w:t>
                  </w:r>
                </w:p>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及分布</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eastAsia="宋体" w:cs="Times New Roman"/>
                      <w:color w:val="auto"/>
                      <w:kern w:val="0"/>
                      <w:sz w:val="24"/>
                      <w:szCs w:val="24"/>
                      <w:u w:val="none" w:color="auto"/>
                      <w:lang w:val="en-US" w:eastAsia="zh-CN"/>
                    </w:rPr>
                  </w:pPr>
                  <w:r>
                    <w:rPr>
                      <w:rFonts w:hint="eastAsia" w:cs="Times New Roman"/>
                      <w:color w:val="auto"/>
                      <w:kern w:val="0"/>
                      <w:sz w:val="24"/>
                      <w:szCs w:val="24"/>
                      <w:u w:val="none" w:color="auto"/>
                      <w:lang w:val="en-US" w:eastAsia="zh-CN"/>
                    </w:rPr>
                    <w:t>原辅材料仓库、危险废物储存间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环境影响途径及危害后果(大气、地表水、地下水等)</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ind w:firstLine="466" w:firstLineChars="200"/>
                    <w:jc w:val="left"/>
                    <w:textAlignment w:val="auto"/>
                    <w:rPr>
                      <w:rFonts w:hint="default" w:ascii="Times New Roman" w:hAnsi="Times New Roman" w:cs="Times New Roman"/>
                      <w:color w:val="auto"/>
                      <w:kern w:val="0"/>
                      <w:sz w:val="24"/>
                      <w:szCs w:val="24"/>
                      <w:u w:val="none" w:color="auto"/>
                      <w:lang w:val="en-US" w:eastAsia="zh-CN"/>
                    </w:rPr>
                  </w:pPr>
                  <w:r>
                    <w:rPr>
                      <w:rFonts w:hint="eastAsia" w:ascii="Times New Roman" w:hAnsi="Times New Roman" w:cs="Times New Roman"/>
                      <w:color w:val="auto"/>
                      <w:kern w:val="0"/>
                      <w:sz w:val="24"/>
                      <w:szCs w:val="24"/>
                      <w:u w:val="none" w:color="auto"/>
                      <w:lang w:val="en-US" w:eastAsia="zh-CN"/>
                    </w:rPr>
                    <w:t>如不做好防范措施，水性漆</w:t>
                  </w:r>
                  <w:r>
                    <w:rPr>
                      <w:rFonts w:hint="eastAsia" w:cs="Times New Roman"/>
                      <w:color w:val="auto"/>
                      <w:kern w:val="0"/>
                      <w:sz w:val="24"/>
                      <w:szCs w:val="24"/>
                      <w:u w:val="none" w:color="auto"/>
                      <w:lang w:val="en-US" w:eastAsia="zh-CN"/>
                    </w:rPr>
                    <w:t>、危险废物</w:t>
                  </w:r>
                  <w:r>
                    <w:rPr>
                      <w:rFonts w:hint="eastAsia" w:ascii="Times New Roman" w:hAnsi="Times New Roman" w:cs="Times New Roman"/>
                      <w:color w:val="auto"/>
                      <w:kern w:val="0"/>
                      <w:sz w:val="24"/>
                      <w:szCs w:val="24"/>
                      <w:u w:val="none" w:color="auto"/>
                      <w:lang w:val="en-US" w:eastAsia="zh-CN"/>
                    </w:rPr>
                    <w:t>泄漏</w:t>
                  </w:r>
                  <w:r>
                    <w:rPr>
                      <w:rFonts w:hint="eastAsia" w:cs="Times New Roman"/>
                      <w:color w:val="auto"/>
                      <w:kern w:val="0"/>
                      <w:sz w:val="24"/>
                      <w:szCs w:val="24"/>
                      <w:u w:val="none" w:color="auto"/>
                      <w:lang w:val="en-US" w:eastAsia="zh-CN"/>
                    </w:rPr>
                    <w:t>、或者厂区发生火灾爆炸，会对周边水环境及大气造成影响。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风险防范措施要求</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val="en-US" w:eastAsia="zh-CN"/>
                    </w:rPr>
                    <w:t xml:space="preserve">①加强职工的环保教育，提高安全防范风险的意识；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val="en-US" w:eastAsia="zh-CN"/>
                    </w:rPr>
                    <w:t xml:space="preserve">②厂区地面进行硬化；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val="en-US" w:eastAsia="zh-CN"/>
                    </w:rPr>
                    <w:t>③水性漆需</w:t>
                  </w:r>
                  <w:r>
                    <w:rPr>
                      <w:rFonts w:hint="eastAsia" w:cs="Times New Roman"/>
                      <w:color w:val="auto"/>
                      <w:kern w:val="0"/>
                      <w:sz w:val="24"/>
                      <w:szCs w:val="24"/>
                      <w:u w:val="none" w:color="auto"/>
                      <w:lang w:val="en-US" w:eastAsia="zh-CN"/>
                    </w:rPr>
                    <w:t>放置储存间内，且地面进行硬化，门口设置围堰，设置标识牌</w:t>
                  </w:r>
                  <w:r>
                    <w:rPr>
                      <w:rFonts w:hint="eastAsia" w:ascii="Times New Roman" w:hAnsi="Times New Roman" w:cs="Times New Roman"/>
                      <w:color w:val="auto"/>
                      <w:kern w:val="0"/>
                      <w:sz w:val="24"/>
                      <w:szCs w:val="24"/>
                      <w:u w:val="none" w:color="auto"/>
                      <w:lang w:val="en-US" w:eastAsia="zh-CN"/>
                    </w:rPr>
                    <w:t xml:space="preserve">。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val="en-US" w:eastAsia="zh-CN"/>
                    </w:rPr>
                    <w:t xml:space="preserve">④建立夜间值班巡查制度；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u w:val="none" w:color="auto"/>
                      <w:lang w:eastAsia="zh-CN"/>
                    </w:rPr>
                  </w:pPr>
                  <w:r>
                    <w:rPr>
                      <w:rFonts w:hint="eastAsia" w:ascii="Times New Roman" w:hAnsi="Times New Roman" w:cs="Times New Roman"/>
                      <w:color w:val="auto"/>
                      <w:kern w:val="0"/>
                      <w:sz w:val="24"/>
                      <w:szCs w:val="24"/>
                      <w:u w:val="none" w:color="auto"/>
                      <w:lang w:val="en-US" w:eastAsia="zh-CN"/>
                    </w:rPr>
                    <w:t>⑤危废暂存间应按规范设置，防止泄露的危废污染地表水体。同时，应强化管理，采用合格的容器储存废液，并及时交有资质的单位处置</w:t>
                  </w:r>
                  <w:r>
                    <w:rPr>
                      <w:rFonts w:hint="default" w:ascii="Times New Roman" w:hAnsi="Times New Roman" w:cs="Times New Roman"/>
                      <w:color w:val="auto"/>
                      <w:kern w:val="0"/>
                      <w:sz w:val="24"/>
                      <w:szCs w:val="24"/>
                      <w:u w:val="none" w:color="auto"/>
                      <w:lang w:eastAsia="zh-CN"/>
                    </w:rPr>
                    <w:t>。</w:t>
                  </w:r>
                </w:p>
              </w:tc>
            </w:tr>
          </w:tbl>
          <w:p>
            <w:pPr>
              <w:pStyle w:val="174"/>
              <w:spacing w:line="360" w:lineRule="auto"/>
              <w:ind w:firstLine="466" w:firstLineChars="200"/>
              <w:rPr>
                <w:rFonts w:hint="default" w:ascii="Times New Roman" w:hAnsi="Times New Roman" w:cs="Times New Roman"/>
                <w:color w:val="auto"/>
                <w:sz w:val="24"/>
                <w:szCs w:val="24"/>
                <w:u w:val="none" w:color="auto"/>
              </w:rPr>
            </w:pPr>
            <w:bookmarkStart w:id="11" w:name="_Toc299377553"/>
            <w:bookmarkStart w:id="12" w:name="_Toc312221061"/>
            <w:bookmarkStart w:id="13" w:name="_Toc280188871"/>
            <w:bookmarkStart w:id="14" w:name="_Toc424919844"/>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风险评价结论</w:t>
            </w:r>
            <w:bookmarkEnd w:id="11"/>
            <w:bookmarkEnd w:id="12"/>
            <w:bookmarkEnd w:id="13"/>
            <w:bookmarkEnd w:id="14"/>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在严格落实本报告的提出各项事故防范和应急措施，加强管理，可最大限度地减少可能发生的环境风险。且一旦发生事故，也可将影响范围控制在较小程度之内，减小损失。企业在运营期间应不断完善企业事故防范和应急体系，实现企业联防联动，减少项目环境风险事故发生的概率，其影响危害可控制在厂区内，其风险在可接受范围内。</w:t>
            </w:r>
          </w:p>
          <w:p>
            <w:pPr>
              <w:pStyle w:val="187"/>
              <w:spacing w:line="360" w:lineRule="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应急预案</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明确应急反应组织机构、参加单位、人员及作用；环境应急工作组负责现场所需抢险物资的搬运及现场抢救工作，做好各小队之间的协调配合工作。迅速、有效地实施先期处置，全力控制事故灾难发展态势，防止次生、衍生和耦合事故发生，果断控制或切断事故灾害链。</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明确应急反应总负责人，以及每一具体行动负责人；负责人负责应急救援指挥工作，发布抢险救援命令，对特殊情况进行紧急决断，协调副总指挥工作内容，向上级领导报告事故及对事故的处理情况。</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确认可能发生的事故类型、地点；定期组织隐患排查治理，公司对仓库、重要生产设备、设施和场所采取24小时值班巡检和不定期检测等方式进行监控；遵循“早发现、早报告、早处置”的原则对异常情况及早处置。建设单位应编制危险废物装卸作业严格按照规程操作，使用的工具可避免损坏储桶，并有相应防护装置。加强安全管理，对于从事作业的工人，应进行生产操作和安全技术教育。在生产车间里，一定要严禁烟火。</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确定事故影响范围及可能影响的人数；</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确定报警方式，如电话、警报器等；</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明确可用于应急求援的设备、设施；</w:t>
            </w:r>
          </w:p>
          <w:p>
            <w:pPr>
              <w:pStyle w:val="174"/>
              <w:spacing w:line="360" w:lineRule="auto"/>
              <w:ind w:firstLine="466"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明确保护措施程序；企业应建立危险源的管理制度，落实监控措施。分析汇总数据，并建立危险源台帐、档案。对区域内容易引发突发环境事件的环境危险源、危险区域进行调查、登记、风险评估，对环境危险源、危险区域采用人工和自动监控</w:t>
            </w:r>
            <w:r>
              <w:rPr>
                <w:rFonts w:hint="eastAsia" w:cs="Times New Roman"/>
                <w:color w:val="auto"/>
                <w:sz w:val="24"/>
                <w:szCs w:val="24"/>
                <w:u w:val="none" w:color="auto"/>
                <w:lang w:eastAsia="zh-CN"/>
              </w:rPr>
              <w:t>；</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做好事故后的恢复工作程序；</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做好培训与演练。</w:t>
            </w:r>
          </w:p>
          <w:p>
            <w:pPr>
              <w:pStyle w:val="34"/>
              <w:spacing w:line="360" w:lineRule="auto"/>
              <w:ind w:left="0" w:leftChars="0" w:firstLine="466"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综上所述，本项目采取以上措施后，风险防范措施切实可行，在采取安全防范措施和监控系统以及事故应急预案后，项目的事故风险在可接受范围内</w:t>
            </w:r>
            <w:r>
              <w:rPr>
                <w:rFonts w:hint="eastAsia" w:cs="Times New Roman"/>
                <w:color w:val="auto"/>
                <w:sz w:val="24"/>
                <w:szCs w:val="24"/>
                <w:u w:val="none" w:color="auto"/>
                <w:lang w:eastAsia="zh-CN"/>
              </w:rPr>
              <w:t>。</w:t>
            </w:r>
          </w:p>
          <w:p>
            <w:pPr>
              <w:spacing w:line="360" w:lineRule="auto"/>
              <w:ind w:firstLine="466" w:firstLineChars="200"/>
              <w:rPr>
                <w:rFonts w:hint="default" w:ascii="Times New Roman" w:hAnsi="Times New Roman" w:cs="Times New Roman"/>
                <w:b/>
                <w:bCs/>
                <w:color w:val="auto"/>
                <w:sz w:val="24"/>
                <w:szCs w:val="24"/>
                <w:u w:val="single" w:color="auto"/>
              </w:rPr>
            </w:pPr>
            <w:r>
              <w:rPr>
                <w:rFonts w:hint="eastAsia" w:cs="Times New Roman"/>
                <w:b/>
                <w:bCs/>
                <w:color w:val="auto"/>
                <w:sz w:val="24"/>
                <w:szCs w:val="24"/>
                <w:u w:val="single" w:color="auto"/>
                <w:lang w:val="en-US" w:eastAsia="zh-CN"/>
              </w:rPr>
              <w:t>8</w:t>
            </w:r>
            <w:r>
              <w:rPr>
                <w:rFonts w:hint="default" w:ascii="Times New Roman" w:hAnsi="Times New Roman" w:cs="Times New Roman"/>
                <w:b/>
                <w:bCs/>
                <w:color w:val="auto"/>
                <w:sz w:val="24"/>
                <w:szCs w:val="24"/>
                <w:u w:val="single" w:color="auto"/>
              </w:rPr>
              <w:t>、环境管理与监测计划</w:t>
            </w:r>
          </w:p>
          <w:p>
            <w:pPr>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1）</w:t>
            </w:r>
            <w:r>
              <w:rPr>
                <w:rFonts w:hint="default" w:ascii="Times New Roman" w:hAnsi="Times New Roman" w:cs="Times New Roman"/>
                <w:color w:val="auto"/>
                <w:sz w:val="24"/>
                <w:szCs w:val="24"/>
                <w:u w:val="single" w:color="auto"/>
              </w:rPr>
              <w:t>环境管理</w:t>
            </w:r>
          </w:p>
          <w:p>
            <w:pPr>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环境管理是协调经济发展与环境保护的关系，是使经济、社会、环境有序持续发展的重要手段，根据本项目的工程特性，建设单位应设置工程管理机构中环境保护管理专职人员，其环境管理主要内容如下：</w:t>
            </w:r>
          </w:p>
          <w:p>
            <w:pPr>
              <w:spacing w:line="360" w:lineRule="auto"/>
              <w:ind w:firstLine="466" w:firstLineChars="200"/>
              <w:rPr>
                <w:rFonts w:hint="default" w:ascii="Times New Roman" w:hAnsi="Times New Roman" w:cs="Times New Roman"/>
                <w:color w:val="auto"/>
                <w:sz w:val="24"/>
                <w:szCs w:val="24"/>
                <w:u w:val="single" w:color="auto"/>
              </w:rPr>
            </w:pPr>
            <w:r>
              <w:rPr>
                <w:rFonts w:hint="eastAsia" w:cs="Times New Roman"/>
                <w:color w:val="auto"/>
                <w:sz w:val="24"/>
                <w:szCs w:val="24"/>
                <w:u w:val="single" w:color="auto"/>
                <w:lang w:val="en-US" w:eastAsia="zh-CN"/>
              </w:rPr>
              <w:t>a、</w:t>
            </w:r>
            <w:r>
              <w:rPr>
                <w:rFonts w:hint="default" w:ascii="Times New Roman" w:hAnsi="Times New Roman" w:cs="Times New Roman"/>
                <w:color w:val="auto"/>
                <w:sz w:val="24"/>
                <w:szCs w:val="24"/>
                <w:u w:val="single" w:color="auto"/>
              </w:rPr>
              <w:t>贯彻落实国家和地方的环境保护法律、法规、政策和标准，接受行业主管部门的监督、领导，配合环境保护主管部门做好环保工作；</w:t>
            </w:r>
          </w:p>
          <w:p>
            <w:pPr>
              <w:spacing w:line="360" w:lineRule="auto"/>
              <w:ind w:firstLine="466" w:firstLineChars="200"/>
              <w:rPr>
                <w:rFonts w:hint="default" w:ascii="Times New Roman" w:hAnsi="Times New Roman" w:cs="Times New Roman"/>
                <w:color w:val="auto"/>
                <w:sz w:val="24"/>
                <w:szCs w:val="24"/>
                <w:u w:val="single" w:color="auto"/>
              </w:rPr>
            </w:pPr>
            <w:r>
              <w:rPr>
                <w:rFonts w:hint="eastAsia" w:cs="Times New Roman"/>
                <w:color w:val="auto"/>
                <w:sz w:val="24"/>
                <w:szCs w:val="24"/>
                <w:u w:val="single" w:color="auto"/>
                <w:lang w:val="en-US" w:eastAsia="zh-CN"/>
              </w:rPr>
              <w:t>b</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u w:val="single" w:color="auto"/>
              </w:rPr>
              <w:t>制订全厂环境管理规章制度以及各种污染物排放控制指标；</w:t>
            </w:r>
          </w:p>
          <w:p>
            <w:pPr>
              <w:spacing w:line="360" w:lineRule="auto"/>
              <w:ind w:firstLine="466" w:firstLineChars="200"/>
              <w:rPr>
                <w:rFonts w:hint="default" w:ascii="Times New Roman" w:hAnsi="Times New Roman" w:cs="Times New Roman"/>
                <w:color w:val="auto"/>
                <w:sz w:val="24"/>
                <w:szCs w:val="24"/>
                <w:u w:val="single" w:color="auto"/>
              </w:rPr>
            </w:pPr>
            <w:r>
              <w:rPr>
                <w:rFonts w:hint="eastAsia" w:cs="Times New Roman"/>
                <w:color w:val="auto"/>
                <w:sz w:val="24"/>
                <w:szCs w:val="24"/>
                <w:u w:val="single" w:color="auto"/>
                <w:lang w:val="en-US" w:eastAsia="zh-CN"/>
              </w:rPr>
              <w:t>c</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u w:val="single" w:color="auto"/>
              </w:rPr>
              <w:t>定期检查环保设施的运行情况，并根据存在的问题提出改进意见； 参与企业的环保设施竣工验收和污染事故的调查与处理工作；</w:t>
            </w:r>
          </w:p>
          <w:p>
            <w:pPr>
              <w:spacing w:line="360" w:lineRule="auto"/>
              <w:ind w:firstLine="466" w:firstLineChars="200"/>
              <w:rPr>
                <w:rFonts w:hint="default" w:ascii="Times New Roman" w:hAnsi="Times New Roman" w:cs="Times New Roman"/>
                <w:color w:val="auto"/>
                <w:sz w:val="24"/>
                <w:szCs w:val="24"/>
                <w:u w:val="single" w:color="auto"/>
              </w:rPr>
            </w:pPr>
            <w:r>
              <w:rPr>
                <w:rFonts w:hint="eastAsia" w:cs="Times New Roman"/>
                <w:color w:val="auto"/>
                <w:sz w:val="24"/>
                <w:szCs w:val="24"/>
                <w:u w:val="single" w:color="auto"/>
                <w:lang w:val="en-US" w:eastAsia="zh-CN"/>
              </w:rPr>
              <w:t>d</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u w:val="single" w:color="auto"/>
              </w:rPr>
              <w:t>在岗职工按环保要求对设备进行操作管理，操作人员需通过培训和定期考核，方可上岗。</w:t>
            </w:r>
          </w:p>
          <w:p>
            <w:pPr>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2）</w:t>
            </w:r>
            <w:r>
              <w:rPr>
                <w:rFonts w:hint="default" w:ascii="Times New Roman" w:hAnsi="Times New Roman" w:cs="Times New Roman"/>
                <w:color w:val="auto"/>
                <w:sz w:val="24"/>
                <w:szCs w:val="24"/>
                <w:u w:val="single" w:color="auto"/>
              </w:rPr>
              <w:t>环境监测计划</w:t>
            </w:r>
          </w:p>
          <w:p>
            <w:pPr>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为切实做好废气的达标排放及污染物排放总量控制，及时了解和掌握建设项目营运期主要污染源污染物的排放情况，建设单位应定期委托有资质的环境监测单位对本项目建设后主要污染源排放的污染物进行监测。</w:t>
            </w:r>
          </w:p>
          <w:p>
            <w:pPr>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建议监测点位置和主要监测项目详见表 7-</w:t>
            </w:r>
            <w:r>
              <w:rPr>
                <w:rFonts w:hint="eastAsia" w:cs="Times New Roman"/>
                <w:color w:val="auto"/>
                <w:sz w:val="24"/>
                <w:szCs w:val="24"/>
                <w:u w:val="single" w:color="auto"/>
                <w:lang w:val="en-US" w:eastAsia="zh-CN"/>
              </w:rPr>
              <w:t>17</w:t>
            </w:r>
            <w:r>
              <w:rPr>
                <w:rFonts w:hint="default" w:ascii="Times New Roman" w:hAnsi="Times New Roman" w:cs="Times New Roman"/>
                <w:color w:val="auto"/>
                <w:sz w:val="24"/>
                <w:szCs w:val="24"/>
                <w:u w:val="single" w:color="auto"/>
              </w:rPr>
              <w:t>。</w:t>
            </w:r>
          </w:p>
          <w:p>
            <w:pPr>
              <w:spacing w:line="360" w:lineRule="auto"/>
              <w:ind w:firstLine="466" w:firstLineChars="200"/>
              <w:jc w:val="center"/>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表 7-</w:t>
            </w:r>
            <w:r>
              <w:rPr>
                <w:rFonts w:hint="eastAsia" w:cs="Times New Roman"/>
                <w:color w:val="auto"/>
                <w:sz w:val="24"/>
                <w:szCs w:val="24"/>
                <w:u w:val="single" w:color="auto"/>
                <w:lang w:val="en-US" w:eastAsia="zh-CN"/>
              </w:rPr>
              <w:t>17</w:t>
            </w:r>
            <w:r>
              <w:rPr>
                <w:rFonts w:hint="default" w:ascii="Times New Roman" w:hAnsi="Times New Roman" w:cs="Times New Roman"/>
                <w:color w:val="auto"/>
                <w:sz w:val="24"/>
                <w:szCs w:val="24"/>
                <w:u w:val="single" w:color="auto"/>
              </w:rPr>
              <w:t xml:space="preserve"> 本项目监测方案</w:t>
            </w:r>
          </w:p>
          <w:tbl>
            <w:tblPr>
              <w:tblStyle w:val="40"/>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885"/>
              <w:gridCol w:w="3308"/>
              <w:gridCol w:w="2362"/>
              <w:gridCol w:w="150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8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监测项目</w:t>
                  </w:r>
                </w:p>
              </w:tc>
              <w:tc>
                <w:tcPr>
                  <w:tcW w:w="33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监测点位</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主要监测因子</w:t>
                  </w:r>
                </w:p>
              </w:tc>
              <w:tc>
                <w:tcPr>
                  <w:tcW w:w="1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8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废气</w:t>
                  </w:r>
                </w:p>
              </w:tc>
              <w:tc>
                <w:tcPr>
                  <w:tcW w:w="3308"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喷漆烘干废气</w:t>
                  </w:r>
                  <w:r>
                    <w:rPr>
                      <w:rFonts w:hint="default" w:ascii="Times New Roman" w:hAnsi="Times New Roman" w:cs="Times New Roman"/>
                      <w:color w:val="auto"/>
                      <w:sz w:val="22"/>
                      <w:szCs w:val="22"/>
                      <w:u w:val="single" w:color="auto"/>
                    </w:rPr>
                    <w:t>排气筒</w:t>
                  </w:r>
                  <w:r>
                    <w:rPr>
                      <w:rFonts w:hint="eastAsia" w:cs="Times New Roman"/>
                      <w:color w:val="auto"/>
                      <w:sz w:val="22"/>
                      <w:szCs w:val="22"/>
                      <w:u w:val="single" w:color="auto"/>
                      <w:lang w:eastAsia="zh-CN"/>
                    </w:rPr>
                    <w:t>（</w:t>
                  </w:r>
                  <w:r>
                    <w:rPr>
                      <w:rFonts w:hint="eastAsia" w:cs="Times New Roman"/>
                      <w:color w:val="auto"/>
                      <w:sz w:val="22"/>
                      <w:szCs w:val="22"/>
                      <w:u w:val="single" w:color="auto"/>
                      <w:lang w:val="en-US" w:eastAsia="zh-CN"/>
                    </w:rPr>
                    <w:t>进口、出口</w:t>
                  </w:r>
                  <w:r>
                    <w:rPr>
                      <w:rFonts w:hint="eastAsia" w:cs="Times New Roman"/>
                      <w:color w:val="auto"/>
                      <w:sz w:val="22"/>
                      <w:szCs w:val="22"/>
                      <w:u w:val="single" w:color="auto"/>
                      <w:lang w:eastAsia="zh-CN"/>
                    </w:rPr>
                    <w:t>）</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颗粒物</w:t>
                  </w:r>
                  <w:r>
                    <w:rPr>
                      <w:rFonts w:hint="eastAsia"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VOC</w:t>
                  </w:r>
                  <w:r>
                    <w:rPr>
                      <w:rFonts w:hint="default" w:ascii="Times New Roman" w:hAnsi="Times New Roman" w:cs="Times New Roman"/>
                      <w:color w:val="auto"/>
                      <w:sz w:val="22"/>
                      <w:szCs w:val="22"/>
                      <w:u w:val="single" w:color="auto"/>
                      <w:vertAlign w:val="subscript"/>
                      <w:lang w:val="en-US" w:eastAsia="zh-CN"/>
                    </w:rPr>
                    <w:t>S</w:t>
                  </w:r>
                </w:p>
              </w:tc>
              <w:tc>
                <w:tcPr>
                  <w:tcW w:w="1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rPr>
                  </w:pPr>
                  <w:r>
                    <w:rPr>
                      <w:rFonts w:hint="eastAsia" w:cs="Times New Roman"/>
                      <w:color w:val="auto"/>
                      <w:sz w:val="22"/>
                      <w:szCs w:val="22"/>
                      <w:u w:val="single" w:color="auto"/>
                      <w:lang w:val="en-US" w:eastAsia="zh-CN"/>
                    </w:rPr>
                    <w:t>每</w:t>
                  </w:r>
                  <w:r>
                    <w:rPr>
                      <w:rFonts w:hint="eastAsia" w:cs="Times New Roman"/>
                      <w:color w:val="auto"/>
                      <w:sz w:val="22"/>
                      <w:szCs w:val="22"/>
                      <w:u w:val="single" w:color="auto"/>
                      <w:lang w:eastAsia="zh-CN"/>
                    </w:rPr>
                    <w:t>半年</w:t>
                  </w:r>
                  <w:r>
                    <w:rPr>
                      <w:rFonts w:hint="eastAsia" w:cs="Times New Roman"/>
                      <w:color w:val="auto"/>
                      <w:sz w:val="22"/>
                      <w:szCs w:val="22"/>
                      <w:u w:val="single" w:color="auto"/>
                      <w:lang w:val="en-US" w:eastAsia="zh-CN"/>
                    </w:rPr>
                    <w:t>一</w:t>
                  </w:r>
                  <w:r>
                    <w:rPr>
                      <w:rFonts w:hint="default" w:ascii="Times New Roman" w:hAnsi="Times New Roman" w:cs="Times New Roman"/>
                      <w:color w:val="auto"/>
                      <w:sz w:val="22"/>
                      <w:szCs w:val="22"/>
                      <w:u w:val="single" w:color="auto"/>
                    </w:rPr>
                    <w:t>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8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rPr>
                  </w:pPr>
                </w:p>
              </w:tc>
              <w:tc>
                <w:tcPr>
                  <w:tcW w:w="33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rPr>
                    <w:t>厂界</w:t>
                  </w:r>
                  <w:r>
                    <w:rPr>
                      <w:rFonts w:hint="default" w:ascii="Times New Roman" w:hAnsi="Times New Roman" w:cs="Times New Roman"/>
                      <w:color w:val="auto"/>
                      <w:sz w:val="22"/>
                      <w:szCs w:val="22"/>
                      <w:u w:val="single" w:color="auto"/>
                      <w:lang w:val="en-US" w:eastAsia="zh-CN"/>
                    </w:rPr>
                    <w:t>上</w:t>
                  </w:r>
                  <w:r>
                    <w:rPr>
                      <w:rFonts w:hint="eastAsia" w:cs="Times New Roman"/>
                      <w:color w:val="auto"/>
                      <w:sz w:val="22"/>
                      <w:szCs w:val="22"/>
                      <w:u w:val="single" w:color="auto"/>
                      <w:lang w:val="en-US" w:eastAsia="zh-CN"/>
                    </w:rPr>
                    <w:t>风向1个点</w:t>
                  </w:r>
                  <w:r>
                    <w:rPr>
                      <w:rFonts w:hint="default" w:ascii="Times New Roman" w:hAnsi="Times New Roman" w:cs="Times New Roman"/>
                      <w:color w:val="auto"/>
                      <w:sz w:val="22"/>
                      <w:szCs w:val="22"/>
                      <w:u w:val="single" w:color="auto"/>
                      <w:lang w:val="en-US" w:eastAsia="zh-CN"/>
                    </w:rPr>
                    <w:t>、</w:t>
                  </w:r>
                  <w:r>
                    <w:rPr>
                      <w:rFonts w:hint="default" w:ascii="Times New Roman" w:hAnsi="Times New Roman" w:cs="Times New Roman"/>
                      <w:color w:val="auto"/>
                      <w:sz w:val="22"/>
                      <w:szCs w:val="22"/>
                      <w:u w:val="single" w:color="auto"/>
                      <w:lang w:eastAsia="zh-CN"/>
                    </w:rPr>
                    <w:t>下风向</w:t>
                  </w:r>
                  <w:r>
                    <w:rPr>
                      <w:rFonts w:hint="eastAsia" w:cs="Times New Roman"/>
                      <w:color w:val="auto"/>
                      <w:sz w:val="22"/>
                      <w:szCs w:val="22"/>
                      <w:u w:val="single" w:color="auto"/>
                      <w:lang w:val="en-US" w:eastAsia="zh-CN"/>
                    </w:rPr>
                    <w:t>2个点</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VOC</w:t>
                  </w:r>
                  <w:r>
                    <w:rPr>
                      <w:rFonts w:hint="default" w:ascii="Times New Roman" w:hAnsi="Times New Roman" w:cs="Times New Roman"/>
                      <w:color w:val="auto"/>
                      <w:sz w:val="22"/>
                      <w:szCs w:val="22"/>
                      <w:u w:val="single" w:color="auto"/>
                      <w:vertAlign w:val="subscript"/>
                      <w:lang w:val="en-US" w:eastAsia="zh-CN"/>
                    </w:rPr>
                    <w:t>S</w:t>
                  </w:r>
                  <w:r>
                    <w:rPr>
                      <w:rFonts w:hint="default" w:ascii="Times New Roman" w:hAnsi="Times New Roman" w:cs="Times New Roman"/>
                      <w:color w:val="auto"/>
                      <w:sz w:val="22"/>
                      <w:szCs w:val="22"/>
                      <w:u w:val="single" w:color="auto"/>
                    </w:rPr>
                    <w:t>、</w:t>
                  </w:r>
                  <w:r>
                    <w:rPr>
                      <w:rFonts w:hint="default" w:ascii="Times New Roman" w:hAnsi="Times New Roman" w:cs="Times New Roman"/>
                      <w:color w:val="auto"/>
                      <w:sz w:val="22"/>
                      <w:szCs w:val="22"/>
                      <w:u w:val="single" w:color="auto"/>
                      <w:lang w:eastAsia="zh-CN"/>
                    </w:rPr>
                    <w:t>颗粒物</w:t>
                  </w:r>
                </w:p>
              </w:tc>
              <w:tc>
                <w:tcPr>
                  <w:tcW w:w="1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rPr>
                  </w:pPr>
                  <w:r>
                    <w:rPr>
                      <w:rFonts w:hint="eastAsia" w:cs="Times New Roman"/>
                      <w:color w:val="auto"/>
                      <w:sz w:val="22"/>
                      <w:szCs w:val="22"/>
                      <w:u w:val="single" w:color="auto"/>
                      <w:lang w:val="en-US" w:eastAsia="zh-CN"/>
                    </w:rPr>
                    <w:t>每</w:t>
                  </w:r>
                  <w:r>
                    <w:rPr>
                      <w:rFonts w:hint="eastAsia" w:cs="Times New Roman"/>
                      <w:color w:val="auto"/>
                      <w:sz w:val="22"/>
                      <w:szCs w:val="22"/>
                      <w:u w:val="single" w:color="auto"/>
                      <w:lang w:eastAsia="zh-CN"/>
                    </w:rPr>
                    <w:t>半年</w:t>
                  </w:r>
                  <w:r>
                    <w:rPr>
                      <w:rFonts w:hint="eastAsia" w:cs="Times New Roman"/>
                      <w:color w:val="auto"/>
                      <w:sz w:val="22"/>
                      <w:szCs w:val="22"/>
                      <w:u w:val="single" w:color="auto"/>
                      <w:lang w:val="en-US" w:eastAsia="zh-CN"/>
                    </w:rPr>
                    <w:t>一</w:t>
                  </w:r>
                  <w:r>
                    <w:rPr>
                      <w:rFonts w:hint="default" w:ascii="Times New Roman" w:hAnsi="Times New Roman" w:cs="Times New Roman"/>
                      <w:color w:val="auto"/>
                      <w:sz w:val="22"/>
                      <w:szCs w:val="22"/>
                      <w:u w:val="single" w:color="auto"/>
                    </w:rPr>
                    <w:t>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8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33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rPr>
                    <w:t>厂界</w:t>
                  </w:r>
                  <w:r>
                    <w:rPr>
                      <w:rFonts w:hint="eastAsia" w:cs="Times New Roman"/>
                      <w:color w:val="auto"/>
                      <w:sz w:val="22"/>
                      <w:szCs w:val="22"/>
                      <w:u w:val="single" w:color="auto"/>
                      <w:lang w:val="en-US" w:eastAsia="zh-CN"/>
                    </w:rPr>
                    <w:t>东、南、西、北侧外1m处</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2"/>
                      <w:szCs w:val="22"/>
                      <w:u w:val="single" w:color="auto"/>
                      <w:lang w:eastAsia="zh-CN"/>
                    </w:rPr>
                  </w:pPr>
                  <w:r>
                    <w:rPr>
                      <w:rFonts w:hint="eastAsia" w:ascii="Times New Roman" w:hAnsi="Times New Roman" w:cs="Times New Roman"/>
                      <w:color w:val="auto"/>
                      <w:sz w:val="22"/>
                      <w:szCs w:val="22"/>
                      <w:u w:val="single" w:color="auto"/>
                      <w:lang w:eastAsia="zh-CN"/>
                    </w:rPr>
                    <w:t>噪声</w:t>
                  </w:r>
                </w:p>
              </w:tc>
              <w:tc>
                <w:tcPr>
                  <w:tcW w:w="1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single" w:color="auto"/>
                    </w:rPr>
                  </w:pPr>
                  <w:r>
                    <w:rPr>
                      <w:rFonts w:hint="eastAsia" w:cs="Times New Roman"/>
                      <w:color w:val="auto"/>
                      <w:sz w:val="22"/>
                      <w:szCs w:val="22"/>
                      <w:u w:val="single" w:color="auto"/>
                      <w:lang w:val="en-US" w:eastAsia="zh-CN"/>
                    </w:rPr>
                    <w:t>每季度一</w:t>
                  </w:r>
                  <w:r>
                    <w:rPr>
                      <w:rFonts w:hint="default" w:ascii="Times New Roman" w:hAnsi="Times New Roman" w:cs="Times New Roman"/>
                      <w:color w:val="auto"/>
                      <w:sz w:val="22"/>
                      <w:szCs w:val="22"/>
                      <w:u w:val="single" w:color="auto"/>
                    </w:rPr>
                    <w:t>次</w:t>
                  </w:r>
                </w:p>
              </w:tc>
            </w:tr>
          </w:tbl>
          <w:p>
            <w:pPr>
              <w:pStyle w:val="34"/>
              <w:spacing w:line="360" w:lineRule="auto"/>
              <w:ind w:left="400"/>
              <w:rPr>
                <w:rFonts w:hint="eastAsia" w:ascii="Times New Roman" w:hAnsi="Times New Roman" w:eastAsia="宋体" w:cs="Times New Roman"/>
                <w:color w:val="auto"/>
                <w:sz w:val="24"/>
                <w:szCs w:val="24"/>
                <w:u w:val="single" w:color="auto"/>
                <w:lang w:eastAsia="zh-CN"/>
              </w:rPr>
            </w:pPr>
            <w:r>
              <w:rPr>
                <w:rFonts w:hint="default" w:ascii="Times New Roman" w:hAnsi="Times New Roman" w:cs="Times New Roman"/>
                <w:color w:val="auto"/>
                <w:sz w:val="24"/>
                <w:szCs w:val="24"/>
                <w:u w:val="single" w:color="auto"/>
              </w:rPr>
              <w:t>监测计划实施由公司负责组织协调，可委托有资质的环境监测单位承担监测任务</w:t>
            </w:r>
            <w:r>
              <w:rPr>
                <w:rFonts w:hint="eastAsia" w:cs="Times New Roman"/>
                <w:color w:val="auto"/>
                <w:sz w:val="24"/>
                <w:szCs w:val="24"/>
                <w:u w:val="single" w:color="auto"/>
                <w:lang w:eastAsia="zh-CN"/>
              </w:rPr>
              <w:t>。</w:t>
            </w:r>
          </w:p>
          <w:p>
            <w:pPr>
              <w:snapToGrid w:val="0"/>
              <w:spacing w:line="360" w:lineRule="auto"/>
              <w:ind w:firstLine="466" w:firstLineChars="200"/>
              <w:rPr>
                <w:rFonts w:hint="default" w:ascii="Times New Roman" w:hAnsi="Times New Roman" w:cs="Times New Roman"/>
                <w:b/>
                <w:color w:val="auto"/>
                <w:sz w:val="24"/>
                <w:szCs w:val="24"/>
                <w:u w:val="none" w:color="auto"/>
              </w:rPr>
            </w:pPr>
            <w:r>
              <w:rPr>
                <w:rFonts w:hint="eastAsia" w:cs="Times New Roman"/>
                <w:b/>
                <w:color w:val="auto"/>
                <w:sz w:val="24"/>
                <w:szCs w:val="24"/>
                <w:u w:val="none" w:color="auto"/>
                <w:lang w:val="en-US" w:eastAsia="zh-CN"/>
              </w:rPr>
              <w:t>9</w:t>
            </w:r>
            <w:r>
              <w:rPr>
                <w:rFonts w:hint="default" w:ascii="Times New Roman" w:hAnsi="Times New Roman" w:cs="Times New Roman"/>
                <w:b/>
                <w:color w:val="auto"/>
                <w:sz w:val="24"/>
                <w:szCs w:val="24"/>
                <w:u w:val="none" w:color="auto"/>
              </w:rPr>
              <w:t>、项目合理性分析</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（1）产业政策符合性分析</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本项目为</w:t>
            </w:r>
            <w:r>
              <w:rPr>
                <w:rFonts w:hint="eastAsia" w:cs="Times New Roman"/>
                <w:color w:val="auto"/>
                <w:sz w:val="24"/>
                <w:szCs w:val="24"/>
                <w:u w:val="none" w:color="auto"/>
                <w:lang w:val="en-US" w:eastAsia="zh-CN"/>
              </w:rPr>
              <w:t>石棉水泥</w:t>
            </w:r>
            <w:r>
              <w:rPr>
                <w:rFonts w:hint="eastAsia" w:cs="Times New Roman"/>
                <w:color w:val="auto"/>
                <w:sz w:val="24"/>
                <w:szCs w:val="24"/>
                <w:u w:val="none" w:color="auto"/>
                <w:lang w:eastAsia="zh-CN"/>
              </w:rPr>
              <w:t>制品生产</w:t>
            </w:r>
            <w:r>
              <w:rPr>
                <w:rFonts w:hint="default" w:ascii="Times New Roman" w:hAnsi="Times New Roman" w:cs="Times New Roman"/>
                <w:color w:val="auto"/>
                <w:sz w:val="24"/>
                <w:szCs w:val="24"/>
                <w:u w:val="none" w:color="auto"/>
              </w:rPr>
              <w:t>，根据中华人民共和</w:t>
            </w:r>
            <w:r>
              <w:rPr>
                <w:rFonts w:hint="default" w:ascii="Times New Roman" w:hAnsi="Times New Roman" w:cs="Times New Roman"/>
                <w:color w:val="auto"/>
                <w:sz w:val="24"/>
                <w:szCs w:val="24"/>
                <w:u w:val="none" w:color="auto"/>
                <w:lang w:eastAsia="zh-CN"/>
              </w:rPr>
              <w:t>国发展和改革委员会</w:t>
            </w:r>
            <w:r>
              <w:rPr>
                <w:rFonts w:hint="eastAsia"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产业结构调整指导目录</w:t>
            </w:r>
            <w:r>
              <w:rPr>
                <w:rFonts w:hint="default" w:ascii="Times New Roman" w:hAnsi="Times New Roman" w:cs="Times New Roman"/>
                <w:color w:val="auto"/>
                <w:sz w:val="24"/>
                <w:szCs w:val="24"/>
                <w:u w:val="none" w:color="auto"/>
                <w:lang w:val="en-US" w:eastAsia="zh-CN"/>
              </w:rPr>
              <w:t>》（2019年本），</w:t>
            </w:r>
            <w:r>
              <w:rPr>
                <w:rFonts w:hint="default" w:ascii="Times New Roman" w:hAnsi="Times New Roman" w:cs="Times New Roman"/>
                <w:color w:val="auto"/>
                <w:sz w:val="24"/>
                <w:szCs w:val="24"/>
                <w:u w:val="none" w:color="auto"/>
                <w:lang w:eastAsia="zh-CN"/>
              </w:rPr>
              <w:t>该类项目不属于限制类和淘汰类项目</w:t>
            </w:r>
            <w:r>
              <w:rPr>
                <w:rFonts w:hint="default" w:ascii="Times New Roman" w:hAnsi="Times New Roman" w:cs="Times New Roman"/>
                <w:color w:val="auto"/>
                <w:sz w:val="24"/>
                <w:szCs w:val="24"/>
                <w:u w:val="none" w:color="auto"/>
              </w:rPr>
              <w:t>，</w:t>
            </w:r>
            <w:r>
              <w:rPr>
                <w:rFonts w:hint="eastAsia" w:ascii="Times New Roman" w:hAnsi="Times New Roman" w:cs="Times New Roman"/>
                <w:color w:val="auto"/>
                <w:sz w:val="24"/>
                <w:szCs w:val="24"/>
                <w:u w:val="none" w:color="auto"/>
                <w:lang w:eastAsia="zh-CN"/>
              </w:rPr>
              <w:t>同</w:t>
            </w:r>
            <w:r>
              <w:rPr>
                <w:rFonts w:hint="default" w:ascii="Times New Roman" w:hAnsi="Times New Roman" w:cs="Times New Roman"/>
                <w:color w:val="auto"/>
                <w:spacing w:val="-10"/>
                <w:sz w:val="24"/>
                <w:szCs w:val="24"/>
                <w:u w:val="none" w:color="auto"/>
              </w:rPr>
              <w:t>时</w:t>
            </w:r>
            <w:r>
              <w:rPr>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eastAsia"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符合国家产业政策要求</w:t>
            </w:r>
            <w:r>
              <w:rPr>
                <w:rFonts w:hint="eastAsia" w:ascii="Times New Roman" w:hAnsi="Times New Roman" w:cs="Times New Roman"/>
                <w:color w:val="auto"/>
                <w:sz w:val="24"/>
                <w:szCs w:val="24"/>
                <w:u w:val="none" w:color="auto"/>
                <w:lang w:eastAsia="zh-CN"/>
              </w:rPr>
              <w:t>。</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（2）与《“十三五”挥发性有机物污染防治工作方案》符合性分析</w:t>
            </w:r>
          </w:p>
          <w:p>
            <w:pPr>
              <w:numPr>
                <w:ilvl w:val="0"/>
                <w:numId w:val="0"/>
              </w:numPr>
              <w:snapToGrid w:val="0"/>
              <w:spacing w:line="360" w:lineRule="auto"/>
              <w:ind w:firstLine="699" w:firstLineChars="300"/>
              <w:rPr>
                <w:rFonts w:hint="eastAsia" w:ascii="Times New Roman" w:hAnsi="Times New Roman" w:cs="Times New Roman"/>
                <w:color w:val="auto"/>
                <w:sz w:val="24"/>
                <w:szCs w:val="24"/>
                <w:u w:val="none" w:color="auto"/>
                <w:lang w:eastAsia="zh-CN"/>
              </w:rPr>
            </w:pP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一</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加快实施工业源VOCs染防治3.加大工业涂装VOCs 治理力度（6）钢结构制造行业，大力推广使用高固体分涂料，到2020年底前，使用比例达到50%以上；试点推行水性涂料。大力推广高压无气喷涂、空气辅助无气喷涂、热喷涂等涂装技术，限制空气喷涂使用。逐步淘汰钢结构露天喷涂，推进钢结构制造企业在车间内作业，建设废气收集与治理设施</w:t>
            </w:r>
            <w:r>
              <w:rPr>
                <w:rFonts w:hint="eastAsia" w:ascii="Times New Roman" w:hAnsi="Times New Roman" w:cs="Times New Roman"/>
                <w:color w:val="auto"/>
                <w:sz w:val="24"/>
                <w:szCs w:val="24"/>
                <w:u w:val="none" w:color="auto"/>
                <w:lang w:eastAsia="zh-CN"/>
              </w:rPr>
              <w:t>。</w:t>
            </w:r>
          </w:p>
          <w:p>
            <w:pPr>
              <w:numPr>
                <w:ilvl w:val="0"/>
                <w:numId w:val="0"/>
              </w:numPr>
              <w:snapToGrid w:val="0"/>
              <w:spacing w:line="360" w:lineRule="auto"/>
              <w:ind w:firstLine="466" w:firstLineChars="200"/>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本项目使用水性漆进行喷漆，喷漆在密闭的喷漆房内进行，喷漆烘干废气经收集后通过过滤棉+活性炭吸附处理后由15m高排气筒高空排放。排放的废气能达到相关标准要求。</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（3）与《湖南省挥发性有机物污染防治三年行动实施方案（2018-2020 年）》符合性</w:t>
            </w:r>
          </w:p>
          <w:p>
            <w:pPr>
              <w:snapToGrid w:val="0"/>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分析</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根据《湖南省挥发性有机物污染防治三年行动实施方案（2018-2020 年）》中的相关要求，与本项目涉及的情况主要有：“严格限制石化、化工、包装印刷、工业涂装、家具制造、制药等高 VOCs 排放建设项目，新建涉及 VOCs 排放的工业企业要入园区。…新、改、扩建涉 VOCs 排放项目，应从源头加强控制，使用低（无）VOCs 含量的原辅材料，加强废气收集，安装高效治理设施。”</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本项目工艺流程虽涉及了工业涂装，但 VOCs 排放量较少，不属于高 VOCs 排放建设项目。本项目属于</w:t>
            </w:r>
            <w:r>
              <w:rPr>
                <w:rFonts w:hint="eastAsia" w:ascii="Times New Roman" w:hAnsi="Times New Roman" w:cs="Times New Roman"/>
                <w:color w:val="auto"/>
                <w:sz w:val="24"/>
                <w:szCs w:val="24"/>
                <w:u w:val="none" w:color="auto"/>
                <w:lang w:val="en-US" w:eastAsia="zh-CN"/>
              </w:rPr>
              <w:t>新</w:t>
            </w:r>
            <w:r>
              <w:rPr>
                <w:rFonts w:hint="default" w:ascii="Times New Roman" w:hAnsi="Times New Roman" w:cs="Times New Roman"/>
                <w:color w:val="auto"/>
                <w:sz w:val="24"/>
                <w:szCs w:val="24"/>
                <w:u w:val="none" w:color="auto"/>
              </w:rPr>
              <w:t>建涉 VOCs 排放的项目，建设单位使用低 VOCs 含量的原辅材料，通过加强废气收集，安装高效治理设施，VOCs 排放量较少。因此，本项目建设与《湖南省挥发性有机物污染防治三年行动实施方案（2018-2020 年）》相符</w:t>
            </w:r>
          </w:p>
          <w:p>
            <w:pPr>
              <w:spacing w:line="360" w:lineRule="auto"/>
              <w:ind w:firstLine="466" w:firstLineChars="200"/>
              <w:rPr>
                <w:rFonts w:hint="default" w:eastAsia="宋体" w:cs="Times New Roman"/>
                <w:color w:val="auto"/>
                <w:sz w:val="24"/>
                <w:szCs w:val="24"/>
                <w:u w:val="none" w:color="auto"/>
                <w:lang w:val="en-US" w:eastAsia="zh-CN"/>
              </w:rPr>
            </w:pP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4</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与</w:t>
            </w:r>
            <w:r>
              <w:rPr>
                <w:rFonts w:hint="default" w:ascii="Times New Roman" w:hAnsi="Times New Roman" w:cs="Times New Roman"/>
                <w:bCs/>
                <w:color w:val="auto"/>
                <w:sz w:val="24"/>
                <w:szCs w:val="24"/>
                <w:u w:val="none" w:color="auto"/>
              </w:rPr>
              <w:t>《挥发性有机物（VOCs）污染防治技术政策》</w:t>
            </w:r>
            <w:r>
              <w:rPr>
                <w:rFonts w:hint="eastAsia" w:cs="Times New Roman"/>
                <w:bCs/>
                <w:color w:val="auto"/>
                <w:sz w:val="24"/>
                <w:szCs w:val="24"/>
                <w:u w:val="none" w:color="auto"/>
                <w:lang w:val="en-US" w:eastAsia="zh-CN"/>
              </w:rPr>
              <w:t>相符性分析</w:t>
            </w:r>
          </w:p>
          <w:p>
            <w:pPr>
              <w:keepNext w:val="0"/>
              <w:keepLines w:val="0"/>
              <w:pageBreakBefore w:val="0"/>
              <w:widowControl w:val="0"/>
              <w:kinsoku/>
              <w:wordWrap/>
              <w:overflowPunct/>
              <w:topLinePunct w:val="0"/>
              <w:autoSpaceDE/>
              <w:autoSpaceDN/>
              <w:bidi w:val="0"/>
              <w:adjustRightInd/>
              <w:snapToGrid w:val="0"/>
              <w:spacing w:line="360" w:lineRule="auto"/>
              <w:ind w:firstLine="466" w:firstLineChars="200"/>
              <w:textAlignment w:val="auto"/>
              <w:rPr>
                <w:rFonts w:hint="eastAsia" w:ascii="Times New Roman" w:hAnsi="Times New Roman" w:cs="Times New Roman"/>
                <w:bCs/>
                <w:color w:val="auto"/>
                <w:sz w:val="24"/>
                <w:szCs w:val="24"/>
                <w:u w:val="none" w:color="auto"/>
                <w:lang w:val="en-US" w:eastAsia="zh-CN"/>
              </w:rPr>
            </w:pPr>
            <w:r>
              <w:rPr>
                <w:rFonts w:hint="default" w:ascii="Times New Roman" w:hAnsi="Times New Roman" w:cs="Times New Roman"/>
                <w:bCs/>
                <w:color w:val="auto"/>
                <w:sz w:val="24"/>
                <w:szCs w:val="24"/>
                <w:u w:val="none" w:color="auto"/>
              </w:rPr>
              <w:t>根据《挥发性有机物（VOCs）污染防治技术政策》中（十）在涂装、印刷、粘合、工业清洗等含VOCs产品的使用过程中的VOCs污染防治技术措施包括：①根据涂装工艺的不同，鼓励使用水性涂料、高固份涂料、粉末涂料、紫外光固化（UV）涂料等环保型涂料；推广采用静电喷涂、淋涂、辊涂、浸涂等效率较高的涂装工艺；应尽量避免无VOCs净化、回收措施的露天喷涂作业；②含VOCs产品的使用过程中，应采取废气收集措施，提高废气收集效率，减少废气的无组织排放与逸散，并对收集后的废气进行回收或处理后达标排放。</w:t>
            </w:r>
            <w:r>
              <w:rPr>
                <w:rFonts w:hint="eastAsia" w:ascii="Times New Roman" w:hAnsi="Times New Roman" w:cs="Times New Roman"/>
                <w:bCs/>
                <w:color w:val="auto"/>
                <w:sz w:val="24"/>
                <w:szCs w:val="24"/>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cs="Times New Roman"/>
                <w:color w:val="auto"/>
                <w:sz w:val="24"/>
                <w:szCs w:val="24"/>
                <w:u w:val="none" w:color="auto"/>
              </w:rPr>
            </w:pPr>
            <w:r>
              <w:rPr>
                <w:rFonts w:hint="eastAsia" w:cs="Times New Roman"/>
                <w:bCs/>
                <w:color w:val="auto"/>
                <w:sz w:val="24"/>
                <w:szCs w:val="24"/>
                <w:u w:val="none" w:color="auto"/>
                <w:lang w:val="en-US" w:eastAsia="zh-CN"/>
              </w:rPr>
              <w:t>本项目使用水性漆进行喷漆，喷漆在密闭房间内进行，废气经收集后</w:t>
            </w:r>
            <w:r>
              <w:rPr>
                <w:rFonts w:hint="eastAsia" w:cs="Times New Roman"/>
                <w:color w:val="auto"/>
                <w:sz w:val="24"/>
                <w:szCs w:val="24"/>
                <w:u w:val="none" w:color="auto"/>
                <w:lang w:val="en-US" w:eastAsia="zh-CN"/>
              </w:rPr>
              <w:t>通过过滤棉+活性炭吸附处理后由15m高排气筒高空排放。排放的废气能达到相关标准要求</w:t>
            </w:r>
          </w:p>
          <w:p>
            <w:pPr>
              <w:snapToGrid w:val="0"/>
              <w:spacing w:line="360" w:lineRule="auto"/>
              <w:ind w:firstLine="457" w:firstLineChars="196"/>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由于本项目位于湘阴县白泥湖园艺场（项目已于2016年11月建设完成且运营），不在园区内，但本项目有机废气产生量较少，且均经处理后排放，对周边环境影响较小，故本环评建议限制本项目产能、水性漆使用量，禁止增加产能，定期对废气处理设施进行检查、维护、更换。</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rPr>
              <w:t>）规划合理性分析</w:t>
            </w:r>
          </w:p>
          <w:p>
            <w:pPr>
              <w:spacing w:line="360" w:lineRule="auto"/>
              <w:ind w:firstLine="466" w:firstLineChars="200"/>
              <w:rPr>
                <w:rFonts w:hint="default" w:ascii="Times New Roman" w:hAnsi="Times New Roman" w:cs="Times New Roman"/>
                <w:color w:val="auto"/>
                <w:spacing w:val="-6"/>
                <w:sz w:val="24"/>
                <w:szCs w:val="24"/>
                <w:u w:val="none" w:color="auto"/>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val="en-US" w:eastAsia="zh-CN"/>
              </w:rPr>
              <w:t>租赁</w:t>
            </w:r>
            <w:r>
              <w:rPr>
                <w:rFonts w:hint="eastAsia" w:cs="Times New Roman"/>
                <w:color w:val="auto"/>
                <w:sz w:val="24"/>
                <w:szCs w:val="24"/>
                <w:u w:val="none" w:color="auto"/>
                <w:lang w:eastAsia="zh-CN"/>
              </w:rPr>
              <w:t>湘阴县</w:t>
            </w:r>
            <w:r>
              <w:rPr>
                <w:rFonts w:hint="eastAsia" w:cs="Times New Roman"/>
                <w:color w:val="auto"/>
                <w:sz w:val="24"/>
                <w:szCs w:val="24"/>
                <w:u w:val="none" w:color="auto"/>
                <w:lang w:val="en-US" w:eastAsia="zh-CN"/>
              </w:rPr>
              <w:t>白泥湖园艺场现有厂房</w:t>
            </w:r>
            <w:r>
              <w:rPr>
                <w:rFonts w:hint="eastAsia" w:cs="Times New Roman"/>
                <w:color w:val="auto"/>
                <w:sz w:val="24"/>
                <w:szCs w:val="24"/>
                <w:u w:val="none" w:color="auto"/>
                <w:lang w:eastAsia="zh-CN"/>
              </w:rPr>
              <w:t>进行</w:t>
            </w:r>
            <w:r>
              <w:rPr>
                <w:rFonts w:hint="eastAsia" w:cs="Times New Roman"/>
                <w:color w:val="auto"/>
                <w:sz w:val="24"/>
                <w:szCs w:val="24"/>
                <w:u w:val="none" w:color="auto"/>
                <w:lang w:val="en-US" w:eastAsia="zh-CN"/>
              </w:rPr>
              <w:t>生产，主要为石棉水泥制品生产项目</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本项目</w:t>
            </w:r>
            <w:r>
              <w:rPr>
                <w:sz w:val="24"/>
              </w:rPr>
              <w:t>不属于《湖南省湘江保护条例》（2013.4.1）第四十七条：在湘江干流两岸各二十公里范围内不得新建化学制浆、造纸、制革和外排水污染物涉及重金属的项目等严格禁止的项目</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与</w:t>
            </w:r>
            <w:r>
              <w:rPr>
                <w:rFonts w:hint="default" w:ascii="Times New Roman" w:hAnsi="Times New Roman" w:cs="Times New Roman"/>
                <w:color w:val="auto"/>
                <w:sz w:val="24"/>
                <w:szCs w:val="24"/>
                <w:u w:val="none" w:color="auto"/>
              </w:rPr>
              <w:t>湘阴</w:t>
            </w:r>
            <w:r>
              <w:rPr>
                <w:rFonts w:hint="eastAsia" w:cs="Times New Roman"/>
                <w:color w:val="auto"/>
                <w:sz w:val="24"/>
                <w:szCs w:val="24"/>
                <w:u w:val="none" w:color="auto"/>
                <w:lang w:val="en-US" w:eastAsia="zh-CN"/>
              </w:rPr>
              <w:t>总体</w:t>
            </w:r>
            <w:r>
              <w:rPr>
                <w:rFonts w:hint="default" w:ascii="Times New Roman" w:hAnsi="Times New Roman" w:cs="Times New Roman"/>
                <w:color w:val="auto"/>
                <w:sz w:val="24"/>
                <w:szCs w:val="24"/>
                <w:u w:val="none" w:color="auto"/>
              </w:rPr>
              <w:t>规划要求</w:t>
            </w:r>
            <w:r>
              <w:rPr>
                <w:rFonts w:hint="eastAsia" w:cs="Times New Roman"/>
                <w:color w:val="auto"/>
                <w:sz w:val="24"/>
                <w:szCs w:val="24"/>
                <w:u w:val="none" w:color="auto"/>
                <w:lang w:val="en-US" w:eastAsia="zh-CN"/>
              </w:rPr>
              <w:t>不违背</w:t>
            </w:r>
            <w:r>
              <w:rPr>
                <w:rFonts w:hint="default" w:ascii="Times New Roman" w:hAnsi="Times New Roman" w:cs="Times New Roman"/>
                <w:color w:val="auto"/>
                <w:sz w:val="24"/>
                <w:szCs w:val="24"/>
                <w:u w:val="none" w:color="auto"/>
              </w:rPr>
              <w:t>。</w:t>
            </w:r>
          </w:p>
          <w:p>
            <w:pPr>
              <w:snapToGrid w:val="0"/>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w:t>
            </w:r>
            <w:r>
              <w:rPr>
                <w:rFonts w:hint="eastAsia" w:cs="Times New Roman"/>
                <w:color w:val="auto"/>
                <w:sz w:val="24"/>
                <w:szCs w:val="24"/>
                <w:u w:val="single" w:color="auto"/>
                <w:lang w:val="en-US" w:eastAsia="zh-CN"/>
              </w:rPr>
              <w:t>6</w:t>
            </w:r>
            <w:r>
              <w:rPr>
                <w:rFonts w:hint="default" w:ascii="Times New Roman" w:hAnsi="Times New Roman" w:cs="Times New Roman"/>
                <w:color w:val="auto"/>
                <w:sz w:val="24"/>
                <w:szCs w:val="24"/>
                <w:u w:val="single" w:color="auto"/>
              </w:rPr>
              <w:t>）选址合理性分析</w:t>
            </w:r>
          </w:p>
          <w:p>
            <w:pPr>
              <w:snapToGrid w:val="0"/>
              <w:spacing w:line="360" w:lineRule="auto"/>
              <w:ind w:firstLine="457" w:firstLineChars="196"/>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rPr>
              <w:t>①地理位置</w:t>
            </w:r>
            <w:r>
              <w:rPr>
                <w:rFonts w:hint="eastAsia" w:cs="Times New Roman"/>
                <w:color w:val="auto"/>
                <w:sz w:val="24"/>
                <w:szCs w:val="24"/>
                <w:u w:val="single" w:color="auto"/>
                <w:lang w:val="en-US" w:eastAsia="zh-CN"/>
              </w:rPr>
              <w:t>及用地性质符合性分析</w:t>
            </w:r>
          </w:p>
          <w:p>
            <w:pPr>
              <w:snapToGrid w:val="0"/>
              <w:spacing w:line="360" w:lineRule="auto"/>
              <w:ind w:firstLine="457" w:firstLineChars="196"/>
              <w:rPr>
                <w:rFonts w:hint="eastAsia" w:cs="Times New Roman"/>
                <w:color w:val="auto"/>
                <w:sz w:val="24"/>
                <w:szCs w:val="24"/>
                <w:u w:val="single" w:color="auto"/>
                <w:lang w:eastAsia="zh-CN"/>
              </w:rPr>
            </w:pPr>
            <w:r>
              <w:rPr>
                <w:rFonts w:hint="default" w:ascii="Times New Roman" w:hAnsi="Times New Roman" w:cs="Times New Roman"/>
                <w:bCs/>
                <w:color w:val="auto"/>
                <w:sz w:val="24"/>
                <w:szCs w:val="24"/>
                <w:u w:val="single" w:color="auto"/>
              </w:rPr>
              <w:t>本项目选址于</w:t>
            </w:r>
            <w:r>
              <w:rPr>
                <w:rFonts w:hint="eastAsia" w:cs="Times New Roman"/>
                <w:color w:val="auto"/>
                <w:sz w:val="24"/>
                <w:szCs w:val="24"/>
                <w:u w:val="single" w:color="auto"/>
                <w:lang w:eastAsia="zh-CN"/>
              </w:rPr>
              <w:t>湘阴县</w:t>
            </w:r>
            <w:r>
              <w:rPr>
                <w:rFonts w:hint="eastAsia" w:cs="Times New Roman"/>
                <w:color w:val="auto"/>
                <w:sz w:val="24"/>
                <w:szCs w:val="24"/>
                <w:u w:val="single" w:color="auto"/>
                <w:lang w:val="en-US" w:eastAsia="zh-CN"/>
              </w:rPr>
              <w:t>白泥湖园艺场</w:t>
            </w:r>
            <w:r>
              <w:rPr>
                <w:rFonts w:hint="default" w:ascii="Times New Roman" w:hAnsi="Times New Roman" w:cs="Times New Roman"/>
                <w:bCs/>
                <w:color w:val="auto"/>
                <w:sz w:val="24"/>
                <w:szCs w:val="24"/>
                <w:u w:val="single" w:color="auto"/>
              </w:rPr>
              <w:t>，交通较为便利。</w:t>
            </w:r>
            <w:r>
              <w:rPr>
                <w:rFonts w:hint="default" w:ascii="Times New Roman" w:hAnsi="Times New Roman" w:cs="Times New Roman"/>
                <w:color w:val="auto"/>
                <w:sz w:val="24"/>
                <w:szCs w:val="24"/>
                <w:u w:val="single" w:color="auto"/>
              </w:rPr>
              <w:t>本项目所在地供电、通讯、道路等基础设施比较完善，电、水源供应充足</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本项目厂房用地为集体用地，不在生态红线范围内，不属于基本农田等禁止开发区</w:t>
            </w:r>
            <w:r>
              <w:rPr>
                <w:rFonts w:hint="default" w:ascii="Times New Roman" w:hAnsi="Times New Roman" w:cs="Times New Roman"/>
                <w:color w:val="auto"/>
                <w:sz w:val="24"/>
                <w:szCs w:val="24"/>
                <w:u w:val="single" w:color="auto"/>
              </w:rPr>
              <w:t>，项目所在地不属于生活饮用水水源保护区、风景名胜区等区域</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用地</w:t>
            </w:r>
            <w:r>
              <w:rPr>
                <w:rFonts w:hint="default" w:ascii="Times New Roman" w:hAnsi="Times New Roman" w:cs="Times New Roman"/>
                <w:color w:val="auto"/>
                <w:sz w:val="24"/>
                <w:szCs w:val="24"/>
                <w:u w:val="single" w:color="auto"/>
              </w:rPr>
              <w:t>符合湘阴用地规划要求</w:t>
            </w:r>
            <w:r>
              <w:rPr>
                <w:rFonts w:hint="eastAsia" w:cs="Times New Roman"/>
                <w:color w:val="auto"/>
                <w:sz w:val="24"/>
                <w:szCs w:val="24"/>
                <w:u w:val="single" w:color="auto"/>
                <w:lang w:eastAsia="zh-CN"/>
              </w:rPr>
              <w:t>。</w:t>
            </w:r>
          </w:p>
          <w:p>
            <w:pPr>
              <w:snapToGrid w:val="0"/>
              <w:spacing w:line="360" w:lineRule="auto"/>
              <w:ind w:firstLine="457" w:firstLineChars="196"/>
              <w:rPr>
                <w:rFonts w:hint="default" w:ascii="Times New Roman" w:hAnsi="Times New Roman" w:eastAsia="宋体" w:cs="Times New Roman"/>
                <w:color w:val="auto"/>
                <w:sz w:val="24"/>
                <w:szCs w:val="24"/>
                <w:u w:val="single" w:color="auto"/>
              </w:rPr>
            </w:pPr>
            <w:r>
              <w:rPr>
                <w:rFonts w:hint="eastAsia" w:ascii="Times New Roman" w:hAnsi="Times New Roman" w:eastAsia="宋体" w:cs="Times New Roman"/>
                <w:color w:val="auto"/>
                <w:sz w:val="24"/>
                <w:szCs w:val="24"/>
                <w:u w:val="single" w:color="auto"/>
                <w:lang w:val="en-US" w:eastAsia="zh-CN"/>
              </w:rPr>
              <w:t>本项目在湘江大堤旁，但项目在运营过程中对大堤基本无影响，不会损坏大堤，项目无废水外排，不会污染周边环境。对湘阴县防洪工作没有任何影响，且在一定程度上可以在防洪期间协助湘阴县人民政府进行防洪工作</w:t>
            </w:r>
            <w:r>
              <w:rPr>
                <w:rFonts w:hint="eastAsia" w:cs="Times New Roman"/>
                <w:color w:val="auto"/>
                <w:sz w:val="24"/>
                <w:szCs w:val="24"/>
                <w:u w:val="single" w:color="auto"/>
                <w:lang w:val="en-US" w:eastAsia="zh-CN"/>
              </w:rPr>
              <w:t>，且取得了水利部门相关意见</w:t>
            </w:r>
            <w:r>
              <w:rPr>
                <w:rFonts w:hint="eastAsia" w:ascii="Times New Roman" w:hAnsi="Times New Roman" w:eastAsia="宋体" w:cs="Times New Roman"/>
                <w:color w:val="auto"/>
                <w:sz w:val="24"/>
                <w:szCs w:val="24"/>
                <w:u w:val="single" w:color="auto"/>
                <w:lang w:val="en-US" w:eastAsia="zh-CN"/>
              </w:rPr>
              <w:t>（具体详见附件6）</w:t>
            </w:r>
            <w:r>
              <w:rPr>
                <w:rFonts w:hint="default" w:ascii="Times New Roman" w:hAnsi="Times New Roman" w:eastAsia="宋体" w:cs="Times New Roman"/>
                <w:color w:val="auto"/>
                <w:sz w:val="24"/>
                <w:szCs w:val="24"/>
                <w:u w:val="single" w:color="auto"/>
              </w:rPr>
              <w:t>。</w:t>
            </w:r>
          </w:p>
          <w:p>
            <w:pPr>
              <w:snapToGrid w:val="0"/>
              <w:spacing w:line="360" w:lineRule="auto"/>
              <w:ind w:firstLine="457" w:firstLineChars="196"/>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②环境容量</w:t>
            </w:r>
          </w:p>
          <w:p>
            <w:pPr>
              <w:snapToGrid w:val="0"/>
              <w:spacing w:line="360" w:lineRule="auto"/>
              <w:ind w:firstLine="457" w:firstLineChars="196"/>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根据环境功能区划的划分，项目选址区环境空气功能为二级区，水体功能为Ⅲ类水体，声环境功能为</w:t>
            </w:r>
            <w:r>
              <w:rPr>
                <w:rFonts w:hint="eastAsia" w:ascii="Times New Roman" w:hAnsi="Times New Roman" w:cs="Times New Roman"/>
                <w:color w:val="auto"/>
                <w:sz w:val="24"/>
                <w:szCs w:val="24"/>
                <w:u w:val="single" w:color="auto"/>
                <w:lang w:val="en-US" w:eastAsia="zh-CN"/>
              </w:rPr>
              <w:t>2</w:t>
            </w:r>
            <w:r>
              <w:rPr>
                <w:rFonts w:hint="default" w:ascii="Times New Roman" w:hAnsi="Times New Roman" w:cs="Times New Roman"/>
                <w:color w:val="auto"/>
                <w:sz w:val="24"/>
                <w:szCs w:val="24"/>
                <w:u w:val="single" w:color="auto"/>
              </w:rPr>
              <w:t>类区。根据环境质量现状数据，本项目所在区域地表水、声环境质量满足相应功能区划要求，</w:t>
            </w:r>
            <w:r>
              <w:rPr>
                <w:rFonts w:hint="eastAsia" w:cs="Times New Roman"/>
                <w:color w:val="auto"/>
                <w:sz w:val="24"/>
                <w:szCs w:val="24"/>
                <w:u w:val="single" w:color="auto"/>
                <w:lang w:eastAsia="zh-CN"/>
              </w:rPr>
              <w:t>根据</w:t>
            </w:r>
            <w:r>
              <w:rPr>
                <w:rFonts w:hint="eastAsia" w:cs="Times New Roman"/>
                <w:color w:val="auto"/>
                <w:sz w:val="24"/>
                <w:szCs w:val="24"/>
                <w:u w:val="single" w:color="auto"/>
                <w:lang w:val="en-US" w:eastAsia="zh-CN"/>
              </w:rPr>
              <w:t>2018年到2019年大气监测数据可知，项目所在区域大气环境正在逐渐变好</w:t>
            </w:r>
            <w:r>
              <w:rPr>
                <w:rFonts w:hint="default" w:ascii="Times New Roman" w:hAnsi="Times New Roman" w:cs="Times New Roman"/>
                <w:color w:val="auto"/>
                <w:sz w:val="24"/>
                <w:szCs w:val="24"/>
                <w:u w:val="single" w:color="auto"/>
              </w:rPr>
              <w:t>，在充分落实本评价提出的各项处理措施后，项目营运对周围环境产生的影响较小，不会降低该区现有环境功能。</w:t>
            </w:r>
          </w:p>
          <w:p>
            <w:pPr>
              <w:snapToGrid w:val="0"/>
              <w:spacing w:line="360" w:lineRule="auto"/>
              <w:ind w:firstLine="457" w:firstLineChars="196"/>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③达标排放</w:t>
            </w:r>
          </w:p>
          <w:p>
            <w:pPr>
              <w:snapToGrid w:val="0"/>
              <w:spacing w:line="360" w:lineRule="auto"/>
              <w:ind w:firstLine="457" w:firstLineChars="196"/>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本项目营运期产生的各类污染物经过相关环保措施处理后可实现达标排放，固废可实现有效处理和处置，对周围环境产生的影响在可接受的范围之内。</w:t>
            </w:r>
          </w:p>
          <w:p>
            <w:pPr>
              <w:snapToGrid w:val="0"/>
              <w:spacing w:line="360" w:lineRule="auto"/>
              <w:ind w:firstLine="457" w:firstLineChars="196"/>
              <w:rPr>
                <w:rFonts w:hint="eastAsia" w:ascii="Times New Roman" w:hAnsi="Times New Roman" w:eastAsia="宋体" w:cs="Times New Roman"/>
                <w:color w:val="auto"/>
                <w:sz w:val="24"/>
                <w:szCs w:val="24"/>
                <w:u w:val="single" w:color="auto"/>
                <w:lang w:eastAsia="zh-CN"/>
              </w:rPr>
            </w:pPr>
            <w:r>
              <w:rPr>
                <w:rFonts w:hint="default" w:ascii="Times New Roman" w:hAnsi="Times New Roman" w:cs="Times New Roman"/>
                <w:color w:val="auto"/>
                <w:sz w:val="24"/>
                <w:szCs w:val="24"/>
                <w:u w:val="single" w:color="auto"/>
              </w:rPr>
              <w:t>综上所述，本项目符合当地环境功能区规划，各污染物在采取相关环保措施后都可以实现达标排放，对周围环境影响不大，本项目选址合理</w:t>
            </w:r>
            <w:r>
              <w:rPr>
                <w:rFonts w:hint="eastAsia" w:cs="Times New Roman"/>
                <w:color w:val="auto"/>
                <w:sz w:val="24"/>
                <w:szCs w:val="24"/>
                <w:u w:val="single" w:color="auto"/>
                <w:lang w:eastAsia="zh-CN"/>
              </w:rPr>
              <w:t>。</w:t>
            </w:r>
          </w:p>
          <w:p>
            <w:pPr>
              <w:snapToGrid w:val="0"/>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w:t>
            </w:r>
            <w:r>
              <w:rPr>
                <w:rFonts w:hint="eastAsia" w:cs="Times New Roman"/>
                <w:color w:val="auto"/>
                <w:sz w:val="24"/>
                <w:szCs w:val="24"/>
                <w:u w:val="single" w:color="auto"/>
                <w:lang w:val="en-US" w:eastAsia="zh-CN"/>
              </w:rPr>
              <w:t>7</w:t>
            </w:r>
            <w:r>
              <w:rPr>
                <w:rFonts w:hint="default" w:ascii="Times New Roman" w:hAnsi="Times New Roman" w:cs="Times New Roman"/>
                <w:color w:val="auto"/>
                <w:sz w:val="24"/>
                <w:szCs w:val="24"/>
                <w:u w:val="single" w:color="auto"/>
              </w:rPr>
              <w:t>）平面布置合理性分析</w:t>
            </w:r>
          </w:p>
          <w:p>
            <w:pPr>
              <w:spacing w:line="360" w:lineRule="auto"/>
              <w:ind w:firstLine="466" w:firstLineChars="200"/>
              <w:rPr>
                <w:rFonts w:hint="eastAsia" w:cs="Times New Roman"/>
                <w:b/>
                <w:bCs/>
                <w:color w:val="auto"/>
                <w:sz w:val="24"/>
                <w:szCs w:val="24"/>
                <w:u w:val="single" w:color="auto"/>
                <w:lang w:val="en-US" w:eastAsia="zh-CN"/>
              </w:rPr>
            </w:pPr>
            <w:r>
              <w:rPr>
                <w:rFonts w:hint="default" w:ascii="Times New Roman" w:hAnsi="Times New Roman" w:cs="Times New Roman"/>
                <w:color w:val="auto"/>
                <w:sz w:val="24"/>
                <w:szCs w:val="24"/>
                <w:u w:val="single" w:color="auto"/>
              </w:rPr>
              <w:t>本项目</w:t>
            </w:r>
            <w:r>
              <w:rPr>
                <w:rFonts w:hint="eastAsia" w:cs="Times New Roman"/>
                <w:color w:val="auto"/>
                <w:sz w:val="24"/>
                <w:szCs w:val="24"/>
                <w:u w:val="single" w:color="auto"/>
                <w:lang w:val="en-US" w:eastAsia="zh-CN"/>
              </w:rPr>
              <w:t>选址于</w:t>
            </w:r>
            <w:r>
              <w:rPr>
                <w:rFonts w:hint="eastAsia" w:cs="Times New Roman"/>
                <w:color w:val="auto"/>
                <w:sz w:val="24"/>
                <w:szCs w:val="24"/>
                <w:u w:val="single" w:color="auto"/>
                <w:lang w:eastAsia="zh-CN"/>
              </w:rPr>
              <w:t>湘阴县</w:t>
            </w:r>
            <w:r>
              <w:rPr>
                <w:rFonts w:hint="eastAsia" w:cs="Times New Roman"/>
                <w:color w:val="auto"/>
                <w:sz w:val="24"/>
                <w:szCs w:val="24"/>
                <w:u w:val="single" w:color="auto"/>
                <w:lang w:val="en-US" w:eastAsia="zh-CN"/>
              </w:rPr>
              <w:t>白泥湖园艺场现有厂房进行生产建设</w:t>
            </w:r>
            <w:r>
              <w:rPr>
                <w:rFonts w:hint="default" w:ascii="Times New Roman" w:hAnsi="Times New Roman" w:cs="Times New Roman"/>
                <w:color w:val="auto"/>
                <w:sz w:val="24"/>
                <w:szCs w:val="24"/>
                <w:u w:val="single" w:color="auto"/>
              </w:rPr>
              <w:t>，根据现场调查，项目建设内容</w:t>
            </w:r>
            <w:r>
              <w:rPr>
                <w:rFonts w:hint="eastAsia" w:cs="Times New Roman"/>
                <w:color w:val="auto"/>
                <w:sz w:val="24"/>
                <w:szCs w:val="24"/>
                <w:u w:val="single" w:color="auto"/>
                <w:lang w:val="en-US" w:eastAsia="zh-CN"/>
              </w:rPr>
              <w:t>为</w:t>
            </w:r>
            <w:r>
              <w:rPr>
                <w:rFonts w:hint="eastAsia" w:hAnsi="宋体"/>
                <w:color w:val="auto"/>
                <w:sz w:val="24"/>
                <w:u w:val="single" w:color="auto"/>
                <w:lang w:val="en-US" w:eastAsia="zh-CN"/>
              </w:rPr>
              <w:t>打料制浆区、喷漆、烘干区、脱水区、成型区、成品养护区、成品堆放区、原料堆放区、水泥、石粉、水储罐区等</w:t>
            </w:r>
            <w:r>
              <w:rPr>
                <w:rFonts w:hint="default" w:ascii="Times New Roman" w:hAnsi="Times New Roman" w:cs="Times New Roman"/>
                <w:color w:val="auto"/>
                <w:sz w:val="24"/>
                <w:szCs w:val="24"/>
                <w:u w:val="single" w:color="auto"/>
              </w:rPr>
              <w:t>，项目主要生产设备均按照有利于物料的运输和储存的原则进行布置。平面布置比较合理</w:t>
            </w:r>
            <w:r>
              <w:rPr>
                <w:rFonts w:hint="eastAsia" w:cs="Times New Roman"/>
                <w:color w:val="auto"/>
                <w:sz w:val="24"/>
                <w:u w:val="single" w:color="auto"/>
                <w:lang w:val="en-US" w:eastAsia="zh-CN"/>
              </w:rPr>
              <w:t>。</w:t>
            </w:r>
          </w:p>
          <w:p>
            <w:pPr>
              <w:spacing w:line="360" w:lineRule="auto"/>
              <w:ind w:firstLine="466" w:firstLineChars="200"/>
              <w:rPr>
                <w:rFonts w:hint="eastAsia" w:ascii="Times New Roman" w:hAnsi="Times New Roman" w:cs="Times New Roman"/>
                <w:b w:val="0"/>
                <w:bCs w:val="0"/>
                <w:color w:val="auto"/>
                <w:sz w:val="24"/>
                <w:szCs w:val="24"/>
                <w:u w:val="none" w:color="auto"/>
                <w:lang w:val="en-US" w:eastAsia="zh-CN"/>
              </w:rPr>
            </w:pPr>
            <w:r>
              <w:rPr>
                <w:rFonts w:hint="eastAsia" w:ascii="Times New Roman" w:hAnsi="Times New Roman" w:cs="Times New Roman"/>
                <w:b w:val="0"/>
                <w:bCs w:val="0"/>
                <w:color w:val="auto"/>
                <w:sz w:val="24"/>
                <w:szCs w:val="24"/>
                <w:u w:val="none" w:color="auto"/>
                <w:lang w:val="en-US" w:eastAsia="zh-CN"/>
              </w:rPr>
              <w:t>（8）与“湖南省长江经济带发展负面清单实施细则（试行）”的相符性</w:t>
            </w:r>
          </w:p>
          <w:p>
            <w:pPr>
              <w:spacing w:line="360" w:lineRule="auto"/>
              <w:ind w:firstLine="466" w:firstLineChars="200"/>
              <w:rPr>
                <w:rFonts w:hint="eastAsia" w:ascii="Times New Roman" w:hAnsi="Times New Roman" w:cs="Times New Roman"/>
                <w:b w:val="0"/>
                <w:bCs w:val="0"/>
                <w:color w:val="auto"/>
                <w:sz w:val="24"/>
                <w:szCs w:val="24"/>
                <w:u w:val="none" w:color="auto"/>
                <w:lang w:val="en-US" w:eastAsia="zh-CN"/>
              </w:rPr>
            </w:pPr>
            <w:r>
              <w:rPr>
                <w:rFonts w:hint="eastAsia" w:ascii="Times New Roman" w:hAnsi="Times New Roman" w:cs="Times New Roman"/>
                <w:b w:val="0"/>
                <w:bCs w:val="0"/>
                <w:color w:val="auto"/>
                <w:sz w:val="24"/>
                <w:szCs w:val="24"/>
                <w:u w:val="none" w:color="auto"/>
                <w:lang w:val="en-US" w:eastAsia="zh-CN"/>
              </w:rPr>
              <w:t>根据湖南省推动长江经济带发展领导小组办公室关于印发《湖南省长江经济带发展负面清单实施细则（试行）》的通知，具体如下表7-18。</w:t>
            </w:r>
          </w:p>
          <w:p>
            <w:pPr>
              <w:spacing w:line="360" w:lineRule="auto"/>
              <w:ind w:firstLine="466" w:firstLineChars="200"/>
              <w:jc w:val="center"/>
              <w:rPr>
                <w:rFonts w:hint="eastAsia" w:ascii="Times New Roman" w:hAnsi="Times New Roman" w:cs="Times New Roman"/>
                <w:b w:val="0"/>
                <w:bCs w:val="0"/>
                <w:color w:val="auto"/>
                <w:sz w:val="24"/>
                <w:szCs w:val="24"/>
                <w:u w:val="none" w:color="auto"/>
                <w:lang w:val="en-US" w:eastAsia="zh-CN"/>
              </w:rPr>
            </w:pPr>
            <w:r>
              <w:rPr>
                <w:rFonts w:hint="eastAsia" w:ascii="Times New Roman" w:hAnsi="Times New Roman" w:cs="Times New Roman"/>
                <w:b w:val="0"/>
                <w:bCs w:val="0"/>
                <w:color w:val="auto"/>
                <w:sz w:val="24"/>
                <w:szCs w:val="24"/>
                <w:u w:val="none" w:color="auto"/>
                <w:lang w:val="en-US" w:eastAsia="zh-CN"/>
              </w:rPr>
              <w:t>表7-18 符合性分析</w:t>
            </w:r>
          </w:p>
          <w:tbl>
            <w:tblPr>
              <w:tblStyle w:val="41"/>
              <w:tblW w:w="90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4755"/>
              <w:gridCol w:w="34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序号</w:t>
                  </w:r>
                </w:p>
              </w:tc>
              <w:tc>
                <w:tcPr>
                  <w:tcW w:w="475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要求内容</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1</w:t>
                  </w:r>
                </w:p>
              </w:tc>
              <w:tc>
                <w:tcPr>
                  <w:tcW w:w="4755" w:type="dxa"/>
                  <w:tcBorders>
                    <w:tl2br w:val="nil"/>
                    <w:tr2bl w:val="nil"/>
                  </w:tcBorders>
                  <w:noWrap w:val="0"/>
                  <w:vAlign w:val="center"/>
                </w:tcPr>
                <w:p>
                  <w:pPr>
                    <w:bidi w:val="0"/>
                    <w:spacing w:line="360" w:lineRule="auto"/>
                    <w:jc w:val="both"/>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禁止新建、扩建法律法规和相关政策明令禁止的落后产能项目；对不符合要求的落后产能项目，依法依规退出</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本项目为</w:t>
                  </w:r>
                  <w:r>
                    <w:rPr>
                      <w:rFonts w:hint="eastAsia" w:cs="Times New Roman"/>
                      <w:color w:val="auto"/>
                      <w:sz w:val="24"/>
                      <w:szCs w:val="24"/>
                      <w:u w:val="none" w:color="auto"/>
                      <w:vertAlign w:val="baseline"/>
                      <w:lang w:val="en-US" w:eastAsia="zh-CN"/>
                    </w:rPr>
                    <w:t>石棉水泥制品生产</w:t>
                  </w:r>
                  <w:r>
                    <w:rPr>
                      <w:rFonts w:hint="eastAsia" w:ascii="Times New Roman" w:hAnsi="Times New Roman" w:cs="Times New Roman"/>
                      <w:color w:val="auto"/>
                      <w:sz w:val="24"/>
                      <w:szCs w:val="24"/>
                      <w:u w:val="none" w:color="auto"/>
                      <w:vertAlign w:val="baseline"/>
                      <w:lang w:val="en-US" w:eastAsia="zh-CN"/>
                    </w:rPr>
                    <w:t>项目（</w:t>
                  </w:r>
                  <w:r>
                    <w:rPr>
                      <w:rFonts w:hint="eastAsia"/>
                      <w:szCs w:val="18"/>
                      <w:lang w:eastAsia="zh-CN"/>
                    </w:rPr>
                    <w:t>年产</w:t>
                  </w:r>
                  <w:r>
                    <w:rPr>
                      <w:rFonts w:hint="eastAsia"/>
                      <w:szCs w:val="18"/>
                      <w:lang w:val="en-US" w:eastAsia="zh-CN"/>
                    </w:rPr>
                    <w:t>20万片石棉瓦</w:t>
                  </w:r>
                  <w:r>
                    <w:rPr>
                      <w:rFonts w:hint="eastAsia" w:ascii="Times New Roman" w:hAnsi="Times New Roman" w:cs="Times New Roman"/>
                      <w:color w:val="auto"/>
                      <w:sz w:val="24"/>
                      <w:szCs w:val="24"/>
                      <w:u w:val="none" w:color="auto"/>
                      <w:vertAlign w:val="baseline"/>
                      <w:lang w:val="en-US" w:eastAsia="zh-CN"/>
                    </w:rPr>
                    <w:t>），不属于落后产能，符合要求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2</w:t>
                  </w:r>
                </w:p>
              </w:tc>
              <w:tc>
                <w:tcPr>
                  <w:tcW w:w="4755" w:type="dxa"/>
                  <w:tcBorders>
                    <w:tl2br w:val="nil"/>
                    <w:tr2bl w:val="nil"/>
                  </w:tcBorders>
                  <w:noWrap w:val="0"/>
                  <w:vAlign w:val="center"/>
                </w:tcPr>
                <w:p>
                  <w:pPr>
                    <w:bidi w:val="0"/>
                    <w:spacing w:line="360" w:lineRule="auto"/>
                    <w:jc w:val="both"/>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对最新版《产业结构调整指导目录》中限制类的新建项目，禁止投资；对淘汰类项目，禁止投资</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本项目为</w:t>
                  </w:r>
                  <w:r>
                    <w:rPr>
                      <w:rFonts w:hint="eastAsia" w:cs="Times New Roman"/>
                      <w:color w:val="auto"/>
                      <w:sz w:val="24"/>
                      <w:szCs w:val="24"/>
                      <w:u w:val="none" w:color="auto"/>
                      <w:vertAlign w:val="baseline"/>
                      <w:lang w:val="en-US" w:eastAsia="zh-CN"/>
                    </w:rPr>
                    <w:t>石棉水泥制品生产</w:t>
                  </w:r>
                  <w:r>
                    <w:rPr>
                      <w:rFonts w:hint="eastAsia" w:ascii="Times New Roman" w:hAnsi="Times New Roman" w:cs="Times New Roman"/>
                      <w:color w:val="auto"/>
                      <w:sz w:val="24"/>
                      <w:szCs w:val="24"/>
                      <w:u w:val="none" w:color="auto"/>
                      <w:vertAlign w:val="baseline"/>
                      <w:lang w:val="en-US" w:eastAsia="zh-CN"/>
                    </w:rPr>
                    <w:t>项目，不属于限制类及淘汰类项目，符合要求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3</w:t>
                  </w:r>
                </w:p>
              </w:tc>
              <w:tc>
                <w:tcPr>
                  <w:tcW w:w="4755" w:type="dxa"/>
                  <w:tcBorders>
                    <w:tl2br w:val="nil"/>
                    <w:tr2bl w:val="nil"/>
                  </w:tcBorders>
                  <w:noWrap w:val="0"/>
                  <w:vAlign w:val="center"/>
                </w:tcPr>
                <w:p>
                  <w:pPr>
                    <w:bidi w:val="0"/>
                    <w:spacing w:line="360" w:lineRule="auto"/>
                    <w:jc w:val="both"/>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禁止新建、扩建不符合国家产能置换要求的严重过剩产能行业（钢铁、水泥、电解铝、平板玻璃、船舶等行业）的项目</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本项目为</w:t>
                  </w:r>
                  <w:r>
                    <w:rPr>
                      <w:rFonts w:hint="eastAsia" w:cs="Times New Roman"/>
                      <w:color w:val="auto"/>
                      <w:sz w:val="24"/>
                      <w:szCs w:val="24"/>
                      <w:u w:val="none" w:color="auto"/>
                      <w:vertAlign w:val="baseline"/>
                      <w:lang w:val="en-US" w:eastAsia="zh-CN"/>
                    </w:rPr>
                    <w:t>石棉水泥制品生产</w:t>
                  </w:r>
                  <w:r>
                    <w:rPr>
                      <w:rFonts w:hint="eastAsia" w:ascii="Times New Roman" w:hAnsi="Times New Roman" w:cs="Times New Roman"/>
                      <w:color w:val="auto"/>
                      <w:sz w:val="24"/>
                      <w:szCs w:val="24"/>
                      <w:u w:val="none" w:color="auto"/>
                      <w:vertAlign w:val="baseline"/>
                      <w:lang w:val="en-US" w:eastAsia="zh-CN"/>
                    </w:rPr>
                    <w:t>项目行业，不属于严重过剩产能行业，符合要求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4</w:t>
                  </w:r>
                </w:p>
              </w:tc>
              <w:tc>
                <w:tcPr>
                  <w:tcW w:w="4755" w:type="dxa"/>
                  <w:tcBorders>
                    <w:tl2br w:val="nil"/>
                    <w:tr2bl w:val="nil"/>
                  </w:tcBorders>
                  <w:noWrap w:val="0"/>
                  <w:vAlign w:val="center"/>
                </w:tcPr>
                <w:p>
                  <w:pPr>
                    <w:bidi w:val="0"/>
                    <w:spacing w:line="360" w:lineRule="auto"/>
                    <w:jc w:val="both"/>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高污染项目应严格按照环境保护综合名录等有关要求执行</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根据</w:t>
                  </w:r>
                  <w:r>
                    <w:rPr>
                      <w:rFonts w:hint="eastAsia"/>
                      <w:color w:val="auto"/>
                      <w:sz w:val="24"/>
                      <w:szCs w:val="22"/>
                      <w:u w:val="none" w:color="auto"/>
                    </w:rPr>
                    <w:t>《环境保护综合名录（2017年版）》</w:t>
                  </w:r>
                  <w:r>
                    <w:rPr>
                      <w:rFonts w:hint="eastAsia"/>
                      <w:color w:val="auto"/>
                      <w:sz w:val="24"/>
                      <w:szCs w:val="22"/>
                      <w:u w:val="none" w:color="auto"/>
                      <w:lang w:eastAsia="zh-CN"/>
                    </w:rPr>
                    <w:t>可知，本项目</w:t>
                  </w:r>
                  <w:r>
                    <w:rPr>
                      <w:rFonts w:hint="eastAsia" w:ascii="Times New Roman" w:hAnsi="Times New Roman" w:cs="Times New Roman"/>
                      <w:color w:val="auto"/>
                      <w:sz w:val="24"/>
                      <w:szCs w:val="24"/>
                      <w:u w:val="none" w:color="auto"/>
                      <w:vertAlign w:val="baseline"/>
                      <w:lang w:val="en-US" w:eastAsia="zh-CN"/>
                    </w:rPr>
                    <w:t>不属于高污染项目，故符合要求，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5</w:t>
                  </w:r>
                </w:p>
              </w:tc>
              <w:tc>
                <w:tcPr>
                  <w:tcW w:w="4755" w:type="dxa"/>
                  <w:tcBorders>
                    <w:tl2br w:val="nil"/>
                    <w:tr2bl w:val="nil"/>
                  </w:tcBorders>
                  <w:noWrap w:val="0"/>
                  <w:vAlign w:val="center"/>
                </w:tcPr>
                <w:p>
                  <w:pPr>
                    <w:bidi w:val="0"/>
                    <w:spacing w:line="360" w:lineRule="auto"/>
                    <w:jc w:val="both"/>
                    <w:rPr>
                      <w:rFonts w:hint="eastAsia"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禁止在自然保护区核心区、缓冲区的岸线和河段范围内投资建设；禁止违反风景名胜区规划，在风景名胜区设立各类开发区和资源保护无关的建筑；饮用水水源一级保护区内禁止新建、改建、扩建与供水设施和保护水源无关的建筑；饮用水水源二级保护区内禁止新建、改建、扩建向水体排放污染物的投资建设项目；禁止在生态保护红线和永久基本农田范围内建设必要的民生项目以外的项目。</w:t>
                  </w:r>
                </w:p>
              </w:tc>
              <w:tc>
                <w:tcPr>
                  <w:tcW w:w="3431" w:type="dxa"/>
                  <w:tcBorders>
                    <w:tl2br w:val="nil"/>
                    <w:tr2bl w:val="nil"/>
                  </w:tcBorders>
                  <w:noWrap w:val="0"/>
                  <w:vAlign w:val="center"/>
                </w:tcPr>
                <w:p>
                  <w:pPr>
                    <w:bidi w:val="0"/>
                    <w:spacing w:line="360" w:lineRule="auto"/>
                    <w:jc w:val="center"/>
                    <w:rPr>
                      <w:rFonts w:hint="eastAsia"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本项目位于</w:t>
                  </w:r>
                  <w:r>
                    <w:rPr>
                      <w:rFonts w:hint="eastAsia" w:ascii="Times New Roman" w:hAnsi="Times New Roman" w:cs="Times New Roman"/>
                      <w:color w:val="auto"/>
                      <w:sz w:val="24"/>
                      <w:szCs w:val="24"/>
                      <w:u w:val="none" w:color="auto"/>
                      <w:lang w:val="en-US" w:eastAsia="zh-CN"/>
                    </w:rPr>
                    <w:t>湘阴县白泥湖园艺场内</w:t>
                  </w:r>
                  <w:r>
                    <w:rPr>
                      <w:rFonts w:hint="eastAsia" w:ascii="Times New Roman" w:hAnsi="Times New Roman" w:cs="Times New Roman"/>
                      <w:color w:val="auto"/>
                      <w:sz w:val="24"/>
                      <w:szCs w:val="24"/>
                      <w:u w:val="none" w:color="auto"/>
                      <w:lang w:eastAsia="zh-CN"/>
                    </w:rPr>
                    <w:t>，该地为</w:t>
                  </w:r>
                  <w:r>
                    <w:rPr>
                      <w:rFonts w:hint="eastAsia" w:cs="Times New Roman"/>
                      <w:color w:val="auto"/>
                      <w:sz w:val="24"/>
                      <w:szCs w:val="24"/>
                      <w:u w:val="none" w:color="auto"/>
                      <w:lang w:val="en-US" w:eastAsia="zh-CN"/>
                    </w:rPr>
                    <w:t>集体用地</w:t>
                  </w:r>
                  <w:r>
                    <w:rPr>
                      <w:rFonts w:hint="eastAsia" w:ascii="Times New Roman" w:hAnsi="Times New Roman" w:cs="Times New Roman"/>
                      <w:color w:val="auto"/>
                      <w:sz w:val="24"/>
                      <w:szCs w:val="24"/>
                      <w:u w:val="none" w:color="auto"/>
                      <w:lang w:eastAsia="zh-CN"/>
                    </w:rPr>
                    <w:t>用地，不属于禁止建设的区域，</w:t>
                  </w:r>
                  <w:r>
                    <w:rPr>
                      <w:rFonts w:hint="eastAsia" w:ascii="Times New Roman" w:hAnsi="Times New Roman" w:cs="Times New Roman"/>
                      <w:color w:val="auto"/>
                      <w:sz w:val="24"/>
                      <w:szCs w:val="24"/>
                      <w:u w:val="none" w:color="auto"/>
                      <w:lang w:val="en-US" w:eastAsia="zh-CN"/>
                    </w:rPr>
                    <w:t>不在生态红线范围内</w:t>
                  </w:r>
                  <w:r>
                    <w:rPr>
                      <w:rFonts w:hint="eastAsia" w:ascii="Times New Roman" w:hAnsi="Times New Roman" w:cs="Times New Roman"/>
                      <w:color w:val="auto"/>
                      <w:sz w:val="24"/>
                      <w:szCs w:val="24"/>
                      <w:u w:val="none" w:color="auto"/>
                      <w:lang w:eastAsia="zh-CN"/>
                    </w:rPr>
                    <w:t>。且项目废水不外排，故符合要求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6</w:t>
                  </w:r>
                </w:p>
              </w:tc>
              <w:tc>
                <w:tcPr>
                  <w:tcW w:w="4755" w:type="dxa"/>
                  <w:tcBorders>
                    <w:tl2br w:val="nil"/>
                    <w:tr2bl w:val="nil"/>
                  </w:tcBorders>
                  <w:noWrap w:val="0"/>
                  <w:vAlign w:val="center"/>
                </w:tcPr>
                <w:p>
                  <w:pPr>
                    <w:bidi w:val="0"/>
                    <w:spacing w:line="360" w:lineRule="auto"/>
                    <w:jc w:val="both"/>
                    <w:rPr>
                      <w:rFonts w:hint="eastAsia"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禁止在《中国开发区审核公告目录》公布的园区或省人民政府批准设立的园区新建、扩建钢铁、石化、化工、焦化、建材、有色等高污染项目。</w:t>
                  </w:r>
                </w:p>
              </w:tc>
              <w:tc>
                <w:tcPr>
                  <w:tcW w:w="3431" w:type="dxa"/>
                  <w:tcBorders>
                    <w:tl2br w:val="nil"/>
                    <w:tr2bl w:val="nil"/>
                  </w:tcBorders>
                  <w:noWrap w:val="0"/>
                  <w:vAlign w:val="center"/>
                </w:tcPr>
                <w:p>
                  <w:pPr>
                    <w:bidi w:val="0"/>
                    <w:spacing w:line="360" w:lineRule="auto"/>
                    <w:jc w:val="center"/>
                    <w:rPr>
                      <w:rFonts w:hint="eastAsia"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本项目位于</w:t>
                  </w:r>
                  <w:r>
                    <w:rPr>
                      <w:rFonts w:hint="eastAsia" w:ascii="Times New Roman" w:hAnsi="Times New Roman" w:cs="Times New Roman"/>
                      <w:color w:val="auto"/>
                      <w:sz w:val="24"/>
                      <w:szCs w:val="24"/>
                      <w:u w:val="none" w:color="auto"/>
                      <w:lang w:val="en-US" w:eastAsia="zh-CN"/>
                    </w:rPr>
                    <w:t>湘阴县白泥湖园艺场</w:t>
                  </w:r>
                  <w:r>
                    <w:rPr>
                      <w:rFonts w:hint="eastAsia" w:ascii="Times New Roman" w:hAnsi="Times New Roman" w:cs="Times New Roman"/>
                      <w:color w:val="auto"/>
                      <w:sz w:val="24"/>
                      <w:szCs w:val="24"/>
                      <w:u w:val="none" w:color="auto"/>
                      <w:lang w:eastAsia="zh-CN"/>
                    </w:rPr>
                    <w:t>，不在园区内，</w:t>
                  </w:r>
                  <w:r>
                    <w:rPr>
                      <w:rFonts w:hint="eastAsia" w:ascii="Times New Roman" w:hAnsi="Times New Roman" w:cs="Times New Roman"/>
                      <w:color w:val="auto"/>
                      <w:sz w:val="24"/>
                      <w:szCs w:val="24"/>
                      <w:u w:val="none" w:color="auto"/>
                      <w:vertAlign w:val="baseline"/>
                      <w:lang w:val="en-US" w:eastAsia="zh-CN"/>
                    </w:rPr>
                    <w:t>且根据</w:t>
                  </w:r>
                  <w:r>
                    <w:rPr>
                      <w:rFonts w:hint="eastAsia"/>
                      <w:color w:val="auto"/>
                      <w:sz w:val="24"/>
                      <w:szCs w:val="22"/>
                      <w:u w:val="none" w:color="auto"/>
                    </w:rPr>
                    <w:t>《环境保护综合名录（2017年版）》</w:t>
                  </w:r>
                  <w:r>
                    <w:rPr>
                      <w:rFonts w:hint="eastAsia"/>
                      <w:color w:val="auto"/>
                      <w:sz w:val="24"/>
                      <w:szCs w:val="22"/>
                      <w:u w:val="none" w:color="auto"/>
                      <w:lang w:eastAsia="zh-CN"/>
                    </w:rPr>
                    <w:t>可知，本项目</w:t>
                  </w:r>
                  <w:r>
                    <w:rPr>
                      <w:rFonts w:hint="eastAsia" w:ascii="Times New Roman" w:hAnsi="Times New Roman" w:cs="Times New Roman"/>
                      <w:color w:val="auto"/>
                      <w:sz w:val="24"/>
                      <w:szCs w:val="24"/>
                      <w:u w:val="none" w:color="auto"/>
                      <w:vertAlign w:val="baseline"/>
                      <w:lang w:val="en-US" w:eastAsia="zh-CN"/>
                    </w:rPr>
                    <w:t>不属于高污染项目，故符合要求，</w:t>
                  </w:r>
                </w:p>
              </w:tc>
            </w:tr>
          </w:tbl>
          <w:p>
            <w:pPr>
              <w:snapToGrid w:val="0"/>
              <w:spacing w:line="360" w:lineRule="auto"/>
              <w:ind w:firstLine="466" w:firstLineChars="200"/>
              <w:rPr>
                <w:rFonts w:hint="default" w:eastAsia="宋体" w:cs="Times New Roman"/>
                <w:color w:val="auto"/>
                <w:sz w:val="24"/>
                <w:szCs w:val="24"/>
                <w:u w:val="single" w:color="auto"/>
                <w:lang w:val="en-US" w:eastAsia="zh-CN"/>
              </w:rPr>
            </w:pPr>
            <w:r>
              <w:rPr>
                <w:rFonts w:hint="eastAsia" w:eastAsia="宋体" w:cs="Times New Roman"/>
                <w:color w:val="auto"/>
                <w:sz w:val="24"/>
                <w:szCs w:val="24"/>
                <w:u w:val="single" w:color="auto"/>
                <w:lang w:val="en-US" w:eastAsia="zh-CN"/>
              </w:rPr>
              <w:t>（9）项目与饮用水源输水管位置合理性分析</w:t>
            </w:r>
          </w:p>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sz w:val="24"/>
                <w:szCs w:val="22"/>
                <w:u w:val="single" w:color="auto"/>
                <w:lang w:eastAsia="zh-CN"/>
              </w:rPr>
            </w:pPr>
            <w:r>
              <w:rPr>
                <w:rFonts w:hint="eastAsia"/>
                <w:sz w:val="24"/>
                <w:szCs w:val="22"/>
                <w:u w:val="single" w:color="auto"/>
                <w:lang w:val="en-US" w:eastAsia="zh-CN"/>
              </w:rPr>
              <w:t>根据《</w:t>
            </w:r>
            <w:r>
              <w:rPr>
                <w:rFonts w:hint="eastAsia"/>
                <w:sz w:val="24"/>
                <w:szCs w:val="22"/>
                <w:u w:val="single" w:color="auto"/>
              </w:rPr>
              <w:t>岳阳市屈原管理区</w:t>
            </w:r>
            <w:r>
              <w:rPr>
                <w:rFonts w:hint="eastAsia"/>
                <w:sz w:val="24"/>
                <w:szCs w:val="22"/>
                <w:u w:val="single" w:color="auto"/>
                <w:lang w:eastAsia="zh-CN"/>
              </w:rPr>
              <w:t>饮用水工程建设</w:t>
            </w:r>
            <w:r>
              <w:rPr>
                <w:rFonts w:hint="eastAsia"/>
                <w:sz w:val="24"/>
                <w:szCs w:val="22"/>
                <w:u w:val="single" w:color="auto"/>
              </w:rPr>
              <w:t>项目</w:t>
            </w:r>
            <w:r>
              <w:rPr>
                <w:sz w:val="24"/>
                <w:szCs w:val="22"/>
                <w:u w:val="single" w:color="auto"/>
              </w:rPr>
              <w:t>环境影响</w:t>
            </w:r>
            <w:r>
              <w:rPr>
                <w:rFonts w:hint="eastAsia"/>
                <w:sz w:val="24"/>
                <w:szCs w:val="22"/>
                <w:u w:val="single" w:color="auto"/>
              </w:rPr>
              <w:t>报告书</w:t>
            </w:r>
            <w:r>
              <w:rPr>
                <w:rFonts w:hint="eastAsia"/>
                <w:sz w:val="24"/>
                <w:szCs w:val="22"/>
                <w:u w:val="single" w:color="auto"/>
                <w:lang w:val="en-US" w:eastAsia="zh-CN"/>
              </w:rPr>
              <w:t>》可知，饮用水</w:t>
            </w:r>
            <w:r>
              <w:rPr>
                <w:sz w:val="24"/>
                <w:szCs w:val="22"/>
                <w:u w:val="single" w:color="auto"/>
              </w:rPr>
              <w:t>输水管</w:t>
            </w:r>
            <w:r>
              <w:rPr>
                <w:rFonts w:hint="eastAsia"/>
                <w:sz w:val="24"/>
                <w:szCs w:val="22"/>
                <w:u w:val="single" w:color="auto"/>
                <w:lang w:val="en-US" w:eastAsia="zh-CN"/>
              </w:rPr>
              <w:t>线</w:t>
            </w:r>
            <w:r>
              <w:rPr>
                <w:sz w:val="24"/>
                <w:szCs w:val="22"/>
                <w:u w:val="single" w:color="auto"/>
              </w:rPr>
              <w:t>总体沿湘江大堤外侧走，具体</w:t>
            </w:r>
            <w:r>
              <w:rPr>
                <w:rFonts w:hint="eastAsia"/>
                <w:sz w:val="24"/>
                <w:szCs w:val="22"/>
                <w:u w:val="single" w:color="auto"/>
                <w:lang w:val="en-US" w:eastAsia="zh-CN"/>
              </w:rPr>
              <w:t>为</w:t>
            </w:r>
            <w:r>
              <w:rPr>
                <w:sz w:val="24"/>
                <w:szCs w:val="22"/>
                <w:u w:val="single" w:color="auto"/>
              </w:rPr>
              <w:t>湘阴县白泥湖乡鸡啼湖取水泵房→湘阴县吴公庙→湘阴县黄陵庙→青山岛综合码头→湘阴县蒙古包社区→穿堤→屈原管理区营田镇→岳阳市屈原供水公司（即项目净水厂）</w:t>
            </w:r>
            <w:r>
              <w:rPr>
                <w:rFonts w:hint="eastAsia"/>
                <w:sz w:val="24"/>
                <w:szCs w:val="22"/>
                <w:u w:val="single" w:color="auto"/>
                <w:lang w:eastAsia="zh-CN"/>
              </w:rPr>
              <w:t>，</w:t>
            </w:r>
            <w:r>
              <w:rPr>
                <w:sz w:val="24"/>
                <w:szCs w:val="22"/>
                <w:u w:val="single" w:color="auto"/>
              </w:rPr>
              <w:t>取水轨道设于大堤临水面顺理坡面布置，轨道基础为砼结构，取水管采用球墨铸铁管，管径700mm，临水面坡面采用支墩架设，钢管为6米一节，每12米设叉管与泵车连接。斜钢管进入临水坡面平台处后采用地埋式，钢管连接采用焊接形式</w:t>
            </w:r>
            <w:r>
              <w:rPr>
                <w:rFonts w:hint="eastAsia"/>
                <w:sz w:val="24"/>
                <w:szCs w:val="22"/>
                <w:u w:val="singl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u w:val="single" w:color="auto"/>
              </w:rPr>
            </w:pPr>
            <w:r>
              <w:rPr>
                <w:rFonts w:hint="eastAsia"/>
                <w:sz w:val="24"/>
                <w:szCs w:val="22"/>
                <w:u w:val="single" w:color="auto"/>
                <w:lang w:val="en-US" w:eastAsia="zh-CN"/>
              </w:rPr>
              <w:t>本项目位于</w:t>
            </w:r>
            <w:r>
              <w:rPr>
                <w:rFonts w:hint="eastAsia" w:cs="Times New Roman"/>
                <w:color w:val="auto"/>
                <w:sz w:val="24"/>
                <w:szCs w:val="22"/>
                <w:u w:val="single" w:color="auto"/>
                <w:lang w:eastAsia="zh-CN"/>
              </w:rPr>
              <w:t>湖南省岳阳市湘阴县白泥湖园艺场（</w:t>
            </w:r>
            <w:r>
              <w:rPr>
                <w:rFonts w:hint="eastAsia" w:cs="Times New Roman"/>
                <w:color w:val="auto"/>
                <w:sz w:val="24"/>
                <w:szCs w:val="22"/>
                <w:u w:val="single" w:color="auto"/>
                <w:lang w:val="en-US" w:eastAsia="zh-CN"/>
              </w:rPr>
              <w:t>东北角夹河砂石场于防汛北大堤堤脚交接处</w:t>
            </w:r>
            <w:r>
              <w:rPr>
                <w:rFonts w:hint="eastAsia" w:cs="Times New Roman"/>
                <w:color w:val="auto"/>
                <w:sz w:val="24"/>
                <w:szCs w:val="22"/>
                <w:u w:val="single" w:color="auto"/>
                <w:lang w:eastAsia="zh-CN"/>
              </w:rPr>
              <w:t>），</w:t>
            </w:r>
            <w:r>
              <w:rPr>
                <w:rFonts w:hint="eastAsia" w:cs="Times New Roman"/>
                <w:color w:val="auto"/>
                <w:sz w:val="24"/>
                <w:szCs w:val="22"/>
                <w:u w:val="single" w:color="auto"/>
                <w:lang w:val="en-US" w:eastAsia="zh-CN"/>
              </w:rPr>
              <w:t>由于输水管线沿大堤外侧走向，本项目位于输水管线南侧约40m处（具体详见附图6），本项目在生产过程中无废水外排，且地面进行了硬化处理，运营中对输水管线基本无影响，项目运输的原材料为水泥、石棉纤维、玻璃纤维、纸纤维、水性漆、钢丝等，无危化品，均由专业公司进行运输，但会进行一系列运输防护措施，在沿大堤运输过程中对输水管线基本无影响，故本项目运营过程中只需在运输过程加强运输防护即可</w:t>
            </w:r>
            <w:r>
              <w:rPr>
                <w:sz w:val="24"/>
                <w:szCs w:val="22"/>
                <w:u w:val="single" w:color="auto"/>
              </w:rPr>
              <w:t>。</w:t>
            </w:r>
            <w:r>
              <w:rPr>
                <w:u w:val="single" w:color="auto"/>
              </w:rPr>
              <w:t xml:space="preserve"> </w:t>
            </w:r>
          </w:p>
          <w:p>
            <w:pPr>
              <w:spacing w:line="360" w:lineRule="auto"/>
              <w:ind w:firstLine="466" w:firstLineChars="20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10</w:t>
            </w:r>
            <w:r>
              <w:rPr>
                <w:rFonts w:hint="default" w:ascii="Times New Roman" w:hAnsi="Times New Roman" w:cs="Times New Roman"/>
                <w:b/>
                <w:bCs/>
                <w:color w:val="auto"/>
                <w:sz w:val="24"/>
                <w:szCs w:val="24"/>
                <w:u w:val="none" w:color="auto"/>
                <w:lang w:val="en-US" w:eastAsia="zh-CN"/>
              </w:rPr>
              <w:t>、</w:t>
            </w:r>
            <w:r>
              <w:rPr>
                <w:rFonts w:hint="default" w:ascii="Times New Roman" w:hAnsi="Times New Roman" w:cs="Times New Roman"/>
                <w:b/>
                <w:bCs/>
                <w:color w:val="auto"/>
                <w:sz w:val="24"/>
                <w:szCs w:val="24"/>
                <w:u w:val="none" w:color="auto"/>
              </w:rPr>
              <w:t>“三线一单”符合性分析</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选址符合所在区域现行生态环境约束性要求；项目所在区域满足环境质量底线要求；项目生产原料资源条件有保障，满足资源利用上线要求；项目产生的污染物经采取相应防护措施后可做到达标排放，不会降低区域环境质量等级，对环境影响不大。“三线一单”符合性分析见表 7-</w:t>
            </w:r>
            <w:r>
              <w:rPr>
                <w:rFonts w:hint="eastAsia" w:cs="Times New Roman"/>
                <w:color w:val="auto"/>
                <w:sz w:val="24"/>
                <w:szCs w:val="24"/>
                <w:u w:val="none" w:color="auto"/>
                <w:lang w:val="en-US" w:eastAsia="zh-CN"/>
              </w:rPr>
              <w:t>19</w:t>
            </w:r>
            <w:r>
              <w:rPr>
                <w:rFonts w:hint="default" w:ascii="Times New Roman" w:hAnsi="Times New Roman" w:cs="Times New Roman"/>
                <w:color w:val="auto"/>
                <w:sz w:val="24"/>
                <w:szCs w:val="24"/>
                <w:u w:val="none" w:color="auto"/>
              </w:rPr>
              <w:t xml:space="preserve">。 </w:t>
            </w:r>
          </w:p>
          <w:p>
            <w:pPr>
              <w:spacing w:line="360" w:lineRule="auto"/>
              <w:ind w:firstLine="466" w:firstLineChars="20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 7-</w:t>
            </w:r>
            <w:r>
              <w:rPr>
                <w:rFonts w:hint="eastAsia" w:cs="Times New Roman"/>
                <w:color w:val="auto"/>
                <w:sz w:val="24"/>
                <w:szCs w:val="24"/>
                <w:u w:val="none" w:color="auto"/>
                <w:lang w:val="en-US" w:eastAsia="zh-CN"/>
              </w:rPr>
              <w:t xml:space="preserve">19  </w:t>
            </w:r>
            <w:r>
              <w:rPr>
                <w:rFonts w:hint="default" w:ascii="Times New Roman" w:hAnsi="Times New Roman" w:cs="Times New Roman"/>
                <w:color w:val="auto"/>
                <w:sz w:val="24"/>
                <w:szCs w:val="24"/>
                <w:u w:val="none" w:color="auto"/>
              </w:rPr>
              <w:t>“三线一单”符合性分析</w:t>
            </w:r>
          </w:p>
          <w:tbl>
            <w:tblPr>
              <w:tblStyle w:val="40"/>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86"/>
              <w:gridCol w:w="72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786" w:type="dxa"/>
                  <w:tcBorders>
                    <w:tl2br w:val="nil"/>
                    <w:tr2bl w:val="nil"/>
                  </w:tcBorders>
                  <w:noWrap w:val="0"/>
                  <w:vAlign w:val="center"/>
                </w:tcPr>
                <w:p>
                  <w:pPr>
                    <w:spacing w:line="360" w:lineRule="auto"/>
                    <w:ind w:firstLine="426" w:firstLineChars="20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内容</w:t>
                  </w:r>
                </w:p>
              </w:tc>
              <w:tc>
                <w:tcPr>
                  <w:tcW w:w="7276" w:type="dxa"/>
                  <w:tcBorders>
                    <w:tl2br w:val="nil"/>
                    <w:tr2bl w:val="nil"/>
                  </w:tcBorders>
                  <w:noWrap w:val="0"/>
                  <w:vAlign w:val="center"/>
                </w:tcPr>
                <w:p>
                  <w:pPr>
                    <w:spacing w:line="360" w:lineRule="auto"/>
                    <w:ind w:firstLine="426" w:firstLineChars="20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生态保护红线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本项目位于</w:t>
                  </w:r>
                  <w:r>
                    <w:rPr>
                      <w:rFonts w:hint="eastAsia" w:cs="Times New Roman"/>
                      <w:color w:val="auto"/>
                      <w:sz w:val="22"/>
                      <w:szCs w:val="22"/>
                      <w:u w:val="none" w:color="auto"/>
                      <w:lang w:eastAsia="zh-CN"/>
                    </w:rPr>
                    <w:t>湖南省岳阳市湘阴县白泥湖园艺场</w:t>
                  </w:r>
                  <w:r>
                    <w:rPr>
                      <w:rFonts w:hint="default" w:ascii="Times New Roman" w:hAnsi="Times New Roman" w:cs="Times New Roman"/>
                      <w:color w:val="auto"/>
                      <w:sz w:val="22"/>
                      <w:szCs w:val="22"/>
                      <w:u w:val="none" w:color="auto"/>
                    </w:rPr>
                    <w:t>，不在</w:t>
                  </w:r>
                  <w:r>
                    <w:rPr>
                      <w:rFonts w:hint="default" w:ascii="Times New Roman" w:hAnsi="Times New Roman" w:cs="Times New Roman"/>
                      <w:color w:val="auto"/>
                      <w:sz w:val="22"/>
                      <w:szCs w:val="22"/>
                      <w:u w:val="none" w:color="auto"/>
                      <w:lang w:eastAsia="zh-CN"/>
                    </w:rPr>
                    <w:t>湘阴县</w:t>
                  </w:r>
                  <w:r>
                    <w:rPr>
                      <w:rFonts w:hint="default" w:ascii="Times New Roman" w:hAnsi="Times New Roman" w:cs="Times New Roman"/>
                      <w:color w:val="auto"/>
                      <w:sz w:val="22"/>
                      <w:szCs w:val="22"/>
                      <w:u w:val="none" w:color="auto"/>
                    </w:rPr>
                    <w:t>划定的生态红线范围。项目不在自然保护区、饮用水源保护区等生态保护目标内，符合生态保护红线要求。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资源利用上线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本项目运营过程中消耗一定量的电力、水等资源。①项目用电由当地电网提供；②项目用水来源为当地自来水公司。本项目电力、水的消耗量所占比重较少，符合资源利用上限要求。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环境质量底线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根据现场调查，通过对评价区域内空气、地表水、声的监测及调查得知，项目所在区域的地表水体、声环境能够达到相应的环境质量标准，</w:t>
                  </w:r>
                  <w:r>
                    <w:rPr>
                      <w:rFonts w:hint="eastAsia" w:ascii="Times New Roman" w:hAnsi="Times New Roman" w:cs="Times New Roman"/>
                      <w:color w:val="auto"/>
                      <w:sz w:val="22"/>
                      <w:szCs w:val="22"/>
                      <w:u w:val="none" w:color="auto"/>
                      <w:lang w:eastAsia="zh-CN"/>
                    </w:rPr>
                    <w:t>根据</w:t>
                  </w:r>
                  <w:r>
                    <w:rPr>
                      <w:rFonts w:hint="eastAsia" w:ascii="Times New Roman" w:hAnsi="Times New Roman" w:cs="Times New Roman"/>
                      <w:color w:val="auto"/>
                      <w:sz w:val="22"/>
                      <w:szCs w:val="22"/>
                      <w:u w:val="none" w:color="auto"/>
                      <w:lang w:val="en-US" w:eastAsia="zh-CN"/>
                    </w:rPr>
                    <w:t>201</w:t>
                  </w:r>
                  <w:r>
                    <w:rPr>
                      <w:rFonts w:hint="eastAsia" w:cs="Times New Roman"/>
                      <w:color w:val="auto"/>
                      <w:sz w:val="22"/>
                      <w:szCs w:val="22"/>
                      <w:u w:val="none" w:color="auto"/>
                      <w:lang w:val="en-US" w:eastAsia="zh-CN"/>
                    </w:rPr>
                    <w:t>8</w:t>
                  </w:r>
                  <w:r>
                    <w:rPr>
                      <w:rFonts w:hint="eastAsia" w:ascii="Times New Roman" w:hAnsi="Times New Roman" w:cs="Times New Roman"/>
                      <w:color w:val="auto"/>
                      <w:sz w:val="22"/>
                      <w:szCs w:val="22"/>
                      <w:u w:val="none" w:color="auto"/>
                      <w:lang w:val="en-US" w:eastAsia="zh-CN"/>
                    </w:rPr>
                    <w:t>年到201</w:t>
                  </w:r>
                  <w:r>
                    <w:rPr>
                      <w:rFonts w:hint="eastAsia" w:cs="Times New Roman"/>
                      <w:color w:val="auto"/>
                      <w:sz w:val="22"/>
                      <w:szCs w:val="22"/>
                      <w:u w:val="none" w:color="auto"/>
                      <w:lang w:val="en-US" w:eastAsia="zh-CN"/>
                    </w:rPr>
                    <w:t>9</w:t>
                  </w:r>
                  <w:r>
                    <w:rPr>
                      <w:rFonts w:hint="eastAsia" w:ascii="Times New Roman" w:hAnsi="Times New Roman" w:cs="Times New Roman"/>
                      <w:color w:val="auto"/>
                      <w:sz w:val="22"/>
                      <w:szCs w:val="22"/>
                      <w:u w:val="none" w:color="auto"/>
                      <w:lang w:val="en-US" w:eastAsia="zh-CN"/>
                    </w:rPr>
                    <w:t>年大气监测数据可知，项目所在区域大气环境正在逐渐变好</w:t>
                  </w:r>
                  <w:r>
                    <w:rPr>
                      <w:rFonts w:hint="default" w:ascii="Times New Roman" w:hAnsi="Times New Roman" w:cs="Times New Roman"/>
                      <w:color w:val="auto"/>
                      <w:sz w:val="22"/>
                      <w:szCs w:val="22"/>
                      <w:u w:val="none" w:color="auto"/>
                    </w:rPr>
                    <w:t>。项目对产生的污染物采取相应的措施后，对周边环境影响很小，符合环境质量底线要求。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负面清单</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项目建设符合国家和行业的产业政策，选址符合</w:t>
                  </w:r>
                  <w:r>
                    <w:rPr>
                      <w:rFonts w:hint="default" w:ascii="Times New Roman" w:hAnsi="Times New Roman" w:cs="Times New Roman"/>
                      <w:color w:val="auto"/>
                      <w:sz w:val="22"/>
                      <w:szCs w:val="22"/>
                      <w:u w:val="none" w:color="auto"/>
                      <w:lang w:eastAsia="zh-CN"/>
                    </w:rPr>
                    <w:t>湘阴县</w:t>
                  </w:r>
                  <w:r>
                    <w:rPr>
                      <w:rFonts w:hint="default" w:ascii="Times New Roman" w:hAnsi="Times New Roman" w:cs="Times New Roman"/>
                      <w:color w:val="auto"/>
                      <w:sz w:val="22"/>
                      <w:szCs w:val="22"/>
                      <w:u w:val="none" w:color="auto"/>
                    </w:rPr>
                    <w:t>总体规划，不涉及产业政策和区域规划的负面清单。</w:t>
                  </w:r>
                </w:p>
              </w:tc>
            </w:tr>
          </w:tbl>
          <w:p>
            <w:pPr>
              <w:pStyle w:val="187"/>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1</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、总量控制</w:t>
            </w:r>
          </w:p>
          <w:p>
            <w:pPr>
              <w:spacing w:line="520" w:lineRule="exact"/>
              <w:ind w:firstLine="466" w:firstLineChars="200"/>
              <w:rPr>
                <w:rFonts w:hint="eastAsia" w:eastAsia="宋体"/>
                <w:color w:val="auto"/>
                <w:sz w:val="24"/>
                <w:szCs w:val="24"/>
                <w:u w:val="none" w:color="auto"/>
                <w:lang w:eastAsia="zh-CN"/>
              </w:rPr>
            </w:pPr>
            <w:r>
              <w:rPr>
                <w:rFonts w:hint="default" w:ascii="Times New Roman" w:hAnsi="Times New Roman" w:cs="Times New Roman"/>
                <w:color w:val="auto"/>
                <w:sz w:val="24"/>
                <w:szCs w:val="24"/>
                <w:u w:val="none" w:color="auto"/>
              </w:rPr>
              <w:t>根据</w:t>
            </w:r>
            <w:r>
              <w:rPr>
                <w:rFonts w:hint="default" w:ascii="Times New Roman" w:hAnsi="Times New Roman" w:cs="Times New Roman"/>
                <w:color w:val="auto"/>
                <w:sz w:val="24"/>
                <w:szCs w:val="24"/>
                <w:u w:val="none" w:color="auto"/>
                <w:lang w:val="zh-TW"/>
              </w:rPr>
              <w:t>国家主要污染物排放总量控制技术规</w:t>
            </w:r>
            <w:r>
              <w:rPr>
                <w:rFonts w:hint="default" w:ascii="Times New Roman" w:hAnsi="Times New Roman" w:cs="Times New Roman"/>
                <w:color w:val="auto"/>
                <w:sz w:val="24"/>
                <w:szCs w:val="24"/>
                <w:u w:val="none" w:color="auto"/>
              </w:rPr>
              <w:t>范要求、《国家环境保护“十三五”规划基本思路》以及本项目污染物排放特点</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本项目</w:t>
            </w:r>
            <w:r>
              <w:rPr>
                <w:rFonts w:hint="eastAsia" w:cs="Times New Roman"/>
                <w:color w:val="auto"/>
                <w:sz w:val="24"/>
                <w:szCs w:val="24"/>
                <w:u w:val="none" w:color="auto"/>
                <w:lang w:val="en-US" w:eastAsia="zh-CN" w:bidi="ar"/>
              </w:rPr>
              <w:t>生活污水经三级化粪池处理后回用于周边农田、绿化施肥，不外排</w:t>
            </w:r>
            <w:r>
              <w:rPr>
                <w:rFonts w:hint="default" w:ascii="Times New Roman" w:hAnsi="Times New Roman" w:cs="Times New Roman"/>
                <w:color w:val="auto"/>
                <w:sz w:val="24"/>
                <w:u w:val="none" w:color="auto"/>
              </w:rPr>
              <w:t>。</w:t>
            </w:r>
            <w:r>
              <w:rPr>
                <w:rFonts w:hint="eastAsia" w:cs="Times New Roman"/>
                <w:color w:val="auto"/>
                <w:sz w:val="24"/>
                <w:u w:val="none" w:color="auto"/>
                <w:lang w:val="en-US" w:eastAsia="zh-CN"/>
              </w:rPr>
              <w:t>生产废水及地面清洗废水回用于打料制浆工序使用</w:t>
            </w:r>
            <w:r>
              <w:rPr>
                <w:rFonts w:hint="eastAsia" w:cs="Times New Roman"/>
                <w:color w:val="auto"/>
                <w:sz w:val="24"/>
                <w:szCs w:val="24"/>
                <w:u w:val="none" w:color="auto"/>
                <w:lang w:val="en-US" w:eastAsia="zh-CN"/>
              </w:rPr>
              <w:t>，不外排，</w:t>
            </w:r>
            <w:r>
              <w:rPr>
                <w:rFonts w:hint="default" w:ascii="Times New Roman" w:hAnsi="Times New Roman" w:cs="Times New Roman"/>
                <w:color w:val="auto"/>
                <w:sz w:val="24"/>
                <w:szCs w:val="24"/>
                <w:u w:val="none" w:color="auto"/>
                <w:lang w:val="en-US" w:eastAsia="zh-CN"/>
              </w:rPr>
              <w:t>故本项目</w:t>
            </w:r>
            <w:r>
              <w:rPr>
                <w:rFonts w:hint="eastAsia" w:cs="Times New Roman"/>
                <w:color w:val="auto"/>
                <w:sz w:val="24"/>
                <w:szCs w:val="24"/>
                <w:u w:val="none" w:color="auto"/>
                <w:lang w:val="en-US" w:eastAsia="zh-CN"/>
              </w:rPr>
              <w:t>不</w:t>
            </w:r>
            <w:r>
              <w:rPr>
                <w:rFonts w:hint="default" w:ascii="Times New Roman" w:hAnsi="Times New Roman" w:cs="Times New Roman"/>
                <w:color w:val="auto"/>
                <w:sz w:val="24"/>
                <w:szCs w:val="24"/>
                <w:u w:val="none" w:color="auto"/>
                <w:lang w:val="en-US" w:eastAsia="zh-CN"/>
              </w:rPr>
              <w:t>申请水总量指标</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本项目废气排放为</w:t>
            </w:r>
            <w:r>
              <w:rPr>
                <w:rFonts w:hint="default" w:ascii="Times New Roman" w:hAnsi="Times New Roman" w:cs="Times New Roman"/>
                <w:color w:val="auto"/>
                <w:sz w:val="24"/>
                <w:szCs w:val="24"/>
                <w:u w:val="none" w:color="auto"/>
                <w:lang w:val="en-US" w:eastAsia="zh-CN"/>
              </w:rPr>
              <w:t>颗粒物</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VOCs</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颗粒物</w:t>
            </w:r>
            <w:r>
              <w:rPr>
                <w:rFonts w:hint="default" w:ascii="Times New Roman" w:hAnsi="Times New Roman" w:cs="Times New Roman"/>
                <w:color w:val="auto"/>
                <w:sz w:val="24"/>
                <w:szCs w:val="24"/>
                <w:u w:val="none" w:color="auto"/>
              </w:rPr>
              <w:t>不在国家总量指标控制因素中，</w:t>
            </w:r>
            <w:r>
              <w:rPr>
                <w:rFonts w:hint="eastAsia"/>
                <w:color w:val="auto"/>
                <w:sz w:val="24"/>
                <w:szCs w:val="24"/>
                <w:u w:val="none" w:color="auto"/>
              </w:rPr>
              <w:t>VOCs</w:t>
            </w:r>
            <w:r>
              <w:rPr>
                <w:rFonts w:hint="eastAsia"/>
                <w:color w:val="auto"/>
                <w:sz w:val="24"/>
                <w:szCs w:val="24"/>
                <w:u w:val="none" w:color="auto"/>
                <w:lang w:val="en-US" w:eastAsia="zh-CN"/>
              </w:rPr>
              <w:t>为</w:t>
            </w:r>
            <w:r>
              <w:rPr>
                <w:rFonts w:hint="eastAsia"/>
                <w:color w:val="auto"/>
                <w:sz w:val="24"/>
                <w:szCs w:val="24"/>
                <w:u w:val="none" w:color="auto"/>
              </w:rPr>
              <w:t>推荐性总量控制指标</w:t>
            </w:r>
            <w:r>
              <w:rPr>
                <w:rFonts w:hint="eastAsia"/>
                <w:color w:val="auto"/>
                <w:sz w:val="24"/>
                <w:szCs w:val="24"/>
                <w:u w:val="none" w:color="auto"/>
                <w:lang w:eastAsia="zh-CN"/>
              </w:rPr>
              <w:t>。</w:t>
            </w:r>
          </w:p>
          <w:p>
            <w:pPr>
              <w:spacing w:line="520" w:lineRule="exact"/>
              <w:ind w:firstLine="457" w:firstLineChars="196"/>
              <w:jc w:val="left"/>
              <w:rPr>
                <w:rFonts w:hint="eastAsia"/>
                <w:color w:val="auto"/>
                <w:sz w:val="24"/>
                <w:szCs w:val="22"/>
                <w:u w:val="none" w:color="auto"/>
                <w:lang w:eastAsia="zh-CN"/>
              </w:rPr>
            </w:pPr>
            <w:r>
              <w:rPr>
                <w:rFonts w:hint="eastAsia"/>
                <w:color w:val="auto"/>
                <w:sz w:val="24"/>
                <w:u w:val="none" w:color="auto"/>
              </w:rPr>
              <w:t>本项目外排废气中V</w:t>
            </w:r>
            <w:r>
              <w:rPr>
                <w:color w:val="auto"/>
                <w:sz w:val="24"/>
                <w:u w:val="none" w:color="auto"/>
              </w:rPr>
              <w:t>OCs</w:t>
            </w:r>
            <w:r>
              <w:rPr>
                <w:rFonts w:hint="eastAsia"/>
                <w:color w:val="auto"/>
                <w:sz w:val="24"/>
                <w:u w:val="none" w:color="auto"/>
                <w:lang w:val="en-US" w:eastAsia="zh-CN"/>
              </w:rPr>
              <w:t>排放量为0.042</w:t>
            </w:r>
            <w:r>
              <w:rPr>
                <w:color w:val="auto"/>
                <w:sz w:val="24"/>
                <w:u w:val="none" w:color="auto"/>
              </w:rPr>
              <w:t>t/a</w:t>
            </w:r>
            <w:r>
              <w:rPr>
                <w:rFonts w:hint="eastAsia"/>
                <w:color w:val="auto"/>
                <w:sz w:val="24"/>
                <w:szCs w:val="24"/>
                <w:u w:val="none" w:color="auto"/>
                <w:lang w:eastAsia="zh-CN"/>
              </w:rPr>
              <w:t>。</w:t>
            </w:r>
          </w:p>
          <w:p>
            <w:pPr>
              <w:tabs>
                <w:tab w:val="left" w:pos="870"/>
              </w:tabs>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b/>
                <w:color w:val="auto"/>
                <w:sz w:val="24"/>
                <w:szCs w:val="24"/>
                <w:u w:val="none" w:color="auto"/>
              </w:rPr>
              <w:t>1</w:t>
            </w:r>
            <w:r>
              <w:rPr>
                <w:rFonts w:hint="eastAsia" w:cs="Times New Roman"/>
                <w:b/>
                <w:color w:val="auto"/>
                <w:sz w:val="24"/>
                <w:szCs w:val="24"/>
                <w:u w:val="none" w:color="auto"/>
                <w:lang w:val="en-US" w:eastAsia="zh-CN"/>
              </w:rPr>
              <w:t>2</w:t>
            </w:r>
            <w:r>
              <w:rPr>
                <w:rFonts w:hint="default" w:ascii="Times New Roman" w:hAnsi="Times New Roman" w:cs="Times New Roman"/>
                <w:b/>
                <w:color w:val="auto"/>
                <w:sz w:val="24"/>
                <w:szCs w:val="24"/>
                <w:u w:val="none" w:color="auto"/>
              </w:rPr>
              <w:t>、环保投资估算</w:t>
            </w:r>
          </w:p>
          <w:p>
            <w:pPr>
              <w:tabs>
                <w:tab w:val="left" w:pos="870"/>
              </w:tabs>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本项目总投资</w:t>
            </w:r>
            <w:r>
              <w:rPr>
                <w:rFonts w:hint="eastAsia" w:cs="Times New Roman"/>
                <w:color w:val="auto"/>
                <w:sz w:val="24"/>
                <w:szCs w:val="24"/>
                <w:u w:val="none" w:color="auto"/>
                <w:lang w:val="en-US" w:eastAsia="zh-CN"/>
              </w:rPr>
              <w:t>200万元</w:t>
            </w:r>
            <w:r>
              <w:rPr>
                <w:rFonts w:hint="default" w:ascii="Times New Roman" w:hAnsi="Times New Roman" w:cs="Times New Roman"/>
                <w:color w:val="auto"/>
                <w:sz w:val="24"/>
                <w:szCs w:val="24"/>
                <w:u w:val="none" w:color="auto"/>
              </w:rPr>
              <w:t>，其中环保投资</w:t>
            </w:r>
            <w:r>
              <w:rPr>
                <w:rFonts w:hint="eastAsia" w:cs="Times New Roman"/>
                <w:color w:val="auto"/>
                <w:sz w:val="24"/>
                <w:szCs w:val="24"/>
                <w:u w:val="none" w:color="auto"/>
                <w:lang w:val="en-US" w:eastAsia="zh-CN"/>
              </w:rPr>
              <w:t>25</w:t>
            </w:r>
            <w:r>
              <w:rPr>
                <w:rFonts w:hint="default" w:ascii="Times New Roman" w:hAnsi="Times New Roman" w:cs="Times New Roman"/>
                <w:color w:val="auto"/>
                <w:sz w:val="24"/>
                <w:szCs w:val="24"/>
                <w:u w:val="none" w:color="auto"/>
              </w:rPr>
              <w:t>万元，</w:t>
            </w:r>
            <w:r>
              <w:rPr>
                <w:rFonts w:hint="default" w:ascii="Times New Roman" w:hAnsi="Times New Roman" w:cs="Times New Roman"/>
                <w:bCs/>
                <w:color w:val="auto"/>
                <w:sz w:val="24"/>
                <w:szCs w:val="24"/>
                <w:u w:val="none" w:color="auto"/>
              </w:rPr>
              <w:t>环保投资占总投资比例的</w:t>
            </w:r>
            <w:r>
              <w:rPr>
                <w:rFonts w:hint="eastAsia" w:cs="Times New Roman"/>
                <w:bCs/>
                <w:color w:val="auto"/>
                <w:sz w:val="24"/>
                <w:szCs w:val="24"/>
                <w:u w:val="none" w:color="auto"/>
                <w:lang w:val="en-US" w:eastAsia="zh-CN"/>
              </w:rPr>
              <w:t>12.5</w:t>
            </w:r>
            <w:r>
              <w:rPr>
                <w:rFonts w:hint="default" w:ascii="Times New Roman" w:hAnsi="Times New Roman" w:cs="Times New Roman"/>
                <w:bCs/>
                <w:color w:val="auto"/>
                <w:sz w:val="24"/>
                <w:szCs w:val="24"/>
                <w:u w:val="none" w:color="auto"/>
              </w:rPr>
              <w:t>%。</w:t>
            </w:r>
            <w:r>
              <w:rPr>
                <w:rFonts w:hint="default" w:ascii="Times New Roman" w:hAnsi="Times New Roman" w:cs="Times New Roman"/>
                <w:color w:val="auto"/>
                <w:sz w:val="24"/>
                <w:szCs w:val="24"/>
                <w:u w:val="none" w:color="auto"/>
              </w:rPr>
              <w:t>项目环保设施及投资估算详见表7-</w:t>
            </w:r>
            <w:r>
              <w:rPr>
                <w:rFonts w:hint="eastAsia" w:cs="Times New Roman"/>
                <w:color w:val="auto"/>
                <w:sz w:val="24"/>
                <w:szCs w:val="24"/>
                <w:u w:val="none" w:color="auto"/>
                <w:lang w:val="en-US" w:eastAsia="zh-CN"/>
              </w:rPr>
              <w:t>21</w:t>
            </w:r>
            <w:r>
              <w:rPr>
                <w:rFonts w:hint="default" w:ascii="Times New Roman" w:hAnsi="Times New Roman" w:cs="Times New Roman"/>
                <w:color w:val="auto"/>
                <w:sz w:val="24"/>
                <w:szCs w:val="24"/>
                <w:u w:val="none" w:color="auto"/>
              </w:rPr>
              <w:t>。</w:t>
            </w:r>
          </w:p>
          <w:p>
            <w:pPr>
              <w:spacing w:line="360" w:lineRule="auto"/>
              <w:ind w:firstLine="459" w:firstLineChars="197"/>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表7-</w:t>
            </w:r>
            <w:r>
              <w:rPr>
                <w:rFonts w:hint="eastAsia" w:cs="Times New Roman"/>
                <w:b/>
                <w:color w:val="auto"/>
                <w:sz w:val="24"/>
                <w:szCs w:val="24"/>
                <w:u w:val="none" w:color="auto"/>
                <w:lang w:val="en-US" w:eastAsia="zh-CN"/>
              </w:rPr>
              <w:t xml:space="preserve">21 </w:t>
            </w:r>
            <w:r>
              <w:rPr>
                <w:rFonts w:hint="default" w:ascii="Times New Roman" w:hAnsi="Times New Roman" w:cs="Times New Roman"/>
                <w:b/>
                <w:color w:val="auto"/>
                <w:sz w:val="24"/>
                <w:szCs w:val="24"/>
                <w:u w:val="none" w:color="auto"/>
              </w:rPr>
              <w:t xml:space="preserve"> 环保投资估算表</w:t>
            </w:r>
          </w:p>
          <w:tbl>
            <w:tblPr>
              <w:tblStyle w:val="40"/>
              <w:tblW w:w="905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813"/>
              <w:gridCol w:w="4788"/>
              <w:gridCol w:w="15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3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污染源</w:t>
                  </w:r>
                </w:p>
              </w:tc>
              <w:tc>
                <w:tcPr>
                  <w:tcW w:w="478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建设内容</w:t>
                  </w:r>
                </w:p>
              </w:tc>
              <w:tc>
                <w:tcPr>
                  <w:tcW w:w="15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投资估算金额（万元）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3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生活污水</w:t>
                  </w:r>
                </w:p>
              </w:tc>
              <w:tc>
                <w:tcPr>
                  <w:tcW w:w="478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三级化粪池</w:t>
                  </w:r>
                </w:p>
              </w:tc>
              <w:tc>
                <w:tcPr>
                  <w:tcW w:w="15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38"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w:t>
                  </w:r>
                </w:p>
              </w:tc>
              <w:tc>
                <w:tcPr>
                  <w:tcW w:w="18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生产废水、地面清洗废水</w:t>
                  </w:r>
                </w:p>
              </w:tc>
              <w:tc>
                <w:tcPr>
                  <w:tcW w:w="4788"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水罐、搅拌池</w:t>
                  </w:r>
                </w:p>
              </w:tc>
              <w:tc>
                <w:tcPr>
                  <w:tcW w:w="1513"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3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w:t>
                  </w:r>
                </w:p>
              </w:tc>
              <w:tc>
                <w:tcPr>
                  <w:tcW w:w="1813" w:type="dxa"/>
                  <w:vMerge w:val="restart"/>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废气</w:t>
                  </w:r>
                </w:p>
              </w:tc>
              <w:tc>
                <w:tcPr>
                  <w:tcW w:w="478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olor w:val="auto"/>
                      <w:sz w:val="22"/>
                      <w:szCs w:val="22"/>
                      <w:u w:val="none" w:color="auto"/>
                      <w:lang w:val="en-US" w:eastAsia="zh-CN"/>
                    </w:rPr>
                    <w:t>喷漆烘干废气：过滤棉+活性炭吸附设施+15m高排气筒</w:t>
                  </w:r>
                </w:p>
              </w:tc>
              <w:tc>
                <w:tcPr>
                  <w:tcW w:w="15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3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813" w:type="dxa"/>
                  <w:vMerge w:val="continue"/>
                  <w:tcBorders>
                    <w:tl2br w:val="nil"/>
                    <w:tr2bl w:val="nil"/>
                  </w:tcBorders>
                  <w:noWrap w:val="0"/>
                  <w:vAlign w:val="center"/>
                </w:tcPr>
                <w:p>
                  <w:pPr>
                    <w:spacing w:line="360" w:lineRule="auto"/>
                    <w:jc w:val="center"/>
                    <w:rPr>
                      <w:rFonts w:hint="eastAsia" w:cs="Times New Roman"/>
                      <w:color w:val="auto"/>
                      <w:sz w:val="22"/>
                      <w:szCs w:val="22"/>
                      <w:u w:val="none" w:color="auto"/>
                      <w:lang w:eastAsia="zh-CN"/>
                    </w:rPr>
                  </w:pPr>
                </w:p>
              </w:tc>
              <w:tc>
                <w:tcPr>
                  <w:tcW w:w="4788" w:type="dxa"/>
                  <w:tcBorders>
                    <w:tl2br w:val="nil"/>
                    <w:tr2bl w:val="nil"/>
                  </w:tcBorders>
                  <w:noWrap w:val="0"/>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水泥筒仓仓顶自带的脉冲式布袋除尘器</w:t>
                  </w:r>
                </w:p>
              </w:tc>
              <w:tc>
                <w:tcPr>
                  <w:tcW w:w="1513"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设备自带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813"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4788" w:type="dxa"/>
                  <w:tcBorders>
                    <w:tl2br w:val="nil"/>
                    <w:tr2bl w:val="nil"/>
                  </w:tcBorders>
                  <w:noWrap w:val="0"/>
                  <w:vAlign w:val="center"/>
                </w:tcPr>
                <w:p>
                  <w:pPr>
                    <w:spacing w:line="360" w:lineRule="auto"/>
                    <w:jc w:val="center"/>
                    <w:rPr>
                      <w:rFonts w:hint="default" w:ascii="Times New Roman" w:hAnsi="Times New Roman" w:eastAsia="宋体" w:cs="Times New Roman"/>
                      <w:color w:val="auto"/>
                      <w:kern w:val="2"/>
                      <w:sz w:val="22"/>
                      <w:szCs w:val="22"/>
                      <w:u w:val="none" w:color="auto"/>
                      <w:lang w:val="en-US" w:eastAsia="zh-CN" w:bidi="ar-SA"/>
                    </w:rPr>
                  </w:pPr>
                  <w:r>
                    <w:rPr>
                      <w:rFonts w:hint="eastAsia"/>
                      <w:color w:val="auto"/>
                      <w:sz w:val="22"/>
                      <w:szCs w:val="22"/>
                      <w:u w:val="none" w:color="auto"/>
                      <w:lang w:val="en-US" w:eastAsia="zh-CN"/>
                    </w:rPr>
                    <w:t>石粉筒仓仓顶自带的脉冲式布袋除尘器</w:t>
                  </w:r>
                </w:p>
              </w:tc>
              <w:tc>
                <w:tcPr>
                  <w:tcW w:w="15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kern w:val="2"/>
                      <w:sz w:val="22"/>
                      <w:szCs w:val="22"/>
                      <w:u w:val="none" w:color="auto"/>
                      <w:lang w:val="en-US" w:eastAsia="zh-CN" w:bidi="ar-SA"/>
                    </w:rPr>
                  </w:pPr>
                  <w:r>
                    <w:rPr>
                      <w:rFonts w:hint="eastAsia" w:cs="Times New Roman"/>
                      <w:color w:val="auto"/>
                      <w:sz w:val="22"/>
                      <w:szCs w:val="22"/>
                      <w:u w:val="none" w:color="auto"/>
                      <w:lang w:val="en-US" w:eastAsia="zh-CN"/>
                    </w:rPr>
                    <w:t>设备自带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8"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3</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噪声</w:t>
                  </w:r>
                </w:p>
              </w:tc>
              <w:tc>
                <w:tcPr>
                  <w:tcW w:w="478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减振降噪措施</w:t>
                  </w:r>
                </w:p>
              </w:tc>
              <w:tc>
                <w:tcPr>
                  <w:tcW w:w="15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8"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4</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生活垃圾</w:t>
                  </w:r>
                </w:p>
              </w:tc>
              <w:tc>
                <w:tcPr>
                  <w:tcW w:w="478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垃圾桶等环卫设施</w:t>
                  </w:r>
                </w:p>
              </w:tc>
              <w:tc>
                <w:tcPr>
                  <w:tcW w:w="1513"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38"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5</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eastAsia="zh-CN"/>
                    </w:rPr>
                    <w:t>固废</w:t>
                  </w:r>
                  <w:r>
                    <w:rPr>
                      <w:rFonts w:hint="eastAsia" w:cs="Times New Roman"/>
                      <w:color w:val="auto"/>
                      <w:sz w:val="22"/>
                      <w:szCs w:val="22"/>
                      <w:u w:val="none" w:color="auto"/>
                      <w:lang w:val="en-US" w:eastAsia="zh-CN"/>
                    </w:rPr>
                    <w:t>及危险废物</w:t>
                  </w:r>
                </w:p>
              </w:tc>
              <w:tc>
                <w:tcPr>
                  <w:tcW w:w="478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固废堆</w:t>
                  </w:r>
                  <w:r>
                    <w:rPr>
                      <w:rFonts w:hint="default" w:ascii="Times New Roman" w:hAnsi="Times New Roman" w:cs="Times New Roman"/>
                      <w:color w:val="auto"/>
                      <w:sz w:val="22"/>
                      <w:szCs w:val="22"/>
                      <w:u w:val="none" w:color="auto"/>
                    </w:rPr>
                    <w:t>场</w:t>
                  </w:r>
                  <w:r>
                    <w:rPr>
                      <w:rFonts w:hint="default" w:ascii="Times New Roman" w:hAnsi="Times New Roman" w:cs="Times New Roman"/>
                      <w:color w:val="auto"/>
                      <w:sz w:val="22"/>
                      <w:szCs w:val="22"/>
                      <w:u w:val="none" w:color="auto"/>
                      <w:lang w:eastAsia="zh-CN"/>
                    </w:rPr>
                    <w:t>、危险废物储存间</w:t>
                  </w:r>
                </w:p>
              </w:tc>
              <w:tc>
                <w:tcPr>
                  <w:tcW w:w="1513"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938"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6</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其他</w:t>
                  </w:r>
                </w:p>
              </w:tc>
              <w:tc>
                <w:tcPr>
                  <w:tcW w:w="478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初期雨水沉淀池</w:t>
                  </w:r>
                </w:p>
              </w:tc>
              <w:tc>
                <w:tcPr>
                  <w:tcW w:w="15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7</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合计</w:t>
                  </w:r>
                </w:p>
              </w:tc>
              <w:tc>
                <w:tcPr>
                  <w:tcW w:w="478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p>
              </w:tc>
              <w:tc>
                <w:tcPr>
                  <w:tcW w:w="15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25</w:t>
                  </w:r>
                </w:p>
              </w:tc>
            </w:tr>
          </w:tbl>
          <w:p>
            <w:pPr>
              <w:spacing w:line="360" w:lineRule="auto"/>
              <w:ind w:firstLine="466" w:firstLineChars="200"/>
              <w:textAlignment w:val="baseline"/>
              <w:rPr>
                <w:rFonts w:hint="default" w:ascii="Times New Roman" w:hAnsi="Times New Roman" w:cs="Times New Roman"/>
                <w:b/>
                <w:color w:val="auto"/>
                <w:sz w:val="24"/>
                <w:szCs w:val="24"/>
                <w:u w:val="none" w:color="auto"/>
              </w:rPr>
            </w:pPr>
            <w:r>
              <w:rPr>
                <w:rFonts w:hint="default" w:ascii="Times New Roman" w:hAnsi="Times New Roman" w:cs="Times New Roman"/>
                <w:color w:val="auto"/>
                <w:sz w:val="24"/>
                <w:szCs w:val="24"/>
                <w:u w:val="none" w:color="auto"/>
              </w:rPr>
              <w:t>从工程分析结论可知，只有保障上述这部分环保投资落到实处，才能使污染物达标排放。</w:t>
            </w:r>
          </w:p>
          <w:p>
            <w:pPr>
              <w:spacing w:line="360" w:lineRule="auto"/>
              <w:ind w:firstLine="482" w:firstLineChars="207"/>
              <w:textAlignment w:val="baseline"/>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1</w:t>
            </w:r>
            <w:r>
              <w:rPr>
                <w:rFonts w:hint="eastAsia" w:cs="Times New Roman"/>
                <w:b/>
                <w:color w:val="auto"/>
                <w:sz w:val="24"/>
                <w:szCs w:val="24"/>
                <w:u w:val="single" w:color="auto"/>
                <w:lang w:val="en-US" w:eastAsia="zh-CN"/>
              </w:rPr>
              <w:t>3</w:t>
            </w:r>
            <w:r>
              <w:rPr>
                <w:rFonts w:hint="default" w:ascii="Times New Roman" w:hAnsi="Times New Roman" w:cs="Times New Roman"/>
                <w:b/>
                <w:color w:val="auto"/>
                <w:sz w:val="24"/>
                <w:szCs w:val="24"/>
                <w:u w:val="single" w:color="auto"/>
              </w:rPr>
              <w:t>、项目环保竣工验收计划</w:t>
            </w:r>
          </w:p>
          <w:p>
            <w:pPr>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本工程环保竣工验收计划内容，具体见表7-</w:t>
            </w:r>
            <w:r>
              <w:rPr>
                <w:rFonts w:hint="eastAsia" w:cs="Times New Roman"/>
                <w:color w:val="auto"/>
                <w:sz w:val="24"/>
                <w:szCs w:val="24"/>
                <w:u w:val="single" w:color="auto"/>
                <w:lang w:val="en-US" w:eastAsia="zh-CN"/>
              </w:rPr>
              <w:t>22</w:t>
            </w:r>
            <w:r>
              <w:rPr>
                <w:rFonts w:hint="default" w:ascii="Times New Roman" w:hAnsi="Times New Roman" w:cs="Times New Roman"/>
                <w:color w:val="auto"/>
                <w:sz w:val="24"/>
                <w:szCs w:val="24"/>
                <w:u w:val="single" w:color="auto"/>
              </w:rPr>
              <w:t>。</w:t>
            </w:r>
          </w:p>
          <w:p>
            <w:pPr>
              <w:spacing w:before="156" w:beforeLines="50" w:line="360" w:lineRule="auto"/>
              <w:ind w:firstLine="583" w:firstLineChars="250"/>
              <w:jc w:val="center"/>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表7-</w:t>
            </w:r>
            <w:r>
              <w:rPr>
                <w:rFonts w:hint="eastAsia" w:cs="Times New Roman"/>
                <w:b/>
                <w:color w:val="auto"/>
                <w:sz w:val="24"/>
                <w:szCs w:val="24"/>
                <w:u w:val="single" w:color="auto"/>
                <w:lang w:val="en-US" w:eastAsia="zh-CN"/>
              </w:rPr>
              <w:t>22</w:t>
            </w:r>
            <w:r>
              <w:rPr>
                <w:rFonts w:hint="default" w:ascii="Times New Roman" w:hAnsi="Times New Roman" w:cs="Times New Roman"/>
                <w:b/>
                <w:color w:val="auto"/>
                <w:sz w:val="24"/>
                <w:szCs w:val="24"/>
                <w:u w:val="single" w:color="auto"/>
              </w:rPr>
              <w:t xml:space="preserve"> 本项目环保竣工验收内容一览表</w:t>
            </w:r>
          </w:p>
          <w:tbl>
            <w:tblPr>
              <w:tblStyle w:val="40"/>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182"/>
              <w:gridCol w:w="2828"/>
              <w:gridCol w:w="1965"/>
              <w:gridCol w:w="23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02"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污染源</w:t>
                  </w:r>
                </w:p>
              </w:tc>
              <w:tc>
                <w:tcPr>
                  <w:tcW w:w="1182"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污染物名称</w:t>
                  </w:r>
                </w:p>
              </w:tc>
              <w:tc>
                <w:tcPr>
                  <w:tcW w:w="2828"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防治措施与工艺</w:t>
                  </w:r>
                </w:p>
              </w:tc>
              <w:tc>
                <w:tcPr>
                  <w:tcW w:w="1965"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竣工验收</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预期治理效果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废水</w:t>
                  </w:r>
                </w:p>
              </w:tc>
              <w:tc>
                <w:tcPr>
                  <w:tcW w:w="118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污水</w:t>
                  </w:r>
                </w:p>
              </w:tc>
              <w:tc>
                <w:tcPr>
                  <w:tcW w:w="282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三级化粪池处理</w:t>
                  </w:r>
                </w:p>
              </w:tc>
              <w:tc>
                <w:tcPr>
                  <w:tcW w:w="1965"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val="en-US" w:eastAsia="zh-CN"/>
                    </w:rPr>
                    <w:t>三级</w:t>
                  </w:r>
                  <w:r>
                    <w:rPr>
                      <w:rFonts w:hint="eastAsia" w:cs="Times New Roman"/>
                      <w:color w:val="auto"/>
                      <w:sz w:val="22"/>
                      <w:szCs w:val="22"/>
                      <w:u w:val="single" w:color="auto"/>
                      <w:lang w:eastAsia="zh-CN"/>
                    </w:rPr>
                    <w:t>化粪池</w:t>
                  </w:r>
                </w:p>
              </w:tc>
              <w:tc>
                <w:tcPr>
                  <w:tcW w:w="239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回用于绿化、农田施肥。不外排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18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rPr>
                  </w:pPr>
                  <w:r>
                    <w:rPr>
                      <w:rFonts w:hint="eastAsia" w:cs="Times New Roman"/>
                      <w:color w:val="auto"/>
                      <w:sz w:val="22"/>
                      <w:szCs w:val="22"/>
                      <w:u w:val="single" w:color="auto"/>
                      <w:lang w:val="en-US" w:eastAsia="zh-CN"/>
                    </w:rPr>
                    <w:t>真空脱水、挤压脱水废水</w:t>
                  </w:r>
                </w:p>
              </w:tc>
              <w:tc>
                <w:tcPr>
                  <w:tcW w:w="2828"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抽回水罐内后回用于打料制浆工序</w:t>
                  </w:r>
                </w:p>
              </w:tc>
              <w:tc>
                <w:tcPr>
                  <w:tcW w:w="1965"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水罐</w:t>
                  </w:r>
                </w:p>
              </w:tc>
              <w:tc>
                <w:tcPr>
                  <w:tcW w:w="2395" w:type="dxa"/>
                  <w:tcBorders>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循环使用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18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rPr>
                  </w:pPr>
                  <w:r>
                    <w:rPr>
                      <w:rFonts w:hint="eastAsia" w:cs="Times New Roman"/>
                      <w:color w:val="auto"/>
                      <w:sz w:val="22"/>
                      <w:szCs w:val="22"/>
                      <w:u w:val="single" w:color="auto"/>
                      <w:lang w:val="en-US" w:eastAsia="zh-CN"/>
                    </w:rPr>
                    <w:t>地面清洗废水</w:t>
                  </w:r>
                </w:p>
              </w:tc>
              <w:tc>
                <w:tcPr>
                  <w:tcW w:w="2828" w:type="dxa"/>
                  <w:tcBorders>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排入搅拌池内用于打料制浆工序</w:t>
                  </w:r>
                </w:p>
              </w:tc>
              <w:tc>
                <w:tcPr>
                  <w:tcW w:w="1965"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搅拌池</w:t>
                  </w:r>
                </w:p>
              </w:tc>
              <w:tc>
                <w:tcPr>
                  <w:tcW w:w="2395" w:type="dxa"/>
                  <w:tcBorders>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循环使用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91"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废气</w:t>
                  </w:r>
                </w:p>
              </w:tc>
              <w:tc>
                <w:tcPr>
                  <w:tcW w:w="1182"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ascii="Times New Roman" w:hAnsi="Times New Roman" w:cs="Times New Roman"/>
                      <w:color w:val="auto"/>
                      <w:sz w:val="22"/>
                      <w:szCs w:val="22"/>
                      <w:u w:val="single" w:color="auto"/>
                      <w:lang w:eastAsia="zh-CN"/>
                    </w:rPr>
                    <w:t>喷漆</w:t>
                  </w:r>
                  <w:r>
                    <w:rPr>
                      <w:rFonts w:hint="eastAsia" w:cs="Times New Roman"/>
                      <w:color w:val="auto"/>
                      <w:sz w:val="22"/>
                      <w:szCs w:val="22"/>
                      <w:u w:val="single" w:color="auto"/>
                      <w:lang w:val="en-US" w:eastAsia="zh-CN"/>
                    </w:rPr>
                    <w:t>烘干</w:t>
                  </w:r>
                  <w:r>
                    <w:rPr>
                      <w:rFonts w:hint="eastAsia" w:ascii="Times New Roman" w:hAnsi="Times New Roman" w:cs="Times New Roman"/>
                      <w:color w:val="auto"/>
                      <w:sz w:val="22"/>
                      <w:szCs w:val="22"/>
                      <w:u w:val="single" w:color="auto"/>
                      <w:lang w:eastAsia="zh-CN"/>
                    </w:rPr>
                    <w:t>废气</w:t>
                  </w:r>
                </w:p>
              </w:tc>
              <w:tc>
                <w:tcPr>
                  <w:tcW w:w="282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olor w:val="auto"/>
                      <w:sz w:val="22"/>
                      <w:szCs w:val="22"/>
                      <w:u w:val="single" w:color="auto"/>
                      <w:lang w:val="en-US" w:eastAsia="zh-CN"/>
                    </w:rPr>
                    <w:t>喷漆烘干废气经过滤棉+活性炭吸附设施处理后</w:t>
                  </w:r>
                  <w:r>
                    <w:rPr>
                      <w:rFonts w:hint="eastAsia" w:cs="Times New Roman"/>
                      <w:color w:val="auto"/>
                      <w:sz w:val="22"/>
                      <w:szCs w:val="22"/>
                      <w:u w:val="single" w:color="auto"/>
                      <w:lang w:val="en-US" w:eastAsia="zh-CN"/>
                    </w:rPr>
                    <w:t>经一根</w:t>
                  </w:r>
                  <w:r>
                    <w:rPr>
                      <w:rFonts w:hint="eastAsia" w:ascii="Times New Roman" w:hAnsi="Times New Roman" w:cs="Times New Roman"/>
                      <w:color w:val="auto"/>
                      <w:sz w:val="22"/>
                      <w:szCs w:val="22"/>
                      <w:u w:val="single" w:color="auto"/>
                      <w:lang w:val="en-US" w:eastAsia="zh-CN"/>
                    </w:rPr>
                    <w:t>15m高排气筒处理后高空排放</w:t>
                  </w:r>
                </w:p>
              </w:tc>
              <w:tc>
                <w:tcPr>
                  <w:tcW w:w="196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eastAsia"/>
                      <w:color w:val="auto"/>
                      <w:sz w:val="22"/>
                      <w:szCs w:val="22"/>
                      <w:u w:val="single" w:color="auto"/>
                      <w:lang w:val="en-US" w:eastAsia="zh-CN"/>
                    </w:rPr>
                    <w:t>过滤棉+活性炭吸附设施</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《大气污染物综合排放标准》（</w:t>
                  </w:r>
                  <w:r>
                    <w:rPr>
                      <w:rFonts w:hint="default" w:ascii="Times New Roman" w:hAnsi="Times New Roman" w:cs="Times New Roman"/>
                      <w:color w:val="auto"/>
                      <w:sz w:val="22"/>
                      <w:szCs w:val="22"/>
                      <w:u w:val="single" w:color="auto"/>
                      <w:lang w:val="en-US" w:eastAsia="zh-CN"/>
                    </w:rPr>
                    <w:t>GB16297-1996)</w:t>
                  </w:r>
                  <w:r>
                    <w:rPr>
                      <w:rFonts w:hint="eastAsia" w:ascii="Times New Roman" w:hAnsi="Times New Roman" w:cs="Times New Roman"/>
                      <w:color w:val="auto"/>
                      <w:sz w:val="22"/>
                      <w:szCs w:val="22"/>
                      <w:u w:val="single" w:color="auto"/>
                      <w:lang w:val="en-US" w:eastAsia="zh-CN"/>
                    </w:rPr>
                    <w:t>二级</w:t>
                  </w:r>
                  <w:r>
                    <w:rPr>
                      <w:rFonts w:hint="default" w:ascii="Times New Roman" w:hAnsi="Times New Roman" w:cs="Times New Roman"/>
                      <w:color w:val="auto"/>
                      <w:sz w:val="22"/>
                      <w:szCs w:val="22"/>
                      <w:u w:val="single" w:color="auto"/>
                      <w:lang w:val="en-US" w:eastAsia="zh-CN"/>
                    </w:rPr>
                    <w:t>排放标准</w:t>
                  </w:r>
                  <w:r>
                    <w:rPr>
                      <w:rFonts w:hint="eastAsia" w:cs="Times New Roman"/>
                      <w:color w:val="auto"/>
                      <w:sz w:val="22"/>
                      <w:szCs w:val="22"/>
                      <w:u w:val="single" w:color="auto"/>
                      <w:lang w:val="en-US" w:eastAsia="zh-CN"/>
                    </w:rPr>
                    <w:t>；</w:t>
                  </w:r>
                  <w:r>
                    <w:rPr>
                      <w:rFonts w:hint="default" w:ascii="Times New Roman" w:hAnsi="Times New Roman" w:eastAsia="宋体" w:cs="Times New Roman"/>
                      <w:color w:val="auto"/>
                      <w:kern w:val="0"/>
                      <w:sz w:val="22"/>
                      <w:szCs w:val="22"/>
                      <w:u w:val="single" w:color="auto"/>
                      <w:lang w:val="en-US" w:eastAsia="zh-CN" w:bidi="ar"/>
                    </w:rPr>
                    <w:t>《表面涂装（汽车制造及维修）挥发性有机物、镍排放标准》 （DB43/1356-2017）</w:t>
                  </w:r>
                  <w:r>
                    <w:rPr>
                      <w:rFonts w:hint="eastAsia" w:cs="Times New Roman"/>
                      <w:color w:val="auto"/>
                      <w:kern w:val="0"/>
                      <w:sz w:val="22"/>
                      <w:szCs w:val="22"/>
                      <w:u w:val="single" w:color="auto"/>
                      <w:lang w:val="en-US" w:eastAsia="zh-CN" w:bidi="ar"/>
                    </w:rPr>
                    <w:t>表1、表3排放标准要求</w:t>
                  </w:r>
                  <w:r>
                    <w:rPr>
                      <w:rFonts w:hint="default" w:ascii="Times New Roman" w:hAnsi="Times New Roman" w:eastAsia="宋体" w:cs="Times New Roman"/>
                      <w:color w:val="auto"/>
                      <w:sz w:val="22"/>
                      <w:szCs w:val="22"/>
                      <w:u w:val="single" w:color="auto"/>
                      <w:lang w:val="en-US" w:eastAsia="zh-CN"/>
                    </w:rPr>
                    <w:t>；无组织有机废气排放执行《挥发性有机物无组织排放控制标准》（GB37822-2019）中限值要求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18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水泥筒仓粉尘</w:t>
                  </w:r>
                </w:p>
              </w:tc>
              <w:tc>
                <w:tcPr>
                  <w:tcW w:w="2828" w:type="dxa"/>
                  <w:tcBorders>
                    <w:tl2br w:val="nil"/>
                    <w:tr2bl w:val="nil"/>
                  </w:tcBorders>
                  <w:noWrap w:val="0"/>
                  <w:vAlign w:val="center"/>
                </w:tcPr>
                <w:p>
                  <w:pPr>
                    <w:spacing w:line="360" w:lineRule="auto"/>
                    <w:jc w:val="center"/>
                    <w:rPr>
                      <w:rFonts w:hint="default"/>
                      <w:color w:val="auto"/>
                      <w:sz w:val="22"/>
                      <w:szCs w:val="22"/>
                      <w:u w:val="single" w:color="auto"/>
                      <w:lang w:val="en-US" w:eastAsia="zh-CN"/>
                    </w:rPr>
                  </w:pPr>
                  <w:r>
                    <w:rPr>
                      <w:rFonts w:hint="eastAsia"/>
                      <w:color w:val="auto"/>
                      <w:sz w:val="21"/>
                      <w:szCs w:val="21"/>
                      <w:u w:val="single" w:color="auto"/>
                      <w:lang w:val="en-US" w:eastAsia="zh-CN"/>
                    </w:rPr>
                    <w:t>经自带的脉冲式布袋除尘器处理后经呼吸阀排放</w:t>
                  </w:r>
                </w:p>
              </w:tc>
              <w:tc>
                <w:tcPr>
                  <w:tcW w:w="1965" w:type="dxa"/>
                  <w:tcBorders>
                    <w:tl2br w:val="nil"/>
                    <w:tr2bl w:val="nil"/>
                  </w:tcBorders>
                  <w:noWrap w:val="0"/>
                  <w:vAlign w:val="center"/>
                </w:tcPr>
                <w:p>
                  <w:pPr>
                    <w:spacing w:line="360" w:lineRule="auto"/>
                    <w:jc w:val="center"/>
                    <w:rPr>
                      <w:rFonts w:hint="eastAsia"/>
                      <w:color w:val="auto"/>
                      <w:sz w:val="22"/>
                      <w:szCs w:val="22"/>
                      <w:u w:val="single" w:color="auto"/>
                      <w:lang w:val="en-US" w:eastAsia="zh-CN"/>
                    </w:rPr>
                  </w:pPr>
                  <w:r>
                    <w:rPr>
                      <w:rFonts w:hint="eastAsia"/>
                      <w:color w:val="auto"/>
                      <w:sz w:val="21"/>
                      <w:szCs w:val="21"/>
                      <w:u w:val="single" w:color="auto"/>
                      <w:lang w:val="en-US" w:eastAsia="zh-CN"/>
                    </w:rPr>
                    <w:t>自带的脉冲式布袋除尘器</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bCs/>
                      <w:color w:val="auto"/>
                      <w:sz w:val="22"/>
                      <w:szCs w:val="22"/>
                      <w:u w:val="single" w:color="auto"/>
                    </w:rPr>
                    <w:t>《水泥工业大气污染物排放标准》（GB4915-20</w:t>
                  </w:r>
                  <w:r>
                    <w:rPr>
                      <w:rFonts w:hint="eastAsia"/>
                      <w:bCs/>
                      <w:color w:val="auto"/>
                      <w:sz w:val="22"/>
                      <w:szCs w:val="22"/>
                      <w:u w:val="single" w:color="auto"/>
                    </w:rPr>
                    <w:t>13</w:t>
                  </w:r>
                  <w:r>
                    <w:rPr>
                      <w:bCs/>
                      <w:color w:val="auto"/>
                      <w:sz w:val="22"/>
                      <w:szCs w:val="22"/>
                      <w:u w:val="single" w:color="auto"/>
                    </w:rPr>
                    <w:t>）</w:t>
                  </w:r>
                  <w:r>
                    <w:rPr>
                      <w:rFonts w:hint="eastAsia" w:cs="Times New Roman"/>
                      <w:color w:val="auto"/>
                      <w:sz w:val="22"/>
                      <w:szCs w:val="22"/>
                      <w:u w:val="single" w:color="auto"/>
                      <w:lang w:val="en-US" w:eastAsia="zh-CN"/>
                    </w:rPr>
                    <w:t>无组织</w:t>
                  </w:r>
                  <w:r>
                    <w:rPr>
                      <w:rFonts w:hint="default" w:ascii="Times New Roman" w:hAnsi="Times New Roman" w:cs="Times New Roman"/>
                      <w:color w:val="auto"/>
                      <w:sz w:val="22"/>
                      <w:szCs w:val="22"/>
                      <w:u w:val="single" w:color="auto"/>
                      <w:lang w:val="en-US" w:eastAsia="zh-CN"/>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18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石粉筒仓粉尘</w:t>
                  </w:r>
                </w:p>
              </w:tc>
              <w:tc>
                <w:tcPr>
                  <w:tcW w:w="2828" w:type="dxa"/>
                  <w:tcBorders>
                    <w:tl2br w:val="nil"/>
                    <w:tr2bl w:val="nil"/>
                  </w:tcBorders>
                  <w:noWrap w:val="0"/>
                  <w:vAlign w:val="center"/>
                </w:tcPr>
                <w:p>
                  <w:pPr>
                    <w:spacing w:line="360" w:lineRule="auto"/>
                    <w:jc w:val="center"/>
                    <w:rPr>
                      <w:rFonts w:hint="eastAsia" w:ascii="Times New Roman" w:hAnsi="Times New Roman" w:cs="Times New Roman"/>
                      <w:color w:val="auto"/>
                      <w:sz w:val="22"/>
                      <w:szCs w:val="22"/>
                      <w:u w:val="single" w:color="auto"/>
                      <w:lang w:val="en-US" w:eastAsia="zh-CN"/>
                    </w:rPr>
                  </w:pPr>
                  <w:r>
                    <w:rPr>
                      <w:rFonts w:hint="eastAsia"/>
                      <w:color w:val="auto"/>
                      <w:sz w:val="21"/>
                      <w:szCs w:val="21"/>
                      <w:u w:val="single" w:color="auto"/>
                      <w:lang w:val="en-US" w:eastAsia="zh-CN"/>
                    </w:rPr>
                    <w:t>经自带的脉冲式布袋除尘器处理后经呼吸阀排放</w:t>
                  </w:r>
                </w:p>
              </w:tc>
              <w:tc>
                <w:tcPr>
                  <w:tcW w:w="1965"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olor w:val="auto"/>
                      <w:sz w:val="21"/>
                      <w:szCs w:val="21"/>
                      <w:u w:val="single" w:color="auto"/>
                      <w:lang w:val="en-US" w:eastAsia="zh-CN"/>
                    </w:rPr>
                    <w:t>自带的脉冲式布袋除尘器</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bCs/>
                      <w:color w:val="auto"/>
                      <w:sz w:val="22"/>
                      <w:szCs w:val="22"/>
                      <w:u w:val="single" w:color="auto"/>
                    </w:rPr>
                    <w:t>《水泥工业大气污染物排放标准》（GB4915-20</w:t>
                  </w:r>
                  <w:r>
                    <w:rPr>
                      <w:rFonts w:hint="eastAsia"/>
                      <w:bCs/>
                      <w:color w:val="auto"/>
                      <w:sz w:val="22"/>
                      <w:szCs w:val="22"/>
                      <w:u w:val="single" w:color="auto"/>
                    </w:rPr>
                    <w:t>13</w:t>
                  </w:r>
                  <w:r>
                    <w:rPr>
                      <w:bCs/>
                      <w:color w:val="auto"/>
                      <w:sz w:val="22"/>
                      <w:szCs w:val="22"/>
                      <w:u w:val="single" w:color="auto"/>
                    </w:rPr>
                    <w:t>）</w:t>
                  </w:r>
                  <w:r>
                    <w:rPr>
                      <w:rFonts w:hint="eastAsia" w:cs="Times New Roman"/>
                      <w:color w:val="auto"/>
                      <w:sz w:val="22"/>
                      <w:szCs w:val="22"/>
                      <w:u w:val="single" w:color="auto"/>
                      <w:lang w:val="en-US" w:eastAsia="zh-CN"/>
                    </w:rPr>
                    <w:t>无组织</w:t>
                  </w:r>
                  <w:r>
                    <w:rPr>
                      <w:rFonts w:hint="default" w:ascii="Times New Roman" w:hAnsi="Times New Roman" w:cs="Times New Roman"/>
                      <w:color w:val="auto"/>
                      <w:sz w:val="22"/>
                      <w:szCs w:val="22"/>
                      <w:u w:val="single" w:color="auto"/>
                      <w:lang w:val="en-US" w:eastAsia="zh-CN"/>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固废</w:t>
                  </w:r>
                </w:p>
              </w:tc>
              <w:tc>
                <w:tcPr>
                  <w:tcW w:w="118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一般</w:t>
                  </w:r>
                </w:p>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固废</w:t>
                  </w:r>
                </w:p>
              </w:tc>
              <w:tc>
                <w:tcPr>
                  <w:tcW w:w="282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按《一般工业固体废物贮存、处置场污染控制标准》（GB18599-2001）及其修改单的要求固定堆存</w:t>
                  </w:r>
                </w:p>
              </w:tc>
              <w:tc>
                <w:tcPr>
                  <w:tcW w:w="196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建设一般固废堆场</w:t>
                  </w:r>
                </w:p>
              </w:tc>
              <w:tc>
                <w:tcPr>
                  <w:tcW w:w="239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可回收的外售综合利用、不可回收的交由环卫部门进行处理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18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危险</w:t>
                  </w:r>
                </w:p>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废物</w:t>
                  </w:r>
                </w:p>
              </w:tc>
              <w:tc>
                <w:tcPr>
                  <w:tcW w:w="282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《危险废物贮存污染控制标准》</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rPr>
                    <w:t>GB18597-2001）及2013年修改单</w:t>
                  </w:r>
                </w:p>
              </w:tc>
              <w:tc>
                <w:tcPr>
                  <w:tcW w:w="196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危险废物储存间</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交由</w:t>
                  </w:r>
                  <w:r>
                    <w:rPr>
                      <w:rFonts w:hint="eastAsia" w:cs="Times New Roman"/>
                      <w:color w:val="auto"/>
                      <w:sz w:val="22"/>
                      <w:szCs w:val="22"/>
                      <w:u w:val="single" w:color="auto"/>
                      <w:lang w:val="en-US" w:eastAsia="zh-CN"/>
                    </w:rPr>
                    <w:t>有资质单位进行处理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18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垃圾</w:t>
                  </w:r>
                </w:p>
              </w:tc>
              <w:tc>
                <w:tcPr>
                  <w:tcW w:w="282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rPr>
                    <w:t>集中收集后</w:t>
                  </w:r>
                  <w:r>
                    <w:rPr>
                      <w:rFonts w:hint="default" w:ascii="Times New Roman" w:hAnsi="Times New Roman" w:cs="Times New Roman"/>
                      <w:color w:val="auto"/>
                      <w:sz w:val="22"/>
                      <w:szCs w:val="22"/>
                      <w:u w:val="single" w:color="auto"/>
                      <w:lang w:eastAsia="zh-CN"/>
                    </w:rPr>
                    <w:t>交由环卫部门</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进行处理</w:t>
                  </w:r>
                </w:p>
              </w:tc>
              <w:tc>
                <w:tcPr>
                  <w:tcW w:w="1965"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rPr>
                    <w:t>生活垃圾</w:t>
                  </w:r>
                  <w:r>
                    <w:rPr>
                      <w:rFonts w:hint="eastAsia" w:cs="Times New Roman"/>
                      <w:color w:val="auto"/>
                      <w:sz w:val="22"/>
                      <w:szCs w:val="22"/>
                      <w:u w:val="single" w:color="auto"/>
                      <w:lang w:eastAsia="zh-CN"/>
                    </w:rPr>
                    <w:t>桶</w:t>
                  </w:r>
                </w:p>
              </w:tc>
              <w:tc>
                <w:tcPr>
                  <w:tcW w:w="239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118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机械</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2828"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对所有高噪声的机械设备的安装，其基础均应作减振处理；</w:t>
                  </w:r>
                </w:p>
                <w:p>
                  <w:pPr>
                    <w:adjustRightInd w:val="0"/>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加强设备的日常维护管理，发现问题及时处理，使设备始终保持在良好状态；合理布局</w:t>
                  </w:r>
                </w:p>
              </w:tc>
              <w:tc>
                <w:tcPr>
                  <w:tcW w:w="196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隔声降噪措施</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达到《工业企业厂界环境噪声排放标准》(GB12348-2008)</w:t>
                  </w:r>
                  <w:r>
                    <w:rPr>
                      <w:rFonts w:hint="eastAsia" w:cs="Times New Roman"/>
                      <w:color w:val="auto"/>
                      <w:sz w:val="22"/>
                      <w:szCs w:val="22"/>
                      <w:u w:val="single" w:color="auto"/>
                      <w:lang w:val="en-US" w:eastAsia="zh-CN"/>
                    </w:rPr>
                    <w:t>2</w:t>
                  </w:r>
                  <w:r>
                    <w:rPr>
                      <w:rFonts w:hint="default" w:ascii="Times New Roman" w:hAnsi="Times New Roman" w:cs="Times New Roman"/>
                      <w:color w:val="auto"/>
                      <w:sz w:val="22"/>
                      <w:szCs w:val="22"/>
                      <w:u w:val="single" w:color="auto"/>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其他</w:t>
                  </w:r>
                </w:p>
              </w:tc>
              <w:tc>
                <w:tcPr>
                  <w:tcW w:w="1182"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初期雨水</w:t>
                  </w:r>
                </w:p>
              </w:tc>
              <w:tc>
                <w:tcPr>
                  <w:tcW w:w="7188" w:type="dxa"/>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初期雨水沉淀池</w:t>
                  </w:r>
                </w:p>
              </w:tc>
            </w:tr>
          </w:tbl>
          <w:p>
            <w:pPr>
              <w:spacing w:line="360" w:lineRule="auto"/>
              <w:rPr>
                <w:rFonts w:hint="default" w:ascii="Times New Roman" w:hAnsi="Times New Roman" w:cs="Times New Roman"/>
                <w:color w:val="auto"/>
                <w:sz w:val="24"/>
                <w:szCs w:val="24"/>
                <w:u w:val="none" w:color="auto"/>
              </w:rPr>
            </w:pPr>
          </w:p>
        </w:tc>
      </w:tr>
    </w:tbl>
    <w:p>
      <w:pPr>
        <w:snapToGrid w:val="0"/>
        <w:outlineLvl w:val="0"/>
        <w:rPr>
          <w:rFonts w:eastAsia="黑体"/>
          <w:b/>
          <w:bCs/>
          <w:color w:val="auto"/>
          <w:sz w:val="32"/>
          <w:u w:val="none" w:color="auto"/>
        </w:rPr>
      </w:pPr>
      <w:r>
        <w:rPr>
          <w:color w:val="auto"/>
          <w:u w:val="none" w:color="auto"/>
        </w:rPr>
        <w:br w:type="page"/>
      </w:r>
      <w:bookmarkStart w:id="15" w:name="_Toc6822"/>
      <w:r>
        <w:rPr>
          <w:rFonts w:hint="default" w:ascii="Times New Roman" w:hAnsi="Times New Roman" w:eastAsia="宋体" w:cs="Times New Roman"/>
          <w:b/>
          <w:bCs/>
          <w:color w:val="auto"/>
          <w:sz w:val="32"/>
          <w:szCs w:val="32"/>
          <w:u w:val="none" w:color="auto"/>
        </w:rPr>
        <mc:AlternateContent>
          <mc:Choice Requires="wps">
            <w:drawing>
              <wp:anchor distT="0" distB="0" distL="114300" distR="114300" simplePos="0" relativeHeight="251658240" behindDoc="0" locked="0" layoutInCell="0" allowOverlap="1">
                <wp:simplePos x="0" y="0"/>
                <wp:positionH relativeFrom="column">
                  <wp:posOffset>-6223000</wp:posOffset>
                </wp:positionH>
                <wp:positionV relativeFrom="paragraph">
                  <wp:posOffset>1311275</wp:posOffset>
                </wp:positionV>
                <wp:extent cx="5334000" cy="635"/>
                <wp:effectExtent l="8890" t="11430" r="10160" b="6985"/>
                <wp:wrapNone/>
                <wp:docPr id="10" name="直线 24"/>
                <wp:cNvGraphicFramePr/>
                <a:graphic xmlns:a="http://schemas.openxmlformats.org/drawingml/2006/main">
                  <a:graphicData uri="http://schemas.microsoft.com/office/word/2010/wordprocessingShape">
                    <wps:wsp>
                      <wps:cNvCnPr>
                        <a:cxnSpLocks noChangeShapeType="1"/>
                      </wps:cNvCnPr>
                      <wps:spPr bwMode="auto">
                        <a:xfrm>
                          <a:off x="0" y="0"/>
                          <a:ext cx="5334000" cy="635"/>
                        </a:xfrm>
                        <a:prstGeom prst="line">
                          <a:avLst/>
                        </a:prstGeom>
                        <a:noFill/>
                        <a:ln w="9525">
                          <a:solidFill>
                            <a:srgbClr val="000000"/>
                          </a:solidFill>
                          <a:round/>
                        </a:ln>
                      </wps:spPr>
                      <wps:bodyPr/>
                    </wps:wsp>
                  </a:graphicData>
                </a:graphic>
              </wp:anchor>
            </w:drawing>
          </mc:Choice>
          <mc:Fallback>
            <w:pict>
              <v:line id="直线 24" o:spid="_x0000_s1026" o:spt="20" style="position:absolute;left:0pt;margin-left:-490pt;margin-top:103.25pt;height:0.05pt;width:420pt;z-index:251658240;mso-width-relative:page;mso-height-relative:page;" filled="f" stroked="t" coordsize="21600,21600" o:allowincell="f" o:gfxdata="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CezHZAAAADQEAAA8AAAAA&#10;AAAAAQAgAAAAIgAAAGRycy9kb3ducmV2LnhtbFBLAQIUABQAAAAIAIdO4kC5PIpK2gEAAKUDAAAO&#10;AAAAAAAAAAEAIAAAACg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auto"/>
          <w:sz w:val="32"/>
          <w:szCs w:val="32"/>
          <w:u w:val="none" w:color="auto"/>
        </w:rPr>
        <mc:AlternateContent>
          <mc:Choice Requires="wps">
            <w:drawing>
              <wp:anchor distT="0" distB="0" distL="114300" distR="114300" simplePos="0" relativeHeight="251657216" behindDoc="0" locked="0" layoutInCell="0" allowOverlap="1">
                <wp:simplePos x="0" y="0"/>
                <wp:positionH relativeFrom="column">
                  <wp:posOffset>-6578600</wp:posOffset>
                </wp:positionH>
                <wp:positionV relativeFrom="paragraph">
                  <wp:posOffset>949325</wp:posOffset>
                </wp:positionV>
                <wp:extent cx="5422900" cy="635"/>
                <wp:effectExtent l="5715" t="11430" r="10160" b="6985"/>
                <wp:wrapNone/>
                <wp:docPr id="9" name="直线 25"/>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5" o:spid="_x0000_s1026" o:spt="20" style="position:absolute;left:0pt;margin-left:-518pt;margin-top:74.75pt;height:0.05pt;width:427pt;z-index:251657216;mso-width-relative:page;mso-height-relative:page;" filled="f" stroked="t" coordsize="21600,21600" o:allowincell="f" o:gfxdata="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0lla2gAAAA4BAAAPAAAAAAAA&#10;AAEAIAAAACIAAABkcnMvZG93bnJldi54bWxQSwECFAAUAAAACACHTuJAbXIARtcBAACkAwAADgAA&#10;AAAAAAABACAAAAAp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auto"/>
          <w:sz w:val="32"/>
          <w:szCs w:val="32"/>
          <w:u w:val="none" w:color="auto"/>
        </w:rPr>
        <mc:AlternateContent>
          <mc:Choice Requires="wps">
            <w:drawing>
              <wp:anchor distT="0" distB="0" distL="114300" distR="114300" simplePos="0" relativeHeight="251659264" behindDoc="0" locked="0" layoutInCell="0" allowOverlap="1">
                <wp:simplePos x="0" y="0"/>
                <wp:positionH relativeFrom="column">
                  <wp:posOffset>-6223000</wp:posOffset>
                </wp:positionH>
                <wp:positionV relativeFrom="paragraph">
                  <wp:posOffset>346075</wp:posOffset>
                </wp:positionV>
                <wp:extent cx="4889500" cy="635"/>
                <wp:effectExtent l="8890" t="8255" r="6985" b="10160"/>
                <wp:wrapNone/>
                <wp:docPr id="8" name="直线 26"/>
                <wp:cNvGraphicFramePr/>
                <a:graphic xmlns:a="http://schemas.openxmlformats.org/drawingml/2006/main">
                  <a:graphicData uri="http://schemas.microsoft.com/office/word/2010/wordprocessingShape">
                    <wps:wsp>
                      <wps:cNvCnPr>
                        <a:cxnSpLocks noChangeShapeType="1"/>
                      </wps:cNvCnPr>
                      <wps:spPr bwMode="auto">
                        <a:xfrm>
                          <a:off x="0" y="0"/>
                          <a:ext cx="4889500" cy="635"/>
                        </a:xfrm>
                        <a:prstGeom prst="line">
                          <a:avLst/>
                        </a:prstGeom>
                        <a:noFill/>
                        <a:ln w="9525">
                          <a:solidFill>
                            <a:srgbClr val="000000"/>
                          </a:solidFill>
                          <a:round/>
                        </a:ln>
                      </wps:spPr>
                      <wps:bodyPr/>
                    </wps:wsp>
                  </a:graphicData>
                </a:graphic>
              </wp:anchor>
            </w:drawing>
          </mc:Choice>
          <mc:Fallback>
            <w:pict>
              <v:line id="直线 26" o:spid="_x0000_s1026" o:spt="20" style="position:absolute;left:0pt;margin-left:-490pt;margin-top:27.25pt;height:0.05pt;width:385pt;z-index:251659264;mso-width-relative:page;mso-height-relative:page;" filled="f" stroked="t" coordsize="21600,21600" o:allowincell="f" o:gfxdata="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zAnGdgAAAALAQAADwAAAAAA&#10;AAABACAAAAAiAAAAZHJzL2Rvd25yZXYueG1sUEsBAhQAFAAAAAgAh07iQBJhCDDaAQAApAMAAA4A&#10;AAAAAAAAAQAgAAAAJw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auto"/>
          <w:sz w:val="32"/>
          <w:szCs w:val="32"/>
          <w:u w:val="none" w:color="auto"/>
        </w:rPr>
        <mc:AlternateContent>
          <mc:Choice Requires="wps">
            <w:drawing>
              <wp:anchor distT="0" distB="0" distL="114300" distR="114300" simplePos="0" relativeHeight="251656192" behindDoc="0" locked="0" layoutInCell="0" allowOverlap="1">
                <wp:simplePos x="0" y="0"/>
                <wp:positionH relativeFrom="column">
                  <wp:posOffset>-7112000</wp:posOffset>
                </wp:positionH>
                <wp:positionV relativeFrom="paragraph">
                  <wp:posOffset>466725</wp:posOffset>
                </wp:positionV>
                <wp:extent cx="5422900" cy="635"/>
                <wp:effectExtent l="5715" t="5080" r="10160" b="13335"/>
                <wp:wrapNone/>
                <wp:docPr id="7" name="直线 27"/>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7" o:spid="_x0000_s1026" o:spt="20" style="position:absolute;left:0pt;margin-left:-560pt;margin-top:36.75pt;height:0.05pt;width:427pt;z-index:251656192;mso-width-relative:page;mso-height-relative:page;" filled="f" stroked="t" coordsize="21600,21600" o:allowincell="f" o:gfxdata="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NIEB1wAAAAwBAAAPAAAAAAAA&#10;AAEAIAAAACIAAABkcnMvZG93bnJldi54bWxQSwECFAAUAAAACACHTuJAnCkG/NoBAACkAwAADgAA&#10;AAAAAAABACAAAAAm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auto"/>
          <w:sz w:val="32"/>
          <w:szCs w:val="32"/>
          <w:u w:val="none" w:color="auto"/>
        </w:rPr>
        <w:t>八、建设项目拟采取的防治措施及</w:t>
      </w:r>
      <w:r>
        <w:rPr>
          <w:rFonts w:hint="default" w:ascii="Times New Roman" w:hAnsi="Times New Roman" w:eastAsia="宋体" w:cs="Times New Roman"/>
          <w:b/>
          <w:bCs/>
          <w:color w:val="auto"/>
          <w:sz w:val="32"/>
          <w:u w:val="none" w:color="auto"/>
        </w:rPr>
        <w:t>预期治理效果</w:t>
      </w:r>
      <w:bookmarkEnd w:id="15"/>
    </w:p>
    <w:tbl>
      <w:tblPr>
        <w:tblStyle w:val="40"/>
        <w:tblW w:w="96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60"/>
        <w:gridCol w:w="1305"/>
        <w:gridCol w:w="1710"/>
        <w:gridCol w:w="2340"/>
        <w:gridCol w:w="2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75" w:type="dxa"/>
            <w:tcBorders>
              <w:tl2br w:val="nil"/>
              <w:tr2bl w:val="nil"/>
            </w:tcBorders>
            <w:vAlign w:val="center"/>
          </w:tcPr>
          <w:p>
            <w:pPr>
              <w:snapToGrid w:val="0"/>
              <w:spacing w:line="360" w:lineRule="auto"/>
              <w:jc w:val="both"/>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内容</w:t>
            </w:r>
          </w:p>
          <w:p>
            <w:pPr>
              <w:snapToGrid w:val="0"/>
              <w:spacing w:line="360" w:lineRule="auto"/>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类型</w:t>
            </w:r>
          </w:p>
        </w:tc>
        <w:tc>
          <w:tcPr>
            <w:tcW w:w="1965" w:type="dxa"/>
            <w:gridSpan w:val="2"/>
            <w:tcBorders>
              <w:tl2br w:val="nil"/>
              <w:tr2bl w:val="nil"/>
            </w:tcBorders>
            <w:vAlign w:val="center"/>
          </w:tcPr>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排放源</w:t>
            </w:r>
          </w:p>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（编号）</w:t>
            </w:r>
          </w:p>
        </w:tc>
        <w:tc>
          <w:tcPr>
            <w:tcW w:w="1710" w:type="dxa"/>
            <w:tcBorders>
              <w:tl2br w:val="nil"/>
              <w:tr2bl w:val="nil"/>
            </w:tcBorders>
            <w:vAlign w:val="center"/>
          </w:tcPr>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污染物</w:t>
            </w:r>
          </w:p>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名称</w:t>
            </w:r>
          </w:p>
        </w:tc>
        <w:tc>
          <w:tcPr>
            <w:tcW w:w="2340" w:type="dxa"/>
            <w:tcBorders>
              <w:tl2br w:val="nil"/>
              <w:tr2bl w:val="nil"/>
            </w:tcBorders>
            <w:vAlign w:val="center"/>
          </w:tcPr>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防治措施</w:t>
            </w:r>
          </w:p>
        </w:tc>
        <w:tc>
          <w:tcPr>
            <w:tcW w:w="2920" w:type="dxa"/>
            <w:tcBorders>
              <w:tl2br w:val="nil"/>
              <w:tr2bl w:val="nil"/>
            </w:tcBorders>
            <w:vAlign w:val="center"/>
          </w:tcPr>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预期</w:t>
            </w:r>
          </w:p>
          <w:p>
            <w:pPr>
              <w:snapToGrid w:val="0"/>
              <w:spacing w:line="360" w:lineRule="auto"/>
              <w:ind w:left="-101" w:leftChars="-50" w:right="-101" w:rightChars="-50"/>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0" w:hRule="atLeast"/>
          <w:jc w:val="center"/>
        </w:trPr>
        <w:tc>
          <w:tcPr>
            <w:tcW w:w="675"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大气污染物</w:t>
            </w:r>
          </w:p>
        </w:tc>
        <w:tc>
          <w:tcPr>
            <w:tcW w:w="660"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营运期</w:t>
            </w:r>
          </w:p>
        </w:tc>
        <w:tc>
          <w:tcPr>
            <w:tcW w:w="130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eastAsia="zh-CN"/>
              </w:rPr>
              <w:t>喷漆</w:t>
            </w:r>
            <w:r>
              <w:rPr>
                <w:rFonts w:hint="eastAsia" w:cs="Times New Roman"/>
                <w:color w:val="auto"/>
                <w:sz w:val="22"/>
                <w:szCs w:val="22"/>
                <w:u w:val="none" w:color="auto"/>
                <w:lang w:val="en-US" w:eastAsia="zh-CN"/>
              </w:rPr>
              <w:t>烘干</w:t>
            </w:r>
          </w:p>
          <w:p>
            <w:pPr>
              <w:adjustRightInd w:val="0"/>
              <w:snapToGrid w:val="0"/>
              <w:spacing w:line="360" w:lineRule="auto"/>
              <w:jc w:val="center"/>
              <w:rPr>
                <w:rFonts w:hint="default" w:ascii="Times New Roman" w:hAnsi="Times New Roman" w:cs="Times New Roman"/>
                <w:color w:val="auto"/>
                <w:sz w:val="22"/>
                <w:szCs w:val="22"/>
                <w:u w:val="none" w:color="auto"/>
                <w:lang w:val="en-US"/>
              </w:rPr>
            </w:pPr>
            <w:r>
              <w:rPr>
                <w:rFonts w:hint="eastAsia" w:ascii="Times New Roman" w:hAnsi="Times New Roman" w:cs="Times New Roman"/>
                <w:color w:val="auto"/>
                <w:sz w:val="22"/>
                <w:szCs w:val="22"/>
                <w:u w:val="none" w:color="auto"/>
                <w:lang w:eastAsia="zh-CN"/>
              </w:rPr>
              <w:t>废气</w:t>
            </w:r>
            <w:r>
              <w:rPr>
                <w:rFonts w:hint="eastAsia" w:ascii="Times New Roman" w:hAnsi="Times New Roman" w:cs="Times New Roman"/>
                <w:color w:val="auto"/>
                <w:sz w:val="22"/>
                <w:szCs w:val="22"/>
                <w:u w:val="none" w:color="auto"/>
                <w:lang w:val="en-US" w:eastAsia="zh-CN"/>
              </w:rPr>
              <w:t>排气筒</w:t>
            </w:r>
          </w:p>
        </w:tc>
        <w:tc>
          <w:tcPr>
            <w:tcW w:w="1710" w:type="dxa"/>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颗粒物、</w:t>
            </w:r>
            <w:r>
              <w:rPr>
                <w:rFonts w:hint="default" w:ascii="Times New Roman" w:hAnsi="Times New Roman" w:cs="Times New Roman"/>
                <w:color w:val="auto"/>
                <w:sz w:val="22"/>
                <w:szCs w:val="22"/>
                <w:u w:val="none" w:color="auto"/>
              </w:rPr>
              <w:t>VOCs</w:t>
            </w:r>
          </w:p>
        </w:tc>
        <w:tc>
          <w:tcPr>
            <w:tcW w:w="2340" w:type="dxa"/>
            <w:tcBorders>
              <w:tl2br w:val="nil"/>
              <w:tr2bl w:val="nil"/>
            </w:tcBorders>
            <w:vAlign w:val="center"/>
          </w:tcPr>
          <w:p>
            <w:pPr>
              <w:spacing w:line="360" w:lineRule="auto"/>
              <w:jc w:val="center"/>
              <w:rPr>
                <w:rFonts w:hint="default" w:ascii="Times New Roman" w:hAnsi="Times New Roman" w:cs="Times New Roman"/>
                <w:color w:val="auto"/>
                <w:kern w:val="0"/>
                <w:sz w:val="22"/>
                <w:szCs w:val="22"/>
                <w:u w:val="none" w:color="auto"/>
              </w:rPr>
            </w:pPr>
            <w:r>
              <w:rPr>
                <w:rFonts w:hint="eastAsia"/>
                <w:color w:val="auto"/>
                <w:sz w:val="22"/>
                <w:szCs w:val="22"/>
                <w:u w:val="none" w:color="auto"/>
                <w:lang w:val="en-US" w:eastAsia="zh-CN"/>
              </w:rPr>
              <w:t>喷漆烘干废气：过滤棉+活性炭吸附设施</w:t>
            </w:r>
          </w:p>
        </w:tc>
        <w:tc>
          <w:tcPr>
            <w:tcW w:w="2920" w:type="dxa"/>
            <w:tcBorders>
              <w:tl2br w:val="nil"/>
              <w:tr2bl w:val="nil"/>
            </w:tcBorders>
            <w:vAlign w:val="center"/>
          </w:tcPr>
          <w:p>
            <w:pPr>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sz w:val="22"/>
                <w:szCs w:val="22"/>
                <w:u w:val="none" w:color="auto"/>
                <w:lang w:eastAsia="zh-CN"/>
              </w:rPr>
              <w:t>《大气污染物综合排放标准》（</w:t>
            </w:r>
            <w:r>
              <w:rPr>
                <w:rFonts w:hint="default" w:ascii="Times New Roman" w:hAnsi="Times New Roman" w:cs="Times New Roman"/>
                <w:color w:val="auto"/>
                <w:sz w:val="22"/>
                <w:szCs w:val="22"/>
                <w:u w:val="none" w:color="auto"/>
                <w:lang w:val="en-US" w:eastAsia="zh-CN"/>
              </w:rPr>
              <w:t>GB16297-1996)</w:t>
            </w:r>
            <w:r>
              <w:rPr>
                <w:rFonts w:hint="eastAsia" w:ascii="Times New Roman" w:hAnsi="Times New Roman" w:cs="Times New Roman"/>
                <w:color w:val="auto"/>
                <w:sz w:val="22"/>
                <w:szCs w:val="22"/>
                <w:u w:val="none" w:color="auto"/>
                <w:lang w:val="en-US" w:eastAsia="zh-CN"/>
              </w:rPr>
              <w:t>二级</w:t>
            </w:r>
            <w:r>
              <w:rPr>
                <w:rFonts w:hint="default" w:ascii="Times New Roman" w:hAnsi="Times New Roman" w:cs="Times New Roman"/>
                <w:color w:val="auto"/>
                <w:sz w:val="22"/>
                <w:szCs w:val="22"/>
                <w:u w:val="none" w:color="auto"/>
                <w:lang w:val="en-US" w:eastAsia="zh-CN"/>
              </w:rPr>
              <w:t>排放标准</w:t>
            </w:r>
            <w:r>
              <w:rPr>
                <w:rFonts w:hint="eastAsia" w:cs="Times New Roman"/>
                <w:color w:val="auto"/>
                <w:sz w:val="22"/>
                <w:szCs w:val="22"/>
                <w:u w:val="none" w:color="auto"/>
                <w:lang w:val="en-US" w:eastAsia="zh-CN"/>
              </w:rPr>
              <w:t>；</w:t>
            </w:r>
            <w:r>
              <w:rPr>
                <w:rFonts w:hint="default" w:ascii="Times New Roman" w:hAnsi="Times New Roman" w:eastAsia="宋体" w:cs="Times New Roman"/>
                <w:color w:val="auto"/>
                <w:kern w:val="0"/>
                <w:sz w:val="22"/>
                <w:szCs w:val="22"/>
                <w:u w:val="none" w:color="auto"/>
                <w:lang w:val="en-US" w:eastAsia="zh-CN" w:bidi="ar"/>
              </w:rPr>
              <w:t>《表面涂装（汽车制造及维修）挥发性有机物、镍排放标准》 （DB43/1356-2017）</w:t>
            </w:r>
            <w:r>
              <w:rPr>
                <w:rFonts w:hint="eastAsia" w:cs="Times New Roman"/>
                <w:color w:val="auto"/>
                <w:kern w:val="0"/>
                <w:sz w:val="22"/>
                <w:szCs w:val="22"/>
                <w:u w:val="none" w:color="auto"/>
                <w:lang w:val="en-US" w:eastAsia="zh-CN" w:bidi="ar"/>
              </w:rPr>
              <w:t>表1、表3排放标准要求</w:t>
            </w:r>
            <w:r>
              <w:rPr>
                <w:rFonts w:hint="default" w:ascii="Times New Roman" w:hAnsi="Times New Roman" w:eastAsia="宋体" w:cs="Times New Roman"/>
                <w:color w:val="auto"/>
                <w:sz w:val="22"/>
                <w:szCs w:val="22"/>
                <w:u w:val="none" w:color="auto"/>
                <w:lang w:val="en-US" w:eastAsia="zh-CN"/>
              </w:rPr>
              <w:t>；无组织有机废气排放执行《挥发性有机物无组织排放控制标准》（GB37822-2019）中限值要求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1305"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水泥筒仓粉尘</w:t>
            </w:r>
          </w:p>
        </w:tc>
        <w:tc>
          <w:tcPr>
            <w:tcW w:w="171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颗粒物</w:t>
            </w:r>
          </w:p>
        </w:tc>
        <w:tc>
          <w:tcPr>
            <w:tcW w:w="234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olor w:val="auto"/>
                <w:sz w:val="21"/>
                <w:szCs w:val="21"/>
                <w:u w:val="none" w:color="auto"/>
                <w:lang w:val="en-US" w:eastAsia="zh-CN"/>
              </w:rPr>
              <w:t>经自带的脉冲式布袋除尘器处理后经呼吸阀排放</w:t>
            </w:r>
          </w:p>
        </w:tc>
        <w:tc>
          <w:tcPr>
            <w:tcW w:w="292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eastAsia="zh-CN"/>
              </w:rPr>
            </w:pPr>
            <w:r>
              <w:rPr>
                <w:bCs/>
                <w:color w:val="auto"/>
                <w:sz w:val="22"/>
                <w:szCs w:val="22"/>
              </w:rPr>
              <w:t>《水泥工业大气污染物排放标准》（GB4915-20</w:t>
            </w:r>
            <w:r>
              <w:rPr>
                <w:rFonts w:hint="eastAsia"/>
                <w:bCs/>
                <w:color w:val="auto"/>
                <w:sz w:val="22"/>
                <w:szCs w:val="22"/>
              </w:rPr>
              <w:t>13</w:t>
            </w:r>
            <w:r>
              <w:rPr>
                <w:bCs/>
                <w:color w:val="auto"/>
                <w:sz w:val="22"/>
                <w:szCs w:val="22"/>
              </w:rPr>
              <w:t>）</w:t>
            </w:r>
            <w:r>
              <w:rPr>
                <w:rFonts w:hint="eastAsia" w:cs="Times New Roman"/>
                <w:color w:val="auto"/>
                <w:sz w:val="22"/>
                <w:szCs w:val="22"/>
                <w:u w:val="none" w:color="auto"/>
                <w:lang w:val="en-US" w:eastAsia="zh-CN"/>
              </w:rPr>
              <w:t>无组织</w:t>
            </w:r>
            <w:r>
              <w:rPr>
                <w:rFonts w:hint="default" w:ascii="Times New Roman" w:hAnsi="Times New Roman" w:cs="Times New Roman"/>
                <w:color w:val="auto"/>
                <w:sz w:val="22"/>
                <w:szCs w:val="22"/>
                <w:u w:val="none" w:color="auto"/>
                <w:lang w:val="en-US" w:eastAsia="zh-CN"/>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1305" w:type="dxa"/>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石粉筒仓粉尘</w:t>
            </w:r>
          </w:p>
        </w:tc>
        <w:tc>
          <w:tcPr>
            <w:tcW w:w="1710" w:type="dxa"/>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颗粒物</w:t>
            </w:r>
          </w:p>
        </w:tc>
        <w:tc>
          <w:tcPr>
            <w:tcW w:w="2340" w:type="dxa"/>
            <w:tcBorders>
              <w:tl2br w:val="nil"/>
              <w:tr2bl w:val="nil"/>
            </w:tcBorders>
            <w:vAlign w:val="center"/>
          </w:tcPr>
          <w:p>
            <w:pPr>
              <w:spacing w:line="360" w:lineRule="auto"/>
              <w:jc w:val="center"/>
              <w:rPr>
                <w:rFonts w:hint="eastAsia" w:ascii="Times New Roman" w:hAnsi="Times New Roman" w:eastAsia="宋体" w:cs="Times New Roman"/>
                <w:color w:val="auto"/>
                <w:kern w:val="0"/>
                <w:sz w:val="22"/>
                <w:szCs w:val="22"/>
                <w:u w:val="none" w:color="auto"/>
                <w:lang w:eastAsia="zh-CN"/>
              </w:rPr>
            </w:pPr>
            <w:r>
              <w:rPr>
                <w:rFonts w:hint="eastAsia"/>
                <w:color w:val="auto"/>
                <w:sz w:val="21"/>
                <w:szCs w:val="21"/>
                <w:u w:val="none" w:color="auto"/>
                <w:lang w:val="en-US" w:eastAsia="zh-CN"/>
              </w:rPr>
              <w:t>经自带的脉冲式布袋除尘器处理后经呼吸阀排放</w:t>
            </w:r>
          </w:p>
        </w:tc>
        <w:tc>
          <w:tcPr>
            <w:tcW w:w="2920" w:type="dxa"/>
            <w:tcBorders>
              <w:tl2br w:val="nil"/>
              <w:tr2bl w:val="nil"/>
            </w:tcBorders>
            <w:vAlign w:val="center"/>
          </w:tcPr>
          <w:p>
            <w:pPr>
              <w:adjustRightInd w:val="0"/>
              <w:snapToGrid w:val="0"/>
              <w:spacing w:line="360" w:lineRule="auto"/>
              <w:ind w:left="-105" w:leftChars="0" w:right="-105" w:rightChars="0"/>
              <w:jc w:val="center"/>
              <w:rPr>
                <w:rFonts w:hint="default" w:ascii="Times New Roman" w:hAnsi="Times New Roman" w:cs="Times New Roman"/>
                <w:color w:val="auto"/>
                <w:kern w:val="0"/>
                <w:sz w:val="22"/>
                <w:szCs w:val="22"/>
                <w:u w:val="none" w:color="auto"/>
              </w:rPr>
            </w:pPr>
            <w:r>
              <w:rPr>
                <w:bCs/>
                <w:color w:val="auto"/>
                <w:sz w:val="22"/>
                <w:szCs w:val="22"/>
              </w:rPr>
              <w:t>《水泥工业大气污染物排放标准》（GB4915-20</w:t>
            </w:r>
            <w:r>
              <w:rPr>
                <w:rFonts w:hint="eastAsia"/>
                <w:bCs/>
                <w:color w:val="auto"/>
                <w:sz w:val="22"/>
                <w:szCs w:val="22"/>
              </w:rPr>
              <w:t>13</w:t>
            </w:r>
            <w:r>
              <w:rPr>
                <w:bCs/>
                <w:color w:val="auto"/>
                <w:sz w:val="22"/>
                <w:szCs w:val="22"/>
              </w:rPr>
              <w:t>）</w:t>
            </w:r>
            <w:r>
              <w:rPr>
                <w:rFonts w:hint="eastAsia" w:cs="Times New Roman"/>
                <w:color w:val="auto"/>
                <w:sz w:val="22"/>
                <w:szCs w:val="22"/>
                <w:u w:val="none" w:color="auto"/>
                <w:lang w:val="en-US" w:eastAsia="zh-CN"/>
              </w:rPr>
              <w:t>无组织</w:t>
            </w:r>
            <w:r>
              <w:rPr>
                <w:rFonts w:hint="default" w:ascii="Times New Roman" w:hAnsi="Times New Roman" w:cs="Times New Roman"/>
                <w:color w:val="auto"/>
                <w:sz w:val="22"/>
                <w:szCs w:val="22"/>
                <w:u w:val="none" w:color="auto"/>
                <w:lang w:val="en-US" w:eastAsia="zh-CN"/>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75"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水污染物</w:t>
            </w:r>
          </w:p>
        </w:tc>
        <w:tc>
          <w:tcPr>
            <w:tcW w:w="660"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营运期</w:t>
            </w:r>
          </w:p>
        </w:tc>
        <w:tc>
          <w:tcPr>
            <w:tcW w:w="1305" w:type="dxa"/>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w:t>
            </w:r>
          </w:p>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污水</w:t>
            </w:r>
          </w:p>
        </w:tc>
        <w:tc>
          <w:tcPr>
            <w:tcW w:w="1710" w:type="dxa"/>
            <w:tcBorders>
              <w:tl2br w:val="nil"/>
              <w:tr2bl w:val="nil"/>
            </w:tcBorders>
            <w:vAlign w:val="center"/>
          </w:tcPr>
          <w:p>
            <w:pPr>
              <w:pStyle w:val="123"/>
              <w:overflowPunct/>
              <w:autoSpaceDE/>
              <w:autoSpaceDN/>
              <w:snapToGrid w:val="0"/>
              <w:spacing w:line="360" w:lineRule="auto"/>
              <w:jc w:val="center"/>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COD</w:t>
            </w:r>
            <w:r>
              <w:rPr>
                <w:rFonts w:hint="default" w:ascii="Times New Roman" w:hAnsi="Times New Roman" w:cs="Times New Roman"/>
                <w:color w:val="auto"/>
                <w:sz w:val="22"/>
                <w:szCs w:val="22"/>
                <w:u w:val="none" w:color="auto"/>
                <w:vertAlign w:val="subscript"/>
              </w:rPr>
              <w:t>Cr</w:t>
            </w:r>
            <w:r>
              <w:rPr>
                <w:rFonts w:hint="default" w:ascii="Times New Roman" w:hAnsi="Times New Roman" w:cs="Times New Roman"/>
                <w:color w:val="auto"/>
                <w:sz w:val="22"/>
                <w:szCs w:val="22"/>
                <w:u w:val="none" w:color="auto"/>
              </w:rPr>
              <w:t>、NH</w:t>
            </w:r>
            <w:r>
              <w:rPr>
                <w:rFonts w:hint="default" w:ascii="Times New Roman" w:hAnsi="Times New Roman" w:cs="Times New Roman"/>
                <w:color w:val="auto"/>
                <w:sz w:val="22"/>
                <w:szCs w:val="22"/>
                <w:u w:val="none" w:color="auto"/>
                <w:vertAlign w:val="subscript"/>
              </w:rPr>
              <w:t>3</w:t>
            </w:r>
            <w:r>
              <w:rPr>
                <w:rFonts w:hint="default" w:ascii="Times New Roman" w:hAnsi="Times New Roman" w:cs="Times New Roman"/>
                <w:color w:val="auto"/>
                <w:sz w:val="22"/>
                <w:szCs w:val="22"/>
                <w:u w:val="none" w:color="auto"/>
              </w:rPr>
              <w:t>-N</w:t>
            </w:r>
          </w:p>
        </w:tc>
        <w:tc>
          <w:tcPr>
            <w:tcW w:w="2340" w:type="dxa"/>
            <w:tcBorders>
              <w:tl2br w:val="nil"/>
              <w:tr2bl w:val="nil"/>
            </w:tcBorders>
            <w:vAlign w:val="center"/>
          </w:tcPr>
          <w:p>
            <w:pPr>
              <w:pStyle w:val="2"/>
              <w:spacing w:before="162" w:line="360" w:lineRule="auto"/>
              <w:ind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eastAsia="zh-CN"/>
              </w:rPr>
              <w:t>废水经</w:t>
            </w:r>
            <w:r>
              <w:rPr>
                <w:rFonts w:hint="eastAsia" w:cs="Times New Roman"/>
                <w:color w:val="auto"/>
                <w:sz w:val="22"/>
                <w:szCs w:val="22"/>
                <w:u w:val="none" w:color="auto"/>
                <w:lang w:val="en-US" w:eastAsia="zh-CN"/>
              </w:rPr>
              <w:t>三级</w:t>
            </w:r>
            <w:r>
              <w:rPr>
                <w:rFonts w:hint="eastAsia" w:cs="Times New Roman"/>
                <w:color w:val="auto"/>
                <w:sz w:val="22"/>
                <w:szCs w:val="22"/>
                <w:u w:val="none" w:color="auto"/>
                <w:lang w:eastAsia="zh-CN"/>
              </w:rPr>
              <w:t>化粪池</w:t>
            </w:r>
            <w:r>
              <w:rPr>
                <w:rFonts w:hint="eastAsia" w:cs="Times New Roman"/>
                <w:color w:val="auto"/>
                <w:sz w:val="22"/>
                <w:szCs w:val="22"/>
                <w:u w:val="none" w:color="auto"/>
                <w:lang w:val="en-US" w:eastAsia="zh-CN"/>
              </w:rPr>
              <w:t>处理</w:t>
            </w:r>
          </w:p>
        </w:tc>
        <w:tc>
          <w:tcPr>
            <w:tcW w:w="2920" w:type="dxa"/>
            <w:tcBorders>
              <w:tl2br w:val="nil"/>
              <w:tr2bl w:val="nil"/>
            </w:tcBorders>
            <w:vAlign w:val="center"/>
          </w:tcPr>
          <w:p>
            <w:pPr>
              <w:adjustRightInd w:val="0"/>
              <w:snapToGrid w:val="0"/>
              <w:spacing w:line="360" w:lineRule="auto"/>
              <w:ind w:left="-105" w:right="-105"/>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回用于绿化、农田施肥，不外排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130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真空脱水、挤压脱水废水</w:t>
            </w:r>
          </w:p>
        </w:tc>
        <w:tc>
          <w:tcPr>
            <w:tcW w:w="1710" w:type="dxa"/>
            <w:tcBorders>
              <w:tl2br w:val="nil"/>
              <w:tr2bl w:val="nil"/>
            </w:tcBorders>
            <w:vAlign w:val="center"/>
          </w:tcPr>
          <w:p>
            <w:pPr>
              <w:pStyle w:val="123"/>
              <w:overflowPunct/>
              <w:autoSpaceDE/>
              <w:autoSpaceDN/>
              <w:snapToGrid w:val="0"/>
              <w:spacing w:line="360" w:lineRule="auto"/>
              <w:jc w:val="center"/>
              <w:textAlignment w:val="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SS</w:t>
            </w:r>
          </w:p>
        </w:tc>
        <w:tc>
          <w:tcPr>
            <w:tcW w:w="234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eastAsia" w:cs="Times New Roman"/>
                <w:color w:val="auto"/>
                <w:sz w:val="22"/>
                <w:szCs w:val="22"/>
                <w:u w:val="none" w:color="auto"/>
                <w:lang w:val="en-US" w:eastAsia="zh-CN"/>
              </w:rPr>
              <w:t>抽回水罐内后回用于打料制浆工序</w:t>
            </w:r>
          </w:p>
        </w:tc>
        <w:tc>
          <w:tcPr>
            <w:tcW w:w="2920" w:type="dxa"/>
            <w:tcBorders>
              <w:tl2br w:val="nil"/>
              <w:tr2bl w:val="nil"/>
            </w:tcBorders>
            <w:vAlign w:val="center"/>
          </w:tcPr>
          <w:p>
            <w:pPr>
              <w:spacing w:line="360" w:lineRule="auto"/>
              <w:jc w:val="center"/>
              <w:rPr>
                <w:color w:val="auto"/>
                <w:sz w:val="22"/>
                <w:szCs w:val="22"/>
                <w:u w:val="none" w:color="auto"/>
              </w:rPr>
            </w:pPr>
            <w:r>
              <w:rPr>
                <w:rFonts w:hint="eastAsia" w:cs="Times New Roman"/>
                <w:color w:val="auto"/>
                <w:sz w:val="22"/>
                <w:szCs w:val="22"/>
                <w:u w:val="none" w:color="auto"/>
                <w:lang w:val="en-US" w:eastAsia="zh-CN"/>
              </w:rPr>
              <w:t>回用于打料制浆工序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130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地面清洗废水</w:t>
            </w:r>
          </w:p>
        </w:tc>
        <w:tc>
          <w:tcPr>
            <w:tcW w:w="1710" w:type="dxa"/>
            <w:tcBorders>
              <w:tl2br w:val="nil"/>
              <w:tr2bl w:val="nil"/>
            </w:tcBorders>
            <w:vAlign w:val="center"/>
          </w:tcPr>
          <w:p>
            <w:pPr>
              <w:pStyle w:val="123"/>
              <w:overflowPunct/>
              <w:autoSpaceDE/>
              <w:autoSpaceDN/>
              <w:snapToGrid w:val="0"/>
              <w:spacing w:line="360" w:lineRule="auto"/>
              <w:jc w:val="center"/>
              <w:textAlignment w:val="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SS</w:t>
            </w:r>
          </w:p>
        </w:tc>
        <w:tc>
          <w:tcPr>
            <w:tcW w:w="234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eastAsia" w:cs="Times New Roman"/>
                <w:color w:val="auto"/>
                <w:sz w:val="22"/>
                <w:szCs w:val="22"/>
                <w:u w:val="none" w:color="auto"/>
                <w:lang w:val="en-US" w:eastAsia="zh-CN"/>
              </w:rPr>
              <w:t>排入搅拌池内用于打料制浆工序</w:t>
            </w:r>
          </w:p>
        </w:tc>
        <w:tc>
          <w:tcPr>
            <w:tcW w:w="2920" w:type="dxa"/>
            <w:tcBorders>
              <w:tl2br w:val="nil"/>
              <w:tr2bl w:val="nil"/>
            </w:tcBorders>
            <w:vAlign w:val="center"/>
          </w:tcPr>
          <w:p>
            <w:pPr>
              <w:spacing w:line="360" w:lineRule="auto"/>
              <w:jc w:val="center"/>
              <w:rPr>
                <w:color w:val="auto"/>
                <w:sz w:val="22"/>
                <w:szCs w:val="22"/>
                <w:u w:val="none" w:color="auto"/>
              </w:rPr>
            </w:pPr>
            <w:r>
              <w:rPr>
                <w:rFonts w:hint="eastAsia" w:cs="Times New Roman"/>
                <w:color w:val="auto"/>
                <w:sz w:val="22"/>
                <w:szCs w:val="22"/>
                <w:u w:val="none" w:color="auto"/>
                <w:lang w:val="en-US" w:eastAsia="zh-CN"/>
              </w:rPr>
              <w:t>回用于打料制浆工序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5"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固体废弃物</w:t>
            </w:r>
          </w:p>
        </w:tc>
        <w:tc>
          <w:tcPr>
            <w:tcW w:w="660"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营运期</w:t>
            </w:r>
          </w:p>
        </w:tc>
        <w:tc>
          <w:tcPr>
            <w:tcW w:w="1305"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生产</w:t>
            </w:r>
          </w:p>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车间</w:t>
            </w:r>
          </w:p>
        </w:tc>
        <w:tc>
          <w:tcPr>
            <w:tcW w:w="171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rPr>
            </w:pPr>
            <w:r>
              <w:rPr>
                <w:rFonts w:hint="eastAsia"/>
                <w:color w:val="auto"/>
                <w:sz w:val="22"/>
                <w:szCs w:val="22"/>
                <w:u w:val="none" w:color="auto"/>
                <w:lang w:eastAsia="zh-CN"/>
              </w:rPr>
              <w:t>废边角料、</w:t>
            </w:r>
            <w:r>
              <w:rPr>
                <w:rFonts w:hint="eastAsia"/>
                <w:color w:val="auto"/>
                <w:sz w:val="22"/>
                <w:szCs w:val="22"/>
                <w:u w:val="none" w:color="auto"/>
                <w:lang w:val="en-US" w:eastAsia="zh-CN"/>
              </w:rPr>
              <w:t>不合格产品</w:t>
            </w:r>
          </w:p>
        </w:tc>
        <w:tc>
          <w:tcPr>
            <w:tcW w:w="2340" w:type="dxa"/>
            <w:vMerge w:val="restar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回用于打料制浆工序</w:t>
            </w:r>
          </w:p>
        </w:tc>
        <w:tc>
          <w:tcPr>
            <w:tcW w:w="2920"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资源化</w:t>
            </w:r>
          </w:p>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无害化</w:t>
            </w:r>
          </w:p>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减量化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val="en-US" w:eastAsia="zh-CN"/>
              </w:rPr>
              <w:t>水罐内沉渣</w:t>
            </w:r>
          </w:p>
        </w:tc>
        <w:tc>
          <w:tcPr>
            <w:tcW w:w="2340" w:type="dxa"/>
            <w:vMerge w:val="continue"/>
            <w:tcBorders>
              <w:tl2br w:val="nil"/>
              <w:tr2bl w:val="nil"/>
            </w:tcBorders>
            <w:vAlign w:val="center"/>
          </w:tcPr>
          <w:p>
            <w:pPr>
              <w:snapToGrid w:val="0"/>
              <w:spacing w:line="360" w:lineRule="auto"/>
              <w:jc w:val="center"/>
              <w:rPr>
                <w:rFonts w:hint="eastAsia" w:ascii="Times New Roman" w:hAnsi="Times New Roman" w:cs="Times New Roman"/>
                <w:color w:val="auto"/>
                <w:sz w:val="22"/>
                <w:szCs w:val="22"/>
                <w:u w:val="none" w:color="auto"/>
                <w:lang w:eastAsia="zh-CN"/>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olor w:val="auto"/>
                <w:sz w:val="22"/>
                <w:szCs w:val="22"/>
                <w:u w:val="none" w:color="auto"/>
                <w:lang w:eastAsia="zh-CN"/>
              </w:rPr>
              <w:t>除尘器收集的粉尘</w:t>
            </w:r>
          </w:p>
        </w:tc>
        <w:tc>
          <w:tcPr>
            <w:tcW w:w="2340"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olor w:val="auto"/>
                <w:sz w:val="22"/>
                <w:szCs w:val="22"/>
                <w:u w:val="none" w:color="auto"/>
                <w:lang w:val="en-US" w:eastAsia="zh-CN"/>
              </w:rPr>
              <w:t>回用于生产</w:t>
            </w: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废包装袋</w:t>
            </w:r>
          </w:p>
        </w:tc>
        <w:tc>
          <w:tcPr>
            <w:tcW w:w="2340"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外售废品回收站处理</w:t>
            </w: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olor w:val="auto"/>
                <w:sz w:val="22"/>
                <w:szCs w:val="22"/>
                <w:u w:val="none" w:color="auto"/>
                <w:lang w:eastAsia="zh-CN"/>
              </w:rPr>
              <w:t>废活性炭</w:t>
            </w:r>
          </w:p>
        </w:tc>
        <w:tc>
          <w:tcPr>
            <w:tcW w:w="2340" w:type="dxa"/>
            <w:vMerge w:val="restar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color w:val="auto"/>
                <w:sz w:val="22"/>
                <w:szCs w:val="22"/>
                <w:u w:val="none" w:color="auto"/>
              </w:rPr>
              <w:t>暂存危废暂存间，定期交由</w:t>
            </w:r>
            <w:r>
              <w:rPr>
                <w:rFonts w:hint="eastAsia"/>
                <w:color w:val="auto"/>
                <w:sz w:val="22"/>
                <w:szCs w:val="22"/>
                <w:u w:val="none" w:color="auto"/>
                <w:lang w:eastAsia="zh-CN"/>
              </w:rPr>
              <w:t>有资质单位回收</w:t>
            </w: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olor w:val="auto"/>
                <w:sz w:val="22"/>
                <w:szCs w:val="22"/>
                <w:u w:val="none" w:color="auto"/>
                <w:lang w:eastAsia="zh-CN"/>
              </w:rPr>
              <w:t>废过滤棉</w:t>
            </w:r>
          </w:p>
        </w:tc>
        <w:tc>
          <w:tcPr>
            <w:tcW w:w="234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eastAsia"/>
                <w:color w:val="auto"/>
                <w:sz w:val="22"/>
                <w:szCs w:val="22"/>
                <w:u w:val="none" w:color="auto"/>
              </w:rPr>
              <w:t>漆渣</w:t>
            </w:r>
          </w:p>
        </w:tc>
        <w:tc>
          <w:tcPr>
            <w:tcW w:w="2340" w:type="dxa"/>
            <w:vMerge w:val="continue"/>
            <w:tcBorders>
              <w:tl2br w:val="nil"/>
              <w:tr2bl w:val="nil"/>
            </w:tcBorders>
            <w:vAlign w:val="center"/>
          </w:tcPr>
          <w:p>
            <w:pPr>
              <w:snapToGrid w:val="0"/>
              <w:spacing w:line="360" w:lineRule="auto"/>
              <w:jc w:val="center"/>
              <w:rPr>
                <w:rFonts w:hint="eastAsia" w:ascii="Times New Roman" w:hAnsi="Times New Roman" w:eastAsia="宋体" w:cs="Times New Roman"/>
                <w:color w:val="auto"/>
                <w:sz w:val="22"/>
                <w:szCs w:val="22"/>
                <w:u w:val="none" w:color="auto"/>
                <w:lang w:eastAsia="zh-CN"/>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cs="Times New Roman"/>
                <w:color w:val="auto"/>
                <w:sz w:val="22"/>
                <w:szCs w:val="22"/>
                <w:u w:val="none" w:color="auto"/>
                <w:lang w:eastAsia="zh-CN"/>
              </w:rPr>
            </w:pPr>
            <w:r>
              <w:rPr>
                <w:rFonts w:hint="eastAsia"/>
                <w:color w:val="auto"/>
                <w:sz w:val="22"/>
                <w:szCs w:val="22"/>
                <w:u w:val="none" w:color="auto"/>
                <w:lang w:eastAsia="zh-CN"/>
              </w:rPr>
              <w:t>废水性漆包装物</w:t>
            </w:r>
          </w:p>
        </w:tc>
        <w:tc>
          <w:tcPr>
            <w:tcW w:w="2340" w:type="dxa"/>
            <w:vMerge w:val="restar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olor w:val="auto"/>
                <w:sz w:val="22"/>
                <w:szCs w:val="22"/>
                <w:u w:val="none" w:color="auto"/>
                <w:lang w:eastAsia="zh-CN"/>
              </w:rPr>
              <w:t>收集后交由环卫部门进行处理</w:t>
            </w: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 xml:space="preserve">                                                                                                                                                                         </w:t>
            </w: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cs="Times New Roman"/>
                <w:color w:val="auto"/>
                <w:sz w:val="22"/>
                <w:szCs w:val="22"/>
                <w:u w:val="none" w:color="auto"/>
                <w:lang w:eastAsia="zh-CN"/>
              </w:rPr>
            </w:pPr>
            <w:r>
              <w:rPr>
                <w:color w:val="auto"/>
                <w:sz w:val="22"/>
                <w:szCs w:val="22"/>
                <w:u w:val="none" w:color="auto"/>
              </w:rPr>
              <w:t>生活垃圾</w:t>
            </w:r>
          </w:p>
        </w:tc>
        <w:tc>
          <w:tcPr>
            <w:tcW w:w="2340"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l2br w:val="nil"/>
              <w:tr2bl w:val="nil"/>
            </w:tcBorders>
            <w:vAlign w:val="center"/>
          </w:tcPr>
          <w:p>
            <w:pPr>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噪声</w:t>
            </w:r>
          </w:p>
        </w:tc>
        <w:tc>
          <w:tcPr>
            <w:tcW w:w="660" w:type="dxa"/>
            <w:tcBorders>
              <w:tl2br w:val="nil"/>
              <w:tr2bl w:val="nil"/>
            </w:tcBorders>
            <w:vAlign w:val="center"/>
          </w:tcPr>
          <w:p>
            <w:pPr>
              <w:snapToGrid w:val="0"/>
              <w:spacing w:line="360" w:lineRule="auto"/>
              <w:jc w:val="center"/>
              <w:rPr>
                <w:rFonts w:hint="default" w:ascii="Times New Roman" w:hAnsi="Times New Roman" w:cs="Times New Roman"/>
                <w:b/>
                <w:color w:val="auto"/>
                <w:kern w:val="0"/>
                <w:sz w:val="22"/>
                <w:szCs w:val="22"/>
                <w:u w:val="none" w:color="auto"/>
              </w:rPr>
            </w:pPr>
            <w:r>
              <w:rPr>
                <w:rFonts w:hint="default" w:ascii="Times New Roman" w:hAnsi="Times New Roman" w:cs="Times New Roman"/>
                <w:color w:val="auto"/>
                <w:sz w:val="22"/>
                <w:szCs w:val="22"/>
                <w:u w:val="none" w:color="auto"/>
              </w:rPr>
              <w:t>营运期</w:t>
            </w:r>
          </w:p>
        </w:tc>
        <w:tc>
          <w:tcPr>
            <w:tcW w:w="8275" w:type="dxa"/>
            <w:gridSpan w:val="4"/>
            <w:tcBorders>
              <w:tl2br w:val="nil"/>
              <w:tr2bl w:val="nil"/>
            </w:tcBorders>
          </w:tcPr>
          <w:p>
            <w:pPr>
              <w:snapToGrid w:val="0"/>
              <w:spacing w:line="360" w:lineRule="auto"/>
              <w:jc w:val="left"/>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噪声主要来源于主要为</w:t>
            </w:r>
            <w:r>
              <w:rPr>
                <w:rFonts w:hint="eastAsia" w:cs="Times New Roman"/>
                <w:color w:val="auto"/>
                <w:sz w:val="22"/>
                <w:szCs w:val="22"/>
                <w:u w:val="none" w:color="auto"/>
                <w:lang w:val="en-US" w:eastAsia="zh-CN"/>
              </w:rPr>
              <w:t>搅拌机、水泵、输送机、吸瓦脱模机、翻瓦机、成型出垛机、风机</w:t>
            </w:r>
            <w:r>
              <w:rPr>
                <w:rFonts w:hint="default" w:ascii="Times New Roman" w:hAnsi="Times New Roman" w:cs="Times New Roman"/>
                <w:color w:val="auto"/>
                <w:sz w:val="22"/>
                <w:szCs w:val="22"/>
                <w:u w:val="none" w:color="auto"/>
              </w:rPr>
              <w:t>等运行过程所产生的噪声，声值为</w:t>
            </w:r>
            <w:r>
              <w:rPr>
                <w:rFonts w:hint="eastAsia" w:cs="Times New Roman"/>
                <w:color w:val="auto"/>
                <w:sz w:val="22"/>
                <w:szCs w:val="22"/>
                <w:u w:val="none" w:color="auto"/>
                <w:lang w:val="en-US" w:eastAsia="zh-CN"/>
              </w:rPr>
              <w:t>65-85</w:t>
            </w:r>
            <w:r>
              <w:rPr>
                <w:rFonts w:hint="default" w:ascii="Times New Roman" w:hAnsi="Times New Roman" w:cs="Times New Roman"/>
                <w:color w:val="auto"/>
                <w:sz w:val="22"/>
                <w:szCs w:val="22"/>
                <w:u w:val="none" w:color="auto"/>
              </w:rPr>
              <w:t>dB(A)，经采取合理布局、隔音、减振等措施，使厂界噪声达到《工业企业场界环境噪声排放标准》（GB12348-2008）</w:t>
            </w:r>
            <w:r>
              <w:rPr>
                <w:rFonts w:hint="eastAsia" w:cs="Times New Roman"/>
                <w:color w:val="auto"/>
                <w:sz w:val="22"/>
                <w:szCs w:val="22"/>
                <w:u w:val="none" w:color="auto"/>
                <w:lang w:val="en-US" w:eastAsia="zh-CN"/>
              </w:rPr>
              <w:t>2</w:t>
            </w:r>
            <w:r>
              <w:rPr>
                <w:rFonts w:hint="default" w:ascii="Times New Roman" w:hAnsi="Times New Roman" w:cs="Times New Roman"/>
                <w:color w:val="auto"/>
                <w:sz w:val="22"/>
                <w:szCs w:val="22"/>
                <w:u w:val="none" w:color="auto"/>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10" w:type="dxa"/>
            <w:gridSpan w:val="6"/>
            <w:tcBorders>
              <w:tl2br w:val="nil"/>
              <w:tr2bl w:val="nil"/>
            </w:tcBorders>
          </w:tcPr>
          <w:p>
            <w:pPr>
              <w:snapToGrid w:val="0"/>
              <w:spacing w:line="360" w:lineRule="auto"/>
              <w:rPr>
                <w:rFonts w:hint="default" w:ascii="Times New Roman" w:hAnsi="Times New Roman" w:cs="Times New Roman"/>
                <w:b/>
                <w:color w:val="auto"/>
                <w:kern w:val="0"/>
                <w:sz w:val="22"/>
                <w:szCs w:val="22"/>
                <w:u w:val="none" w:color="auto"/>
              </w:rPr>
            </w:pPr>
            <w:r>
              <w:rPr>
                <w:rFonts w:hint="default" w:ascii="Times New Roman" w:hAnsi="Times New Roman" w:cs="Times New Roman"/>
                <w:b/>
                <w:color w:val="auto"/>
                <w:kern w:val="0"/>
                <w:sz w:val="22"/>
                <w:szCs w:val="22"/>
                <w:u w:val="none" w:color="auto"/>
              </w:rPr>
              <w:t>生态保护措施及预期效果：</w:t>
            </w:r>
          </w:p>
          <w:p>
            <w:pPr>
              <w:snapToGrid w:val="0"/>
              <w:spacing w:line="360" w:lineRule="auto"/>
              <w:ind w:firstLine="482"/>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val="en-US" w:eastAsia="zh-CN"/>
              </w:rPr>
              <w:t>租赁</w:t>
            </w:r>
            <w:r>
              <w:rPr>
                <w:rFonts w:hint="default" w:ascii="Times New Roman" w:hAnsi="Times New Roman" w:cs="Times New Roman"/>
                <w:color w:val="auto"/>
                <w:sz w:val="24"/>
                <w:szCs w:val="24"/>
                <w:u w:val="none" w:color="auto"/>
              </w:rPr>
              <w:t>位于</w:t>
            </w:r>
            <w:r>
              <w:rPr>
                <w:rFonts w:hint="eastAsia" w:cs="Times New Roman"/>
                <w:color w:val="auto"/>
                <w:sz w:val="24"/>
                <w:szCs w:val="24"/>
                <w:u w:val="none" w:color="auto"/>
                <w:lang w:val="en-US" w:eastAsia="zh-CN"/>
              </w:rPr>
              <w:t>湘阴县白泥湖园艺场场地</w:t>
            </w:r>
            <w:r>
              <w:rPr>
                <w:rFonts w:hint="default" w:ascii="Times New Roman" w:hAnsi="Times New Roman" w:cs="Times New Roman"/>
                <w:color w:val="auto"/>
                <w:sz w:val="24"/>
                <w:szCs w:val="24"/>
                <w:u w:val="none" w:color="auto"/>
              </w:rPr>
              <w:t>进行生产，不会对生态环境产生影响。此外，项目营运期产生的废气、废水、固废和噪声均得到有效处理与处置，项目营运不会对周围的生态环境产生明显影响。</w:t>
            </w:r>
          </w:p>
        </w:tc>
      </w:tr>
    </w:tbl>
    <w:p>
      <w:pPr>
        <w:snapToGrid w:val="0"/>
        <w:jc w:val="left"/>
        <w:outlineLvl w:val="0"/>
        <w:rPr>
          <w:color w:val="auto"/>
          <w:u w:val="none" w:color="auto"/>
        </w:rPr>
      </w:pPr>
      <w:r>
        <w:rPr>
          <w:color w:val="auto"/>
          <w:u w:val="none" w:color="auto"/>
        </w:rPr>
        <w:br w:type="page"/>
      </w:r>
      <w:bookmarkStart w:id="16" w:name="_Toc16035"/>
      <w:r>
        <w:rPr>
          <w:rFonts w:hint="eastAsia" w:eastAsia="黑体"/>
          <w:color w:val="auto"/>
          <w:sz w:val="32"/>
          <w:u w:val="none" w:color="auto"/>
        </w:rPr>
        <w:t>九、</w:t>
      </w:r>
      <w:r>
        <w:rPr>
          <w:rFonts w:eastAsia="黑体"/>
          <w:color w:val="auto"/>
          <w:sz w:val="32"/>
          <w:u w:val="none" w:color="auto"/>
        </w:rPr>
        <w:t>结论与建议</w:t>
      </w:r>
      <w:bookmarkEnd w:id="16"/>
    </w:p>
    <w:tbl>
      <w:tblPr>
        <w:tblStyle w:val="40"/>
        <w:tblW w:w="935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85" w:type="dxa"/>
          <w:bottom w:w="0" w:type="dxa"/>
          <w:right w:w="85" w:type="dxa"/>
        </w:tblCellMar>
      </w:tblPr>
      <w:tblGrid>
        <w:gridCol w:w="935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85" w:type="dxa"/>
            <w:bottom w:w="0" w:type="dxa"/>
            <w:right w:w="85" w:type="dxa"/>
          </w:tblCellMar>
        </w:tblPrEx>
        <w:trPr>
          <w:trHeight w:val="13397" w:hRule="atLeast"/>
          <w:jc w:val="center"/>
        </w:trPr>
        <w:tc>
          <w:tcPr>
            <w:tcW w:w="9356" w:type="dxa"/>
          </w:tcPr>
          <w:p>
            <w:pPr>
              <w:snapToGrid w:val="0"/>
              <w:spacing w:line="360" w:lineRule="auto"/>
              <w:ind w:firstLine="466" w:firstLineChars="200"/>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结论</w:t>
            </w:r>
          </w:p>
          <w:p>
            <w:pPr>
              <w:adjustRightInd w:val="0"/>
              <w:snapToGrid w:val="0"/>
              <w:spacing w:line="360" w:lineRule="auto"/>
              <w:ind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1、项目概况</w:t>
            </w:r>
          </w:p>
          <w:p>
            <w:pPr>
              <w:adjustRightInd w:val="0"/>
              <w:snapToGrid w:val="0"/>
              <w:spacing w:line="360" w:lineRule="auto"/>
              <w:ind w:firstLine="466" w:firstLineChars="200"/>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eastAsia="zh-CN"/>
              </w:rPr>
              <w:t>湘阴县株欣机制石棉瓦厂年产20万片石棉瓦</w:t>
            </w:r>
            <w:r>
              <w:rPr>
                <w:rFonts w:hint="default" w:ascii="Times New Roman" w:hAnsi="Times New Roman" w:cs="Times New Roman"/>
                <w:color w:val="auto"/>
                <w:sz w:val="24"/>
                <w:szCs w:val="24"/>
                <w:u w:val="none" w:color="auto"/>
                <w:lang w:eastAsia="zh-CN"/>
              </w:rPr>
              <w:t>项目</w:t>
            </w:r>
            <w:r>
              <w:rPr>
                <w:rFonts w:hint="default" w:ascii="Times New Roman" w:hAnsi="Times New Roman" w:cs="Times New Roman"/>
                <w:color w:val="auto"/>
                <w:sz w:val="24"/>
                <w:szCs w:val="24"/>
                <w:u w:val="none" w:color="auto"/>
                <w:lang w:val="en-US" w:eastAsia="zh-CN"/>
              </w:rPr>
              <w:t>租赁位于</w:t>
            </w:r>
            <w:r>
              <w:rPr>
                <w:rFonts w:hint="default" w:ascii="Times New Roman" w:hAnsi="Times New Roman" w:cs="Times New Roman"/>
                <w:color w:val="auto"/>
                <w:sz w:val="24"/>
                <w:szCs w:val="22"/>
                <w:u w:val="none" w:color="auto"/>
                <w:lang w:eastAsia="zh-CN"/>
              </w:rPr>
              <w:t>湖南省岳阳市湘阴县白泥湖园艺场</w:t>
            </w:r>
            <w:r>
              <w:rPr>
                <w:rFonts w:hint="eastAsia" w:cs="Times New Roman"/>
                <w:color w:val="auto"/>
                <w:sz w:val="24"/>
                <w:szCs w:val="22"/>
                <w:u w:val="none" w:color="auto"/>
                <w:lang w:val="en-US" w:eastAsia="zh-CN"/>
              </w:rPr>
              <w:t>土地</w:t>
            </w:r>
            <w:r>
              <w:rPr>
                <w:rFonts w:hint="default" w:ascii="Times New Roman" w:hAnsi="Times New Roman" w:cs="Times New Roman"/>
                <w:color w:val="auto"/>
                <w:sz w:val="24"/>
                <w:szCs w:val="22"/>
                <w:u w:val="none" w:color="auto"/>
                <w:lang w:val="en-US" w:eastAsia="zh-CN"/>
              </w:rPr>
              <w:t>进行生产</w:t>
            </w:r>
            <w:r>
              <w:rPr>
                <w:rFonts w:hint="default" w:ascii="Times New Roman" w:hAnsi="Times New Roman" w:cs="Times New Roman"/>
                <w:color w:val="auto"/>
                <w:sz w:val="24"/>
                <w:szCs w:val="24"/>
                <w:u w:val="none" w:color="auto"/>
                <w:lang w:eastAsia="zh-CN"/>
              </w:rPr>
              <w:t>，总投资</w:t>
            </w:r>
            <w:r>
              <w:rPr>
                <w:rFonts w:hint="eastAsia" w:cs="Times New Roman"/>
                <w:color w:val="auto"/>
                <w:sz w:val="24"/>
                <w:szCs w:val="24"/>
                <w:u w:val="none" w:color="auto"/>
                <w:lang w:val="en-US" w:eastAsia="zh-CN"/>
              </w:rPr>
              <w:t>20</w:t>
            </w:r>
            <w:r>
              <w:rPr>
                <w:rFonts w:hint="default" w:ascii="Times New Roman" w:hAnsi="Times New Roman" w:cs="Times New Roman"/>
                <w:color w:val="auto"/>
                <w:sz w:val="24"/>
                <w:szCs w:val="24"/>
                <w:u w:val="none" w:color="auto"/>
                <w:lang w:val="en-US" w:eastAsia="zh-CN"/>
              </w:rPr>
              <w:t>0万元</w:t>
            </w:r>
            <w:r>
              <w:rPr>
                <w:rFonts w:hint="default" w:ascii="Times New Roman" w:hAnsi="Times New Roman" w:cs="Times New Roman"/>
                <w:color w:val="auto"/>
                <w:sz w:val="24"/>
                <w:szCs w:val="24"/>
                <w:u w:val="none" w:color="auto"/>
                <w:lang w:eastAsia="zh-CN"/>
              </w:rPr>
              <w:t>（环保投资为</w:t>
            </w:r>
            <w:r>
              <w:rPr>
                <w:rFonts w:hint="eastAsia" w:cs="Times New Roman"/>
                <w:color w:val="auto"/>
                <w:sz w:val="24"/>
                <w:szCs w:val="24"/>
                <w:u w:val="none" w:color="auto"/>
                <w:lang w:val="en-US" w:eastAsia="zh-CN"/>
              </w:rPr>
              <w:t>25</w:t>
            </w:r>
            <w:r>
              <w:rPr>
                <w:rFonts w:hint="default" w:ascii="Times New Roman" w:hAnsi="Times New Roman" w:cs="Times New Roman"/>
                <w:color w:val="auto"/>
                <w:sz w:val="24"/>
                <w:szCs w:val="24"/>
                <w:u w:val="none" w:color="auto"/>
                <w:lang w:eastAsia="zh-CN"/>
              </w:rPr>
              <w:t>万元），总占地面积</w:t>
            </w:r>
            <w:r>
              <w:rPr>
                <w:rFonts w:hint="eastAsia" w:cs="Times New Roman"/>
                <w:color w:val="auto"/>
                <w:sz w:val="24"/>
                <w:szCs w:val="24"/>
                <w:u w:val="none" w:color="auto"/>
                <w:lang w:val="en-US" w:eastAsia="zh-CN"/>
              </w:rPr>
              <w:t>26640</w:t>
            </w:r>
            <w:r>
              <w:rPr>
                <w:rFonts w:hint="default" w:ascii="Times New Roman" w:hAnsi="Times New Roman" w:cs="Times New Roman"/>
                <w:color w:val="auto"/>
                <w:sz w:val="24"/>
                <w:szCs w:val="24"/>
                <w:u w:val="none" w:color="auto"/>
                <w:lang w:eastAsia="zh-CN"/>
              </w:rPr>
              <w:t>平方米</w:t>
            </w:r>
            <w:r>
              <w:rPr>
                <w:rFonts w:hint="default" w:ascii="Times New Roman" w:hAnsi="Times New Roman" w:eastAsia="宋体" w:cs="Times New Roman"/>
                <w:color w:val="auto"/>
                <w:sz w:val="24"/>
                <w:szCs w:val="24"/>
                <w:u w:val="none" w:color="auto"/>
                <w:lang w:eastAsia="zh-CN"/>
              </w:rPr>
              <w:t>，项目建成投</w:t>
            </w:r>
            <w:r>
              <w:rPr>
                <w:rFonts w:hint="default" w:ascii="Times New Roman" w:hAnsi="Times New Roman" w:cs="Times New Roman"/>
                <w:color w:val="auto"/>
                <w:sz w:val="24"/>
                <w:szCs w:val="24"/>
                <w:u w:val="none" w:color="auto"/>
              </w:rPr>
              <w:t>产后</w:t>
            </w:r>
            <w:r>
              <w:rPr>
                <w:rFonts w:hint="eastAsia" w:cs="Times New Roman"/>
                <w:color w:val="auto"/>
                <w:sz w:val="24"/>
                <w:szCs w:val="24"/>
                <w:u w:val="none" w:color="auto"/>
                <w:lang w:eastAsia="zh-CN"/>
              </w:rPr>
              <w:t>年产20万片石棉瓦</w:t>
            </w:r>
            <w:r>
              <w:rPr>
                <w:rFonts w:hint="default" w:ascii="Times New Roman" w:hAnsi="Times New Roman" w:cs="Times New Roman"/>
                <w:color w:val="auto"/>
                <w:sz w:val="24"/>
                <w:szCs w:val="24"/>
                <w:u w:val="none" w:color="auto"/>
              </w:rPr>
              <w:t>。</w:t>
            </w:r>
          </w:p>
          <w:p>
            <w:pPr>
              <w:adjustRightInd w:val="0"/>
              <w:snapToGrid w:val="0"/>
              <w:spacing w:line="360" w:lineRule="auto"/>
              <w:ind w:firstLine="466" w:firstLineChars="200"/>
              <w:rPr>
                <w:rFonts w:hint="default" w:ascii="Times New Roman" w:hAnsi="Times New Roman" w:cs="Times New Roman"/>
                <w:color w:val="auto"/>
                <w:sz w:val="24"/>
                <w:u w:val="none" w:color="auto"/>
              </w:rPr>
            </w:pPr>
            <w:r>
              <w:rPr>
                <w:rFonts w:hint="default" w:ascii="Times New Roman" w:hAnsi="Times New Roman" w:cs="Times New Roman"/>
                <w:b/>
                <w:bCs/>
                <w:color w:val="auto"/>
                <w:sz w:val="24"/>
                <w:szCs w:val="24"/>
                <w:u w:val="none" w:color="auto"/>
              </w:rPr>
              <w:t>2</w:t>
            </w:r>
            <w:r>
              <w:rPr>
                <w:rFonts w:hint="default" w:ascii="Times New Roman" w:hAnsi="Times New Roman" w:cs="Times New Roman"/>
                <w:b/>
                <w:color w:val="auto"/>
                <w:sz w:val="24"/>
                <w:u w:val="none" w:color="auto"/>
              </w:rPr>
              <w:t>、区域环境质量结论</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本项目所在地区域环境质量现状调查结果表明：</w:t>
            </w:r>
          </w:p>
          <w:p>
            <w:pPr>
              <w:pStyle w:val="3"/>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default" w:ascii="Times New Roman" w:hAnsi="Times New Roman"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大气</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为了解建设项目所在区域的大气环境状况，本环评引用湘阴县环境保护监测站2018年</w:t>
            </w:r>
            <w:r>
              <w:rPr>
                <w:rFonts w:hint="default" w:ascii="Times New Roman" w:hAnsi="Times New Roman" w:cs="Times New Roman"/>
                <w:iCs w:val="0"/>
                <w:color w:val="auto"/>
                <w:kern w:val="2"/>
                <w:sz w:val="24"/>
                <w:szCs w:val="24"/>
                <w:u w:val="none" w:color="auto"/>
                <w:lang w:val="en-US" w:eastAsia="zh-CN" w:bidi="ar-SA"/>
              </w:rPr>
              <w:t>、2019年</w:t>
            </w:r>
            <w:r>
              <w:rPr>
                <w:rFonts w:hint="default" w:ascii="Times New Roman" w:hAnsi="Times New Roman" w:eastAsia="宋体" w:cs="Times New Roman"/>
                <w:iCs w:val="0"/>
                <w:color w:val="auto"/>
                <w:kern w:val="2"/>
                <w:sz w:val="24"/>
                <w:szCs w:val="24"/>
                <w:u w:val="none" w:color="auto"/>
                <w:lang w:val="en-US" w:eastAsia="zh-CN" w:bidi="ar-SA"/>
              </w:rPr>
              <w:t>常规监测点对区域环境空气质量现状进行评价，监测因子为 NO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、SO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、PM</w:t>
            </w:r>
            <w:r>
              <w:rPr>
                <w:rFonts w:hint="default" w:ascii="Times New Roman" w:hAnsi="Times New Roman" w:eastAsia="宋体" w:cs="Times New Roman"/>
                <w:iCs w:val="0"/>
                <w:color w:val="auto"/>
                <w:kern w:val="2"/>
                <w:sz w:val="24"/>
                <w:szCs w:val="24"/>
                <w:u w:val="none" w:color="auto"/>
                <w:vertAlign w:val="subscript"/>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、PM</w:t>
            </w:r>
            <w:r>
              <w:rPr>
                <w:rFonts w:hint="default" w:ascii="Times New Roman" w:hAnsi="Times New Roman" w:eastAsia="宋体" w:cs="Times New Roman"/>
                <w:iCs w:val="0"/>
                <w:color w:val="auto"/>
                <w:kern w:val="2"/>
                <w:sz w:val="24"/>
                <w:szCs w:val="24"/>
                <w:u w:val="none" w:color="auto"/>
                <w:vertAlign w:val="subscript"/>
                <w:lang w:val="en-US" w:eastAsia="zh-CN" w:bidi="ar-SA"/>
              </w:rPr>
              <w:t>2.5</w:t>
            </w:r>
            <w:r>
              <w:rPr>
                <w:rFonts w:hint="default" w:ascii="Times New Roman" w:hAnsi="Times New Roman" w:eastAsia="宋体" w:cs="Times New Roman"/>
                <w:iCs w:val="0"/>
                <w:color w:val="auto"/>
                <w:kern w:val="2"/>
                <w:sz w:val="24"/>
                <w:szCs w:val="24"/>
                <w:u w:val="none" w:color="auto"/>
                <w:lang w:val="en-US" w:eastAsia="zh-CN" w:bidi="ar-SA"/>
              </w:rPr>
              <w:t>、CO、O</w:t>
            </w:r>
            <w:r>
              <w:rPr>
                <w:rFonts w:hint="default" w:ascii="Times New Roman" w:hAnsi="Times New Roman" w:eastAsia="宋体" w:cs="Times New Roman"/>
                <w:iCs w:val="0"/>
                <w:color w:val="auto"/>
                <w:kern w:val="2"/>
                <w:sz w:val="24"/>
                <w:szCs w:val="24"/>
                <w:u w:val="none" w:color="auto"/>
                <w:vertAlign w:val="subscript"/>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，监测结果显示项目 SO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、NO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、CO、PM</w:t>
            </w:r>
            <w:r>
              <w:rPr>
                <w:rFonts w:hint="default" w:ascii="Times New Roman" w:hAnsi="Times New Roman" w:eastAsia="宋体" w:cs="Times New Roman"/>
                <w:iCs w:val="0"/>
                <w:color w:val="auto"/>
                <w:kern w:val="2"/>
                <w:sz w:val="24"/>
                <w:szCs w:val="24"/>
                <w:u w:val="none" w:color="auto"/>
                <w:vertAlign w:val="subscript"/>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 xml:space="preserve"> 、O</w:t>
            </w:r>
            <w:r>
              <w:rPr>
                <w:rFonts w:hint="default" w:ascii="Times New Roman" w:hAnsi="Times New Roman" w:eastAsia="宋体" w:cs="Times New Roman"/>
                <w:iCs w:val="0"/>
                <w:color w:val="auto"/>
                <w:kern w:val="2"/>
                <w:sz w:val="24"/>
                <w:szCs w:val="24"/>
                <w:u w:val="none" w:color="auto"/>
                <w:vertAlign w:val="subscript"/>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环境质量达标，PM</w:t>
            </w:r>
            <w:r>
              <w:rPr>
                <w:rFonts w:hint="default" w:ascii="Times New Roman" w:hAnsi="Times New Roman" w:eastAsia="宋体" w:cs="Times New Roman"/>
                <w:iCs w:val="0"/>
                <w:color w:val="auto"/>
                <w:kern w:val="2"/>
                <w:sz w:val="24"/>
                <w:szCs w:val="24"/>
                <w:u w:val="none" w:color="auto"/>
                <w:vertAlign w:val="subscript"/>
                <w:lang w:val="en-US" w:eastAsia="zh-CN" w:bidi="ar-SA"/>
              </w:rPr>
              <w:t>2.5</w:t>
            </w:r>
            <w:r>
              <w:rPr>
                <w:rFonts w:hint="default" w:ascii="Times New Roman" w:hAnsi="Times New Roman" w:eastAsia="宋体" w:cs="Times New Roman"/>
                <w:iCs w:val="0"/>
                <w:color w:val="auto"/>
                <w:kern w:val="2"/>
                <w:sz w:val="24"/>
                <w:szCs w:val="24"/>
                <w:u w:val="none" w:color="auto"/>
                <w:lang w:val="en-US" w:eastAsia="zh-CN" w:bidi="ar-SA"/>
              </w:rPr>
              <w:t xml:space="preserve"> 不达标，因此区域为不达标区</w:t>
            </w:r>
            <w:r>
              <w:rPr>
                <w:rFonts w:hint="default" w:ascii="Times New Roman" w:hAnsi="Times New Roman" w:cs="Times New Roman"/>
                <w:iCs w:val="0"/>
                <w:color w:val="auto"/>
                <w:kern w:val="2"/>
                <w:sz w:val="24"/>
                <w:szCs w:val="24"/>
                <w:u w:val="none" w:color="auto"/>
                <w:lang w:val="en-US" w:eastAsia="zh-CN" w:bidi="ar-SA"/>
              </w:rPr>
              <w:t>，通过一系列的调整可改善所在区域的环境问题，通过对比2018年和2019年监测数据可知，项目所在地环境空气正在逐步改善。</w:t>
            </w:r>
          </w:p>
          <w:p>
            <w:pPr>
              <w:pStyle w:val="3"/>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lang w:eastAsia="zh-CN"/>
              </w:rPr>
              <w:t>项目所在区域中</w:t>
            </w:r>
            <w:r>
              <w:rPr>
                <w:rFonts w:hint="default" w:ascii="Times New Roman" w:hAnsi="Times New Roman" w:cs="Times New Roman"/>
                <w:color w:val="auto"/>
                <w:sz w:val="24"/>
                <w:szCs w:val="24"/>
                <w:u w:val="none" w:color="auto"/>
              </w:rPr>
              <w:t>TVOC均符合《环境影响评价技术导则（HJ2.3-2018）》（大气环境附录D)中标准要求</w:t>
            </w:r>
            <w:r>
              <w:rPr>
                <w:rFonts w:hint="default" w:ascii="Times New Roman" w:hAnsi="Times New Roman" w:eastAsia="宋体" w:cs="Times New Roman"/>
                <w:iCs w:val="0"/>
                <w:color w:val="auto"/>
                <w:kern w:val="2"/>
                <w:sz w:val="24"/>
                <w:szCs w:val="24"/>
                <w:u w:val="none" w:color="auto"/>
                <w:lang w:val="en-US" w:eastAsia="zh-CN" w:bidi="ar-SA"/>
              </w:rPr>
              <w:t xml:space="preserve">。 </w:t>
            </w:r>
          </w:p>
          <w:p>
            <w:pPr>
              <w:pStyle w:val="3"/>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地表水</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color w:val="auto"/>
                <w:sz w:val="24"/>
                <w:u w:val="none" w:color="auto"/>
                <w:lang w:val="en-US" w:eastAsia="zh-CN"/>
              </w:rPr>
              <w:t>根据项目所在区域水质现状监测结</w:t>
            </w:r>
            <w:r>
              <w:rPr>
                <w:rFonts w:hint="default" w:ascii="Times New Roman" w:hAnsi="Times New Roman" w:eastAsia="宋体" w:cs="Times New Roman"/>
                <w:color w:val="auto"/>
                <w:sz w:val="24"/>
                <w:szCs w:val="24"/>
                <w:u w:val="none" w:color="auto"/>
                <w:lang w:val="en-US" w:eastAsia="zh-CN"/>
              </w:rPr>
              <w:t>果可知，</w:t>
            </w:r>
            <w:r>
              <w:rPr>
                <w:rFonts w:hint="default" w:ascii="Times New Roman" w:hAnsi="Times New Roman" w:eastAsia="宋体" w:cs="Times New Roman"/>
                <w:color w:val="auto"/>
                <w:sz w:val="24"/>
                <w:szCs w:val="24"/>
                <w:u w:val="none" w:color="auto"/>
                <w:vertAlign w:val="baseline"/>
                <w:lang w:val="en-US" w:eastAsia="zh-CN"/>
              </w:rPr>
              <w:t>项目所在区域</w:t>
            </w:r>
            <w:r>
              <w:rPr>
                <w:rFonts w:hint="eastAsia" w:cs="Times New Roman"/>
                <w:color w:val="auto"/>
                <w:sz w:val="24"/>
                <w:szCs w:val="24"/>
                <w:u w:val="none" w:color="auto"/>
                <w:vertAlign w:val="baseline"/>
                <w:lang w:val="en-US" w:eastAsia="zh-CN"/>
              </w:rPr>
              <w:t>西南侧农灌渠、</w:t>
            </w:r>
            <w:r>
              <w:rPr>
                <w:rFonts w:hint="default" w:ascii="Times New Roman" w:hAnsi="Times New Roman" w:eastAsia="宋体" w:cs="Times New Roman"/>
                <w:color w:val="auto"/>
                <w:sz w:val="24"/>
                <w:szCs w:val="24"/>
                <w:u w:val="none" w:color="auto"/>
                <w:vertAlign w:val="baseline"/>
                <w:lang w:val="en-US" w:eastAsia="zh-CN"/>
              </w:rPr>
              <w:t>项目</w:t>
            </w:r>
            <w:r>
              <w:rPr>
                <w:rFonts w:hint="eastAsia" w:cs="Times New Roman"/>
                <w:color w:val="auto"/>
                <w:sz w:val="24"/>
                <w:szCs w:val="24"/>
                <w:u w:val="none" w:color="auto"/>
                <w:vertAlign w:val="baseline"/>
                <w:lang w:val="en-US" w:eastAsia="zh-CN"/>
              </w:rPr>
              <w:t>东南侧夹河</w:t>
            </w:r>
            <w:r>
              <w:rPr>
                <w:rFonts w:hint="default" w:ascii="Times New Roman" w:hAnsi="Times New Roman" w:eastAsia="宋体" w:cs="Times New Roman"/>
                <w:color w:val="auto"/>
                <w:sz w:val="24"/>
                <w:szCs w:val="24"/>
                <w:u w:val="none" w:color="auto"/>
                <w:lang w:val="en-US" w:eastAsia="zh-CN"/>
              </w:rPr>
              <w:t>监测因子均能满足</w:t>
            </w:r>
            <w:r>
              <w:rPr>
                <w:rFonts w:hint="default" w:ascii="Times New Roman" w:hAnsi="Times New Roman" w:eastAsia="宋体" w:cs="Times New Roman"/>
                <w:color w:val="auto"/>
                <w:sz w:val="24"/>
                <w:szCs w:val="24"/>
                <w:u w:val="none" w:color="auto"/>
              </w:rPr>
              <w:t>《地表水环境质量标准》（GB3838-2002）</w:t>
            </w:r>
            <w:r>
              <w:rPr>
                <w:rFonts w:hint="default" w:ascii="Times New Roman" w:hAnsi="Times New Roman" w:eastAsia="宋体" w:cs="Times New Roman"/>
                <w:color w:val="auto"/>
                <w:kern w:val="0"/>
                <w:sz w:val="24"/>
                <w:szCs w:val="24"/>
                <w:u w:val="none" w:color="auto"/>
              </w:rPr>
              <w:t>III</w:t>
            </w:r>
            <w:r>
              <w:rPr>
                <w:rStyle w:val="204"/>
                <w:rFonts w:hint="default" w:ascii="Times New Roman" w:hAnsi="Times New Roman" w:eastAsia="宋体" w:cs="Times New Roman"/>
                <w:bCs/>
                <w:color w:val="auto"/>
                <w:sz w:val="24"/>
                <w:szCs w:val="24"/>
                <w:u w:val="none" w:color="auto"/>
              </w:rPr>
              <w:t>类</w:t>
            </w:r>
            <w:r>
              <w:rPr>
                <w:rStyle w:val="204"/>
                <w:rFonts w:hint="default" w:ascii="Times New Roman" w:hAnsi="Times New Roman" w:eastAsia="宋体" w:cs="Times New Roman"/>
                <w:bCs/>
                <w:color w:val="auto"/>
                <w:sz w:val="24"/>
                <w:szCs w:val="24"/>
                <w:u w:val="none" w:color="auto"/>
                <w:lang w:eastAsia="zh-CN"/>
              </w:rPr>
              <w:t>水质要求。项目所在区域</w:t>
            </w:r>
            <w:r>
              <w:rPr>
                <w:rStyle w:val="204"/>
                <w:rFonts w:hint="eastAsia" w:cs="Times New Roman"/>
                <w:bCs/>
                <w:color w:val="auto"/>
                <w:sz w:val="24"/>
                <w:szCs w:val="24"/>
                <w:u w:val="none" w:color="auto"/>
                <w:lang w:val="en-US" w:eastAsia="zh-CN"/>
              </w:rPr>
              <w:t>地表水</w:t>
            </w:r>
            <w:r>
              <w:rPr>
                <w:rStyle w:val="204"/>
                <w:rFonts w:hint="default" w:ascii="Times New Roman" w:hAnsi="Times New Roman" w:eastAsia="宋体" w:cs="Times New Roman"/>
                <w:bCs/>
                <w:color w:val="auto"/>
                <w:sz w:val="24"/>
                <w:szCs w:val="24"/>
                <w:u w:val="none" w:color="auto"/>
                <w:lang w:eastAsia="zh-CN"/>
              </w:rPr>
              <w:t>水质现状较好</w:t>
            </w:r>
            <w:r>
              <w:rPr>
                <w:rFonts w:hint="default" w:ascii="Times New Roman" w:hAnsi="Times New Roman" w:eastAsia="宋体" w:cs="Times New Roman"/>
                <w:iCs w:val="0"/>
                <w:color w:val="auto"/>
                <w:kern w:val="2"/>
                <w:sz w:val="24"/>
                <w:szCs w:val="24"/>
                <w:u w:val="none" w:color="auto"/>
                <w:lang w:val="en-US" w:eastAsia="zh-CN" w:bidi="ar-SA"/>
              </w:rPr>
              <w:t>。</w:t>
            </w:r>
          </w:p>
          <w:p>
            <w:pPr>
              <w:pStyle w:val="3"/>
              <w:keepNext w:val="0"/>
              <w:keepLines w:val="0"/>
              <w:pageBreakBefore w:val="0"/>
              <w:widowControl w:val="0"/>
              <w:kinsoku/>
              <w:wordWrap/>
              <w:overflowPunct/>
              <w:topLinePunct w:val="0"/>
              <w:autoSpaceDE/>
              <w:autoSpaceDN/>
              <w:bidi w:val="0"/>
              <w:spacing w:after="0" w:afterLines="0" w:line="360" w:lineRule="auto"/>
              <w:ind w:left="0" w:right="0" w:firstLine="466" w:firstLineChars="200"/>
              <w:jc w:val="both"/>
              <w:textAlignment w:val="auto"/>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iCs w:val="0"/>
                <w:color w:val="auto"/>
                <w:kern w:val="2"/>
                <w:sz w:val="24"/>
                <w:szCs w:val="24"/>
                <w:u w:val="none" w:color="auto"/>
                <w:lang w:val="en-US" w:eastAsia="zh-CN" w:bidi="ar-SA"/>
              </w:rPr>
              <w:t>声环境</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本项目声环境质量现状监测委托</w:t>
            </w:r>
            <w:r>
              <w:rPr>
                <w:rFonts w:hint="eastAsia" w:cs="Times New Roman"/>
                <w:color w:val="auto"/>
                <w:sz w:val="24"/>
                <w:szCs w:val="24"/>
                <w:u w:val="none" w:color="auto"/>
                <w:lang w:val="en-US" w:eastAsia="zh-CN"/>
              </w:rPr>
              <w:t>湖南中骏高新科技股份有限公司</w:t>
            </w:r>
            <w:r>
              <w:rPr>
                <w:rFonts w:hint="default" w:ascii="Times New Roman" w:hAnsi="Times New Roman" w:cs="Times New Roman"/>
                <w:color w:val="auto"/>
                <w:sz w:val="24"/>
                <w:szCs w:val="24"/>
                <w:u w:val="none" w:color="auto"/>
                <w:lang w:val="en-US" w:eastAsia="zh-CN"/>
              </w:rPr>
              <w:t>于2020年</w:t>
            </w:r>
            <w:r>
              <w:rPr>
                <w:rFonts w:hint="eastAsia"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lang w:val="en-US" w:eastAsia="zh-CN"/>
              </w:rPr>
              <w:t>月</w:t>
            </w:r>
            <w:r>
              <w:rPr>
                <w:rFonts w:hint="eastAsia" w:cs="Times New Roman"/>
                <w:color w:val="auto"/>
                <w:sz w:val="24"/>
                <w:szCs w:val="24"/>
                <w:u w:val="none" w:color="auto"/>
                <w:lang w:val="en-US" w:eastAsia="zh-CN"/>
              </w:rPr>
              <w:t>10-11</w:t>
            </w:r>
            <w:r>
              <w:rPr>
                <w:rFonts w:hint="default" w:ascii="Times New Roman" w:hAnsi="Times New Roman" w:cs="Times New Roman"/>
                <w:color w:val="auto"/>
                <w:sz w:val="24"/>
                <w:szCs w:val="24"/>
                <w:u w:val="none" w:color="auto"/>
                <w:lang w:val="en-US" w:eastAsia="zh-CN"/>
              </w:rPr>
              <w:t>日</w:t>
            </w:r>
            <w:r>
              <w:rPr>
                <w:rFonts w:hint="default" w:ascii="Times New Roman" w:hAnsi="Times New Roman" w:eastAsia="宋体" w:cs="Times New Roman"/>
                <w:iCs w:val="0"/>
                <w:color w:val="auto"/>
                <w:kern w:val="2"/>
                <w:sz w:val="24"/>
                <w:szCs w:val="24"/>
                <w:u w:val="none" w:color="auto"/>
                <w:lang w:val="en-US" w:eastAsia="zh-CN" w:bidi="ar-SA"/>
              </w:rPr>
              <w:t>对项目 N1 项目建设地厂界东侧、N2 项目建设地厂界南侧、N3 项目建设地厂界西侧、N4 项目建设地厂界北侧进行了为期 2 天的声环境现状监测，共设置 4 个监测点，监测结果表示</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 xml:space="preserve">这 4 个监测点可满足《声环境质量标准》(GB3096-2008) </w:t>
            </w:r>
            <w:r>
              <w:rPr>
                <w:rFonts w:hint="default" w:ascii="Times New Roman" w:hAnsi="Times New Roman" w:cs="Times New Roman"/>
                <w:iCs w:val="0"/>
                <w:color w:val="auto"/>
                <w:kern w:val="2"/>
                <w:sz w:val="24"/>
                <w:szCs w:val="24"/>
                <w:u w:val="none" w:color="auto"/>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类标准要求，项目所在区域声环境质量良好</w:t>
            </w:r>
            <w:r>
              <w:rPr>
                <w:rFonts w:hint="default" w:ascii="Times New Roman" w:hAnsi="Times New Roman" w:cs="Times New Roman"/>
                <w:color w:val="auto"/>
                <w:sz w:val="24"/>
                <w:u w:val="none" w:color="auto"/>
                <w:lang w:eastAsia="zh-CN"/>
              </w:rPr>
              <w:t>。</w:t>
            </w:r>
          </w:p>
          <w:p>
            <w:pPr>
              <w:snapToGrid w:val="0"/>
              <w:spacing w:line="360" w:lineRule="auto"/>
              <w:ind w:firstLine="457" w:firstLineChars="196"/>
              <w:rPr>
                <w:rFonts w:hint="eastAsia" w:ascii="Times New Roman" w:hAnsi="Times New Roman" w:eastAsia="宋体" w:cs="Times New Roman"/>
                <w:color w:val="auto"/>
                <w:sz w:val="24"/>
                <w:u w:val="none" w:color="auto"/>
                <w:lang w:val="en-US" w:eastAsia="zh-CN"/>
              </w:rPr>
            </w:pPr>
            <w:r>
              <w:rPr>
                <w:rFonts w:hint="eastAsia" w:cs="Times New Roman"/>
                <w:color w:val="auto"/>
                <w:sz w:val="24"/>
                <w:u w:val="none" w:color="auto"/>
                <w:lang w:val="en-US" w:eastAsia="zh-CN"/>
              </w:rPr>
              <w:t>土壤：</w:t>
            </w:r>
            <w:r>
              <w:rPr>
                <w:rFonts w:hint="default" w:ascii="Times New Roman" w:hAnsi="Times New Roman" w:cs="Times New Roman"/>
                <w:sz w:val="24"/>
                <w:szCs w:val="24"/>
                <w:u w:val="none" w:color="auto"/>
              </w:rPr>
              <w:t>本项目区域土壤环境质量现状各指标均能达到《土壤环境质量 建设用地土壤污染风险管控标准（试行）》（GB36600-2018）中相应的标准要求</w:t>
            </w:r>
            <w:r>
              <w:rPr>
                <w:rFonts w:hint="eastAsia" w:cs="Times New Roman"/>
                <w:sz w:val="24"/>
                <w:szCs w:val="24"/>
                <w:u w:val="none" w:color="auto"/>
                <w:lang w:eastAsia="zh-CN"/>
              </w:rPr>
              <w:t>。</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rPr>
              <w:t>总体表明，本项目所在地及周边区域大气、地表水</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声环境</w:t>
            </w:r>
            <w:r>
              <w:rPr>
                <w:rFonts w:hint="eastAsia" w:cs="Times New Roman"/>
                <w:color w:val="auto"/>
                <w:sz w:val="24"/>
                <w:u w:val="none" w:color="auto"/>
                <w:lang w:eastAsia="zh-CN"/>
              </w:rPr>
              <w:t>、</w:t>
            </w:r>
            <w:r>
              <w:rPr>
                <w:rFonts w:hint="eastAsia" w:cs="Times New Roman"/>
                <w:color w:val="auto"/>
                <w:sz w:val="24"/>
                <w:u w:val="none" w:color="auto"/>
                <w:lang w:val="en-US" w:eastAsia="zh-CN"/>
              </w:rPr>
              <w:t>土壤环境</w:t>
            </w:r>
            <w:r>
              <w:rPr>
                <w:rFonts w:hint="default" w:ascii="Times New Roman" w:hAnsi="Times New Roman" w:cs="Times New Roman"/>
                <w:color w:val="auto"/>
                <w:sz w:val="24"/>
                <w:u w:val="none" w:color="auto"/>
              </w:rPr>
              <w:t>现状较好</w:t>
            </w:r>
            <w:r>
              <w:rPr>
                <w:rFonts w:hint="default" w:ascii="Times New Roman" w:hAnsi="Times New Roman" w:cs="Times New Roman"/>
                <w:color w:val="auto"/>
                <w:sz w:val="24"/>
                <w:szCs w:val="24"/>
                <w:u w:val="none" w:color="auto"/>
              </w:rPr>
              <w:t>。</w:t>
            </w:r>
          </w:p>
          <w:p>
            <w:pPr>
              <w:snapToGrid w:val="0"/>
              <w:spacing w:line="360" w:lineRule="auto"/>
              <w:ind w:firstLine="398" w:firstLineChars="196"/>
              <w:rPr>
                <w:rFonts w:hint="default" w:ascii="Times New Roman" w:hAnsi="Times New Roman" w:cs="Times New Roman"/>
                <w:b/>
                <w:bCs/>
                <w:color w:val="auto"/>
                <w:sz w:val="24"/>
                <w:u w:val="none" w:color="auto"/>
              </w:rPr>
            </w:pPr>
            <w:r>
              <w:rPr>
                <w:rFonts w:hint="default" w:ascii="Times New Roman" w:hAnsi="Times New Roman" w:cs="Times New Roman"/>
                <w:b/>
                <w:color w:val="auto"/>
                <w:u w:val="none" w:color="auto"/>
              </w:rPr>
              <w:t>3、</w:t>
            </w:r>
            <w:r>
              <w:rPr>
                <w:rFonts w:hint="default" w:ascii="Times New Roman" w:hAnsi="Times New Roman" w:cs="Times New Roman"/>
                <w:b/>
                <w:bCs/>
                <w:color w:val="auto"/>
                <w:sz w:val="24"/>
                <w:u w:val="none" w:color="auto"/>
              </w:rPr>
              <w:t>环境影响分析结论</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（1）水环境</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本项目排水实行“雨污分流”制</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初期雨水经初期雨水沉淀池沉淀后排入西南侧农灌渠</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项目生活污水经三级化粪池处理后回用于周边农田、绿化施肥，不外排；</w:t>
            </w:r>
            <w:r>
              <w:rPr>
                <w:rFonts w:hint="eastAsia" w:cs="Times New Roman"/>
                <w:color w:val="auto"/>
                <w:sz w:val="24"/>
                <w:szCs w:val="24"/>
                <w:u w:val="none" w:color="auto"/>
                <w:lang w:val="en-US" w:eastAsia="zh-CN"/>
              </w:rPr>
              <w:t>真空脱水、挤压脱水工序产生的废水及地面清洗废水经收集后回用于打料制浆工序，不外排</w:t>
            </w:r>
            <w:r>
              <w:rPr>
                <w:rFonts w:hint="default" w:ascii="Times New Roman" w:hAnsi="Times New Roman" w:cs="Times New Roman"/>
                <w:color w:val="auto"/>
                <w:sz w:val="24"/>
                <w:u w:val="none" w:color="auto"/>
              </w:rPr>
              <w:t>。对区域水环境影响较小。</w:t>
            </w:r>
          </w:p>
          <w:p>
            <w:pPr>
              <w:pStyle w:val="2"/>
              <w:spacing w:before="0" w:beforeLines="0"/>
              <w:ind w:firstLine="460"/>
              <w:rPr>
                <w:rFonts w:hint="default" w:ascii="Times New Roman" w:hAnsi="Times New Roman" w:cs="Times New Roman"/>
                <w:color w:val="auto"/>
                <w:szCs w:val="24"/>
                <w:u w:val="none" w:color="auto"/>
              </w:rPr>
            </w:pPr>
            <w:r>
              <w:rPr>
                <w:rFonts w:hint="default" w:ascii="Times New Roman" w:hAnsi="Times New Roman" w:cs="Times New Roman"/>
                <w:color w:val="auto"/>
                <w:u w:val="none" w:color="auto"/>
              </w:rPr>
              <w:t>（2）</w:t>
            </w:r>
            <w:r>
              <w:rPr>
                <w:rFonts w:hint="default" w:ascii="Times New Roman" w:hAnsi="Times New Roman" w:cs="Times New Roman"/>
                <w:color w:val="auto"/>
                <w:szCs w:val="24"/>
                <w:u w:val="none" w:color="auto"/>
              </w:rPr>
              <w:t>大气环境</w:t>
            </w:r>
          </w:p>
          <w:p>
            <w:pPr>
              <w:snapToGrid w:val="0"/>
              <w:spacing w:line="360" w:lineRule="auto"/>
              <w:ind w:firstLine="457" w:firstLineChars="196"/>
              <w:rPr>
                <w:rFonts w:hint="default" w:ascii="Times New Roman" w:hAnsi="Times New Roman" w:eastAsia="宋体" w:cs="Times New Roman"/>
                <w:b/>
                <w:color w:val="auto"/>
                <w:sz w:val="24"/>
                <w:u w:val="none" w:color="auto"/>
                <w:lang w:eastAsia="zh-CN"/>
              </w:rPr>
            </w:pPr>
            <w:r>
              <w:rPr>
                <w:rFonts w:hint="default" w:ascii="Times New Roman" w:hAnsi="Times New Roman" w:cs="Times New Roman"/>
                <w:bCs/>
                <w:color w:val="auto"/>
                <w:sz w:val="24"/>
                <w:szCs w:val="24"/>
                <w:u w:val="none" w:color="auto"/>
              </w:rPr>
              <w:t>本项目运营过程中产生的废气主要有</w:t>
            </w:r>
            <w:r>
              <w:rPr>
                <w:rFonts w:hint="default" w:ascii="Times New Roman" w:hAnsi="Times New Roman" w:cs="Times New Roman"/>
                <w:bCs/>
                <w:color w:val="auto"/>
                <w:sz w:val="24"/>
                <w:szCs w:val="24"/>
                <w:u w:val="none" w:color="auto"/>
                <w:lang w:val="en-US" w:eastAsia="zh-CN"/>
              </w:rPr>
              <w:t>喷漆</w:t>
            </w:r>
            <w:r>
              <w:rPr>
                <w:rFonts w:hint="eastAsia" w:cs="Times New Roman"/>
                <w:bCs/>
                <w:color w:val="auto"/>
                <w:sz w:val="24"/>
                <w:szCs w:val="24"/>
                <w:u w:val="none" w:color="auto"/>
                <w:lang w:val="en-US" w:eastAsia="zh-CN"/>
              </w:rPr>
              <w:t>烘干</w:t>
            </w:r>
            <w:r>
              <w:rPr>
                <w:rFonts w:hint="default" w:ascii="Times New Roman" w:hAnsi="Times New Roman" w:cs="Times New Roman"/>
                <w:bCs/>
                <w:color w:val="auto"/>
                <w:sz w:val="24"/>
                <w:szCs w:val="24"/>
                <w:u w:val="none" w:color="auto"/>
                <w:lang w:val="en-US" w:eastAsia="zh-CN"/>
              </w:rPr>
              <w:t>废气、</w:t>
            </w:r>
            <w:r>
              <w:rPr>
                <w:rFonts w:hint="eastAsia" w:cs="Times New Roman"/>
                <w:bCs/>
                <w:color w:val="auto"/>
                <w:sz w:val="24"/>
                <w:szCs w:val="24"/>
                <w:u w:val="none" w:color="auto"/>
                <w:lang w:val="en-US" w:eastAsia="zh-CN"/>
              </w:rPr>
              <w:t>水泥筒仓粉尘、石粉筒仓粉尘</w:t>
            </w:r>
            <w:r>
              <w:rPr>
                <w:rFonts w:hint="default" w:ascii="Times New Roman" w:hAnsi="Times New Roman" w:cs="Times New Roman"/>
                <w:bCs/>
                <w:color w:val="auto"/>
                <w:sz w:val="24"/>
                <w:szCs w:val="24"/>
                <w:u w:val="none" w:color="auto"/>
                <w:lang w:eastAsia="zh-CN"/>
              </w:rPr>
              <w:t>。</w:t>
            </w:r>
          </w:p>
          <w:p>
            <w:pPr>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w:t>
            </w:r>
            <w:r>
              <w:rPr>
                <w:rFonts w:hint="default" w:ascii="Times New Roman" w:hAnsi="Times New Roman" w:eastAsia="宋体" w:cs="Times New Roman"/>
                <w:color w:val="auto"/>
                <w:sz w:val="24"/>
                <w:szCs w:val="24"/>
                <w:u w:val="none" w:color="auto"/>
                <w:lang w:eastAsia="zh-CN"/>
              </w:rPr>
              <w:t>项目</w:t>
            </w:r>
            <w:r>
              <w:rPr>
                <w:rFonts w:hint="default" w:ascii="Times New Roman" w:hAnsi="Times New Roman" w:cs="Times New Roman"/>
                <w:color w:val="auto"/>
                <w:sz w:val="24"/>
                <w:szCs w:val="24"/>
                <w:u w:val="none" w:color="auto"/>
                <w:lang w:eastAsia="zh-CN"/>
              </w:rPr>
              <w:t>喷漆</w:t>
            </w:r>
            <w:r>
              <w:rPr>
                <w:rFonts w:hint="eastAsia" w:cs="Times New Roman"/>
                <w:color w:val="auto"/>
                <w:sz w:val="24"/>
                <w:szCs w:val="24"/>
                <w:u w:val="none" w:color="auto"/>
                <w:lang w:eastAsia="zh-CN"/>
              </w:rPr>
              <w:t>烘干</w:t>
            </w:r>
            <w:r>
              <w:rPr>
                <w:rFonts w:hint="default" w:ascii="Times New Roman" w:hAnsi="Times New Roman" w:cs="Times New Roman"/>
                <w:color w:val="auto"/>
                <w:sz w:val="24"/>
                <w:szCs w:val="24"/>
                <w:u w:val="none" w:color="auto"/>
                <w:lang w:eastAsia="zh-CN"/>
              </w:rPr>
              <w:t>废气</w:t>
            </w:r>
            <w:r>
              <w:rPr>
                <w:rFonts w:hint="default" w:ascii="Times New Roman" w:hAnsi="Times New Roman" w:eastAsia="宋体" w:cs="Times New Roman"/>
                <w:color w:val="auto"/>
                <w:sz w:val="24"/>
                <w:szCs w:val="24"/>
                <w:u w:val="none" w:color="auto"/>
                <w:lang w:eastAsia="zh-CN"/>
              </w:rPr>
              <w:t>经</w:t>
            </w:r>
            <w:r>
              <w:rPr>
                <w:rFonts w:hint="default" w:ascii="Times New Roman" w:hAnsi="Times New Roman" w:cs="Times New Roman"/>
                <w:color w:val="auto"/>
                <w:sz w:val="24"/>
                <w:szCs w:val="24"/>
                <w:u w:val="none" w:color="auto"/>
                <w:lang w:eastAsia="zh-CN"/>
              </w:rPr>
              <w:t>过滤棉</w:t>
            </w:r>
            <w:r>
              <w:rPr>
                <w:rFonts w:hint="default" w:ascii="Times New Roman" w:hAnsi="Times New Roman" w:eastAsia="宋体" w:cs="Times New Roman"/>
                <w:color w:val="auto"/>
                <w:sz w:val="24"/>
                <w:szCs w:val="24"/>
                <w:u w:val="none" w:color="auto"/>
                <w:lang w:val="en-US" w:eastAsia="zh-CN"/>
              </w:rPr>
              <w:t>+活性炭处理后由</w:t>
            </w:r>
            <w:r>
              <w:rPr>
                <w:rFonts w:hint="default" w:ascii="Times New Roman" w:hAnsi="Times New Roman" w:cs="Times New Roman"/>
                <w:color w:val="auto"/>
                <w:sz w:val="24"/>
                <w:szCs w:val="24"/>
                <w:u w:val="none" w:color="auto"/>
                <w:lang w:val="en-US" w:eastAsia="zh-CN"/>
              </w:rPr>
              <w:t>一根</w:t>
            </w:r>
            <w:r>
              <w:rPr>
                <w:rFonts w:hint="default" w:ascii="Times New Roman" w:hAnsi="Times New Roman" w:eastAsia="宋体" w:cs="Times New Roman"/>
                <w:color w:val="auto"/>
                <w:sz w:val="24"/>
                <w:szCs w:val="24"/>
                <w:u w:val="none" w:color="auto"/>
                <w:lang w:val="en-US" w:eastAsia="zh-CN"/>
              </w:rPr>
              <w:t>15m</w:t>
            </w:r>
            <w:r>
              <w:rPr>
                <w:rFonts w:hint="default" w:ascii="Times New Roman" w:hAnsi="Times New Roman" w:cs="Times New Roman"/>
                <w:color w:val="auto"/>
                <w:sz w:val="24"/>
                <w:szCs w:val="24"/>
                <w:u w:val="none" w:color="auto"/>
                <w:lang w:val="en-US" w:eastAsia="zh-CN"/>
              </w:rPr>
              <w:t>高</w:t>
            </w:r>
            <w:r>
              <w:rPr>
                <w:rFonts w:hint="default" w:ascii="Times New Roman" w:hAnsi="Times New Roman" w:eastAsia="宋体" w:cs="Times New Roman"/>
                <w:color w:val="auto"/>
                <w:sz w:val="24"/>
                <w:szCs w:val="24"/>
                <w:u w:val="none" w:color="auto"/>
                <w:lang w:val="en-US" w:eastAsia="zh-CN"/>
              </w:rPr>
              <w:t>排气筒高空排放；</w:t>
            </w:r>
            <w:r>
              <w:rPr>
                <w:rFonts w:hint="eastAsia" w:cs="Times New Roman"/>
                <w:color w:val="auto"/>
                <w:sz w:val="24"/>
                <w:szCs w:val="24"/>
                <w:u w:val="none" w:color="auto"/>
                <w:lang w:val="en-US" w:eastAsia="zh-CN"/>
              </w:rPr>
              <w:t>水泥筒仓粉尘经仓顶自带的脉冲式布袋除尘器处理后由呼吸阀排放；石粉筒仓粉尘经仓顶自带的脉冲式布袋除尘器处理后由呼吸阀排放</w:t>
            </w:r>
            <w:r>
              <w:rPr>
                <w:rFonts w:hint="default" w:ascii="Times New Roman" w:hAnsi="Times New Roman" w:eastAsia="宋体" w:cs="Times New Roman"/>
                <w:color w:val="auto"/>
                <w:sz w:val="24"/>
                <w:szCs w:val="24"/>
                <w:u w:val="none" w:color="auto"/>
                <w:lang w:eastAsia="zh-CN"/>
              </w:rPr>
              <w:t>。综上，</w:t>
            </w:r>
            <w:r>
              <w:rPr>
                <w:rFonts w:hint="eastAsia" w:cs="Times New Roman"/>
                <w:color w:val="auto"/>
                <w:sz w:val="24"/>
                <w:szCs w:val="24"/>
                <w:u w:val="none" w:color="auto"/>
                <w:lang w:val="en-US" w:eastAsia="zh-CN"/>
              </w:rPr>
              <w:t>喷漆废气中</w:t>
            </w:r>
            <w:r>
              <w:rPr>
                <w:rFonts w:hint="default" w:ascii="Times New Roman" w:hAnsi="Times New Roman" w:eastAsia="宋体" w:cs="Times New Roman"/>
                <w:color w:val="auto"/>
                <w:sz w:val="24"/>
                <w:szCs w:val="24"/>
                <w:u w:val="none" w:color="auto"/>
                <w:lang w:eastAsia="zh-CN"/>
              </w:rPr>
              <w:t>颗粒物能够达到</w:t>
            </w:r>
            <w:r>
              <w:rPr>
                <w:rFonts w:hint="default" w:ascii="Times New Roman" w:hAnsi="Times New Roman" w:eastAsia="宋体" w:cs="Times New Roman"/>
                <w:color w:val="auto"/>
                <w:sz w:val="24"/>
                <w:szCs w:val="24"/>
                <w:u w:val="none" w:color="auto"/>
                <w:lang w:val="zh-CN" w:eastAsia="zh-CN"/>
              </w:rPr>
              <w:t>《大气污染物综合排放标准》（GB16297-1996）</w:t>
            </w:r>
            <w:r>
              <w:rPr>
                <w:rFonts w:hint="default" w:ascii="Times New Roman" w:hAnsi="Times New Roman" w:eastAsia="宋体" w:cs="Times New Roman"/>
                <w:color w:val="auto"/>
                <w:sz w:val="24"/>
                <w:szCs w:val="24"/>
                <w:u w:val="none" w:color="auto"/>
                <w:lang w:eastAsia="zh-CN"/>
              </w:rPr>
              <w:t>中的二级标准浓度限值。VOCs 的排放浓度满足</w:t>
            </w:r>
            <w:r>
              <w:rPr>
                <w:rFonts w:hint="default" w:ascii="Times New Roman" w:hAnsi="Times New Roman" w:eastAsia="宋体" w:cs="Times New Roman"/>
                <w:color w:val="auto"/>
                <w:kern w:val="0"/>
                <w:sz w:val="24"/>
                <w:szCs w:val="24"/>
                <w:u w:val="none" w:color="auto"/>
                <w:lang w:val="en-US" w:eastAsia="zh-CN" w:bidi="ar"/>
              </w:rPr>
              <w:t>《表面涂装（汽车制造及维修）挥发性有机物、镍排放标准》 （DB43/1356-2017）</w:t>
            </w:r>
            <w:r>
              <w:rPr>
                <w:rFonts w:hint="default" w:ascii="Times New Roman" w:hAnsi="Times New Roman" w:cs="Times New Roman"/>
                <w:color w:val="auto"/>
                <w:kern w:val="0"/>
                <w:sz w:val="24"/>
                <w:szCs w:val="24"/>
                <w:u w:val="none" w:color="auto"/>
                <w:lang w:val="en-US" w:eastAsia="zh-CN" w:bidi="ar"/>
              </w:rPr>
              <w:t>表1、表3排放标准要求</w:t>
            </w:r>
            <w:r>
              <w:rPr>
                <w:rFonts w:hint="default" w:ascii="Times New Roman" w:hAnsi="Times New Roman" w:eastAsia="宋体" w:cs="Times New Roman"/>
                <w:color w:val="auto"/>
                <w:kern w:val="0"/>
                <w:sz w:val="24"/>
                <w:szCs w:val="24"/>
                <w:u w:val="none" w:color="auto"/>
                <w:lang w:val="en-US" w:eastAsia="zh-CN" w:bidi="ar"/>
              </w:rPr>
              <w:t>；</w:t>
            </w:r>
            <w:r>
              <w:rPr>
                <w:rFonts w:hint="default" w:ascii="Times New Roman" w:hAnsi="Times New Roman" w:cs="Times New Roman"/>
                <w:color w:val="auto"/>
                <w:kern w:val="0"/>
                <w:sz w:val="24"/>
                <w:szCs w:val="24"/>
                <w:u w:val="none" w:color="auto"/>
                <w:lang w:val="en-US" w:eastAsia="zh-CN" w:bidi="ar"/>
              </w:rPr>
              <w:t>厂区内</w:t>
            </w:r>
            <w:r>
              <w:rPr>
                <w:rFonts w:hint="default" w:ascii="Times New Roman" w:hAnsi="Times New Roman" w:eastAsia="宋体" w:cs="Times New Roman"/>
                <w:color w:val="auto"/>
                <w:kern w:val="0"/>
                <w:sz w:val="24"/>
                <w:szCs w:val="24"/>
                <w:u w:val="none" w:color="auto"/>
                <w:lang w:val="en-US" w:eastAsia="zh-CN" w:bidi="ar"/>
              </w:rPr>
              <w:t>无组织有机废气排放满足《挥发性有机物无组织排放控制标准》（GB37822-2019）中限值要求</w:t>
            </w:r>
            <w:r>
              <w:rPr>
                <w:rFonts w:hint="eastAsia" w:cs="Times New Roman"/>
                <w:color w:val="auto"/>
                <w:kern w:val="0"/>
                <w:sz w:val="24"/>
                <w:szCs w:val="24"/>
                <w:u w:val="none" w:color="auto"/>
                <w:lang w:val="en-US" w:eastAsia="zh-CN" w:bidi="ar"/>
              </w:rPr>
              <w:t>；厂界无组织颗粒物能够达到</w:t>
            </w:r>
            <w:r>
              <w:rPr>
                <w:bCs/>
                <w:color w:val="auto"/>
                <w:sz w:val="24"/>
              </w:rPr>
              <w:t>《水泥工业大气污染物排放标准》（GB4915-20</w:t>
            </w:r>
            <w:r>
              <w:rPr>
                <w:rFonts w:hint="eastAsia"/>
                <w:bCs/>
                <w:color w:val="auto"/>
                <w:sz w:val="24"/>
              </w:rPr>
              <w:t>13</w:t>
            </w:r>
            <w:r>
              <w:rPr>
                <w:bCs/>
                <w:color w:val="auto"/>
                <w:sz w:val="24"/>
              </w:rPr>
              <w:t>）</w:t>
            </w:r>
            <w:r>
              <w:rPr>
                <w:rFonts w:hint="eastAsia"/>
                <w:bCs/>
                <w:color w:val="auto"/>
                <w:sz w:val="24"/>
                <w:lang w:val="en-US" w:eastAsia="zh-CN"/>
              </w:rPr>
              <w:t>中标准要求</w:t>
            </w:r>
            <w:r>
              <w:rPr>
                <w:rFonts w:hint="default" w:ascii="Times New Roman" w:hAnsi="Times New Roman" w:eastAsia="宋体" w:cs="Times New Roman"/>
                <w:color w:val="auto"/>
                <w:sz w:val="24"/>
                <w:szCs w:val="24"/>
                <w:u w:val="none" w:color="auto"/>
                <w:lang w:eastAsia="zh-CN"/>
              </w:rPr>
              <w:t>。</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（3）噪声</w:t>
            </w:r>
          </w:p>
          <w:p>
            <w:pPr>
              <w:snapToGrid w:val="0"/>
              <w:spacing w:line="360" w:lineRule="auto"/>
              <w:ind w:firstLine="457" w:firstLineChars="196"/>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本项目的主要噪声源为车间中的生产设备，噪声值为</w:t>
            </w:r>
            <w:r>
              <w:rPr>
                <w:rFonts w:hint="default" w:ascii="Times New Roman" w:hAnsi="Times New Roman" w:cs="Times New Roman"/>
                <w:color w:val="auto"/>
                <w:sz w:val="24"/>
                <w:u w:val="none" w:color="auto"/>
                <w:lang w:val="en-US" w:eastAsia="zh-CN"/>
              </w:rPr>
              <w:t>65-85</w:t>
            </w:r>
            <w:r>
              <w:rPr>
                <w:rFonts w:hint="default" w:ascii="Times New Roman" w:hAnsi="Times New Roman" w:cs="Times New Roman"/>
                <w:color w:val="auto"/>
                <w:sz w:val="24"/>
                <w:u w:val="none" w:color="auto"/>
              </w:rPr>
              <w:t>dB(A)</w:t>
            </w:r>
            <w:r>
              <w:rPr>
                <w:rFonts w:hint="default" w:ascii="Times New Roman" w:hAnsi="Times New Roman" w:cs="Times New Roman"/>
                <w:color w:val="auto"/>
                <w:sz w:val="24"/>
                <w:szCs w:val="24"/>
                <w:u w:val="none" w:color="auto"/>
              </w:rPr>
              <w:t>，经采取合理布局、隔音、减振等措施后，厂界噪声能够满足《工业企业场界环境噪声排放标准》（GB12348-2008）</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类标准</w:t>
            </w:r>
            <w:r>
              <w:rPr>
                <w:rFonts w:hint="default" w:ascii="Times New Roman" w:hAnsi="Times New Roman" w:cs="Times New Roman"/>
                <w:color w:val="auto"/>
                <w:sz w:val="24"/>
                <w:u w:val="none" w:color="auto"/>
              </w:rPr>
              <w:t>，对周围声环境产生影响较小。</w:t>
            </w:r>
          </w:p>
          <w:p>
            <w:pPr>
              <w:snapToGrid w:val="0"/>
              <w:spacing w:line="276"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（4）固体废物</w:t>
            </w:r>
          </w:p>
          <w:p>
            <w:pPr>
              <w:pStyle w:val="34"/>
              <w:spacing w:line="360" w:lineRule="auto"/>
              <w:ind w:left="0" w:leftChars="0"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lang w:eastAsia="zh-CN"/>
              </w:rPr>
              <w:t>本项目运营期固体废物主要为</w:t>
            </w:r>
            <w:r>
              <w:rPr>
                <w:rFonts w:hint="eastAsia" w:cs="Times New Roman"/>
                <w:color w:val="auto"/>
                <w:sz w:val="24"/>
                <w:u w:val="none" w:color="auto"/>
                <w:lang w:val="en-US" w:eastAsia="zh-CN"/>
              </w:rPr>
              <w:t>生活垃圾、废边角料及不合格产品、水罐内沉渣、除尘器收集的粉尘、废活性炭、废过滤棉、废水性漆桶、废漆渣、废包装袋</w:t>
            </w:r>
            <w:r>
              <w:rPr>
                <w:rFonts w:hint="default" w:ascii="Times New Roman" w:hAnsi="Times New Roman" w:cs="Times New Roman"/>
                <w:color w:val="auto"/>
                <w:sz w:val="24"/>
                <w:szCs w:val="24"/>
                <w:u w:val="none" w:color="auto"/>
              </w:rPr>
              <w:t>。</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lang w:eastAsia="zh-CN"/>
              </w:rPr>
              <w:t>废边角料</w:t>
            </w:r>
            <w:r>
              <w:rPr>
                <w:rFonts w:hint="eastAsia" w:cs="Times New Roman"/>
                <w:color w:val="auto"/>
                <w:sz w:val="24"/>
                <w:szCs w:val="24"/>
                <w:u w:val="none" w:color="auto"/>
                <w:lang w:val="en-US" w:eastAsia="zh-CN"/>
              </w:rPr>
              <w:t>及不合格产品</w:t>
            </w:r>
            <w:r>
              <w:rPr>
                <w:rFonts w:hint="default" w:ascii="Times New Roman" w:hAnsi="Times New Roman" w:cs="Times New Roman"/>
                <w:color w:val="auto"/>
                <w:sz w:val="24"/>
                <w:szCs w:val="24"/>
                <w:u w:val="none" w:color="auto"/>
              </w:rPr>
              <w:t>收集后均</w:t>
            </w:r>
            <w:r>
              <w:rPr>
                <w:rFonts w:hint="eastAsia" w:cs="Times New Roman"/>
                <w:color w:val="auto"/>
                <w:sz w:val="24"/>
                <w:szCs w:val="24"/>
                <w:u w:val="none" w:color="auto"/>
                <w:lang w:val="en-US" w:eastAsia="zh-CN"/>
              </w:rPr>
              <w:t>回用于打料制浆工序；</w:t>
            </w:r>
            <w:r>
              <w:rPr>
                <w:rFonts w:hint="default" w:ascii="Times New Roman" w:hAnsi="Times New Roman" w:cs="Times New Roman"/>
                <w:color w:val="auto"/>
                <w:sz w:val="24"/>
                <w:szCs w:val="24"/>
                <w:u w:val="none" w:color="auto"/>
              </w:rPr>
              <w:t>生活垃圾集中收集后交环卫部门统一清运处理</w:t>
            </w:r>
            <w:r>
              <w:rPr>
                <w:rFonts w:hint="eastAsia"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废</w:t>
            </w:r>
            <w:r>
              <w:rPr>
                <w:rFonts w:hint="default" w:ascii="Times New Roman" w:hAnsi="Times New Roman" w:cs="Times New Roman"/>
                <w:color w:val="auto"/>
                <w:sz w:val="24"/>
                <w:szCs w:val="24"/>
                <w:u w:val="none" w:color="auto"/>
                <w:lang w:eastAsia="zh-CN"/>
              </w:rPr>
              <w:t>水性</w:t>
            </w:r>
            <w:r>
              <w:rPr>
                <w:rFonts w:hint="default" w:ascii="Times New Roman" w:hAnsi="Times New Roman" w:cs="Times New Roman"/>
                <w:color w:val="auto"/>
                <w:sz w:val="24"/>
                <w:szCs w:val="24"/>
                <w:u w:val="none" w:color="auto"/>
              </w:rPr>
              <w:t>漆</w:t>
            </w:r>
            <w:r>
              <w:rPr>
                <w:rFonts w:hint="eastAsia" w:cs="Times New Roman"/>
                <w:color w:val="auto"/>
                <w:sz w:val="24"/>
                <w:szCs w:val="24"/>
                <w:u w:val="none" w:color="auto"/>
                <w:lang w:val="en-US" w:eastAsia="zh-CN"/>
              </w:rPr>
              <w:t>桶</w:t>
            </w:r>
            <w:r>
              <w:rPr>
                <w:rFonts w:hint="default" w:ascii="Times New Roman" w:hAnsi="Times New Roman" w:cs="Times New Roman"/>
                <w:color w:val="auto"/>
                <w:sz w:val="24"/>
                <w:szCs w:val="24"/>
                <w:u w:val="none" w:color="auto"/>
                <w:lang w:val="en-US" w:eastAsia="zh-CN"/>
              </w:rPr>
              <w:t>收集后交由环卫部门进行处理</w:t>
            </w:r>
            <w:r>
              <w:rPr>
                <w:rFonts w:hint="eastAsia"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废包装袋收集后外售废品回收站处理</w:t>
            </w:r>
            <w:r>
              <w:rPr>
                <w:rFonts w:hint="eastAsia"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cs="Times New Roman"/>
                <w:color w:val="auto"/>
                <w:kern w:val="2"/>
                <w:sz w:val="24"/>
                <w:szCs w:val="24"/>
                <w:u w:val="none" w:color="auto"/>
                <w:lang w:val="en-US" w:eastAsia="zh-CN" w:bidi="ar-SA"/>
              </w:rPr>
              <w:t>除尘器</w:t>
            </w:r>
            <w:r>
              <w:rPr>
                <w:rFonts w:hint="default" w:ascii="Times New Roman" w:hAnsi="Times New Roman" w:eastAsia="宋体" w:cs="Times New Roman"/>
                <w:color w:val="auto"/>
                <w:kern w:val="2"/>
                <w:sz w:val="24"/>
                <w:szCs w:val="24"/>
                <w:u w:val="none" w:color="auto"/>
                <w:lang w:val="en-US" w:eastAsia="zh-CN" w:bidi="ar-SA"/>
              </w:rPr>
              <w:t>收集的粉尘收集后</w:t>
            </w:r>
            <w:r>
              <w:rPr>
                <w:rFonts w:hint="eastAsia" w:cs="Times New Roman"/>
                <w:color w:val="auto"/>
                <w:kern w:val="2"/>
                <w:sz w:val="24"/>
                <w:szCs w:val="24"/>
                <w:u w:val="none" w:color="auto"/>
                <w:lang w:val="en-US" w:eastAsia="zh-CN" w:bidi="ar-SA"/>
              </w:rPr>
              <w:t>回用于生产</w:t>
            </w:r>
            <w:r>
              <w:rPr>
                <w:rFonts w:hint="eastAsia"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cs="Times New Roman"/>
                <w:color w:val="auto"/>
                <w:sz w:val="24"/>
                <w:szCs w:val="24"/>
                <w:u w:val="none" w:color="auto"/>
                <w:lang w:eastAsia="zh-CN"/>
              </w:rPr>
              <w:t>沉渣</w:t>
            </w:r>
            <w:r>
              <w:rPr>
                <w:rFonts w:hint="eastAsia" w:cs="Times New Roman"/>
                <w:color w:val="auto"/>
                <w:sz w:val="24"/>
                <w:szCs w:val="24"/>
                <w:u w:val="none" w:color="auto"/>
                <w:lang w:val="en-US" w:eastAsia="zh-CN"/>
              </w:rPr>
              <w:t>收集后回用于打料制浆工序</w:t>
            </w:r>
            <w:r>
              <w:rPr>
                <w:rFonts w:hint="default" w:ascii="Times New Roman" w:hAnsi="Times New Roman" w:cs="Times New Roman"/>
                <w:color w:val="auto"/>
                <w:sz w:val="24"/>
                <w:szCs w:val="24"/>
                <w:u w:val="none" w:color="auto"/>
                <w:lang w:val="en-US" w:eastAsia="zh-CN"/>
              </w:rPr>
              <w:t>。</w:t>
            </w:r>
          </w:p>
          <w:p>
            <w:pPr>
              <w:pStyle w:val="34"/>
              <w:spacing w:line="360" w:lineRule="auto"/>
              <w:ind w:left="0" w:leftChars="0" w:firstLine="466" w:firstLineChars="200"/>
              <w:rPr>
                <w:rFonts w:hint="default" w:ascii="Times New Roman" w:hAnsi="Times New Roman" w:cs="Times New Roman"/>
                <w:color w:val="auto"/>
                <w:sz w:val="24"/>
                <w:szCs w:val="32"/>
                <w:u w:val="none" w:color="auto"/>
              </w:rPr>
            </w:pPr>
            <w:r>
              <w:rPr>
                <w:rFonts w:hint="default" w:ascii="Times New Roman" w:hAnsi="Times New Roman" w:cs="Times New Roman"/>
                <w:color w:val="auto"/>
                <w:sz w:val="24"/>
                <w:szCs w:val="24"/>
                <w:highlight w:val="none"/>
                <w:u w:val="none" w:color="auto"/>
                <w:lang w:eastAsia="zh-CN"/>
              </w:rPr>
              <w:t>废过滤棉、漆渣</w:t>
            </w:r>
            <w:r>
              <w:rPr>
                <w:rFonts w:hint="eastAsia" w:cs="Times New Roman"/>
                <w:color w:val="auto"/>
                <w:sz w:val="24"/>
                <w:szCs w:val="24"/>
                <w:highlight w:val="none"/>
                <w:u w:val="none" w:color="auto"/>
                <w:lang w:eastAsia="zh-CN"/>
              </w:rPr>
              <w:t>、</w:t>
            </w:r>
            <w:r>
              <w:rPr>
                <w:rFonts w:hint="default" w:ascii="Times New Roman" w:hAnsi="Times New Roman" w:eastAsia="宋体" w:cs="Times New Roman"/>
                <w:color w:val="auto"/>
                <w:kern w:val="2"/>
                <w:sz w:val="24"/>
                <w:szCs w:val="24"/>
                <w:u w:val="none" w:color="auto"/>
                <w:lang w:val="en-US" w:eastAsia="zh-CN" w:bidi="ar-SA"/>
              </w:rPr>
              <w:t>废活性炭</w:t>
            </w:r>
            <w:r>
              <w:rPr>
                <w:rFonts w:hint="default" w:ascii="Times New Roman" w:hAnsi="Times New Roman" w:cs="Times New Roman"/>
                <w:color w:val="auto"/>
                <w:sz w:val="24"/>
                <w:szCs w:val="24"/>
                <w:highlight w:val="none"/>
                <w:u w:val="none" w:color="auto"/>
                <w:lang w:eastAsia="zh-CN"/>
              </w:rPr>
              <w:t>属于危险废物，收集于危险废物储存间内，再交由有资质单位进行处理</w:t>
            </w:r>
            <w:r>
              <w:rPr>
                <w:rFonts w:hint="default" w:ascii="Times New Roman" w:hAnsi="Times New Roman" w:cs="Times New Roman"/>
                <w:color w:val="auto"/>
                <w:sz w:val="24"/>
                <w:szCs w:val="32"/>
                <w:u w:val="none" w:color="auto"/>
              </w:rPr>
              <w:t>。</w:t>
            </w:r>
          </w:p>
          <w:p>
            <w:pPr>
              <w:snapToGrid w:val="0"/>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本项目营运期产生的各类固体废物均得到了很好的处理和处置，对外环境影响较小。</w:t>
            </w:r>
          </w:p>
          <w:p>
            <w:pPr>
              <w:snapToGrid w:val="0"/>
              <w:spacing w:line="360" w:lineRule="auto"/>
              <w:ind w:firstLine="457" w:firstLineChars="196"/>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4、项目可行性分析</w:t>
            </w:r>
          </w:p>
          <w:p>
            <w:pPr>
              <w:snapToGrid w:val="0"/>
              <w:spacing w:line="360" w:lineRule="auto"/>
              <w:ind w:firstLine="457" w:firstLineChars="196"/>
              <w:rPr>
                <w:rFonts w:hint="default" w:ascii="Times New Roman" w:hAnsi="Times New Roman" w:cs="Times New Roman"/>
                <w:color w:val="auto"/>
                <w:sz w:val="24"/>
                <w:u w:val="none" w:color="auto"/>
              </w:rPr>
            </w:pPr>
            <w:r>
              <w:rPr>
                <w:rFonts w:hint="default" w:ascii="Times New Roman" w:hAnsi="Times New Roman" w:cs="Times New Roman"/>
                <w:color w:val="auto"/>
                <w:sz w:val="24"/>
                <w:szCs w:val="24"/>
                <w:u w:val="none" w:color="auto"/>
              </w:rPr>
              <w:t>本项目为</w:t>
            </w:r>
            <w:r>
              <w:rPr>
                <w:rFonts w:hint="eastAsia" w:cs="Times New Roman"/>
                <w:color w:val="auto"/>
                <w:sz w:val="24"/>
                <w:szCs w:val="24"/>
                <w:u w:val="none" w:color="auto"/>
                <w:lang w:val="en-US" w:eastAsia="zh-CN"/>
              </w:rPr>
              <w:t>石棉水泥</w:t>
            </w:r>
            <w:r>
              <w:rPr>
                <w:rFonts w:hint="default" w:ascii="Times New Roman" w:hAnsi="Times New Roman" w:cs="Times New Roman"/>
                <w:color w:val="auto"/>
                <w:sz w:val="24"/>
                <w:szCs w:val="24"/>
                <w:u w:val="none" w:color="auto"/>
                <w:lang w:eastAsia="zh-CN"/>
              </w:rPr>
              <w:t>制品生产</w:t>
            </w:r>
            <w:r>
              <w:rPr>
                <w:rFonts w:hint="default" w:ascii="Times New Roman" w:hAnsi="Times New Roman" w:cs="Times New Roman"/>
                <w:color w:val="auto"/>
                <w:sz w:val="24"/>
                <w:szCs w:val="24"/>
                <w:u w:val="none" w:color="auto"/>
              </w:rPr>
              <w:t>，根据中华人民共和</w:t>
            </w:r>
            <w:r>
              <w:rPr>
                <w:rFonts w:hint="default" w:ascii="Times New Roman" w:hAnsi="Times New Roman" w:cs="Times New Roman"/>
                <w:color w:val="auto"/>
                <w:sz w:val="24"/>
                <w:szCs w:val="24"/>
                <w:u w:val="none" w:color="auto"/>
                <w:lang w:eastAsia="zh-CN"/>
              </w:rPr>
              <w:t>国发展和改革委员会《</w:t>
            </w:r>
            <w:r>
              <w:rPr>
                <w:rFonts w:hint="default" w:ascii="Times New Roman" w:hAnsi="Times New Roman" w:cs="Times New Roman"/>
                <w:color w:val="auto"/>
                <w:sz w:val="24"/>
                <w:szCs w:val="24"/>
                <w:u w:val="none" w:color="auto"/>
                <w:lang w:val="en-US" w:eastAsia="zh-CN"/>
              </w:rPr>
              <w:t>产业结构调整指导目录》（2019年本），</w:t>
            </w:r>
            <w:r>
              <w:rPr>
                <w:rFonts w:hint="default" w:ascii="Times New Roman" w:hAnsi="Times New Roman" w:cs="Times New Roman"/>
                <w:color w:val="auto"/>
                <w:sz w:val="24"/>
                <w:szCs w:val="24"/>
                <w:u w:val="none" w:color="auto"/>
                <w:lang w:eastAsia="zh-CN"/>
              </w:rPr>
              <w:t>该类项目不属于限制类和淘汰类项目</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eastAsia="zh-CN"/>
              </w:rPr>
              <w:t>同</w:t>
            </w:r>
            <w:r>
              <w:rPr>
                <w:rFonts w:hint="default" w:ascii="Times New Roman" w:hAnsi="Times New Roman" w:cs="Times New Roman"/>
                <w:color w:val="auto"/>
                <w:spacing w:val="-10"/>
                <w:sz w:val="24"/>
                <w:szCs w:val="24"/>
                <w:u w:val="none" w:color="auto"/>
              </w:rPr>
              <w:t>时</w:t>
            </w:r>
            <w:r>
              <w:rPr>
                <w:rFonts w:hint="default" w:ascii="Times New Roman" w:hAnsi="Times New Roman" w:cs="Times New Roman"/>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default"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符合国家产业政策要求</w:t>
            </w:r>
            <w:r>
              <w:rPr>
                <w:rFonts w:hint="default" w:ascii="Times New Roman" w:hAnsi="Times New Roman" w:cs="Times New Roman"/>
                <w:color w:val="auto"/>
                <w:sz w:val="24"/>
                <w:u w:val="none" w:color="auto"/>
              </w:rPr>
              <w:t>。</w:t>
            </w:r>
          </w:p>
          <w:p>
            <w:pPr>
              <w:snapToGrid w:val="0"/>
              <w:spacing w:line="360" w:lineRule="auto"/>
              <w:ind w:firstLine="457" w:firstLineChars="196"/>
              <w:rPr>
                <w:rFonts w:hint="default" w:ascii="Times New Roman" w:hAnsi="Times New Roman" w:cs="Times New Roman"/>
                <w:b/>
                <w:bCs/>
                <w:color w:val="auto"/>
                <w:sz w:val="24"/>
                <w:u w:val="none" w:color="auto"/>
              </w:rPr>
            </w:pPr>
            <w:r>
              <w:rPr>
                <w:rFonts w:hint="default" w:ascii="Times New Roman" w:hAnsi="Times New Roman" w:cs="Times New Roman"/>
                <w:color w:val="auto"/>
                <w:sz w:val="24"/>
                <w:u w:val="none" w:color="auto"/>
              </w:rPr>
              <w:t>本项目</w:t>
            </w:r>
            <w:r>
              <w:rPr>
                <w:rFonts w:hint="default" w:ascii="Times New Roman" w:hAnsi="Times New Roman" w:cs="Times New Roman"/>
                <w:color w:val="auto"/>
                <w:sz w:val="24"/>
                <w:szCs w:val="24"/>
                <w:u w:val="none" w:color="auto"/>
              </w:rPr>
              <w:t>选址所在地基础设施完善，地理位置优越、交通方便、各类污染物经处理后能实现达标排放，且无与本项目有关的制约因素；平面布置比较合理，布局紧凑、管理方便。因此本项目的选址是可行的。</w:t>
            </w:r>
          </w:p>
          <w:p>
            <w:pPr>
              <w:snapToGrid w:val="0"/>
              <w:spacing w:line="360" w:lineRule="auto"/>
              <w:ind w:firstLine="457" w:firstLineChars="196"/>
              <w:rPr>
                <w:rFonts w:hint="eastAsia" w:cs="Times New Roman"/>
                <w:b/>
                <w:bCs/>
                <w:color w:val="auto"/>
                <w:sz w:val="24"/>
                <w:u w:val="none" w:color="auto"/>
                <w:lang w:val="en-US" w:eastAsia="zh-CN"/>
              </w:rPr>
            </w:pPr>
            <w:r>
              <w:rPr>
                <w:rFonts w:hint="eastAsia" w:ascii="Times New Roman" w:hAnsi="Times New Roman" w:cs="Times New Roman"/>
                <w:color w:val="auto"/>
                <w:sz w:val="24"/>
                <w:szCs w:val="24"/>
                <w:u w:val="none" w:color="auto"/>
                <w:lang w:val="en-US" w:eastAsia="zh-CN"/>
              </w:rPr>
              <w:t>本项目符合</w:t>
            </w:r>
            <w:r>
              <w:rPr>
                <w:rFonts w:hint="default" w:ascii="Times New Roman" w:hAnsi="Times New Roman" w:cs="Times New Roman"/>
                <w:color w:val="auto"/>
                <w:sz w:val="24"/>
                <w:szCs w:val="24"/>
                <w:u w:val="none" w:color="auto"/>
              </w:rPr>
              <w:t>《“十三五”挥发性有机物污染防治工作方案》</w:t>
            </w:r>
            <w:r>
              <w:rPr>
                <w:rFonts w:hint="eastAsia" w:ascii="Times New Roman" w:hAnsi="Times New Roman" w:cs="Times New Roman"/>
                <w:color w:val="auto"/>
                <w:sz w:val="24"/>
                <w:szCs w:val="24"/>
                <w:u w:val="none" w:color="auto"/>
                <w:lang w:val="en-US" w:eastAsia="zh-CN"/>
              </w:rPr>
              <w:t>中</w:t>
            </w:r>
            <w:r>
              <w:rPr>
                <w:rFonts w:hint="default" w:ascii="Times New Roman" w:hAnsi="Times New Roman" w:cs="Times New Roman"/>
                <w:color w:val="auto"/>
                <w:sz w:val="24"/>
                <w:szCs w:val="24"/>
                <w:u w:val="none" w:color="auto"/>
              </w:rPr>
              <w:t>有关要求。本项目建设与《湖南省挥发性有机物污染防治三年行动实施方案（2018-2020 年）》相符</w:t>
            </w: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本项目符合</w:t>
            </w:r>
            <w:r>
              <w:rPr>
                <w:rFonts w:hint="default" w:ascii="Times New Roman" w:hAnsi="Times New Roman" w:cs="Times New Roman"/>
                <w:color w:val="auto"/>
                <w:sz w:val="24"/>
                <w:szCs w:val="24"/>
                <w:u w:val="none" w:color="auto"/>
              </w:rPr>
              <w:t>《挥发性有机物（VOCs）污染防治技术政策》</w:t>
            </w:r>
            <w:r>
              <w:rPr>
                <w:rFonts w:hint="eastAsia" w:ascii="Times New Roman" w:hAnsi="Times New Roman" w:cs="Times New Roman"/>
                <w:color w:val="auto"/>
                <w:sz w:val="24"/>
                <w:szCs w:val="24"/>
                <w:u w:val="none" w:color="auto"/>
                <w:lang w:val="en-US" w:eastAsia="zh-CN"/>
              </w:rPr>
              <w:t>中相关要求。本下项目不属于《湖南省长江经济带发展负面清单实施细则（试行）》的中禁止的项目，符合国家要求</w:t>
            </w:r>
            <w:r>
              <w:rPr>
                <w:rFonts w:hint="eastAsia" w:ascii="Times New Roman" w:hAnsi="Times New Roman" w:cs="Times New Roman"/>
                <w:b w:val="0"/>
                <w:bCs w:val="0"/>
                <w:color w:val="auto"/>
                <w:sz w:val="24"/>
                <w:szCs w:val="24"/>
                <w:u w:val="none" w:color="auto"/>
                <w:lang w:val="en-US" w:eastAsia="zh-CN"/>
              </w:rPr>
              <w:t>。</w:t>
            </w:r>
          </w:p>
          <w:p>
            <w:pPr>
              <w:snapToGrid w:val="0"/>
              <w:spacing w:line="360" w:lineRule="auto"/>
              <w:ind w:firstLine="457" w:firstLineChars="196"/>
              <w:rPr>
                <w:rFonts w:hint="default" w:ascii="Times New Roman" w:hAnsi="Times New Roman" w:cs="Times New Roman"/>
                <w:b/>
                <w:bCs/>
                <w:color w:val="auto"/>
                <w:sz w:val="24"/>
                <w:u w:val="none" w:color="auto"/>
              </w:rPr>
            </w:pPr>
            <w:r>
              <w:rPr>
                <w:rFonts w:hint="eastAsia" w:cs="Times New Roman"/>
                <w:b/>
                <w:bCs/>
                <w:color w:val="auto"/>
                <w:sz w:val="24"/>
                <w:u w:val="none" w:color="auto"/>
                <w:lang w:val="en-US" w:eastAsia="zh-CN"/>
              </w:rPr>
              <w:t>5</w:t>
            </w:r>
            <w:r>
              <w:rPr>
                <w:rFonts w:hint="default" w:ascii="Times New Roman" w:hAnsi="Times New Roman" w:cs="Times New Roman"/>
                <w:b/>
                <w:bCs/>
                <w:color w:val="auto"/>
                <w:sz w:val="24"/>
                <w:u w:val="none" w:color="auto"/>
              </w:rPr>
              <w:t>、项目建设环境制约因素</w:t>
            </w:r>
          </w:p>
          <w:p>
            <w:pPr>
              <w:snapToGrid w:val="0"/>
              <w:spacing w:line="360" w:lineRule="auto"/>
              <w:ind w:firstLine="457" w:firstLineChars="196"/>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本项目建设没有</w:t>
            </w:r>
            <w:bookmarkStart w:id="17" w:name="OLE_LINK19"/>
            <w:r>
              <w:rPr>
                <w:rFonts w:hint="default" w:ascii="Times New Roman" w:hAnsi="Times New Roman" w:cs="Times New Roman"/>
                <w:color w:val="auto"/>
                <w:sz w:val="24"/>
                <w:u w:val="none" w:color="auto"/>
              </w:rPr>
              <w:t>明显的环境制约因素</w:t>
            </w:r>
            <w:bookmarkEnd w:id="17"/>
            <w:r>
              <w:rPr>
                <w:rFonts w:hint="default" w:ascii="Times New Roman" w:hAnsi="Times New Roman" w:cs="Times New Roman"/>
                <w:color w:val="auto"/>
                <w:sz w:val="24"/>
                <w:u w:val="none" w:color="auto"/>
              </w:rPr>
              <w:t>。</w:t>
            </w:r>
          </w:p>
          <w:p>
            <w:pPr>
              <w:snapToGrid w:val="0"/>
              <w:spacing w:line="480" w:lineRule="auto"/>
              <w:ind w:firstLine="466" w:firstLineChars="200"/>
              <w:rPr>
                <w:rFonts w:hint="default" w:ascii="Times New Roman" w:hAnsi="Times New Roman" w:cs="Times New Roman"/>
                <w:b/>
                <w:bCs w:val="0"/>
                <w:color w:val="auto"/>
                <w:sz w:val="24"/>
                <w:szCs w:val="24"/>
                <w:u w:val="none" w:color="auto"/>
              </w:rPr>
            </w:pPr>
            <w:r>
              <w:rPr>
                <w:rFonts w:hint="default" w:ascii="Times New Roman" w:hAnsi="Times New Roman" w:cs="Times New Roman"/>
                <w:b/>
                <w:bCs w:val="0"/>
                <w:color w:val="auto"/>
                <w:sz w:val="24"/>
                <w:szCs w:val="24"/>
                <w:u w:val="none" w:color="auto"/>
              </w:rPr>
              <w:t>总</w:t>
            </w:r>
            <w:r>
              <w:rPr>
                <w:rFonts w:hint="default" w:ascii="Times New Roman" w:hAnsi="Times New Roman" w:cs="Times New Roman"/>
                <w:b/>
                <w:bCs w:val="0"/>
                <w:color w:val="auto"/>
                <w:sz w:val="24"/>
                <w:szCs w:val="24"/>
                <w:u w:val="none" w:color="auto"/>
                <w:lang w:eastAsia="zh-CN"/>
              </w:rPr>
              <w:t>体</w:t>
            </w:r>
            <w:r>
              <w:rPr>
                <w:rFonts w:hint="default" w:ascii="Times New Roman" w:hAnsi="Times New Roman" w:cs="Times New Roman"/>
                <w:b/>
                <w:bCs w:val="0"/>
                <w:color w:val="auto"/>
                <w:sz w:val="24"/>
                <w:szCs w:val="24"/>
                <w:u w:val="none" w:color="auto"/>
              </w:rPr>
              <w:t>结论</w:t>
            </w:r>
          </w:p>
          <w:p>
            <w:pPr>
              <w:snapToGrid w:val="0"/>
              <w:spacing w:line="480" w:lineRule="auto"/>
              <w:ind w:firstLine="457" w:firstLineChars="196"/>
              <w:rPr>
                <w:rFonts w:hint="default" w:ascii="Times New Roman" w:hAnsi="Times New Roman" w:cs="Times New Roman"/>
                <w:b/>
                <w:bCs w:val="0"/>
                <w:color w:val="auto"/>
                <w:sz w:val="24"/>
                <w:szCs w:val="24"/>
                <w:u w:val="none" w:color="auto"/>
              </w:rPr>
            </w:pPr>
            <w:r>
              <w:rPr>
                <w:rFonts w:hint="default" w:ascii="Times New Roman" w:hAnsi="Times New Roman" w:cs="Times New Roman"/>
                <w:b/>
                <w:bCs w:val="0"/>
                <w:color w:val="auto"/>
                <w:sz w:val="24"/>
                <w:u w:val="none" w:color="auto"/>
              </w:rPr>
              <w:t>综上所述，</w:t>
            </w:r>
            <w:r>
              <w:rPr>
                <w:rFonts w:hint="eastAsia" w:cs="Times New Roman"/>
                <w:b/>
                <w:bCs w:val="0"/>
                <w:color w:val="auto"/>
                <w:sz w:val="24"/>
                <w:szCs w:val="24"/>
                <w:u w:val="none" w:color="auto"/>
                <w:lang w:eastAsia="zh-CN"/>
              </w:rPr>
              <w:t>湘阴县株欣机制石棉瓦厂年产20万片石棉瓦</w:t>
            </w:r>
            <w:r>
              <w:rPr>
                <w:rFonts w:hint="default" w:ascii="Times New Roman" w:hAnsi="Times New Roman" w:cs="Times New Roman"/>
                <w:b/>
                <w:bCs w:val="0"/>
                <w:color w:val="auto"/>
                <w:sz w:val="24"/>
                <w:szCs w:val="24"/>
                <w:u w:val="none" w:color="auto"/>
                <w:lang w:eastAsia="zh-CN"/>
              </w:rPr>
              <w:t>建设项目</w:t>
            </w:r>
            <w:r>
              <w:rPr>
                <w:rFonts w:hint="default" w:ascii="Times New Roman" w:hAnsi="Times New Roman" w:cs="Times New Roman"/>
                <w:b/>
                <w:bCs w:val="0"/>
                <w:color w:val="auto"/>
                <w:sz w:val="24"/>
                <w:u w:val="none" w:color="auto"/>
              </w:rPr>
              <w:t>建设符合国家产业政策，平面布局合理，选址可行。在认真落实本环评报告提出的各项环保措施的前提下，废气、废水、噪声可实现达标排放，固废可得到有效处置，项目建设及营运</w:t>
            </w:r>
            <w:r>
              <w:rPr>
                <w:rFonts w:hint="default" w:ascii="Times New Roman" w:hAnsi="Times New Roman" w:cs="Times New Roman"/>
                <w:b/>
                <w:bCs w:val="0"/>
                <w:color w:val="auto"/>
                <w:sz w:val="24"/>
                <w:szCs w:val="24"/>
                <w:u w:val="none" w:color="auto"/>
              </w:rPr>
              <w:t>对环境保护目标及周围环境影响较小。从环境保护角度分析，本项目的建设是可行的。</w:t>
            </w:r>
          </w:p>
          <w:p>
            <w:pPr>
              <w:snapToGrid w:val="0"/>
              <w:spacing w:line="360" w:lineRule="auto"/>
              <w:ind w:firstLine="457" w:firstLineChars="196"/>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 xml:space="preserve"> 建议与要求</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）建设单位应加强项目的环境管理、专人负责，把环保措施指标纳入日常管理规划中，及时消除污染隐患，避免对环境带来污染影响。</w:t>
            </w:r>
          </w:p>
          <w:p>
            <w:pPr>
              <w:snapToGrid w:val="0"/>
              <w:spacing w:line="360" w:lineRule="auto"/>
              <w:ind w:firstLine="457" w:firstLineChars="196"/>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）加强废气处理设施的管理，确保设施正常运行并达设计处理效率，保证废气达标排放。正常生产情况下，严禁废气处理装置停运和超标排污</w:t>
            </w:r>
            <w:r>
              <w:rPr>
                <w:rFonts w:hint="default" w:ascii="Times New Roman" w:hAnsi="Times New Roman" w:cs="Times New Roman"/>
                <w:color w:val="auto"/>
                <w:sz w:val="24"/>
                <w:szCs w:val="24"/>
                <w:u w:val="none" w:color="auto"/>
                <w:lang w:eastAsia="zh-CN"/>
              </w:rPr>
              <w:t>。</w:t>
            </w:r>
          </w:p>
          <w:p>
            <w:pPr>
              <w:snapToGrid w:val="0"/>
              <w:spacing w:line="360" w:lineRule="auto"/>
              <w:ind w:firstLine="466" w:firstLineChars="200"/>
              <w:rPr>
                <w:rFonts w:hint="default" w:ascii="Times New Roman" w:hAnsi="Times New Roman" w:cs="Times New Roman"/>
                <w:b/>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本项目基础资料由建设单位提供，并对其准确性负责。建设单位以后若增加本报告表所涉及之外的污染源或对其功能进行改变，则应按要求向有关</w:t>
            </w:r>
            <w:r>
              <w:rPr>
                <w:rFonts w:hint="eastAsia" w:cs="Times New Roman"/>
                <w:color w:val="auto"/>
                <w:sz w:val="24"/>
                <w:szCs w:val="24"/>
                <w:u w:val="none" w:color="auto"/>
                <w:lang w:eastAsia="zh-CN"/>
              </w:rPr>
              <w:t>生态</w:t>
            </w:r>
            <w:r>
              <w:rPr>
                <w:rFonts w:hint="eastAsia" w:cs="Times New Roman"/>
                <w:color w:val="auto"/>
                <w:sz w:val="24"/>
                <w:szCs w:val="24"/>
                <w:u w:val="none" w:color="auto"/>
                <w:lang w:val="en-US" w:eastAsia="zh-CN"/>
              </w:rPr>
              <w:t>环境</w:t>
            </w:r>
            <w:r>
              <w:rPr>
                <w:rFonts w:hint="eastAsia" w:cs="Times New Roman"/>
                <w:color w:val="auto"/>
                <w:sz w:val="24"/>
                <w:szCs w:val="24"/>
                <w:u w:val="none" w:color="auto"/>
                <w:lang w:eastAsia="zh-CN"/>
              </w:rPr>
              <w:t>部门</w:t>
            </w:r>
            <w:r>
              <w:rPr>
                <w:rFonts w:hint="default" w:ascii="Times New Roman" w:hAnsi="Times New Roman" w:cs="Times New Roman"/>
                <w:color w:val="auto"/>
                <w:sz w:val="24"/>
                <w:szCs w:val="24"/>
                <w:u w:val="none" w:color="auto"/>
              </w:rPr>
              <w:t>进行申报，并按污染控制目标采取相应的污染治理措施。</w:t>
            </w:r>
          </w:p>
        </w:tc>
      </w:tr>
    </w:tbl>
    <w:p>
      <w:pPr>
        <w:rPr>
          <w:color w:val="auto"/>
          <w:u w:val="none" w:color="auto"/>
        </w:rPr>
      </w:pPr>
    </w:p>
    <w:p>
      <w:pPr>
        <w:pStyle w:val="8"/>
        <w:bidi w:val="0"/>
        <w:rPr>
          <w:rFonts w:hint="eastAsia"/>
          <w:color w:val="auto"/>
          <w:u w:val="none" w:color="auto"/>
          <w:lang w:eastAsia="zh-CN"/>
        </w:rPr>
      </w:pPr>
      <w:r>
        <w:rPr>
          <w:rFonts w:hint="eastAsia"/>
          <w:color w:val="auto"/>
          <w:u w:val="none" w:color="auto"/>
          <w:lang w:eastAsia="zh-CN"/>
        </w:rPr>
        <w:t>附表：</w:t>
      </w:r>
    </w:p>
    <w:p>
      <w:pPr>
        <w:spacing w:line="360" w:lineRule="auto"/>
        <w:jc w:val="center"/>
        <w:rPr>
          <w:rFonts w:hint="default" w:ascii="Times New Roman" w:hAnsi="Times New Roman" w:eastAsia="宋体" w:cs="Times New Roman"/>
          <w:b/>
          <w:bCs/>
          <w:color w:val="auto"/>
          <w:sz w:val="28"/>
          <w:szCs w:val="28"/>
          <w:u w:val="none" w:color="auto"/>
        </w:rPr>
      </w:pPr>
      <w:r>
        <w:rPr>
          <w:rFonts w:hint="default" w:ascii="Times New Roman" w:hAnsi="Times New Roman" w:eastAsia="宋体" w:cs="Times New Roman"/>
          <w:b/>
          <w:bCs/>
          <w:color w:val="auto"/>
          <w:sz w:val="28"/>
          <w:szCs w:val="28"/>
          <w:u w:val="none" w:color="auto"/>
          <w:lang w:val="en-US" w:eastAsia="zh-CN"/>
        </w:rPr>
        <w:t xml:space="preserve"> </w:t>
      </w:r>
      <w:r>
        <w:rPr>
          <w:rFonts w:hint="default" w:ascii="Times New Roman" w:hAnsi="Times New Roman" w:eastAsia="宋体" w:cs="Times New Roman"/>
          <w:b/>
          <w:bCs/>
          <w:color w:val="auto"/>
          <w:sz w:val="28"/>
          <w:szCs w:val="28"/>
          <w:u w:val="none" w:color="auto"/>
        </w:rPr>
        <w:t>建设项目大气环境影响评价自查表</w:t>
      </w:r>
    </w:p>
    <w:tbl>
      <w:tblPr>
        <w:tblStyle w:val="41"/>
        <w:tblW w:w="95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541"/>
        <w:gridCol w:w="1087"/>
        <w:gridCol w:w="110"/>
        <w:gridCol w:w="343"/>
        <w:gridCol w:w="205"/>
        <w:gridCol w:w="212"/>
        <w:gridCol w:w="528"/>
        <w:gridCol w:w="422"/>
        <w:gridCol w:w="458"/>
        <w:gridCol w:w="545"/>
        <w:gridCol w:w="389"/>
        <w:gridCol w:w="673"/>
        <w:gridCol w:w="1"/>
        <w:gridCol w:w="282"/>
        <w:gridCol w:w="149"/>
        <w:gridCol w:w="229"/>
        <w:gridCol w:w="583"/>
        <w:gridCol w:w="8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7" w:type="dxa"/>
            <w:gridSpan w:val="2"/>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工作内容</w:t>
            </w:r>
          </w:p>
        </w:tc>
        <w:tc>
          <w:tcPr>
            <w:tcW w:w="7077" w:type="dxa"/>
            <w:gridSpan w:val="1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restart"/>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评价等级与范围</w:t>
            </w: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评价等级</w:t>
            </w:r>
          </w:p>
        </w:tc>
        <w:tc>
          <w:tcPr>
            <w:tcW w:w="1957"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一级□</w:t>
            </w:r>
          </w:p>
        </w:tc>
        <w:tc>
          <w:tcPr>
            <w:tcW w:w="3016"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二级</w:t>
            </w:r>
            <w:r>
              <w:rPr>
                <w:rFonts w:hint="default" w:ascii="Times New Roman" w:hAnsi="Times New Roman" w:eastAsia="宋体" w:cs="Times New Roman"/>
                <w:color w:val="auto"/>
                <w:kern w:val="0"/>
                <w:sz w:val="22"/>
                <w:szCs w:val="22"/>
                <w:u w:val="none" w:color="auto"/>
              </w:rPr>
              <w:sym w:font="Wingdings 2" w:char="0052"/>
            </w:r>
          </w:p>
        </w:tc>
        <w:tc>
          <w:tcPr>
            <w:tcW w:w="2104"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三级</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评价范围</w:t>
            </w:r>
          </w:p>
        </w:tc>
        <w:tc>
          <w:tcPr>
            <w:tcW w:w="1957"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边长=50km</w:t>
            </w:r>
            <w:r>
              <w:rPr>
                <w:rFonts w:hint="default" w:ascii="Times New Roman" w:hAnsi="Times New Roman" w:eastAsia="宋体" w:cs="Times New Roman"/>
                <w:color w:val="auto"/>
                <w:kern w:val="0"/>
                <w:sz w:val="22"/>
                <w:szCs w:val="22"/>
                <w:u w:val="none" w:color="auto"/>
              </w:rPr>
              <w:sym w:font="Wingdings 2" w:char="00A3"/>
            </w:r>
          </w:p>
        </w:tc>
        <w:tc>
          <w:tcPr>
            <w:tcW w:w="3016"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边长5~50km□</w:t>
            </w:r>
          </w:p>
        </w:tc>
        <w:tc>
          <w:tcPr>
            <w:tcW w:w="2104"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边长=5km</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6" w:type="dxa"/>
            <w:vMerge w:val="restart"/>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因子</w:t>
            </w: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vertAlign w:val="subscript"/>
              </w:rPr>
            </w:pPr>
            <w:r>
              <w:rPr>
                <w:rFonts w:hint="default" w:ascii="Times New Roman" w:hAnsi="Times New Roman" w:eastAsia="宋体" w:cs="Times New Roman"/>
                <w:color w:val="auto"/>
                <w:kern w:val="0"/>
                <w:sz w:val="22"/>
                <w:szCs w:val="22"/>
                <w:u w:val="none" w:color="auto"/>
              </w:rPr>
              <w:t>SO</w:t>
            </w:r>
            <w:r>
              <w:rPr>
                <w:rFonts w:hint="default" w:ascii="Times New Roman" w:hAnsi="Times New Roman" w:eastAsia="宋体" w:cs="Times New Roman"/>
                <w:color w:val="auto"/>
                <w:kern w:val="0"/>
                <w:sz w:val="22"/>
                <w:szCs w:val="22"/>
                <w:u w:val="none" w:color="auto"/>
                <w:vertAlign w:val="subscript"/>
              </w:rPr>
              <w:t>2</w:t>
            </w:r>
            <w:r>
              <w:rPr>
                <w:rFonts w:hint="default" w:ascii="Times New Roman" w:hAnsi="Times New Roman" w:eastAsia="宋体" w:cs="Times New Roman"/>
                <w:color w:val="auto"/>
                <w:kern w:val="0"/>
                <w:sz w:val="22"/>
                <w:szCs w:val="22"/>
                <w:u w:val="none" w:color="auto"/>
              </w:rPr>
              <w:t>+NO</w:t>
            </w:r>
            <w:r>
              <w:rPr>
                <w:rFonts w:hint="default" w:ascii="Times New Roman" w:hAnsi="Times New Roman" w:eastAsia="宋体" w:cs="Times New Roman"/>
                <w:color w:val="auto"/>
                <w:kern w:val="0"/>
                <w:sz w:val="22"/>
                <w:szCs w:val="22"/>
                <w:u w:val="none" w:color="auto"/>
                <w:vertAlign w:val="subscript"/>
              </w:rPr>
              <w:t>x</w:t>
            </w:r>
          </w:p>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排放量</w:t>
            </w:r>
          </w:p>
        </w:tc>
        <w:tc>
          <w:tcPr>
            <w:tcW w:w="1957"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≥2000t/a□</w:t>
            </w:r>
          </w:p>
        </w:tc>
        <w:tc>
          <w:tcPr>
            <w:tcW w:w="3016"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500~2000t/a□</w:t>
            </w:r>
          </w:p>
        </w:tc>
        <w:tc>
          <w:tcPr>
            <w:tcW w:w="2104"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＜500t/a</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评价因子</w:t>
            </w:r>
          </w:p>
        </w:tc>
        <w:tc>
          <w:tcPr>
            <w:tcW w:w="4973" w:type="dxa"/>
            <w:gridSpan w:val="12"/>
            <w:tcBorders>
              <w:tl2br w:val="nil"/>
              <w:tr2bl w:val="nil"/>
            </w:tcBorders>
            <w:noWrap w:val="0"/>
            <w:vAlign w:val="center"/>
          </w:tcPr>
          <w:p>
            <w:pPr>
              <w:widowControl/>
              <w:adjustRightInd w:val="0"/>
              <w:snapToGrid w:val="0"/>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基本污染物（SO</w:t>
            </w:r>
            <w:r>
              <w:rPr>
                <w:rFonts w:hint="default" w:ascii="Times New Roman" w:hAnsi="Times New Roman" w:cs="Times New Roman"/>
                <w:color w:val="auto"/>
                <w:kern w:val="0"/>
                <w:sz w:val="22"/>
                <w:szCs w:val="22"/>
                <w:u w:val="none" w:color="auto"/>
                <w:vertAlign w:val="subscript"/>
              </w:rPr>
              <w:t>2</w:t>
            </w:r>
            <w:r>
              <w:rPr>
                <w:rFonts w:hint="default" w:ascii="Times New Roman" w:hAnsi="Times New Roman" w:cs="Times New Roman"/>
                <w:color w:val="auto"/>
                <w:kern w:val="0"/>
                <w:sz w:val="22"/>
                <w:szCs w:val="22"/>
                <w:u w:val="none" w:color="auto"/>
              </w:rPr>
              <w:t>、NO</w:t>
            </w:r>
            <w:r>
              <w:rPr>
                <w:rFonts w:hint="default" w:ascii="Times New Roman" w:hAnsi="Times New Roman" w:cs="Times New Roman"/>
                <w:color w:val="auto"/>
                <w:kern w:val="0"/>
                <w:sz w:val="22"/>
                <w:szCs w:val="22"/>
                <w:u w:val="none" w:color="auto"/>
                <w:vertAlign w:val="subscript"/>
              </w:rPr>
              <w:t>2</w:t>
            </w:r>
            <w:r>
              <w:rPr>
                <w:rFonts w:hint="default" w:ascii="Times New Roman" w:hAnsi="Times New Roman" w:cs="Times New Roman"/>
                <w:color w:val="auto"/>
                <w:kern w:val="0"/>
                <w:sz w:val="22"/>
                <w:szCs w:val="22"/>
                <w:u w:val="none" w:color="auto"/>
              </w:rPr>
              <w:t>、</w:t>
            </w:r>
            <w:r>
              <w:rPr>
                <w:rFonts w:hint="default" w:ascii="Times New Roman" w:hAnsi="Times New Roman" w:cs="Times New Roman"/>
                <w:color w:val="auto"/>
                <w:kern w:val="0"/>
                <w:sz w:val="22"/>
                <w:szCs w:val="22"/>
                <w:u w:val="none" w:color="auto"/>
                <w:lang w:val="en-US" w:eastAsia="zh-CN"/>
              </w:rPr>
              <w:t>CO、O</w:t>
            </w:r>
            <w:r>
              <w:rPr>
                <w:rFonts w:hint="default" w:ascii="Times New Roman" w:hAnsi="Times New Roman" w:cs="Times New Roman"/>
                <w:color w:val="auto"/>
                <w:kern w:val="0"/>
                <w:sz w:val="22"/>
                <w:szCs w:val="22"/>
                <w:u w:val="none" w:color="auto"/>
                <w:vertAlign w:val="subscript"/>
                <w:lang w:val="en-US" w:eastAsia="zh-CN"/>
              </w:rPr>
              <w:t>3</w:t>
            </w:r>
            <w:r>
              <w:rPr>
                <w:rFonts w:hint="default" w:ascii="Times New Roman" w:hAnsi="Times New Roman" w:cs="Times New Roman"/>
                <w:color w:val="auto"/>
                <w:kern w:val="0"/>
                <w:sz w:val="22"/>
                <w:szCs w:val="22"/>
                <w:u w:val="none" w:color="auto"/>
                <w:lang w:val="en-US" w:eastAsia="zh-CN"/>
              </w:rPr>
              <w:t>、</w:t>
            </w:r>
            <w:r>
              <w:rPr>
                <w:rFonts w:hint="default" w:ascii="Times New Roman" w:hAnsi="Times New Roman" w:cs="Times New Roman"/>
                <w:color w:val="auto"/>
                <w:kern w:val="0"/>
                <w:sz w:val="22"/>
                <w:szCs w:val="22"/>
                <w:u w:val="none" w:color="auto"/>
              </w:rPr>
              <w:t>PM</w:t>
            </w:r>
            <w:r>
              <w:rPr>
                <w:rFonts w:hint="default" w:ascii="Times New Roman" w:hAnsi="Times New Roman" w:cs="Times New Roman"/>
                <w:color w:val="auto"/>
                <w:kern w:val="0"/>
                <w:sz w:val="22"/>
                <w:szCs w:val="22"/>
                <w:u w:val="none" w:color="auto"/>
                <w:vertAlign w:val="subscript"/>
              </w:rPr>
              <w:t>10</w:t>
            </w:r>
            <w:r>
              <w:rPr>
                <w:rFonts w:hint="default" w:ascii="Times New Roman" w:hAnsi="Times New Roman" w:cs="Times New Roman"/>
                <w:color w:val="auto"/>
                <w:kern w:val="0"/>
                <w:sz w:val="22"/>
                <w:szCs w:val="22"/>
                <w:u w:val="none" w:color="auto"/>
              </w:rPr>
              <w:t>、PM</w:t>
            </w:r>
            <w:r>
              <w:rPr>
                <w:rFonts w:hint="default" w:ascii="Times New Roman" w:hAnsi="Times New Roman" w:cs="Times New Roman"/>
                <w:color w:val="auto"/>
                <w:kern w:val="0"/>
                <w:sz w:val="22"/>
                <w:szCs w:val="22"/>
                <w:u w:val="none" w:color="auto"/>
                <w:vertAlign w:val="subscript"/>
              </w:rPr>
              <w:t>2.5</w:t>
            </w:r>
            <w:r>
              <w:rPr>
                <w:rFonts w:hint="default" w:ascii="Times New Roman" w:hAnsi="Times New Roman" w:cs="Times New Roman"/>
                <w:color w:val="auto"/>
                <w:kern w:val="0"/>
                <w:sz w:val="22"/>
                <w:szCs w:val="22"/>
                <w:u w:val="none" w:color="auto"/>
              </w:rPr>
              <w:t>）</w:t>
            </w:r>
          </w:p>
          <w:p>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其他污染物（</w:t>
            </w:r>
            <w:r>
              <w:rPr>
                <w:rFonts w:hint="default" w:ascii="Times New Roman" w:hAnsi="Times New Roman" w:cs="Times New Roman"/>
                <w:color w:val="auto"/>
                <w:kern w:val="0"/>
                <w:sz w:val="22"/>
                <w:szCs w:val="22"/>
                <w:u w:val="none" w:color="auto"/>
                <w:lang w:val="en-US" w:eastAsia="zh-CN"/>
              </w:rPr>
              <w:t xml:space="preserve"> </w:t>
            </w:r>
            <w:r>
              <w:rPr>
                <w:rFonts w:hint="default" w:ascii="Times New Roman" w:hAnsi="Times New Roman" w:cs="Times New Roman"/>
                <w:color w:val="auto"/>
                <w:sz w:val="22"/>
                <w:szCs w:val="22"/>
                <w:u w:val="none" w:color="auto"/>
                <w:lang w:val="en-US" w:eastAsia="zh-CN"/>
              </w:rPr>
              <w:t xml:space="preserve">/ </w:t>
            </w:r>
            <w:r>
              <w:rPr>
                <w:rFonts w:hint="default" w:ascii="Times New Roman" w:hAnsi="Times New Roman" w:cs="Times New Roman"/>
                <w:color w:val="auto"/>
                <w:sz w:val="22"/>
                <w:szCs w:val="22"/>
                <w:u w:val="none" w:color="auto"/>
                <w:lang w:eastAsia="zh-CN"/>
              </w:rPr>
              <w:t>）</w:t>
            </w:r>
            <w:r>
              <w:rPr>
                <w:rFonts w:hint="default" w:ascii="Times New Roman" w:hAnsi="Times New Roman" w:eastAsia="宋体" w:cs="Times New Roman"/>
                <w:color w:val="auto"/>
                <w:kern w:val="0"/>
                <w:sz w:val="22"/>
                <w:szCs w:val="22"/>
                <w:u w:val="none" w:color="auto"/>
              </w:rPr>
              <w:t xml:space="preserve">   </w:t>
            </w:r>
          </w:p>
        </w:tc>
        <w:tc>
          <w:tcPr>
            <w:tcW w:w="2104" w:type="dxa"/>
            <w:gridSpan w:val="5"/>
            <w:tcBorders>
              <w:tl2br w:val="nil"/>
              <w:tr2bl w:val="nil"/>
            </w:tcBorders>
            <w:noWrap w:val="0"/>
            <w:vAlign w:val="center"/>
          </w:tcPr>
          <w:p>
            <w:pPr>
              <w:pStyle w:val="2"/>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t>□</w:t>
            </w:r>
          </w:p>
          <w:p>
            <w:pPr>
              <w:pStyle w:val="2"/>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不包括二次PM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sym w:font="Wingdings 2" w:char="00A3"/>
            </w:r>
            <w:r>
              <w:rPr>
                <w:rFonts w:hint="default" w:ascii="Times New Roman" w:hAnsi="Times New Roman" w:eastAsia="宋体" w:cs="Times New Roman"/>
                <w:color w:val="auto"/>
                <w:kern w:val="0"/>
                <w:sz w:val="22"/>
                <w:szCs w:val="22"/>
                <w:u w:val="none" w:color="auto"/>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标准</w:t>
            </w: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评价标准</w:t>
            </w:r>
          </w:p>
        </w:tc>
        <w:tc>
          <w:tcPr>
            <w:tcW w:w="1540" w:type="dxa"/>
            <w:gridSpan w:val="3"/>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国家标准</w:t>
            </w:r>
            <w:r>
              <w:rPr>
                <w:rFonts w:hint="default" w:ascii="Times New Roman" w:hAnsi="Times New Roman" w:eastAsia="宋体" w:cs="Times New Roman"/>
                <w:color w:val="auto"/>
                <w:kern w:val="0"/>
                <w:sz w:val="22"/>
                <w:szCs w:val="22"/>
                <w:u w:val="none" w:color="auto"/>
              </w:rPr>
              <w:sym w:font="Wingdings 2" w:char="0052"/>
            </w:r>
          </w:p>
        </w:tc>
        <w:tc>
          <w:tcPr>
            <w:tcW w:w="1825"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地方标准</w:t>
            </w:r>
            <w:r>
              <w:rPr>
                <w:rFonts w:hint="default" w:ascii="Times New Roman" w:hAnsi="Times New Roman" w:eastAsia="宋体" w:cs="Times New Roman"/>
                <w:color w:val="auto"/>
                <w:kern w:val="0"/>
                <w:sz w:val="22"/>
                <w:szCs w:val="22"/>
                <w:u w:val="none" w:color="auto"/>
              </w:rPr>
              <w:sym w:font="Wingdings 2" w:char="00A3"/>
            </w:r>
          </w:p>
        </w:tc>
        <w:tc>
          <w:tcPr>
            <w:tcW w:w="2039"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附录D□</w:t>
            </w:r>
          </w:p>
        </w:tc>
        <w:tc>
          <w:tcPr>
            <w:tcW w:w="1673" w:type="dxa"/>
            <w:gridSpan w:val="3"/>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其他标准□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restart"/>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现状</w:t>
            </w:r>
          </w:p>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环境功能区</w:t>
            </w:r>
          </w:p>
        </w:tc>
        <w:tc>
          <w:tcPr>
            <w:tcW w:w="1957"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一类区 □</w:t>
            </w:r>
          </w:p>
        </w:tc>
        <w:tc>
          <w:tcPr>
            <w:tcW w:w="3015"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二类区 </w:t>
            </w:r>
            <w:r>
              <w:rPr>
                <w:rFonts w:hint="default" w:ascii="Times New Roman" w:hAnsi="Times New Roman" w:eastAsia="宋体" w:cs="Times New Roman"/>
                <w:color w:val="auto"/>
                <w:kern w:val="0"/>
                <w:sz w:val="22"/>
                <w:szCs w:val="22"/>
                <w:u w:val="none" w:color="auto"/>
              </w:rPr>
              <w:sym w:font="Wingdings 2" w:char="0052"/>
            </w:r>
          </w:p>
        </w:tc>
        <w:tc>
          <w:tcPr>
            <w:tcW w:w="2105"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一类区和二类区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评价基准年</w:t>
            </w:r>
          </w:p>
        </w:tc>
        <w:tc>
          <w:tcPr>
            <w:tcW w:w="7077" w:type="dxa"/>
            <w:gridSpan w:val="1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w:t>
            </w:r>
            <w:r>
              <w:rPr>
                <w:rFonts w:hint="eastAsia" w:cs="Times New Roman"/>
                <w:color w:val="auto"/>
                <w:kern w:val="0"/>
                <w:sz w:val="22"/>
                <w:szCs w:val="22"/>
                <w:u w:val="none" w:color="auto"/>
                <w:lang w:val="en-US" w:eastAsia="zh-CN"/>
              </w:rPr>
              <w:t>2018、</w:t>
            </w:r>
            <w:r>
              <w:rPr>
                <w:rFonts w:hint="default" w:ascii="Times New Roman" w:hAnsi="Times New Roman" w:eastAsia="宋体" w:cs="Times New Roman"/>
                <w:color w:val="auto"/>
                <w:kern w:val="0"/>
                <w:sz w:val="22"/>
                <w:szCs w:val="22"/>
                <w:u w:val="none" w:color="auto"/>
                <w:lang w:val="en-US" w:eastAsia="zh-CN"/>
              </w:rPr>
              <w:t>201</w:t>
            </w:r>
            <w:r>
              <w:rPr>
                <w:rFonts w:hint="eastAsia" w:cs="Times New Roman"/>
                <w:color w:val="auto"/>
                <w:kern w:val="0"/>
                <w:sz w:val="22"/>
                <w:szCs w:val="22"/>
                <w:u w:val="none" w:color="auto"/>
                <w:lang w:val="en-US" w:eastAsia="zh-CN"/>
              </w:rPr>
              <w:t>9</w:t>
            </w:r>
            <w:r>
              <w:rPr>
                <w:rFonts w:hint="default" w:ascii="Times New Roman" w:hAnsi="Times New Roman" w:eastAsia="宋体" w:cs="Times New Roman"/>
                <w:color w:val="auto"/>
                <w:kern w:val="0"/>
                <w:sz w:val="22"/>
                <w:szCs w:val="22"/>
                <w:u w:val="none" w:color="auto"/>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环境空气质量现状调查数据来源</w:t>
            </w:r>
          </w:p>
        </w:tc>
        <w:tc>
          <w:tcPr>
            <w:tcW w:w="1957"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长期例行监测</w:t>
            </w:r>
          </w:p>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数据□</w:t>
            </w:r>
          </w:p>
        </w:tc>
        <w:tc>
          <w:tcPr>
            <w:tcW w:w="3015"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主管部门发布的数据</w:t>
            </w:r>
            <w:r>
              <w:rPr>
                <w:rFonts w:hint="default" w:ascii="Times New Roman" w:hAnsi="Times New Roman" w:eastAsia="宋体" w:cs="Times New Roman"/>
                <w:color w:val="auto"/>
                <w:kern w:val="0"/>
                <w:sz w:val="22"/>
                <w:szCs w:val="22"/>
                <w:u w:val="none" w:color="auto"/>
              </w:rPr>
              <w:sym w:font="Wingdings 2" w:char="0052"/>
            </w:r>
          </w:p>
        </w:tc>
        <w:tc>
          <w:tcPr>
            <w:tcW w:w="2105"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现状补充监测</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现状评价</w:t>
            </w:r>
          </w:p>
        </w:tc>
        <w:tc>
          <w:tcPr>
            <w:tcW w:w="3365" w:type="dxa"/>
            <w:gridSpan w:val="8"/>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达标区 </w:t>
            </w:r>
            <w:r>
              <w:rPr>
                <w:rFonts w:hint="default" w:ascii="Times New Roman" w:hAnsi="Times New Roman" w:eastAsia="宋体" w:cs="Times New Roman"/>
                <w:color w:val="auto"/>
                <w:kern w:val="0"/>
                <w:sz w:val="22"/>
                <w:szCs w:val="22"/>
                <w:u w:val="none" w:color="auto"/>
              </w:rPr>
              <w:sym w:font="Wingdings 2" w:char="00A3"/>
            </w:r>
          </w:p>
        </w:tc>
        <w:tc>
          <w:tcPr>
            <w:tcW w:w="3712" w:type="dxa"/>
            <w:gridSpan w:val="9"/>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不达标区 </w:t>
            </w:r>
            <w:r>
              <w:rPr>
                <w:rFonts w:hint="default" w:ascii="Times New Roman" w:hAnsi="Times New Roman" w:eastAsia="宋体" w:cs="Times New Roman"/>
                <w:color w:val="auto"/>
                <w:kern w:val="0"/>
                <w:sz w:val="22"/>
                <w:szCs w:val="22"/>
                <w:u w:val="none" w:color="auto"/>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污染源调查</w:t>
            </w: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调查内容</w:t>
            </w:r>
          </w:p>
        </w:tc>
        <w:tc>
          <w:tcPr>
            <w:tcW w:w="2485"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本项目正常排放源</w:t>
            </w:r>
            <w:r>
              <w:rPr>
                <w:rFonts w:hint="default" w:ascii="Times New Roman" w:hAnsi="Times New Roman" w:eastAsia="宋体" w:cs="Times New Roman"/>
                <w:color w:val="auto"/>
                <w:kern w:val="0"/>
                <w:sz w:val="22"/>
                <w:szCs w:val="22"/>
                <w:u w:val="none" w:color="auto"/>
              </w:rPr>
              <w:sym w:font="Wingdings 2" w:char="00A3"/>
            </w:r>
          </w:p>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本项目非正常排放源</w:t>
            </w:r>
            <w:r>
              <w:rPr>
                <w:rFonts w:hint="default" w:ascii="Times New Roman" w:hAnsi="Times New Roman" w:eastAsia="宋体" w:cs="Times New Roman"/>
                <w:color w:val="auto"/>
                <w:kern w:val="0"/>
                <w:sz w:val="22"/>
                <w:szCs w:val="22"/>
                <w:u w:val="none" w:color="auto"/>
              </w:rPr>
              <w:sym w:font="Wingdings 2" w:char="00A3"/>
            </w:r>
          </w:p>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现有污染源□</w:t>
            </w:r>
          </w:p>
        </w:tc>
        <w:tc>
          <w:tcPr>
            <w:tcW w:w="1425" w:type="dxa"/>
            <w:gridSpan w:val="3"/>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拟替代的污染源□</w:t>
            </w:r>
          </w:p>
        </w:tc>
        <w:tc>
          <w:tcPr>
            <w:tcW w:w="1723"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其他在建、拟建项目污染源□</w:t>
            </w:r>
          </w:p>
        </w:tc>
        <w:tc>
          <w:tcPr>
            <w:tcW w:w="1444" w:type="dxa"/>
            <w:gridSpan w:val="2"/>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区域污染源□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96" w:type="dxa"/>
            <w:vMerge w:val="restart"/>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大气环境影响预测与评价</w:t>
            </w: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预测模型</w:t>
            </w:r>
          </w:p>
        </w:tc>
        <w:tc>
          <w:tcPr>
            <w:tcW w:w="1087"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AERMOD</w:t>
            </w:r>
            <w:r>
              <w:rPr>
                <w:rFonts w:hint="default" w:ascii="Times New Roman" w:hAnsi="Times New Roman" w:eastAsia="宋体" w:cs="Times New Roman"/>
                <w:color w:val="auto"/>
                <w:kern w:val="0"/>
                <w:sz w:val="22"/>
                <w:szCs w:val="22"/>
                <w:u w:val="none" w:color="auto"/>
              </w:rPr>
              <w:sym w:font="Wingdings 2" w:char="00A3"/>
            </w:r>
          </w:p>
        </w:tc>
        <w:tc>
          <w:tcPr>
            <w:tcW w:w="870" w:type="dxa"/>
            <w:gridSpan w:val="4"/>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ADMS□</w:t>
            </w:r>
          </w:p>
        </w:tc>
        <w:tc>
          <w:tcPr>
            <w:tcW w:w="950" w:type="dxa"/>
            <w:gridSpan w:val="2"/>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A</w:t>
            </w:r>
            <w:r>
              <w:rPr>
                <w:rFonts w:hint="default" w:ascii="Times New Roman" w:hAnsi="Times New Roman" w:eastAsia="宋体" w:cs="Times New Roman"/>
                <w:color w:val="auto"/>
                <w:kern w:val="0"/>
                <w:sz w:val="22"/>
                <w:szCs w:val="22"/>
                <w:u w:val="none" w:color="auto"/>
                <w:lang w:eastAsia="zh-CN"/>
              </w:rPr>
              <w:t>μ</w:t>
            </w:r>
            <w:r>
              <w:rPr>
                <w:rFonts w:hint="default" w:ascii="Times New Roman" w:hAnsi="Times New Roman" w:eastAsia="宋体" w:cs="Times New Roman"/>
                <w:color w:val="auto"/>
                <w:kern w:val="0"/>
                <w:sz w:val="22"/>
                <w:szCs w:val="22"/>
                <w:u w:val="none" w:color="auto"/>
              </w:rPr>
              <w:t>STAL2000□</w:t>
            </w:r>
          </w:p>
        </w:tc>
        <w:tc>
          <w:tcPr>
            <w:tcW w:w="1003" w:type="dxa"/>
            <w:gridSpan w:val="2"/>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EDMS/ASDT□</w:t>
            </w:r>
          </w:p>
        </w:tc>
        <w:tc>
          <w:tcPr>
            <w:tcW w:w="1062" w:type="dxa"/>
            <w:gridSpan w:val="2"/>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GALP</w:t>
            </w:r>
            <w:r>
              <w:rPr>
                <w:rFonts w:hint="default" w:ascii="Times New Roman" w:hAnsi="Times New Roman" w:eastAsia="宋体" w:cs="Times New Roman"/>
                <w:color w:val="auto"/>
                <w:kern w:val="0"/>
                <w:sz w:val="22"/>
                <w:szCs w:val="22"/>
                <w:u w:val="none" w:color="auto"/>
                <w:lang w:eastAsia="zh-CN"/>
              </w:rPr>
              <w:t>μ</w:t>
            </w:r>
            <w:r>
              <w:rPr>
                <w:rFonts w:hint="default" w:ascii="Times New Roman" w:hAnsi="Times New Roman" w:eastAsia="宋体" w:cs="Times New Roman"/>
                <w:color w:val="auto"/>
                <w:kern w:val="0"/>
                <w:sz w:val="22"/>
                <w:szCs w:val="22"/>
                <w:u w:val="none" w:color="auto"/>
              </w:rPr>
              <w:t>FF□</w:t>
            </w:r>
          </w:p>
        </w:tc>
        <w:tc>
          <w:tcPr>
            <w:tcW w:w="1244"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网格模型□</w:t>
            </w:r>
          </w:p>
        </w:tc>
        <w:tc>
          <w:tcPr>
            <w:tcW w:w="86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预测范围</w:t>
            </w:r>
          </w:p>
        </w:tc>
        <w:tc>
          <w:tcPr>
            <w:tcW w:w="1957" w:type="dxa"/>
            <w:gridSpan w:val="5"/>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边长≥50km□</w:t>
            </w:r>
          </w:p>
        </w:tc>
        <w:tc>
          <w:tcPr>
            <w:tcW w:w="3015"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边长5~50km□</w:t>
            </w:r>
          </w:p>
        </w:tc>
        <w:tc>
          <w:tcPr>
            <w:tcW w:w="2105"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边长=5km</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预测因子</w:t>
            </w:r>
          </w:p>
        </w:tc>
        <w:tc>
          <w:tcPr>
            <w:tcW w:w="2907"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预测因子（</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w:t>
            </w:r>
          </w:p>
        </w:tc>
        <w:tc>
          <w:tcPr>
            <w:tcW w:w="4170" w:type="dxa"/>
            <w:gridSpan w:val="10"/>
            <w:tcBorders>
              <w:tl2br w:val="nil"/>
              <w:tr2bl w:val="nil"/>
            </w:tcBorders>
            <w:noWrap w:val="0"/>
            <w:vAlign w:val="center"/>
          </w:tcPr>
          <w:p>
            <w:pPr>
              <w:pStyle w:val="2"/>
              <w:keepNext w:val="0"/>
              <w:keepLines w:val="0"/>
              <w:pageBreakBefore w:val="0"/>
              <w:widowControl w:val="0"/>
              <w:kinsoku/>
              <w:wordWrap w:val="0"/>
              <w:overflowPunct/>
              <w:topLinePunct w:val="0"/>
              <w:autoSpaceDE/>
              <w:autoSpaceDN/>
              <w:bidi w:val="0"/>
              <w:adjustRightInd/>
              <w:snapToGrid/>
              <w:spacing w:after="0" w:line="240" w:lineRule="auto"/>
              <w:ind w:firstLine="0"/>
              <w:jc w:val="right"/>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240" w:lineRule="auto"/>
              <w:ind w:firstLine="0"/>
              <w:jc w:val="right"/>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不包括二次PM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sym w:font="Wingdings 2" w:char="00A3"/>
            </w:r>
            <w:r>
              <w:rPr>
                <w:rFonts w:hint="default" w:ascii="Times New Roman" w:hAnsi="Times New Roman" w:eastAsia="宋体" w:cs="Times New Roman"/>
                <w:color w:val="auto"/>
                <w:kern w:val="0"/>
                <w:sz w:val="22"/>
                <w:szCs w:val="22"/>
                <w:u w:val="none" w:color="auto"/>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正常排放短期浓度贡献值</w:t>
            </w:r>
          </w:p>
        </w:tc>
        <w:tc>
          <w:tcPr>
            <w:tcW w:w="2907"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最大占标率≤100%</w:t>
            </w:r>
            <w:r>
              <w:rPr>
                <w:rFonts w:hint="default" w:ascii="Times New Roman" w:hAnsi="Times New Roman" w:eastAsia="宋体" w:cs="Times New Roman"/>
                <w:color w:val="auto"/>
                <w:kern w:val="0"/>
                <w:sz w:val="22"/>
                <w:szCs w:val="22"/>
                <w:u w:val="none" w:color="auto"/>
              </w:rPr>
              <w:sym w:font="Wingdings 2" w:char="00A3"/>
            </w:r>
          </w:p>
        </w:tc>
        <w:tc>
          <w:tcPr>
            <w:tcW w:w="4170" w:type="dxa"/>
            <w:gridSpan w:val="10"/>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vMerge w:val="restart"/>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正常排放年均浓度贡献值</w:t>
            </w:r>
          </w:p>
        </w:tc>
        <w:tc>
          <w:tcPr>
            <w:tcW w:w="1197" w:type="dxa"/>
            <w:gridSpan w:val="2"/>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一类区</w:t>
            </w:r>
          </w:p>
        </w:tc>
        <w:tc>
          <w:tcPr>
            <w:tcW w:w="3102" w:type="dxa"/>
            <w:gridSpan w:val="8"/>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最大占标率≤10%□</w:t>
            </w:r>
          </w:p>
        </w:tc>
        <w:tc>
          <w:tcPr>
            <w:tcW w:w="2778"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最大标率＞10%□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197" w:type="dxa"/>
            <w:gridSpan w:val="2"/>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二类区</w:t>
            </w:r>
          </w:p>
        </w:tc>
        <w:tc>
          <w:tcPr>
            <w:tcW w:w="3102" w:type="dxa"/>
            <w:gridSpan w:val="8"/>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最大占标率≤30%</w:t>
            </w:r>
            <w:r>
              <w:rPr>
                <w:rFonts w:hint="default" w:ascii="Times New Roman" w:hAnsi="Times New Roman" w:eastAsia="宋体" w:cs="Times New Roman"/>
                <w:color w:val="auto"/>
                <w:kern w:val="0"/>
                <w:sz w:val="22"/>
                <w:szCs w:val="22"/>
                <w:u w:val="none" w:color="auto"/>
              </w:rPr>
              <w:sym w:font="Wingdings 2" w:char="00A3"/>
            </w:r>
          </w:p>
        </w:tc>
        <w:tc>
          <w:tcPr>
            <w:tcW w:w="2778"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最大标率＞30%□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非正常排放1h浓度</w:t>
            </w:r>
          </w:p>
        </w:tc>
        <w:tc>
          <w:tcPr>
            <w:tcW w:w="2907"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非正常持续时长（     ）h</w:t>
            </w:r>
          </w:p>
        </w:tc>
        <w:tc>
          <w:tcPr>
            <w:tcW w:w="2065" w:type="dxa"/>
            <w:gridSpan w:val="4"/>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非正常</w:t>
            </w:r>
            <w:r>
              <w:rPr>
                <w:rFonts w:hint="default" w:ascii="Times New Roman" w:hAnsi="Times New Roman" w:eastAsia="宋体" w:cs="Times New Roman"/>
                <w:color w:val="auto"/>
                <w:kern w:val="0"/>
                <w:sz w:val="22"/>
                <w:szCs w:val="22"/>
                <w:u w:val="none" w:color="auto"/>
              </w:rPr>
              <w:t>占标率≤100%□</w:t>
            </w:r>
          </w:p>
        </w:tc>
        <w:tc>
          <w:tcPr>
            <w:tcW w:w="2105"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非正常</w:t>
            </w:r>
            <w:r>
              <w:rPr>
                <w:rFonts w:hint="default" w:ascii="Times New Roman" w:hAnsi="Times New Roman" w:eastAsia="宋体" w:cs="Times New Roman"/>
                <w:color w:val="auto"/>
                <w:kern w:val="0"/>
                <w:sz w:val="22"/>
                <w:szCs w:val="22"/>
                <w:u w:val="none" w:color="auto"/>
              </w:rPr>
              <w:t>占标率＞100%□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保证率日平均浓度和年平均浓度叠加值</w:t>
            </w:r>
          </w:p>
        </w:tc>
        <w:tc>
          <w:tcPr>
            <w:tcW w:w="2907"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叠加</w:t>
            </w:r>
            <w:r>
              <w:rPr>
                <w:rFonts w:hint="default" w:ascii="Times New Roman" w:hAnsi="Times New Roman" w:eastAsia="宋体" w:cs="Times New Roman"/>
                <w:color w:val="auto"/>
                <w:kern w:val="0"/>
                <w:sz w:val="22"/>
                <w:szCs w:val="22"/>
                <w:u w:val="none" w:color="auto"/>
              </w:rPr>
              <w:t xml:space="preserve">达标 </w:t>
            </w:r>
            <w:r>
              <w:rPr>
                <w:rFonts w:hint="default" w:ascii="Times New Roman" w:hAnsi="Times New Roman" w:eastAsia="宋体" w:cs="Times New Roman"/>
                <w:color w:val="auto"/>
                <w:kern w:val="0"/>
                <w:sz w:val="22"/>
                <w:szCs w:val="22"/>
                <w:u w:val="none" w:color="auto"/>
              </w:rPr>
              <w:sym w:font="Wingdings 2" w:char="00A3"/>
            </w:r>
          </w:p>
        </w:tc>
        <w:tc>
          <w:tcPr>
            <w:tcW w:w="4170" w:type="dxa"/>
            <w:gridSpan w:val="10"/>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叠加</w:t>
            </w:r>
            <w:r>
              <w:rPr>
                <w:rFonts w:hint="default" w:ascii="Times New Roman" w:hAnsi="Times New Roman" w:eastAsia="宋体" w:cs="Times New Roman"/>
                <w:color w:val="auto"/>
                <w:kern w:val="0"/>
                <w:sz w:val="22"/>
                <w:szCs w:val="22"/>
                <w:u w:val="none" w:color="auto"/>
              </w:rPr>
              <w:t>不达标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区域环境质量的整体变化情况</w:t>
            </w:r>
          </w:p>
        </w:tc>
        <w:tc>
          <w:tcPr>
            <w:tcW w:w="2907"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K</w:t>
            </w:r>
            <w:r>
              <w:rPr>
                <w:rFonts w:hint="default" w:ascii="Times New Roman" w:hAnsi="Times New Roman" w:eastAsia="宋体" w:cs="Times New Roman"/>
                <w:color w:val="auto"/>
                <w:kern w:val="0"/>
                <w:sz w:val="22"/>
                <w:szCs w:val="22"/>
                <w:u w:val="none" w:color="auto"/>
              </w:rPr>
              <w:t>≤-20% □</w:t>
            </w:r>
          </w:p>
        </w:tc>
        <w:tc>
          <w:tcPr>
            <w:tcW w:w="4170" w:type="dxa"/>
            <w:gridSpan w:val="10"/>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K</w:t>
            </w:r>
            <w:r>
              <w:rPr>
                <w:rFonts w:hint="default" w:ascii="Times New Roman" w:hAnsi="Times New Roman" w:eastAsia="宋体" w:cs="Times New Roman"/>
                <w:color w:val="auto"/>
                <w:kern w:val="0"/>
                <w:sz w:val="22"/>
                <w:szCs w:val="22"/>
                <w:u w:val="none" w:color="auto"/>
              </w:rPr>
              <w:t>＞-20%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restart"/>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环境监测计划</w:t>
            </w: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污染源监测</w:t>
            </w:r>
          </w:p>
        </w:tc>
        <w:tc>
          <w:tcPr>
            <w:tcW w:w="2907" w:type="dxa"/>
            <w:gridSpan w:val="7"/>
            <w:tcBorders>
              <w:tl2br w:val="nil"/>
              <w:tr2bl w:val="nil"/>
            </w:tcBorders>
            <w:noWrap w:val="0"/>
            <w:vAlign w:val="center"/>
          </w:tcPr>
          <w:p>
            <w:pPr>
              <w:pStyle w:val="16"/>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监测因子：（</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w:t>
            </w:r>
          </w:p>
        </w:tc>
        <w:tc>
          <w:tcPr>
            <w:tcW w:w="2348"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有组织废气监测</w:t>
            </w:r>
            <w:r>
              <w:rPr>
                <w:rFonts w:hint="default" w:ascii="Times New Roman" w:hAnsi="Times New Roman" w:eastAsia="宋体" w:cs="Times New Roman"/>
                <w:color w:val="auto"/>
                <w:kern w:val="0"/>
                <w:sz w:val="22"/>
                <w:szCs w:val="22"/>
                <w:u w:val="none" w:color="auto"/>
              </w:rPr>
              <w:sym w:font="Wingdings 2" w:char="00A3"/>
            </w:r>
          </w:p>
          <w:p>
            <w:pPr>
              <w:keepNext w:val="0"/>
              <w:keepLines w:val="0"/>
              <w:pageBreakBefore w:val="0"/>
              <w:widowControl w:val="0"/>
              <w:kinsoku/>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无组织废气监测</w:t>
            </w:r>
            <w:r>
              <w:rPr>
                <w:rFonts w:hint="default" w:ascii="Times New Roman" w:hAnsi="Times New Roman" w:eastAsia="宋体" w:cs="Times New Roman"/>
                <w:color w:val="auto"/>
                <w:kern w:val="0"/>
                <w:sz w:val="22"/>
                <w:szCs w:val="22"/>
                <w:u w:val="none" w:color="auto"/>
              </w:rPr>
              <w:sym w:font="Wingdings 2" w:char="0052"/>
            </w:r>
          </w:p>
        </w:tc>
        <w:tc>
          <w:tcPr>
            <w:tcW w:w="1822" w:type="dxa"/>
            <w:gridSpan w:val="4"/>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无监测□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环境质量</w:t>
            </w:r>
          </w:p>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w:t>
            </w:r>
          </w:p>
        </w:tc>
        <w:tc>
          <w:tcPr>
            <w:tcW w:w="2907" w:type="dxa"/>
            <w:gridSpan w:val="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监测因子（</w:t>
            </w:r>
            <w:r>
              <w:rPr>
                <w:rFonts w:hint="default" w:ascii="Times New Roman" w:hAnsi="Times New Roman" w:eastAsia="宋体" w:cs="Times New Roman"/>
                <w:color w:val="auto"/>
                <w:kern w:val="0"/>
                <w:sz w:val="22"/>
                <w:szCs w:val="22"/>
                <w:u w:val="none" w:color="auto"/>
                <w:lang w:val="en-US" w:eastAsia="zh-CN"/>
              </w:rPr>
              <w:t xml:space="preserve">      /   </w:t>
            </w:r>
            <w:r>
              <w:rPr>
                <w:rFonts w:hint="default" w:ascii="Times New Roman" w:hAnsi="Times New Roman" w:eastAsia="宋体" w:cs="Times New Roman"/>
                <w:color w:val="auto"/>
                <w:kern w:val="0"/>
                <w:sz w:val="22"/>
                <w:szCs w:val="22"/>
                <w:u w:val="none" w:color="auto"/>
              </w:rPr>
              <w:t>）</w:t>
            </w:r>
          </w:p>
        </w:tc>
        <w:tc>
          <w:tcPr>
            <w:tcW w:w="2348"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监测点位数（</w:t>
            </w:r>
            <w:r>
              <w:rPr>
                <w:rFonts w:hint="default" w:ascii="Times New Roman" w:hAnsi="Times New Roman" w:eastAsia="宋体" w:cs="Times New Roman"/>
                <w:color w:val="auto"/>
                <w:kern w:val="0"/>
                <w:sz w:val="22"/>
                <w:szCs w:val="22"/>
                <w:u w:val="none" w:color="auto"/>
                <w:lang w:val="en-US" w:eastAsia="zh-CN"/>
              </w:rPr>
              <w:t xml:space="preserve">  /  </w:t>
            </w:r>
            <w:r>
              <w:rPr>
                <w:rFonts w:hint="default" w:ascii="Times New Roman" w:hAnsi="Times New Roman" w:eastAsia="宋体" w:cs="Times New Roman"/>
                <w:color w:val="auto"/>
                <w:kern w:val="0"/>
                <w:sz w:val="22"/>
                <w:szCs w:val="22"/>
                <w:u w:val="none" w:color="auto"/>
              </w:rPr>
              <w:t>）</w:t>
            </w:r>
          </w:p>
        </w:tc>
        <w:tc>
          <w:tcPr>
            <w:tcW w:w="1822" w:type="dxa"/>
            <w:gridSpan w:val="4"/>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无监测□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restart"/>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结论</w:t>
            </w: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环境影响</w:t>
            </w:r>
          </w:p>
        </w:tc>
        <w:tc>
          <w:tcPr>
            <w:tcW w:w="7077" w:type="dxa"/>
            <w:gridSpan w:val="1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可以接受</w:t>
            </w:r>
            <w:r>
              <w:rPr>
                <w:rFonts w:hint="default" w:ascii="Times New Roman" w:hAnsi="Times New Roman" w:eastAsia="宋体" w:cs="Times New Roman"/>
                <w:color w:val="auto"/>
                <w:kern w:val="0"/>
                <w:sz w:val="22"/>
                <w:szCs w:val="22"/>
                <w:u w:val="none" w:color="auto"/>
              </w:rPr>
              <w:sym w:font="Wingdings 2" w:char="0052"/>
            </w:r>
            <w:r>
              <w:rPr>
                <w:rFonts w:hint="default" w:ascii="Times New Roman" w:hAnsi="Times New Roman" w:eastAsia="宋体" w:cs="Times New Roman"/>
                <w:color w:val="auto"/>
                <w:kern w:val="0"/>
                <w:sz w:val="22"/>
                <w:szCs w:val="22"/>
                <w:u w:val="none" w:color="auto"/>
              </w:rPr>
              <w:t xml:space="preserve">      不可以接受□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大气环境防护距离</w:t>
            </w:r>
          </w:p>
        </w:tc>
        <w:tc>
          <w:tcPr>
            <w:tcW w:w="7077" w:type="dxa"/>
            <w:gridSpan w:val="17"/>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距（  </w:t>
            </w:r>
            <w:r>
              <w:rPr>
                <w:rFonts w:hint="default" w:ascii="Times New Roman" w:hAnsi="Times New Roman" w:eastAsia="宋体" w:cs="Times New Roman"/>
                <w:color w:val="auto"/>
                <w:kern w:val="0"/>
                <w:sz w:val="22"/>
                <w:szCs w:val="22"/>
                <w:u w:val="none" w:color="auto"/>
                <w:lang w:val="en-US" w:eastAsia="zh-CN"/>
              </w:rPr>
              <w:t>/</w:t>
            </w:r>
            <w:r>
              <w:rPr>
                <w:rFonts w:hint="default" w:ascii="Times New Roman" w:hAnsi="Times New Roman" w:eastAsia="宋体" w:cs="Times New Roman"/>
                <w:color w:val="auto"/>
                <w:kern w:val="0"/>
                <w:sz w:val="22"/>
                <w:szCs w:val="22"/>
                <w:u w:val="none" w:color="auto"/>
              </w:rPr>
              <w:t xml:space="preserve">  ）厂界最远（  </w:t>
            </w:r>
            <w:r>
              <w:rPr>
                <w:rFonts w:hint="default" w:ascii="Times New Roman" w:hAnsi="Times New Roman" w:eastAsia="宋体" w:cs="Times New Roman"/>
                <w:color w:val="auto"/>
                <w:kern w:val="0"/>
                <w:sz w:val="22"/>
                <w:szCs w:val="22"/>
                <w:u w:val="none" w:color="auto"/>
                <w:lang w:val="en-US" w:eastAsia="zh-CN"/>
              </w:rPr>
              <w:t>/</w:t>
            </w:r>
            <w:r>
              <w:rPr>
                <w:rFonts w:hint="default" w:ascii="Times New Roman" w:hAnsi="Times New Roman" w:eastAsia="宋体" w:cs="Times New Roman"/>
                <w:color w:val="auto"/>
                <w:kern w:val="0"/>
                <w:sz w:val="22"/>
                <w:szCs w:val="22"/>
                <w:u w:val="none" w:color="auto"/>
              </w:rPr>
              <w:t xml:space="preserve">  ）m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污染源年排放量</w:t>
            </w:r>
          </w:p>
        </w:tc>
        <w:tc>
          <w:tcPr>
            <w:tcW w:w="1745" w:type="dxa"/>
            <w:gridSpan w:val="4"/>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SO</w:t>
            </w:r>
            <w:r>
              <w:rPr>
                <w:rFonts w:hint="default" w:ascii="Times New Roman" w:hAnsi="Times New Roman" w:eastAsia="宋体" w:cs="Times New Roman"/>
                <w:color w:val="auto"/>
                <w:kern w:val="0"/>
                <w:sz w:val="22"/>
                <w:szCs w:val="22"/>
                <w:u w:val="none" w:color="auto"/>
                <w:vertAlign w:val="subscript"/>
              </w:rPr>
              <w:t>2</w:t>
            </w:r>
            <w:r>
              <w:rPr>
                <w:rFonts w:hint="default" w:ascii="Times New Roman" w:hAnsi="Times New Roman" w:eastAsia="宋体" w:cs="Times New Roman"/>
                <w:color w:val="auto"/>
                <w:kern w:val="0"/>
                <w:sz w:val="22"/>
                <w:szCs w:val="22"/>
                <w:u w:val="none" w:color="auto"/>
              </w:rPr>
              <w:t>（</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）t/a</w:t>
            </w:r>
          </w:p>
        </w:tc>
        <w:tc>
          <w:tcPr>
            <w:tcW w:w="1620" w:type="dxa"/>
            <w:gridSpan w:val="4"/>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NO</w:t>
            </w:r>
            <w:r>
              <w:rPr>
                <w:rFonts w:hint="default" w:ascii="Times New Roman" w:hAnsi="Times New Roman" w:eastAsia="宋体" w:cs="Times New Roman"/>
                <w:color w:val="auto"/>
                <w:kern w:val="0"/>
                <w:sz w:val="22"/>
                <w:szCs w:val="22"/>
                <w:u w:val="none" w:color="auto"/>
                <w:vertAlign w:val="subscript"/>
              </w:rPr>
              <w:t>x</w:t>
            </w:r>
            <w:r>
              <w:rPr>
                <w:rFonts w:hint="default" w:ascii="Times New Roman" w:hAnsi="Times New Roman" w:eastAsia="宋体" w:cs="Times New Roman"/>
                <w:color w:val="auto"/>
                <w:kern w:val="0"/>
                <w:sz w:val="22"/>
                <w:szCs w:val="22"/>
                <w:u w:val="none" w:color="auto"/>
              </w:rPr>
              <w:t>（</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）t/a</w:t>
            </w:r>
          </w:p>
        </w:tc>
        <w:tc>
          <w:tcPr>
            <w:tcW w:w="1607" w:type="dxa"/>
            <w:gridSpan w:val="3"/>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cs="Times New Roman"/>
                <w:color w:val="auto"/>
                <w:kern w:val="0"/>
                <w:sz w:val="22"/>
                <w:szCs w:val="22"/>
                <w:u w:val="none" w:color="auto"/>
                <w:lang w:val="en-US" w:eastAsia="zh-CN"/>
              </w:rPr>
              <w:t>颗粒物</w:t>
            </w:r>
            <w:r>
              <w:rPr>
                <w:rFonts w:hint="default" w:ascii="Times New Roman" w:hAnsi="Times New Roman" w:eastAsia="宋体" w:cs="Times New Roman"/>
                <w:color w:val="auto"/>
                <w:kern w:val="0"/>
                <w:sz w:val="22"/>
                <w:szCs w:val="22"/>
                <w:u w:val="none" w:color="auto"/>
              </w:rPr>
              <w:t>（）t/a</w:t>
            </w:r>
          </w:p>
        </w:tc>
        <w:tc>
          <w:tcPr>
            <w:tcW w:w="2105" w:type="dxa"/>
            <w:gridSpan w:val="6"/>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VOCs（</w:t>
            </w:r>
            <w:r>
              <w:rPr>
                <w:rFonts w:hint="eastAsia" w:cs="Times New Roman"/>
                <w:color w:val="auto"/>
                <w:kern w:val="0"/>
                <w:sz w:val="22"/>
                <w:szCs w:val="22"/>
                <w:u w:val="none" w:color="auto"/>
                <w:lang w:val="en-US" w:eastAsia="zh-CN"/>
              </w:rPr>
              <w:t>0.042</w:t>
            </w:r>
            <w:r>
              <w:rPr>
                <w:rFonts w:hint="default" w:ascii="Times New Roman" w:hAnsi="Times New Roman" w:eastAsia="宋体" w:cs="Times New Roman"/>
                <w:color w:val="auto"/>
                <w:kern w:val="0"/>
                <w:sz w:val="22"/>
                <w:szCs w:val="22"/>
                <w:u w:val="none" w:color="auto"/>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14" w:type="dxa"/>
            <w:gridSpan w:val="19"/>
            <w:tcBorders>
              <w:tl2br w:val="nil"/>
              <w:tr2bl w:val="nil"/>
            </w:tcBorders>
            <w:noWrap w:val="0"/>
            <w:vAlign w:val="center"/>
          </w:tcPr>
          <w:p>
            <w:pPr>
              <w:pStyle w:val="2"/>
              <w:keepNext w:val="0"/>
              <w:keepLines w:val="0"/>
              <w:pageBreakBefore w:val="0"/>
              <w:widowControl w:val="0"/>
              <w:kinsoku/>
              <w:overflowPunct/>
              <w:topLinePunct w:val="0"/>
              <w:autoSpaceDE/>
              <w:autoSpaceDN/>
              <w:bidi w:val="0"/>
              <w:adjustRightInd/>
              <w:snapToGrid/>
              <w:spacing w:after="0" w:line="240" w:lineRule="auto"/>
              <w:ind w:firstLine="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注：“□”为勾选项，填“√”；“（   ）”为内容填写项</w:t>
            </w:r>
          </w:p>
        </w:tc>
      </w:tr>
    </w:tbl>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r>
        <w:rPr>
          <w:rFonts w:hint="eastAsia" w:ascii="Times New Roman" w:hAnsi="Times New Roman" w:cs="Times New Roman"/>
          <w:b/>
          <w:bCs/>
          <w:color w:val="auto"/>
          <w:sz w:val="28"/>
          <w:szCs w:val="36"/>
          <w:u w:val="none" w:color="auto"/>
          <w:lang w:val="en-US" w:eastAsia="zh-CN"/>
        </w:rPr>
        <w:t xml:space="preserve"> </w:t>
      </w:r>
    </w:p>
    <w:p>
      <w:pPr>
        <w:jc w:val="center"/>
        <w:rPr>
          <w:rFonts w:hint="default" w:ascii="Times New Roman" w:hAnsi="Times New Roman" w:cs="Times New Roman"/>
          <w:b/>
          <w:bCs/>
          <w:color w:val="auto"/>
          <w:sz w:val="28"/>
          <w:szCs w:val="36"/>
          <w:u w:val="none" w:color="auto"/>
          <w:lang w:eastAsia="zh-CN"/>
        </w:rPr>
      </w:pPr>
      <w:r>
        <w:rPr>
          <w:rFonts w:hint="default" w:ascii="Times New Roman" w:hAnsi="Times New Roman" w:cs="Times New Roman"/>
          <w:b/>
          <w:bCs/>
          <w:color w:val="auto"/>
          <w:sz w:val="28"/>
          <w:szCs w:val="36"/>
          <w:u w:val="none" w:color="auto"/>
          <w:lang w:eastAsia="zh-CN"/>
        </w:rPr>
        <w:t>地表水环境影响评价自查表</w:t>
      </w:r>
    </w:p>
    <w:tbl>
      <w:tblPr>
        <w:tblStyle w:val="41"/>
        <w:tblW w:w="95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351"/>
        <w:gridCol w:w="1091"/>
        <w:gridCol w:w="533"/>
        <w:gridCol w:w="925"/>
        <w:gridCol w:w="602"/>
        <w:gridCol w:w="589"/>
        <w:gridCol w:w="13"/>
        <w:gridCol w:w="217"/>
        <w:gridCol w:w="755"/>
        <w:gridCol w:w="405"/>
        <w:gridCol w:w="163"/>
        <w:gridCol w:w="13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0" w:type="dxa"/>
            <w:gridSpan w:val="2"/>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工作内容</w:t>
            </w:r>
          </w:p>
        </w:tc>
        <w:tc>
          <w:tcPr>
            <w:tcW w:w="6664" w:type="dxa"/>
            <w:gridSpan w:val="11"/>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响</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识</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别</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影响类型</w:t>
            </w:r>
          </w:p>
        </w:tc>
        <w:tc>
          <w:tcPr>
            <w:tcW w:w="6664" w:type="dxa"/>
            <w:gridSpan w:val="11"/>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；水文要素影响型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饮用水水源保护区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□；饮用水取水口</w:t>
            </w:r>
            <w:r>
              <w:rPr>
                <w:rFonts w:hint="default" w:ascii="Times New Roman" w:hAnsi="Times New Roman" w:eastAsia="宋体" w:cs="Times New Roman"/>
                <w:b w:val="0"/>
                <w:bCs w:val="0"/>
                <w:color w:val="auto"/>
                <w:sz w:val="22"/>
                <w:szCs w:val="22"/>
                <w:u w:val="none" w:color="auto"/>
                <w:vertAlign w:val="baseline"/>
                <w:lang w:val="en-US" w:eastAsia="zh-CN"/>
              </w:rPr>
              <w:t xml:space="preserve"> 涉水的自然保护区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重要湿地 </w:t>
            </w:r>
            <w:r>
              <w:rPr>
                <w:rFonts w:hint="default" w:ascii="Times New Roman" w:hAnsi="Times New Roman" w:eastAsia="宋体" w:cs="Times New Roman"/>
                <w:b w:val="0"/>
                <w:bCs w:val="0"/>
                <w:color w:val="auto"/>
                <w:sz w:val="22"/>
                <w:szCs w:val="22"/>
                <w:u w:val="none" w:color="auto"/>
                <w:vertAlign w:val="baseline"/>
                <w:lang w:eastAsia="zh-CN"/>
              </w:rPr>
              <w:t>□；重点保护与珍稀水生生物的栖息地</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□；重要水生生物的自然产卵场及索饵场 、越冬场、洄游通道、天然渔场等渔业水体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□；涉水的风景名胜区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val="en-US" w:eastAsia="zh-CN"/>
              </w:rPr>
              <w:t>影响途径</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；径流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；水域面积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影响因子</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持久性污染源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□；有毒有害污染物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□；非持久性污染物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pH值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；热污染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□；富营养化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；水位（水深）□；流速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□；流量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0" w:type="dxa"/>
            <w:gridSpan w:val="2"/>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评价等级</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0" w:type="dxa"/>
            <w:gridSpan w:val="2"/>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A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三级B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现状调查</w:t>
            </w: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区域污染源</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val="en-US" w:eastAsia="zh-CN"/>
              </w:rPr>
              <w:t>调查项目</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624" w:type="dxa"/>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已建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；在建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□；拟建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527" w:type="dxa"/>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拟替代的污染源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□；环评</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；环保验收</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；既有实测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□；现场监测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；入河排放口数据</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受影响水体水环境质量</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生态环境保护主管部门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区域水资源开发利用状况</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未开发 □；开发量</w:t>
            </w:r>
            <w:r>
              <w:rPr>
                <w:rFonts w:hint="default" w:ascii="Times New Roman" w:hAnsi="Times New Roman" w:eastAsia="宋体" w:cs="Times New Roman"/>
                <w:b w:val="0"/>
                <w:bCs w:val="0"/>
                <w:color w:val="auto"/>
                <w:sz w:val="22"/>
                <w:szCs w:val="22"/>
                <w:u w:val="none" w:color="auto"/>
                <w:vertAlign w:val="baseline"/>
                <w:lang w:val="en-US" w:eastAsia="zh-CN"/>
              </w:rPr>
              <w:t>40%以下 □；</w:t>
            </w:r>
            <w:r>
              <w:rPr>
                <w:rFonts w:hint="default" w:ascii="Times New Roman" w:hAnsi="Times New Roman" w:eastAsia="宋体" w:cs="Times New Roman"/>
                <w:b w:val="0"/>
                <w:bCs w:val="0"/>
                <w:color w:val="auto"/>
                <w:sz w:val="22"/>
                <w:szCs w:val="22"/>
                <w:u w:val="none" w:color="auto"/>
                <w:vertAlign w:val="baseline"/>
                <w:lang w:eastAsia="zh-CN"/>
              </w:rPr>
              <w:t>开发量</w:t>
            </w:r>
            <w:r>
              <w:rPr>
                <w:rFonts w:hint="default" w:ascii="Times New Roman" w:hAnsi="Times New Roman" w:eastAsia="宋体" w:cs="Times New Roman"/>
                <w:b w:val="0"/>
                <w:bCs w:val="0"/>
                <w:color w:val="auto"/>
                <w:sz w:val="22"/>
                <w:szCs w:val="22"/>
                <w:u w:val="none" w:color="auto"/>
                <w:vertAlign w:val="baseline"/>
                <w:lang w:val="en-US" w:eastAsia="zh-CN"/>
              </w:rPr>
              <w:t xml:space="preserve">40%以上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水文情势调查</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水行政主管部门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其他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补充监测</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监测时期</w:t>
            </w:r>
          </w:p>
        </w:tc>
        <w:tc>
          <w:tcPr>
            <w:tcW w:w="157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1939" w:type="dxa"/>
            <w:gridSpan w:val="3"/>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57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939" w:type="dxa"/>
            <w:gridSpan w:val="3"/>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监测断面或点位个数（</w:t>
            </w:r>
            <w:r>
              <w:rPr>
                <w:rFonts w:hint="eastAsia"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现状评价</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评价范围</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评价因子</w:t>
            </w:r>
          </w:p>
        </w:tc>
        <w:tc>
          <w:tcPr>
            <w:tcW w:w="6664"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评价标准</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河流、湖库、河口：Ⅰ类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□；Ⅱ类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□；Ⅲ类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；Ⅳ类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□；Ⅴ类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近岸海域：第一类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□；第二类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□；第三类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□；第四类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规划年评价标准（）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评价时期</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；秋季 □；冬季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5293" w:type="dxa"/>
            <w:gridSpan w:val="10"/>
            <w:vMerge w:val="restart"/>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水功能环境区或水功能区、近岸海域环境功能区水质达标状况 □：</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水环境保护目标质量状况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对照断面、控制断面等代表性断面的水质状况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底泥污染评价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水资源与开发利用程度及其水文情势评价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水环境质量回顾评价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流域（区域）水资源（包括水能资源）与开发利用总体状况、生态流量管理要求与现状满意程度、建设项目占用水域空间的水流状况与河湖演变状况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37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5293" w:type="dxa"/>
            <w:gridSpan w:val="10"/>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7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影响预测</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预测范围</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预测因子</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预测时期</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丰水期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平水期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枯水期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冰封期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春季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 □；</w:t>
            </w:r>
            <w:r>
              <w:rPr>
                <w:rFonts w:hint="default" w:ascii="Times New Roman" w:hAnsi="Times New Roman" w:eastAsia="宋体" w:cs="Times New Roman"/>
                <w:b w:val="0"/>
                <w:bCs w:val="0"/>
                <w:color w:val="auto"/>
                <w:sz w:val="22"/>
                <w:szCs w:val="22"/>
                <w:u w:val="none" w:color="auto"/>
                <w:vertAlign w:val="baseline"/>
                <w:lang w:val="en-US" w:eastAsia="zh-CN"/>
              </w:rPr>
              <w:t xml:space="preserve"> 设计水文条件  </w:t>
            </w: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预测情景</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建设期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□；生产运行期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□；服务期满后</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；非正常工况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污染控制和减缓措施方案</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区（流）域环境质量改善目标要求情景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预测方法</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数值解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□；解析解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导则推荐模式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影响评价</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水污染控制和水环境影响减缓措施有效性评价</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；替代削减源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水环境影响评价</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排放口混合区外满足水环境管理要求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水环境功能区或水功能区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近岸海域环境功能区水质达标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满足水环境保护目标水域水环境质量要求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重点满足水污染物排放总量控制指标要求、重点行业建设项目，主要污染物排放满足等量或减量替代要求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满足区（流）域环境质量改善目标要求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水文要素影响型建设项目同时应包括水文情势变化评价、主要水文特征值影响评价、生态流量符合性评价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对于新设或调整入河（湖库、近岸海域）排放口的建设项目、应包括排放口设置的环境合理评价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满足生态保护红线、水环境质量底线、资源利用上线和环境准入清单管理要求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污染源排放量核算</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名称</w:t>
            </w:r>
          </w:p>
        </w:tc>
        <w:tc>
          <w:tcPr>
            <w:tcW w:w="2879" w:type="dxa"/>
            <w:gridSpan w:val="6"/>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269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eastAsia"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化学需</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氧量</w:t>
            </w:r>
          </w:p>
        </w:tc>
        <w:tc>
          <w:tcPr>
            <w:tcW w:w="2879" w:type="dxa"/>
            <w:gridSpan w:val="6"/>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w:t>
            </w:r>
          </w:p>
        </w:tc>
        <w:tc>
          <w:tcPr>
            <w:tcW w:w="269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氨氮</w:t>
            </w:r>
          </w:p>
        </w:tc>
        <w:tc>
          <w:tcPr>
            <w:tcW w:w="2879" w:type="dxa"/>
            <w:gridSpan w:val="6"/>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w:t>
            </w:r>
          </w:p>
        </w:tc>
        <w:tc>
          <w:tcPr>
            <w:tcW w:w="2694"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替代源排放情况</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污染源名称</w:t>
            </w:r>
          </w:p>
        </w:tc>
        <w:tc>
          <w:tcPr>
            <w:tcW w:w="1458"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排污许可证编号</w:t>
            </w:r>
          </w:p>
        </w:tc>
        <w:tc>
          <w:tcPr>
            <w:tcW w:w="119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名称</w:t>
            </w:r>
          </w:p>
        </w:tc>
        <w:tc>
          <w:tcPr>
            <w:tcW w:w="1390"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1534"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458"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19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390"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534"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生态流量</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确定</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生态流量：一般水期（）</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生态水位：一般水期（）</w:t>
            </w:r>
            <w:r>
              <w:rPr>
                <w:rFonts w:hint="default" w:ascii="Times New Roman" w:hAnsi="Times New Roman" w:eastAsia="宋体" w:cs="Times New Roman"/>
                <w:b w:val="0"/>
                <w:bCs w:val="0"/>
                <w:color w:val="auto"/>
                <w:sz w:val="22"/>
                <w:szCs w:val="22"/>
                <w:u w:val="none" w:color="auto"/>
                <w:vertAlign w:val="baseline"/>
                <w:lang w:val="en-US" w:eastAsia="zh-CN"/>
              </w:rPr>
              <w:t>m；鱼类繁殖期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防治措施</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环保措施</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地埋式一体化污水处理设施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；水文减缓措施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□；生态流量保障设施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□；区域削减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□；依托其他工程措施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监测计划</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环境质量</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监测方式</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监测点位</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污染物排</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放清单</w:t>
            </w:r>
          </w:p>
        </w:tc>
        <w:tc>
          <w:tcPr>
            <w:tcW w:w="6664"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6664"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；不可以接受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14" w:type="dxa"/>
            <w:gridSpan w:val="13"/>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注：“□”为勾选项，可</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：“（）”为内容填写项；“备注”为其他补充内容</w:t>
            </w:r>
          </w:p>
        </w:tc>
      </w:tr>
    </w:tbl>
    <w:p>
      <w:pPr>
        <w:jc w:val="center"/>
        <w:rPr>
          <w:rFonts w:hint="eastAsia" w:ascii="Times New Roman" w:hAnsi="Times New Roman" w:eastAsia="宋体" w:cs="Times New Roman"/>
          <w:b/>
          <w:bCs/>
          <w:color w:val="auto"/>
          <w:sz w:val="28"/>
          <w:szCs w:val="36"/>
          <w:u w:val="none" w:color="auto"/>
          <w:lang w:val="en-US" w:eastAsia="zh-CN"/>
        </w:rPr>
      </w:pPr>
      <w:r>
        <w:rPr>
          <w:rFonts w:hint="eastAsia" w:ascii="Times New Roman" w:hAnsi="Times New Roman" w:eastAsia="宋体" w:cs="Times New Roman"/>
          <w:b/>
          <w:bCs/>
          <w:color w:val="auto"/>
          <w:sz w:val="28"/>
          <w:szCs w:val="36"/>
          <w:u w:val="none" w:color="auto"/>
          <w:lang w:val="en-US" w:eastAsia="zh-CN"/>
        </w:rPr>
        <w:t xml:space="preserve"> </w:t>
      </w:r>
    </w:p>
    <w:p>
      <w:pPr>
        <w:jc w:val="center"/>
        <w:rPr>
          <w:rFonts w:hint="eastAsia" w:ascii="Times New Roman" w:hAnsi="Times New Roman" w:eastAsia="宋体" w:cs="Times New Roman"/>
          <w:b/>
          <w:bCs/>
          <w:color w:val="auto"/>
          <w:sz w:val="28"/>
          <w:szCs w:val="36"/>
          <w:u w:val="none" w:color="auto"/>
          <w:lang w:val="en-US" w:eastAsia="zh-CN"/>
        </w:rPr>
      </w:pPr>
    </w:p>
    <w:p>
      <w:pPr>
        <w:jc w:val="center"/>
        <w:rPr>
          <w:rFonts w:hint="eastAsia" w:ascii="Times New Roman" w:hAnsi="Times New Roman" w:eastAsia="宋体" w:cs="Times New Roman"/>
          <w:b/>
          <w:bCs/>
          <w:color w:val="auto"/>
          <w:sz w:val="28"/>
          <w:szCs w:val="36"/>
          <w:u w:val="none" w:color="auto"/>
          <w:lang w:val="en-US" w:eastAsia="zh-CN"/>
        </w:rPr>
      </w:pPr>
    </w:p>
    <w:p>
      <w:pPr>
        <w:jc w:val="center"/>
        <w:rPr>
          <w:rFonts w:hint="default" w:ascii="Times New Roman" w:hAnsi="Times New Roman" w:eastAsia="宋体" w:cs="Times New Roman"/>
          <w:b/>
          <w:bCs/>
          <w:color w:val="auto"/>
          <w:sz w:val="28"/>
          <w:szCs w:val="36"/>
          <w:u w:val="none" w:color="auto"/>
        </w:rPr>
      </w:pPr>
      <w:r>
        <w:rPr>
          <w:rFonts w:hint="default" w:ascii="Times New Roman" w:hAnsi="Times New Roman" w:eastAsia="宋体" w:cs="Times New Roman"/>
          <w:b/>
          <w:bCs/>
          <w:color w:val="auto"/>
          <w:sz w:val="28"/>
          <w:szCs w:val="36"/>
          <w:u w:val="none" w:color="auto"/>
        </w:rPr>
        <w:t>环境风险评价自查表</w:t>
      </w:r>
    </w:p>
    <w:tbl>
      <w:tblPr>
        <w:tblStyle w:val="41"/>
        <w:tblW w:w="95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082"/>
        <w:gridCol w:w="844"/>
        <w:gridCol w:w="340"/>
        <w:gridCol w:w="349"/>
        <w:gridCol w:w="408"/>
        <w:gridCol w:w="278"/>
        <w:gridCol w:w="182"/>
        <w:gridCol w:w="1"/>
        <w:gridCol w:w="506"/>
        <w:gridCol w:w="689"/>
        <w:gridCol w:w="9"/>
        <w:gridCol w:w="732"/>
        <w:gridCol w:w="114"/>
        <w:gridCol w:w="12"/>
        <w:gridCol w:w="506"/>
        <w:gridCol w:w="1"/>
        <w:gridCol w:w="10"/>
        <w:gridCol w:w="967"/>
        <w:gridCol w:w="11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工作内容</w:t>
            </w:r>
          </w:p>
        </w:tc>
        <w:tc>
          <w:tcPr>
            <w:tcW w:w="7087" w:type="dxa"/>
            <w:gridSpan w:val="1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完成情况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345"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风险调查</w:t>
            </w: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危险物质</w:t>
            </w: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名称</w:t>
            </w:r>
          </w:p>
        </w:tc>
        <w:tc>
          <w:tcPr>
            <w:tcW w:w="1375" w:type="dxa"/>
            <w:gridSpan w:val="4"/>
            <w:tcBorders>
              <w:tl2br w:val="nil"/>
              <w:tr2bl w:val="nil"/>
            </w:tcBorders>
            <w:noWrap w:val="0"/>
            <w:vAlign w:val="center"/>
          </w:tcPr>
          <w:p>
            <w:pPr>
              <w:spacing w:line="360" w:lineRule="auto"/>
              <w:ind w:left="0" w:leftChars="0" w:firstLine="0" w:firstLineChars="0"/>
              <w:jc w:val="center"/>
              <w:rPr>
                <w:rFonts w:hint="eastAsia" w:ascii="Times New Roman" w:hAnsi="Times New Roman" w:eastAsia="宋体" w:cs="Times New Roman"/>
                <w:color w:val="auto"/>
                <w:sz w:val="22"/>
                <w:szCs w:val="22"/>
                <w:u w:val="none" w:color="auto"/>
                <w:lang w:val="en-US" w:eastAsia="zh-CN"/>
              </w:rPr>
            </w:pPr>
          </w:p>
        </w:tc>
        <w:tc>
          <w:tcPr>
            <w:tcW w:w="1378" w:type="dxa"/>
            <w:gridSpan w:val="4"/>
            <w:tcBorders>
              <w:tl2br w:val="nil"/>
              <w:tr2bl w:val="nil"/>
            </w:tcBorders>
            <w:noWrap w:val="0"/>
            <w:vAlign w:val="center"/>
          </w:tcPr>
          <w:p>
            <w:pPr>
              <w:spacing w:line="360" w:lineRule="auto"/>
              <w:ind w:left="0" w:leftChars="0" w:firstLine="0" w:firstLineChars="0"/>
              <w:jc w:val="center"/>
              <w:rPr>
                <w:rFonts w:hint="eastAsia" w:ascii="Times New Roman" w:hAnsi="Times New Roman" w:eastAsia="宋体" w:cs="Times New Roman"/>
                <w:color w:val="auto"/>
                <w:sz w:val="22"/>
                <w:szCs w:val="22"/>
                <w:u w:val="none" w:color="auto"/>
                <w:lang w:eastAsia="zh-CN"/>
              </w:rPr>
            </w:pPr>
          </w:p>
        </w:tc>
        <w:tc>
          <w:tcPr>
            <w:tcW w:w="1374" w:type="dxa"/>
            <w:gridSpan w:val="6"/>
            <w:tcBorders>
              <w:tl2br w:val="nil"/>
              <w:tr2bl w:val="nil"/>
            </w:tcBorders>
            <w:noWrap w:val="0"/>
            <w:vAlign w:val="center"/>
          </w:tcPr>
          <w:p>
            <w:pPr>
              <w:spacing w:line="360" w:lineRule="auto"/>
              <w:ind w:left="0" w:leftChars="0" w:firstLine="0" w:firstLineChars="0"/>
              <w:jc w:val="center"/>
              <w:rPr>
                <w:rFonts w:hint="eastAsia" w:ascii="Times New Roman" w:hAnsi="Times New Roman" w:eastAsia="宋体" w:cs="Times New Roman"/>
                <w:color w:val="auto"/>
                <w:sz w:val="22"/>
                <w:szCs w:val="22"/>
                <w:u w:val="none" w:color="auto"/>
                <w:lang w:eastAsia="zh-CN"/>
              </w:rPr>
            </w:pPr>
          </w:p>
        </w:tc>
        <w:tc>
          <w:tcPr>
            <w:tcW w:w="977" w:type="dxa"/>
            <w:gridSpan w:val="2"/>
            <w:tcBorders>
              <w:tl2br w:val="nil"/>
              <w:tr2bl w:val="nil"/>
            </w:tcBorders>
            <w:noWrap w:val="0"/>
            <w:vAlign w:val="center"/>
          </w:tcPr>
          <w:p>
            <w:pPr>
              <w:spacing w:line="360" w:lineRule="auto"/>
              <w:ind w:left="0" w:leftChars="0" w:firstLine="0" w:firstLineChars="0"/>
              <w:jc w:val="center"/>
              <w:rPr>
                <w:rFonts w:hint="eastAsia" w:ascii="Times New Roman" w:hAnsi="Times New Roman" w:eastAsia="宋体" w:cs="Times New Roman"/>
                <w:color w:val="auto"/>
                <w:sz w:val="22"/>
                <w:szCs w:val="22"/>
                <w:u w:val="none" w:color="auto"/>
                <w:lang w:eastAsia="zh-CN"/>
              </w:rPr>
            </w:pPr>
          </w:p>
        </w:tc>
        <w:tc>
          <w:tcPr>
            <w:tcW w:w="1139"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存在总量/t</w:t>
            </w:r>
          </w:p>
        </w:tc>
        <w:tc>
          <w:tcPr>
            <w:tcW w:w="1375"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78"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74"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p>
        </w:tc>
        <w:tc>
          <w:tcPr>
            <w:tcW w:w="97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p>
        </w:tc>
        <w:tc>
          <w:tcPr>
            <w:tcW w:w="1139"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w:t>
            </w:r>
          </w:p>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感性</w:t>
            </w:r>
          </w:p>
        </w:tc>
        <w:tc>
          <w:tcPr>
            <w:tcW w:w="844"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2753" w:type="dxa"/>
            <w:gridSpan w:val="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500m范围内人口数_____人</w:t>
            </w:r>
          </w:p>
        </w:tc>
        <w:tc>
          <w:tcPr>
            <w:tcW w:w="3490" w:type="dxa"/>
            <w:gridSpan w:val="9"/>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5km范围内人口数_______人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4126" w:type="dxa"/>
            <w:gridSpan w:val="1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每公里管段周边200m范围内人口数（最大）</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_______人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地表水功能敏感性</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F1□</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环境敏感目标分级</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S1□</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地下水功能敏感性</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G1□</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包气带防污性能</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D1□</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物质及工艺系统危险性</w:t>
            </w: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Q值</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Q＜1</w:t>
            </w:r>
            <w:r>
              <w:rPr>
                <w:rFonts w:hint="default" w:ascii="Times New Roman" w:hAnsi="Times New Roman" w:cs="Times New Roman"/>
                <w:color w:val="auto"/>
                <w:sz w:val="22"/>
                <w:szCs w:val="22"/>
                <w:u w:val="none" w:color="auto"/>
                <w:lang w:eastAsia="zh-CN"/>
              </w:rPr>
              <w:t>☑</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1≤Q＜10□</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10≤Q＜100□</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Q＞100□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M值</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M1</w:t>
            </w:r>
            <w:r>
              <w:rPr>
                <w:rFonts w:hint="default" w:ascii="Times New Roman" w:hAnsi="Times New Roman" w:cs="Times New Roman"/>
                <w:color w:val="auto"/>
                <w:sz w:val="22"/>
                <w:szCs w:val="22"/>
                <w:u w:val="none" w:color="auto"/>
                <w:lang w:eastAsia="zh-CN"/>
              </w:rPr>
              <w:t>□</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M2□</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M3□</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M4</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P值</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P1□</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P2□</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P3□</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P4</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环境敏感程度</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p>
        </w:tc>
        <w:tc>
          <w:tcPr>
            <w:tcW w:w="1544"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E2</w:t>
            </w:r>
            <w:r>
              <w:rPr>
                <w:rFonts w:hint="eastAsia" w:cs="Times New Roman"/>
                <w:color w:val="auto"/>
                <w:sz w:val="22"/>
                <w:szCs w:val="22"/>
                <w:u w:val="none" w:color="auto"/>
                <w:lang w:eastAsia="zh-CN"/>
              </w:rPr>
              <w:t>□</w:t>
            </w:r>
          </w:p>
        </w:tc>
        <w:tc>
          <w:tcPr>
            <w:tcW w:w="2635"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default" w:ascii="Times New Roman" w:hAnsi="Times New Roman"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p>
        </w:tc>
        <w:tc>
          <w:tcPr>
            <w:tcW w:w="1544"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E2□</w:t>
            </w:r>
          </w:p>
        </w:tc>
        <w:tc>
          <w:tcPr>
            <w:tcW w:w="2635"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p>
        </w:tc>
        <w:tc>
          <w:tcPr>
            <w:tcW w:w="1544"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E2□</w:t>
            </w:r>
          </w:p>
        </w:tc>
        <w:tc>
          <w:tcPr>
            <w:tcW w:w="2635"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环境风险潜势</w:t>
            </w:r>
          </w:p>
        </w:tc>
        <w:tc>
          <w:tcPr>
            <w:tcW w:w="1184"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IV+</w:t>
            </w:r>
            <w:r>
              <w:rPr>
                <w:rFonts w:hint="eastAsia" w:cs="Times New Roman"/>
                <w:color w:val="auto"/>
                <w:sz w:val="22"/>
                <w:szCs w:val="22"/>
                <w:u w:val="none" w:color="auto"/>
                <w:lang w:eastAsia="zh-CN"/>
              </w:rPr>
              <w:t>□</w:t>
            </w:r>
          </w:p>
        </w:tc>
        <w:tc>
          <w:tcPr>
            <w:tcW w:w="12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IV□</w:t>
            </w:r>
          </w:p>
        </w:tc>
        <w:tc>
          <w:tcPr>
            <w:tcW w:w="1205"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III□</w:t>
            </w:r>
          </w:p>
        </w:tc>
        <w:tc>
          <w:tcPr>
            <w:tcW w:w="1375"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II□</w:t>
            </w:r>
          </w:p>
        </w:tc>
        <w:tc>
          <w:tcPr>
            <w:tcW w:w="2106"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w:t>
            </w:r>
            <w:r>
              <w:rPr>
                <w:rFonts w:hint="default" w:ascii="Times New Roman" w:hAnsi="Times New Roman" w:cs="Times New Roman"/>
                <w:color w:val="auto"/>
                <w:sz w:val="22"/>
                <w:szCs w:val="22"/>
                <w:u w:val="none" w:color="auto"/>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评价等级</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一级□</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二级□</w:t>
            </w:r>
          </w:p>
        </w:tc>
        <w:tc>
          <w:tcPr>
            <w:tcW w:w="1544"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三级□</w:t>
            </w:r>
          </w:p>
        </w:tc>
        <w:tc>
          <w:tcPr>
            <w:tcW w:w="2635"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简单分析</w:t>
            </w:r>
            <w:r>
              <w:rPr>
                <w:rFonts w:hint="default" w:ascii="Times New Roman" w:hAnsi="Times New Roman"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45"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风险识别</w:t>
            </w: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物质危险性</w:t>
            </w:r>
          </w:p>
        </w:tc>
        <w:tc>
          <w:tcPr>
            <w:tcW w:w="2908" w:type="dxa"/>
            <w:gridSpan w:val="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有毒有害□</w:t>
            </w:r>
          </w:p>
        </w:tc>
        <w:tc>
          <w:tcPr>
            <w:tcW w:w="4179" w:type="dxa"/>
            <w:gridSpan w:val="10"/>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易燃易爆</w:t>
            </w:r>
            <w:r>
              <w:rPr>
                <w:rFonts w:hint="default" w:ascii="Times New Roman" w:hAnsi="Times New Roman" w:cs="Times New Roman"/>
                <w:color w:val="auto"/>
                <w:sz w:val="22"/>
                <w:szCs w:val="22"/>
                <w:u w:val="none" w:color="auto"/>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环境风险类型</w:t>
            </w:r>
          </w:p>
        </w:tc>
        <w:tc>
          <w:tcPr>
            <w:tcW w:w="2908" w:type="dxa"/>
            <w:gridSpan w:val="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泄漏</w:t>
            </w:r>
            <w:r>
              <w:rPr>
                <w:rFonts w:hint="default" w:ascii="Times New Roman" w:hAnsi="Times New Roman" w:cs="Times New Roman"/>
                <w:color w:val="auto"/>
                <w:sz w:val="22"/>
                <w:szCs w:val="22"/>
                <w:u w:val="none" w:color="auto"/>
              </w:rPr>
              <w:sym w:font="Wingdings 2" w:char="0052"/>
            </w:r>
          </w:p>
        </w:tc>
        <w:tc>
          <w:tcPr>
            <w:tcW w:w="4179" w:type="dxa"/>
            <w:gridSpan w:val="10"/>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火灾、爆炸引发伴生/次生污染物排放</w:t>
            </w:r>
            <w:r>
              <w:rPr>
                <w:rFonts w:hint="default" w:ascii="Times New Roman" w:hAnsi="Times New Roman"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影响途径</w:t>
            </w:r>
          </w:p>
        </w:tc>
        <w:tc>
          <w:tcPr>
            <w:tcW w:w="1941"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大气</w:t>
            </w:r>
            <w:r>
              <w:rPr>
                <w:rFonts w:hint="default" w:ascii="Times New Roman" w:hAnsi="Times New Roman" w:cs="Times New Roman"/>
                <w:color w:val="auto"/>
                <w:sz w:val="22"/>
                <w:szCs w:val="22"/>
                <w:u w:val="none" w:color="auto"/>
                <w:lang w:eastAsia="zh-CN"/>
              </w:rPr>
              <w:sym w:font="Wingdings 2" w:char="0052"/>
            </w:r>
          </w:p>
        </w:tc>
        <w:tc>
          <w:tcPr>
            <w:tcW w:w="2397" w:type="dxa"/>
            <w:gridSpan w:val="7"/>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地表水</w:t>
            </w:r>
            <w:r>
              <w:rPr>
                <w:rFonts w:hint="default" w:ascii="Times New Roman" w:hAnsi="Times New Roman" w:cs="Times New Roman"/>
                <w:color w:val="auto"/>
                <w:sz w:val="22"/>
                <w:szCs w:val="22"/>
                <w:u w:val="none" w:color="auto"/>
                <w:lang w:eastAsia="zh-CN"/>
              </w:rPr>
              <w:t>☑</w:t>
            </w:r>
          </w:p>
        </w:tc>
        <w:tc>
          <w:tcPr>
            <w:tcW w:w="2749" w:type="dxa"/>
            <w:gridSpan w:val="7"/>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事故情形分析</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源强设定方法</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计算法□</w:t>
            </w:r>
          </w:p>
        </w:tc>
        <w:tc>
          <w:tcPr>
            <w:tcW w:w="1430"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经验估算法□</w:t>
            </w:r>
          </w:p>
        </w:tc>
        <w:tc>
          <w:tcPr>
            <w:tcW w:w="2749" w:type="dxa"/>
            <w:gridSpan w:val="7"/>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其他估算法</w:t>
            </w:r>
            <w:r>
              <w:rPr>
                <w:rFonts w:hint="default" w:ascii="Times New Roman" w:hAnsi="Times New Roman" w:cs="Times New Roman"/>
                <w:color w:val="auto"/>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45"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风险预测与评价</w:t>
            </w: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预测模型</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SLAB□</w:t>
            </w:r>
          </w:p>
        </w:tc>
        <w:tc>
          <w:tcPr>
            <w:tcW w:w="1556"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AFTOX□</w:t>
            </w:r>
          </w:p>
        </w:tc>
        <w:tc>
          <w:tcPr>
            <w:tcW w:w="262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其他</w:t>
            </w:r>
            <w:r>
              <w:rPr>
                <w:rFonts w:hint="default" w:ascii="Times New Roman" w:hAnsi="Times New Roman" w:cs="Times New Roman"/>
                <w:color w:val="auto"/>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预测结果</w:t>
            </w:r>
          </w:p>
        </w:tc>
        <w:tc>
          <w:tcPr>
            <w:tcW w:w="5554" w:type="dxa"/>
            <w:gridSpan w:val="1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大气毒性终点浓度-1  最大影响范围___m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5554" w:type="dxa"/>
            <w:gridSpan w:val="1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大气毒性终点浓度-2  最大影响范围___m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7087" w:type="dxa"/>
            <w:gridSpan w:val="1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最近环境敏感目标_____，到达时间______h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7087" w:type="dxa"/>
            <w:gridSpan w:val="1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下游厂区边界到达时间_____d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7087" w:type="dxa"/>
            <w:gridSpan w:val="1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最近环境敏感目标_____，到达时间______d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345"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重点风险</w:t>
            </w:r>
          </w:p>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防范措施</w:t>
            </w:r>
          </w:p>
        </w:tc>
        <w:tc>
          <w:tcPr>
            <w:tcW w:w="8169" w:type="dxa"/>
            <w:gridSpan w:val="19"/>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地面防渗，设置围堰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345"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评价结论与建议</w:t>
            </w:r>
          </w:p>
        </w:tc>
        <w:tc>
          <w:tcPr>
            <w:tcW w:w="8169" w:type="dxa"/>
            <w:gridSpan w:val="19"/>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综上所述，项目存在一定风险，在采取相应的风险防范措施下，项目的风险处于环境可接受的水平，项目建设从环境风险角度分析可行</w:t>
            </w:r>
            <w:r>
              <w:rPr>
                <w:rFonts w:hint="default" w:ascii="Times New Roman" w:hAnsi="Times New Roman" w:cs="Times New Roman"/>
                <w:color w:val="auto"/>
                <w:sz w:val="22"/>
                <w:szCs w:val="22"/>
                <w:u w:val="none" w:color="auto"/>
                <w:lang w:val="en-US"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514" w:type="dxa"/>
            <w:gridSpan w:val="20"/>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注：“□”为勾选项；“_____”为填写项</w:t>
            </w:r>
          </w:p>
        </w:tc>
      </w:tr>
    </w:tbl>
    <w:p>
      <w:pPr>
        <w:bidi w:val="0"/>
        <w:rPr>
          <w:rFonts w:hint="default"/>
          <w:color w:val="auto"/>
          <w:u w:val="none" w:color="auto"/>
        </w:rPr>
      </w:pPr>
    </w:p>
    <w:p>
      <w:pPr>
        <w:bidi w:val="0"/>
        <w:rPr>
          <w:rFonts w:hint="default"/>
          <w:color w:val="auto"/>
          <w:u w:val="none" w:color="auto"/>
        </w:rPr>
      </w:pPr>
    </w:p>
    <w:p>
      <w:pPr>
        <w:bidi w:val="0"/>
        <w:rPr>
          <w:rFonts w:hint="default"/>
          <w:color w:val="auto"/>
          <w:u w:val="none" w:color="auto"/>
        </w:rPr>
      </w:pPr>
    </w:p>
    <w:p>
      <w:pPr>
        <w:bidi w:val="0"/>
        <w:rPr>
          <w:rFonts w:hint="default"/>
          <w:color w:val="auto"/>
          <w:u w:val="none" w:color="auto"/>
        </w:rPr>
      </w:pPr>
    </w:p>
    <w:p>
      <w:pPr>
        <w:pStyle w:val="6"/>
        <w:rPr>
          <w:rFonts w:hint="default"/>
          <w:color w:val="auto"/>
          <w:u w:val="none" w:color="auto"/>
        </w:rPr>
      </w:pPr>
    </w:p>
    <w:p>
      <w:pPr>
        <w:rPr>
          <w:rFonts w:hint="default"/>
          <w:color w:val="auto"/>
          <w:u w:val="none" w:color="auto"/>
        </w:rPr>
      </w:pPr>
    </w:p>
    <w:p>
      <w:pPr>
        <w:pStyle w:val="53"/>
        <w:rPr>
          <w:rFonts w:hint="default"/>
          <w:color w:val="auto"/>
          <w:u w:val="none" w:color="auto"/>
        </w:rPr>
      </w:pPr>
    </w:p>
    <w:p>
      <w:pPr>
        <w:pStyle w:val="53"/>
        <w:rPr>
          <w:rFonts w:hint="default"/>
          <w:color w:val="auto"/>
          <w:u w:val="none" w:color="auto"/>
        </w:rPr>
      </w:pPr>
    </w:p>
    <w:p>
      <w:pPr>
        <w:pStyle w:val="53"/>
        <w:rPr>
          <w:rFonts w:hint="default"/>
          <w:color w:val="auto"/>
          <w:u w:val="none" w:color="auto"/>
        </w:rPr>
      </w:pPr>
    </w:p>
    <w:p>
      <w:pPr>
        <w:pStyle w:val="53"/>
        <w:rPr>
          <w:rFonts w:hint="default"/>
          <w:color w:val="auto"/>
          <w:u w:val="none" w:color="auto"/>
        </w:rPr>
      </w:pPr>
    </w:p>
    <w:p>
      <w:pPr>
        <w:pStyle w:val="53"/>
        <w:rPr>
          <w:rFonts w:hint="default"/>
          <w:color w:val="auto"/>
          <w:u w:val="none" w:color="auto"/>
        </w:rPr>
      </w:pPr>
    </w:p>
    <w:p>
      <w:pPr>
        <w:pStyle w:val="53"/>
        <w:rPr>
          <w:rFonts w:hint="default"/>
          <w:color w:val="auto"/>
          <w:u w:val="none" w:color="auto"/>
        </w:rPr>
      </w:pPr>
    </w:p>
    <w:p>
      <w:pPr>
        <w:pStyle w:val="53"/>
        <w:rPr>
          <w:rFonts w:hint="default"/>
          <w:color w:val="auto"/>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bookmarkStart w:id="18" w:name="_Toc7154"/>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r>
        <w:rPr>
          <w:rFonts w:hint="default" w:ascii="Times New Roman" w:hAnsi="Times New Roman" w:cs="Times New Roman"/>
          <w:b/>
          <w:bCs/>
          <w:color w:val="auto"/>
          <w:sz w:val="36"/>
          <w:szCs w:val="36"/>
          <w:u w:val="none" w:color="auto"/>
        </w:rPr>
        <w:t>注  释</w:t>
      </w:r>
      <w:bookmarkEnd w:id="18"/>
    </w:p>
    <w:p>
      <w:pPr>
        <w:keepNext w:val="0"/>
        <w:keepLines w:val="0"/>
        <w:pageBreakBefore w:val="0"/>
        <w:widowControl w:val="0"/>
        <w:numPr>
          <w:ilvl w:val="0"/>
          <w:numId w:val="9"/>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本报告表附以下附件、附图：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附件1  委托书</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附件</w:t>
      </w:r>
      <w:r>
        <w:rPr>
          <w:rFonts w:hint="eastAsia"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厂房租赁合同</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附件</w:t>
      </w:r>
      <w:r>
        <w:rPr>
          <w:rFonts w:hint="eastAsia" w:ascii="Times New Roman" w:hAnsi="Times New Roman" w:eastAsia="宋体" w:cs="Times New Roman"/>
          <w:color w:val="auto"/>
          <w:sz w:val="24"/>
          <w:szCs w:val="24"/>
          <w:u w:val="none" w:color="auto"/>
          <w:lang w:val="en-US" w:eastAsia="zh-CN"/>
        </w:rPr>
        <w:t>3</w:t>
      </w:r>
      <w:r>
        <w:rPr>
          <w:rFonts w:hint="default" w:ascii="Times New Roman" w:hAnsi="Times New Roman" w:eastAsia="宋体" w:cs="Times New Roman"/>
          <w:color w:val="auto"/>
          <w:sz w:val="24"/>
          <w:szCs w:val="24"/>
          <w:u w:val="none" w:color="auto"/>
          <w:lang w:val="en-US" w:eastAsia="zh-CN"/>
        </w:rPr>
        <w:t xml:space="preserve">  </w:t>
      </w:r>
      <w:r>
        <w:rPr>
          <w:rFonts w:hint="eastAsia" w:ascii="Times New Roman" w:hAnsi="Times New Roman" w:eastAsia="宋体" w:cs="Times New Roman"/>
          <w:color w:val="auto"/>
          <w:sz w:val="24"/>
          <w:szCs w:val="24"/>
          <w:u w:val="none" w:color="auto"/>
          <w:lang w:val="en-US" w:eastAsia="zh-CN"/>
        </w:rPr>
        <w:t>营业执照</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附件</w:t>
      </w:r>
      <w:r>
        <w:rPr>
          <w:rFonts w:hint="eastAsia" w:ascii="Times New Roman" w:hAnsi="Times New Roman" w:eastAsia="宋体" w:cs="Times New Roman"/>
          <w:color w:val="auto"/>
          <w:sz w:val="24"/>
          <w:szCs w:val="24"/>
          <w:u w:val="none" w:color="auto"/>
          <w:lang w:val="en-US" w:eastAsia="zh-CN"/>
        </w:rPr>
        <w:t>4</w:t>
      </w:r>
      <w:r>
        <w:rPr>
          <w:rFonts w:hint="default" w:ascii="Times New Roman" w:hAnsi="Times New Roman" w:eastAsia="宋体" w:cs="Times New Roman"/>
          <w:color w:val="auto"/>
          <w:sz w:val="24"/>
          <w:szCs w:val="24"/>
          <w:u w:val="none" w:color="auto"/>
          <w:lang w:val="en-US" w:eastAsia="zh-CN"/>
        </w:rPr>
        <w:t xml:space="preserve">  </w:t>
      </w:r>
      <w:r>
        <w:rPr>
          <w:rFonts w:hint="eastAsia" w:ascii="Times New Roman" w:hAnsi="Times New Roman" w:eastAsia="宋体" w:cs="Times New Roman"/>
          <w:color w:val="auto"/>
          <w:sz w:val="24"/>
          <w:szCs w:val="24"/>
          <w:u w:val="none" w:color="auto"/>
          <w:lang w:val="en-US" w:eastAsia="zh-CN"/>
        </w:rPr>
        <w:t>检测报告及质保单</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附件5  土壤补充检测报告及质保单</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附件6  水利部门意见</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color w:val="auto"/>
          <w:u w:val="none" w:color="auto"/>
          <w:lang w:val="en-US" w:eastAsia="zh-CN"/>
        </w:rPr>
      </w:pPr>
      <w:r>
        <w:rPr>
          <w:rFonts w:hint="eastAsia" w:ascii="Times New Roman" w:hAnsi="Times New Roman" w:eastAsia="宋体" w:cs="Times New Roman"/>
          <w:color w:val="auto"/>
          <w:sz w:val="24"/>
          <w:szCs w:val="24"/>
          <w:u w:val="none" w:color="auto"/>
          <w:lang w:val="en-US" w:eastAsia="zh-CN"/>
        </w:rPr>
        <w:t xml:space="preserve">附件7 </w:t>
      </w:r>
      <w:r>
        <w:rPr>
          <w:rFonts w:hint="eastAsia" w:cs="Times New Roman"/>
          <w:color w:val="auto"/>
          <w:sz w:val="24"/>
          <w:szCs w:val="24"/>
          <w:u w:val="none" w:color="auto"/>
          <w:lang w:val="en-US" w:eastAsia="zh-CN"/>
        </w:rPr>
        <w:t xml:space="preserve"> </w:t>
      </w:r>
      <w:r>
        <w:rPr>
          <w:rFonts w:hint="eastAsia" w:ascii="Times New Roman" w:hAnsi="Times New Roman" w:eastAsia="宋体" w:cs="Times New Roman"/>
          <w:color w:val="auto"/>
          <w:sz w:val="24"/>
          <w:szCs w:val="24"/>
          <w:u w:val="none" w:color="auto"/>
          <w:lang w:val="en-US" w:eastAsia="zh-CN"/>
        </w:rPr>
        <w:t>专家意见</w:t>
      </w:r>
      <w:r>
        <w:rPr>
          <w:rFonts w:hint="eastAsia"/>
          <w:color w:val="auto"/>
          <w:u w:val="none" w:color="auto"/>
          <w:lang w:val="en-US" w:eastAsia="zh-CN"/>
        </w:rPr>
        <w:t>及专家签到表</w:t>
      </w:r>
    </w:p>
    <w:p>
      <w:pPr>
        <w:keepNext w:val="0"/>
        <w:keepLines w:val="0"/>
        <w:pageBreakBefore w:val="0"/>
        <w:widowControl w:val="0"/>
        <w:kinsoku/>
        <w:wordWrap/>
        <w:overflowPunct/>
        <w:topLinePunct w:val="0"/>
        <w:autoSpaceDE/>
        <w:autoSpaceDN/>
        <w:bidi w:val="0"/>
        <w:adjustRightInd/>
        <w:snapToGrid/>
        <w:spacing w:line="351" w:lineRule="auto"/>
        <w:textAlignment w:val="auto"/>
        <w:rPr>
          <w:rFonts w:hint="default" w:ascii="Times New Roman" w:hAnsi="Times New Roman" w:cs="Times New Roman"/>
          <w:color w:val="auto"/>
          <w:sz w:val="24"/>
          <w:szCs w:val="24"/>
          <w:u w:val="none" w:color="auto"/>
        </w:rPr>
      </w:pP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附图1  本项目地理位置图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 xml:space="preserve">附图2  </w:t>
      </w:r>
      <w:r>
        <w:rPr>
          <w:rFonts w:hint="eastAsia" w:cs="Times New Roman"/>
          <w:color w:val="auto"/>
          <w:sz w:val="24"/>
          <w:szCs w:val="24"/>
          <w:u w:val="none" w:color="auto"/>
          <w:lang w:val="en-US" w:eastAsia="zh-CN"/>
        </w:rPr>
        <w:t>项目</w:t>
      </w:r>
      <w:r>
        <w:rPr>
          <w:rFonts w:hint="default" w:ascii="Times New Roman" w:hAnsi="Times New Roman" w:cs="Times New Roman"/>
          <w:color w:val="auto"/>
          <w:sz w:val="24"/>
          <w:szCs w:val="24"/>
          <w:u w:val="none" w:color="auto"/>
        </w:rPr>
        <w:t>平面布置图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rPr>
      </w:pPr>
      <w:r>
        <w:rPr>
          <w:rFonts w:hint="default" w:ascii="Times New Roman" w:hAnsi="Times New Roman" w:cs="Times New Roman"/>
          <w:color w:val="auto"/>
          <w:sz w:val="24"/>
          <w:szCs w:val="24"/>
          <w:u w:val="none" w:color="auto"/>
        </w:rPr>
        <w:t xml:space="preserve">附图3  </w:t>
      </w:r>
      <w:r>
        <w:rPr>
          <w:rFonts w:hint="default" w:ascii="Times New Roman" w:hAnsi="Times New Roman" w:eastAsia="宋体" w:cs="Times New Roman"/>
          <w:color w:val="auto"/>
          <w:sz w:val="24"/>
          <w:szCs w:val="24"/>
          <w:u w:val="none" w:color="auto"/>
        </w:rPr>
        <w:t>声环境</w:t>
      </w:r>
      <w:r>
        <w:rPr>
          <w:rFonts w:hint="eastAsia" w:ascii="Times New Roman" w:hAnsi="Times New Roman" w:eastAsia="宋体" w:cs="Times New Roman"/>
          <w:color w:val="auto"/>
          <w:sz w:val="24"/>
          <w:szCs w:val="24"/>
          <w:u w:val="none" w:color="auto"/>
          <w:lang w:eastAsia="zh-CN"/>
        </w:rPr>
        <w:t>、</w:t>
      </w:r>
      <w:r>
        <w:rPr>
          <w:rFonts w:hint="eastAsia" w:ascii="Times New Roman" w:hAnsi="Times New Roman" w:eastAsia="宋体" w:cs="Times New Roman"/>
          <w:color w:val="auto"/>
          <w:sz w:val="24"/>
          <w:szCs w:val="24"/>
          <w:u w:val="none" w:color="auto"/>
          <w:lang w:val="en-US" w:eastAsia="zh-CN"/>
        </w:rPr>
        <w:t>无组织废气、环境空气、地表水</w:t>
      </w:r>
      <w:r>
        <w:rPr>
          <w:rFonts w:hint="default" w:ascii="Times New Roman" w:hAnsi="Times New Roman" w:eastAsia="宋体" w:cs="Times New Roman"/>
          <w:color w:val="auto"/>
          <w:sz w:val="24"/>
          <w:szCs w:val="24"/>
          <w:u w:val="none" w:color="auto"/>
        </w:rPr>
        <w:t>现状监测点位图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w:t>
      </w:r>
      <w:r>
        <w:rPr>
          <w:rFonts w:hint="eastAsia" w:ascii="Times New Roman" w:hAnsi="Times New Roman"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本项目周边环保目标分布图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附图</w:t>
      </w:r>
      <w:r>
        <w:rPr>
          <w:rFonts w:hint="eastAsia"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项目现场照片</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 xml:space="preserve">附图6  </w:t>
      </w:r>
      <w:r>
        <w:rPr>
          <w:rFonts w:hint="eastAsia"/>
          <w:color w:val="auto"/>
          <w:sz w:val="24"/>
          <w:szCs w:val="24"/>
          <w:u w:val="none" w:color="auto"/>
          <w:lang w:val="en-US" w:eastAsia="zh-CN"/>
        </w:rPr>
        <w:t>项目与饮用水源输水管位置示意图</w:t>
      </w:r>
    </w:p>
    <w:p>
      <w:pPr>
        <w:keepNext w:val="0"/>
        <w:keepLines w:val="0"/>
        <w:pageBreakBefore w:val="0"/>
        <w:widowControl w:val="0"/>
        <w:numPr>
          <w:ilvl w:val="0"/>
          <w:numId w:val="9"/>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如果本报告表不能说明工程产生的污染及对环境造成的影响，应进行专项评价。根据建设工程的特点和当地环境特征，应选下列1~2项进行专项评价。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 大气环境影响专项评价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 水环境影响专项评价(包括地表水和地下水)</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 生态影响专项评价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4. 声影响专项评价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5. 土壤影响专项评价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6. 固体废物影响专项评价</w:t>
      </w:r>
    </w:p>
    <w:p>
      <w:pPr>
        <w:rPr>
          <w:color w:val="auto"/>
          <w:u w:val="none" w:color="auto"/>
        </w:rPr>
      </w:pPr>
      <w:r>
        <w:rPr>
          <w:rFonts w:hint="default" w:ascii="Times New Roman" w:hAnsi="Times New Roman" w:cs="Times New Roman"/>
          <w:color w:val="auto"/>
          <w:sz w:val="24"/>
          <w:szCs w:val="24"/>
          <w:u w:val="none" w:color="auto"/>
        </w:rPr>
        <w:t>以上专项评价中未包括的另列专项，专项评价按照《环境影响评价技术导则》中的要求进行</w:t>
      </w:r>
    </w:p>
    <w:p>
      <w:pPr>
        <w:pStyle w:val="39"/>
        <w:rPr>
          <w:rFonts w:hint="eastAsia"/>
          <w:color w:val="auto"/>
          <w:u w:val="none" w:color="auto"/>
          <w:lang w:eastAsia="zh-CN"/>
        </w:rPr>
      </w:pPr>
    </w:p>
    <w:p>
      <w:pPr>
        <w:bidi w:val="0"/>
        <w:rPr>
          <w:rFonts w:hint="eastAsia"/>
          <w:color w:val="auto"/>
          <w:u w:val="none" w:color="auto"/>
          <w:lang w:val="en-US" w:eastAsia="zh-CN"/>
        </w:rPr>
        <w:sectPr>
          <w:footerReference r:id="rId8" w:type="default"/>
          <w:pgSz w:w="11906" w:h="16838"/>
          <w:pgMar w:top="1417" w:right="1134" w:bottom="1417" w:left="1474" w:header="851" w:footer="992" w:gutter="0"/>
          <w:pgBorders>
            <w:top w:val="none" w:sz="0" w:space="0"/>
            <w:left w:val="none" w:sz="0" w:space="0"/>
            <w:bottom w:val="none" w:sz="0" w:space="0"/>
            <w:right w:val="none" w:sz="0" w:space="0"/>
          </w:pgBorders>
          <w:cols w:space="0" w:num="1"/>
          <w:rtlGutter w:val="0"/>
          <w:docGrid w:type="linesAndChars" w:linePitch="332" w:charSpace="-1612"/>
        </w:sectPr>
      </w:pPr>
    </w:p>
    <w:p>
      <w:pPr>
        <w:tabs>
          <w:tab w:val="left" w:pos="3167"/>
        </w:tabs>
        <w:bidi w:val="0"/>
        <w:jc w:val="left"/>
        <w:rPr>
          <w:rFonts w:hint="default"/>
          <w:lang w:val="en-US" w:eastAsia="zh-CN"/>
        </w:rPr>
      </w:pPr>
      <w:bookmarkStart w:id="19" w:name="_GoBack"/>
      <w:bookmarkEnd w:id="19"/>
    </w:p>
    <w:sectPr>
      <w:pgSz w:w="11906" w:h="16838"/>
      <w:pgMar w:top="1417" w:right="1134" w:bottom="1417" w:left="1474" w:header="851" w:footer="992" w:gutter="0"/>
      <w:pgBorders>
        <w:top w:val="none" w:sz="0" w:space="0"/>
        <w:left w:val="none" w:sz="0" w:space="0"/>
        <w:bottom w:val="none" w:sz="0" w:space="0"/>
        <w:right w:val="none" w:sz="0" w:space="0"/>
      </w:pgBorders>
      <w:cols w:space="0" w:num="1"/>
      <w:rtlGutter w:val="0"/>
      <w:docGrid w:type="linesAndChars" w:linePitch="332" w:charSpace="-16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40001" w:csb1="00000000"/>
  </w:font>
  <w:font w:name="CG Times (W1)">
    <w:altName w:val="Times New Roman"/>
    <w:panose1 w:val="00000000000000000000"/>
    <w:charset w:val="00"/>
    <w:family w:val="moder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450"/>
        <w:tab w:val="clear" w:pos="4153"/>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yzpWPQYCAAAFBAAADgAAAAAAAAABACAAAAAeAQAAZHJzL2Uy&#10;b0RvYy54bWxQSwUGAAAAAAYABgBZAQAAlgU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1905" t="0" r="0"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dfLJxCgIAAAEEAAAOAAAAAAAAAAEAIAAAAB8BAABk&#10;cnMvZTJvRG9jLnhtbFBLBQYAAAAABgAGAFkBAACb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1905" t="0" r="0" b="381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XdKY7AsCAAACBAAADgAAAAAAAAABACAAAAAfAQAA&#10;ZHJzL2Uyb0RvYy54bWxQSwUGAAAAAAYABgBZAQAAnAU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7667"/>
        <w:tab w:val="clear" w:pos="4153"/>
      </w:tabs>
    </w:pPr>
    <w:r>
      <w:rPr>
        <w:rFonts w:hint="eastAsia"/>
        <w:szCs w:val="18"/>
        <w:lang w:eastAsia="zh-CN"/>
      </w:rPr>
      <w:t>年产20万片石棉瓦建设项目</w:t>
    </w:r>
    <w:r>
      <w:rPr>
        <w:szCs w:val="18"/>
      </w:rPr>
      <w:t>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7E6F8"/>
    <w:multiLevelType w:val="singleLevel"/>
    <w:tmpl w:val="8AD7E6F8"/>
    <w:lvl w:ilvl="0" w:tentative="0">
      <w:start w:val="1"/>
      <w:numFmt w:val="decimal"/>
      <w:suff w:val="nothing"/>
      <w:lvlText w:val="（%1）"/>
      <w:lvlJc w:val="left"/>
    </w:lvl>
  </w:abstractNum>
  <w:abstractNum w:abstractNumId="1">
    <w:nsid w:val="EE573DEC"/>
    <w:multiLevelType w:val="singleLevel"/>
    <w:tmpl w:val="EE573DEC"/>
    <w:lvl w:ilvl="0" w:tentative="0">
      <w:start w:val="1"/>
      <w:numFmt w:val="decimal"/>
      <w:pStyle w:val="30"/>
      <w:lvlText w:val="%1."/>
      <w:lvlJc w:val="left"/>
      <w:pPr>
        <w:tabs>
          <w:tab w:val="left" w:pos="6902"/>
        </w:tabs>
        <w:ind w:left="6902" w:hanging="360"/>
      </w:pPr>
    </w:lvl>
  </w:abstractNum>
  <w:abstractNum w:abstractNumId="2">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57"/>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56"/>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0E"/>
    <w:multiLevelType w:val="singleLevel"/>
    <w:tmpl w:val="0000000E"/>
    <w:lvl w:ilvl="0" w:tentative="0">
      <w:start w:val="1"/>
      <w:numFmt w:val="chineseCounting"/>
      <w:suff w:val="nothing"/>
      <w:lvlText w:val="%1、"/>
      <w:lvlJc w:val="left"/>
    </w:lvl>
  </w:abstractNum>
  <w:abstractNum w:abstractNumId="4">
    <w:nsid w:val="0F722FDC"/>
    <w:multiLevelType w:val="multilevel"/>
    <w:tmpl w:val="0F722FDC"/>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6EFB405"/>
    <w:multiLevelType w:val="multilevel"/>
    <w:tmpl w:val="56EFB405"/>
    <w:lvl w:ilvl="0" w:tentative="0">
      <w:start w:val="1"/>
      <w:numFmt w:val="decimal"/>
      <w:pStyle w:val="111"/>
      <w:lvlText w:val="第%1章"/>
      <w:lvlJc w:val="left"/>
      <w:pPr>
        <w:ind w:left="180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pStyle w:val="110"/>
      <w:suff w:val="space"/>
      <w:lvlText w:val="%1.%2"/>
      <w:lvlJc w:val="left"/>
      <w:pPr>
        <w:ind w:left="0" w:firstLine="0"/>
      </w:pPr>
      <w:rPr>
        <w:rFonts w:hint="eastAsia" w:eastAsia="Times New Roman"/>
      </w:rPr>
    </w:lvl>
    <w:lvl w:ilvl="2" w:tentative="0">
      <w:start w:val="1"/>
      <w:numFmt w:val="decimal"/>
      <w:suff w:val="space"/>
      <w:lvlText w:val="%1.%2.%3"/>
      <w:lvlJc w:val="left"/>
      <w:pPr>
        <w:ind w:left="600" w:firstLine="0"/>
      </w:pPr>
      <w:rPr>
        <w:rFonts w:hint="eastAsia" w:ascii="Times New Roman" w:hAnsi="Times New Roman" w:eastAsia="Times New Roman"/>
        <w:dstrike w:val="0"/>
        <w:snapToGrid/>
        <w:kern w:val="0"/>
        <w:sz w:val="28"/>
        <w:szCs w:val="28"/>
        <w:vertAlign w:val="baseline"/>
      </w:rPr>
    </w:lvl>
    <w:lvl w:ilvl="3" w:tentative="0">
      <w:start w:val="1"/>
      <w:numFmt w:val="decimal"/>
      <w:lvlText w:val="%1.%2.%3.%4"/>
      <w:lvlJc w:val="left"/>
      <w:pPr>
        <w:ind w:left="6271" w:hanging="708"/>
      </w:pPr>
      <w:rPr>
        <w:rFonts w:hint="eastAsia"/>
      </w:rPr>
    </w:lvl>
    <w:lvl w:ilvl="4" w:tentative="0">
      <w:start w:val="1"/>
      <w:numFmt w:val="decimal"/>
      <w:lvlText w:val="%1.%2.%3.%4.%5"/>
      <w:lvlJc w:val="left"/>
      <w:pPr>
        <w:ind w:left="6838" w:hanging="850"/>
      </w:pPr>
      <w:rPr>
        <w:rFonts w:hint="eastAsia"/>
      </w:rPr>
    </w:lvl>
    <w:lvl w:ilvl="5" w:tentative="0">
      <w:start w:val="1"/>
      <w:numFmt w:val="decimal"/>
      <w:lvlText w:val="%1.%2.%3.%4.%5.%6"/>
      <w:lvlJc w:val="left"/>
      <w:pPr>
        <w:ind w:left="7547" w:hanging="1134"/>
      </w:pPr>
      <w:rPr>
        <w:rFonts w:hint="eastAsia"/>
      </w:rPr>
    </w:lvl>
    <w:lvl w:ilvl="6" w:tentative="0">
      <w:start w:val="1"/>
      <w:numFmt w:val="decimal"/>
      <w:lvlText w:val="%1.%2.%3.%4.%5.%6.%7"/>
      <w:lvlJc w:val="left"/>
      <w:pPr>
        <w:ind w:left="8114" w:hanging="1276"/>
      </w:pPr>
      <w:rPr>
        <w:rFonts w:hint="eastAsia"/>
      </w:rPr>
    </w:lvl>
    <w:lvl w:ilvl="7" w:tentative="0">
      <w:start w:val="1"/>
      <w:numFmt w:val="decimal"/>
      <w:lvlText w:val="%1.%2.%3.%4.%5.%6.%7.%8"/>
      <w:lvlJc w:val="left"/>
      <w:pPr>
        <w:ind w:left="8681" w:hanging="1418"/>
      </w:pPr>
      <w:rPr>
        <w:rFonts w:hint="eastAsia"/>
      </w:rPr>
    </w:lvl>
    <w:lvl w:ilvl="8" w:tentative="0">
      <w:start w:val="1"/>
      <w:numFmt w:val="decimal"/>
      <w:lvlText w:val="%1.%2.%3.%4.%5.%6.%7.%8.%9"/>
      <w:lvlJc w:val="left"/>
      <w:pPr>
        <w:ind w:left="9389" w:hanging="1700"/>
      </w:pPr>
      <w:rPr>
        <w:rFonts w:hint="eastAsia"/>
      </w:rPr>
    </w:lvl>
  </w:abstractNum>
  <w:abstractNum w:abstractNumId="6">
    <w:nsid w:val="58F2FF14"/>
    <w:multiLevelType w:val="singleLevel"/>
    <w:tmpl w:val="58F2FF14"/>
    <w:lvl w:ilvl="0" w:tentative="0">
      <w:start w:val="2"/>
      <w:numFmt w:val="decimal"/>
      <w:suff w:val="nothing"/>
      <w:lvlText w:val="%1、"/>
      <w:lvlJc w:val="left"/>
    </w:lvl>
  </w:abstractNum>
  <w:abstractNum w:abstractNumId="7">
    <w:nsid w:val="621F0DDE"/>
    <w:multiLevelType w:val="multilevel"/>
    <w:tmpl w:val="621F0DDE"/>
    <w:lvl w:ilvl="0" w:tentative="0">
      <w:start w:val="1"/>
      <w:numFmt w:val="japaneseCounting"/>
      <w:pStyle w:val="14"/>
      <w:lvlText w:val="%1、"/>
      <w:lvlJc w:val="left"/>
      <w:pPr>
        <w:tabs>
          <w:tab w:val="left" w:pos="962"/>
        </w:tabs>
        <w:ind w:left="962" w:hanging="48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8">
    <w:nsid w:val="6B628263"/>
    <w:multiLevelType w:val="singleLevel"/>
    <w:tmpl w:val="6B628263"/>
    <w:lvl w:ilvl="0" w:tentative="0">
      <w:start w:val="1"/>
      <w:numFmt w:val="decimal"/>
      <w:suff w:val="nothing"/>
      <w:lvlText w:val="（%1）"/>
      <w:lvlJc w:val="left"/>
    </w:lvl>
  </w:abstractNum>
  <w:num w:numId="1">
    <w:abstractNumId w:val="7"/>
  </w:num>
  <w:num w:numId="2">
    <w:abstractNumId w:val="1"/>
  </w:num>
  <w:num w:numId="3">
    <w:abstractNumId w:val="2"/>
  </w:num>
  <w:num w:numId="4">
    <w:abstractNumId w:val="5"/>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1"/>
  <w:drawingGridVerticalSpacing w:val="16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D0"/>
    <w:rsid w:val="0000160B"/>
    <w:rsid w:val="000026D9"/>
    <w:rsid w:val="00002AE4"/>
    <w:rsid w:val="00006E26"/>
    <w:rsid w:val="000122A5"/>
    <w:rsid w:val="00013A83"/>
    <w:rsid w:val="00017209"/>
    <w:rsid w:val="000210A2"/>
    <w:rsid w:val="00031DA1"/>
    <w:rsid w:val="00033313"/>
    <w:rsid w:val="00034232"/>
    <w:rsid w:val="00034B96"/>
    <w:rsid w:val="0003541E"/>
    <w:rsid w:val="00036963"/>
    <w:rsid w:val="00037E3C"/>
    <w:rsid w:val="00040F1C"/>
    <w:rsid w:val="000423BC"/>
    <w:rsid w:val="00043577"/>
    <w:rsid w:val="000435F3"/>
    <w:rsid w:val="00043CA2"/>
    <w:rsid w:val="00044092"/>
    <w:rsid w:val="00044145"/>
    <w:rsid w:val="00045F96"/>
    <w:rsid w:val="000461C5"/>
    <w:rsid w:val="00046D1B"/>
    <w:rsid w:val="00054858"/>
    <w:rsid w:val="00055614"/>
    <w:rsid w:val="00055FE1"/>
    <w:rsid w:val="000564D4"/>
    <w:rsid w:val="00057513"/>
    <w:rsid w:val="00060986"/>
    <w:rsid w:val="0006505F"/>
    <w:rsid w:val="00066EE4"/>
    <w:rsid w:val="0006777B"/>
    <w:rsid w:val="00080666"/>
    <w:rsid w:val="00081D7C"/>
    <w:rsid w:val="00083B87"/>
    <w:rsid w:val="00084610"/>
    <w:rsid w:val="000852BD"/>
    <w:rsid w:val="0009217D"/>
    <w:rsid w:val="00093BD6"/>
    <w:rsid w:val="00096071"/>
    <w:rsid w:val="000962CF"/>
    <w:rsid w:val="00096C15"/>
    <w:rsid w:val="000A08B6"/>
    <w:rsid w:val="000A139F"/>
    <w:rsid w:val="000A2CCB"/>
    <w:rsid w:val="000A4674"/>
    <w:rsid w:val="000A6B56"/>
    <w:rsid w:val="000A6BE3"/>
    <w:rsid w:val="000A7206"/>
    <w:rsid w:val="000A79D4"/>
    <w:rsid w:val="000B217A"/>
    <w:rsid w:val="000B2F17"/>
    <w:rsid w:val="000B7022"/>
    <w:rsid w:val="000C0211"/>
    <w:rsid w:val="000C2A6F"/>
    <w:rsid w:val="000C35A3"/>
    <w:rsid w:val="000C514F"/>
    <w:rsid w:val="000C70EB"/>
    <w:rsid w:val="000C7DEF"/>
    <w:rsid w:val="000D0277"/>
    <w:rsid w:val="000D09A4"/>
    <w:rsid w:val="000D3C5B"/>
    <w:rsid w:val="000D3E66"/>
    <w:rsid w:val="000D7FE9"/>
    <w:rsid w:val="000E7226"/>
    <w:rsid w:val="000E7D99"/>
    <w:rsid w:val="000F1C1E"/>
    <w:rsid w:val="000F1FEF"/>
    <w:rsid w:val="000F2DB2"/>
    <w:rsid w:val="000F458B"/>
    <w:rsid w:val="000F49F3"/>
    <w:rsid w:val="000F58D5"/>
    <w:rsid w:val="000F6C7B"/>
    <w:rsid w:val="00101077"/>
    <w:rsid w:val="00102286"/>
    <w:rsid w:val="0010284E"/>
    <w:rsid w:val="00111C91"/>
    <w:rsid w:val="001123C0"/>
    <w:rsid w:val="0011388B"/>
    <w:rsid w:val="001138C9"/>
    <w:rsid w:val="00113D94"/>
    <w:rsid w:val="00115B96"/>
    <w:rsid w:val="0012211C"/>
    <w:rsid w:val="00124092"/>
    <w:rsid w:val="00124D30"/>
    <w:rsid w:val="00125707"/>
    <w:rsid w:val="00126619"/>
    <w:rsid w:val="00126D58"/>
    <w:rsid w:val="001313B6"/>
    <w:rsid w:val="00131552"/>
    <w:rsid w:val="001340C6"/>
    <w:rsid w:val="00134706"/>
    <w:rsid w:val="00135AF9"/>
    <w:rsid w:val="00136143"/>
    <w:rsid w:val="00143B16"/>
    <w:rsid w:val="00146989"/>
    <w:rsid w:val="001469CC"/>
    <w:rsid w:val="00150C66"/>
    <w:rsid w:val="00150F74"/>
    <w:rsid w:val="00153DD6"/>
    <w:rsid w:val="00153ED3"/>
    <w:rsid w:val="00154252"/>
    <w:rsid w:val="00161F27"/>
    <w:rsid w:val="00163675"/>
    <w:rsid w:val="00167386"/>
    <w:rsid w:val="00172A27"/>
    <w:rsid w:val="0017512B"/>
    <w:rsid w:val="00175F80"/>
    <w:rsid w:val="001826DE"/>
    <w:rsid w:val="00182B96"/>
    <w:rsid w:val="00184357"/>
    <w:rsid w:val="001854E9"/>
    <w:rsid w:val="00185A07"/>
    <w:rsid w:val="0018609B"/>
    <w:rsid w:val="00187806"/>
    <w:rsid w:val="00187DAB"/>
    <w:rsid w:val="00187E34"/>
    <w:rsid w:val="001918A7"/>
    <w:rsid w:val="00194C80"/>
    <w:rsid w:val="0019510A"/>
    <w:rsid w:val="00195EDD"/>
    <w:rsid w:val="001A168D"/>
    <w:rsid w:val="001A4313"/>
    <w:rsid w:val="001A454D"/>
    <w:rsid w:val="001B0AFD"/>
    <w:rsid w:val="001B1766"/>
    <w:rsid w:val="001B1A48"/>
    <w:rsid w:val="001C1C09"/>
    <w:rsid w:val="001C273F"/>
    <w:rsid w:val="001D23F8"/>
    <w:rsid w:val="001D4EAE"/>
    <w:rsid w:val="001E1D10"/>
    <w:rsid w:val="001E2E76"/>
    <w:rsid w:val="001F072F"/>
    <w:rsid w:val="001F0A18"/>
    <w:rsid w:val="001F1929"/>
    <w:rsid w:val="001F26C3"/>
    <w:rsid w:val="001F29D8"/>
    <w:rsid w:val="001F30E9"/>
    <w:rsid w:val="001F338C"/>
    <w:rsid w:val="001F3458"/>
    <w:rsid w:val="002009F8"/>
    <w:rsid w:val="00201D54"/>
    <w:rsid w:val="00203D9B"/>
    <w:rsid w:val="0020440C"/>
    <w:rsid w:val="00210ACF"/>
    <w:rsid w:val="00212419"/>
    <w:rsid w:val="00213FC0"/>
    <w:rsid w:val="00222C8D"/>
    <w:rsid w:val="0022316C"/>
    <w:rsid w:val="00223502"/>
    <w:rsid w:val="00223791"/>
    <w:rsid w:val="00226A1F"/>
    <w:rsid w:val="00230B07"/>
    <w:rsid w:val="00232E12"/>
    <w:rsid w:val="002352A4"/>
    <w:rsid w:val="002364F0"/>
    <w:rsid w:val="0024212E"/>
    <w:rsid w:val="002438D3"/>
    <w:rsid w:val="002439B6"/>
    <w:rsid w:val="00245793"/>
    <w:rsid w:val="002458B2"/>
    <w:rsid w:val="0024711D"/>
    <w:rsid w:val="00251B48"/>
    <w:rsid w:val="00252976"/>
    <w:rsid w:val="002535D9"/>
    <w:rsid w:val="002558D2"/>
    <w:rsid w:val="002561EB"/>
    <w:rsid w:val="00256EBD"/>
    <w:rsid w:val="002608BC"/>
    <w:rsid w:val="00266081"/>
    <w:rsid w:val="00267920"/>
    <w:rsid w:val="002710A7"/>
    <w:rsid w:val="00272E74"/>
    <w:rsid w:val="002743E7"/>
    <w:rsid w:val="002746C7"/>
    <w:rsid w:val="00274D8E"/>
    <w:rsid w:val="00275EC7"/>
    <w:rsid w:val="00277558"/>
    <w:rsid w:val="00282994"/>
    <w:rsid w:val="00286B05"/>
    <w:rsid w:val="00286CEC"/>
    <w:rsid w:val="0028788E"/>
    <w:rsid w:val="002904FC"/>
    <w:rsid w:val="00290A50"/>
    <w:rsid w:val="00291059"/>
    <w:rsid w:val="00294554"/>
    <w:rsid w:val="00296D93"/>
    <w:rsid w:val="0029777A"/>
    <w:rsid w:val="002A1195"/>
    <w:rsid w:val="002A52D0"/>
    <w:rsid w:val="002A6CF1"/>
    <w:rsid w:val="002A6F41"/>
    <w:rsid w:val="002A725B"/>
    <w:rsid w:val="002A7D95"/>
    <w:rsid w:val="002B1D2A"/>
    <w:rsid w:val="002B372E"/>
    <w:rsid w:val="002B658C"/>
    <w:rsid w:val="002B6F77"/>
    <w:rsid w:val="002B7638"/>
    <w:rsid w:val="002C06B4"/>
    <w:rsid w:val="002C13E6"/>
    <w:rsid w:val="002C3520"/>
    <w:rsid w:val="002C35D8"/>
    <w:rsid w:val="002C46E9"/>
    <w:rsid w:val="002C48CD"/>
    <w:rsid w:val="002C620C"/>
    <w:rsid w:val="002C622A"/>
    <w:rsid w:val="002C6E6C"/>
    <w:rsid w:val="002C78B3"/>
    <w:rsid w:val="002D0E6F"/>
    <w:rsid w:val="002D1000"/>
    <w:rsid w:val="002D69B4"/>
    <w:rsid w:val="002E127B"/>
    <w:rsid w:val="002E2069"/>
    <w:rsid w:val="002E2992"/>
    <w:rsid w:val="002E4B01"/>
    <w:rsid w:val="002E7846"/>
    <w:rsid w:val="002E7CAB"/>
    <w:rsid w:val="002F4230"/>
    <w:rsid w:val="002F4398"/>
    <w:rsid w:val="002F5A32"/>
    <w:rsid w:val="00301A0E"/>
    <w:rsid w:val="00301FCA"/>
    <w:rsid w:val="00303782"/>
    <w:rsid w:val="00303BA3"/>
    <w:rsid w:val="00303CFF"/>
    <w:rsid w:val="003058A6"/>
    <w:rsid w:val="0031034B"/>
    <w:rsid w:val="00310CC2"/>
    <w:rsid w:val="00312BAA"/>
    <w:rsid w:val="00312E9A"/>
    <w:rsid w:val="00314549"/>
    <w:rsid w:val="00315C84"/>
    <w:rsid w:val="003172E1"/>
    <w:rsid w:val="00317EEC"/>
    <w:rsid w:val="003240F9"/>
    <w:rsid w:val="00330A50"/>
    <w:rsid w:val="003318DE"/>
    <w:rsid w:val="00332FEF"/>
    <w:rsid w:val="003423C6"/>
    <w:rsid w:val="003427C4"/>
    <w:rsid w:val="00342C34"/>
    <w:rsid w:val="00343418"/>
    <w:rsid w:val="0034408A"/>
    <w:rsid w:val="0034675D"/>
    <w:rsid w:val="00352E8A"/>
    <w:rsid w:val="003545C9"/>
    <w:rsid w:val="00355845"/>
    <w:rsid w:val="00355E60"/>
    <w:rsid w:val="00362679"/>
    <w:rsid w:val="00362FA3"/>
    <w:rsid w:val="00364CA1"/>
    <w:rsid w:val="003663AA"/>
    <w:rsid w:val="00366E3E"/>
    <w:rsid w:val="0036790D"/>
    <w:rsid w:val="00375076"/>
    <w:rsid w:val="00383711"/>
    <w:rsid w:val="003849DA"/>
    <w:rsid w:val="00385FC7"/>
    <w:rsid w:val="00387316"/>
    <w:rsid w:val="003933F8"/>
    <w:rsid w:val="003A09A0"/>
    <w:rsid w:val="003A0A93"/>
    <w:rsid w:val="003A6254"/>
    <w:rsid w:val="003A645D"/>
    <w:rsid w:val="003A671A"/>
    <w:rsid w:val="003B04A1"/>
    <w:rsid w:val="003B5555"/>
    <w:rsid w:val="003B5FC1"/>
    <w:rsid w:val="003B6B31"/>
    <w:rsid w:val="003C36CB"/>
    <w:rsid w:val="003C3873"/>
    <w:rsid w:val="003C4293"/>
    <w:rsid w:val="003C6BA1"/>
    <w:rsid w:val="003D09C5"/>
    <w:rsid w:val="003D1BA5"/>
    <w:rsid w:val="003D4B31"/>
    <w:rsid w:val="003D6DD6"/>
    <w:rsid w:val="003E2520"/>
    <w:rsid w:val="003E2D7A"/>
    <w:rsid w:val="003E701F"/>
    <w:rsid w:val="003F3D22"/>
    <w:rsid w:val="003F5853"/>
    <w:rsid w:val="003F7A40"/>
    <w:rsid w:val="00402994"/>
    <w:rsid w:val="00403443"/>
    <w:rsid w:val="00404534"/>
    <w:rsid w:val="004054D6"/>
    <w:rsid w:val="00406392"/>
    <w:rsid w:val="00407D82"/>
    <w:rsid w:val="00414039"/>
    <w:rsid w:val="00417F91"/>
    <w:rsid w:val="0042045D"/>
    <w:rsid w:val="00420C30"/>
    <w:rsid w:val="00421BE1"/>
    <w:rsid w:val="00422319"/>
    <w:rsid w:val="00426917"/>
    <w:rsid w:val="00426B7E"/>
    <w:rsid w:val="00426F73"/>
    <w:rsid w:val="0043166A"/>
    <w:rsid w:val="004318C3"/>
    <w:rsid w:val="00432C0C"/>
    <w:rsid w:val="00434857"/>
    <w:rsid w:val="00436D01"/>
    <w:rsid w:val="004405F1"/>
    <w:rsid w:val="00444C35"/>
    <w:rsid w:val="00446333"/>
    <w:rsid w:val="00460467"/>
    <w:rsid w:val="004606AC"/>
    <w:rsid w:val="00460C8F"/>
    <w:rsid w:val="00461283"/>
    <w:rsid w:val="00465D29"/>
    <w:rsid w:val="00471F5F"/>
    <w:rsid w:val="00472E0A"/>
    <w:rsid w:val="00476604"/>
    <w:rsid w:val="00476D6A"/>
    <w:rsid w:val="00480A45"/>
    <w:rsid w:val="00481550"/>
    <w:rsid w:val="00483514"/>
    <w:rsid w:val="00483709"/>
    <w:rsid w:val="00483901"/>
    <w:rsid w:val="00490D19"/>
    <w:rsid w:val="00494476"/>
    <w:rsid w:val="004964A0"/>
    <w:rsid w:val="0049672A"/>
    <w:rsid w:val="00497423"/>
    <w:rsid w:val="004A0056"/>
    <w:rsid w:val="004A0881"/>
    <w:rsid w:val="004A0F2F"/>
    <w:rsid w:val="004A175B"/>
    <w:rsid w:val="004A1D68"/>
    <w:rsid w:val="004A1E2E"/>
    <w:rsid w:val="004A261E"/>
    <w:rsid w:val="004B1970"/>
    <w:rsid w:val="004B1D9A"/>
    <w:rsid w:val="004B2251"/>
    <w:rsid w:val="004B77DF"/>
    <w:rsid w:val="004C0D5E"/>
    <w:rsid w:val="004C3DB2"/>
    <w:rsid w:val="004C461D"/>
    <w:rsid w:val="004C7670"/>
    <w:rsid w:val="004D3FC9"/>
    <w:rsid w:val="004D7919"/>
    <w:rsid w:val="004E0539"/>
    <w:rsid w:val="004E0A02"/>
    <w:rsid w:val="004E1CE7"/>
    <w:rsid w:val="004E26E1"/>
    <w:rsid w:val="004E46DD"/>
    <w:rsid w:val="004E513A"/>
    <w:rsid w:val="004E7A8C"/>
    <w:rsid w:val="004F180C"/>
    <w:rsid w:val="004F1B4C"/>
    <w:rsid w:val="004F444A"/>
    <w:rsid w:val="004F4BF2"/>
    <w:rsid w:val="004F6488"/>
    <w:rsid w:val="004F6625"/>
    <w:rsid w:val="00500C89"/>
    <w:rsid w:val="00501B8E"/>
    <w:rsid w:val="00506253"/>
    <w:rsid w:val="00506931"/>
    <w:rsid w:val="005103B7"/>
    <w:rsid w:val="00510AF7"/>
    <w:rsid w:val="005235DC"/>
    <w:rsid w:val="00524F88"/>
    <w:rsid w:val="00525304"/>
    <w:rsid w:val="0052666B"/>
    <w:rsid w:val="005328F4"/>
    <w:rsid w:val="005355D7"/>
    <w:rsid w:val="005359EE"/>
    <w:rsid w:val="00536288"/>
    <w:rsid w:val="0053699E"/>
    <w:rsid w:val="005369EE"/>
    <w:rsid w:val="00541678"/>
    <w:rsid w:val="00546738"/>
    <w:rsid w:val="005507F5"/>
    <w:rsid w:val="0055674B"/>
    <w:rsid w:val="00560DCC"/>
    <w:rsid w:val="00562036"/>
    <w:rsid w:val="00562FF7"/>
    <w:rsid w:val="00564816"/>
    <w:rsid w:val="00565156"/>
    <w:rsid w:val="0056625F"/>
    <w:rsid w:val="00566DE8"/>
    <w:rsid w:val="00567C72"/>
    <w:rsid w:val="00572867"/>
    <w:rsid w:val="00573F91"/>
    <w:rsid w:val="00574B81"/>
    <w:rsid w:val="00575277"/>
    <w:rsid w:val="00575DEF"/>
    <w:rsid w:val="00583D11"/>
    <w:rsid w:val="00586A9D"/>
    <w:rsid w:val="00591907"/>
    <w:rsid w:val="00592FD7"/>
    <w:rsid w:val="005A075E"/>
    <w:rsid w:val="005A48AD"/>
    <w:rsid w:val="005A4F71"/>
    <w:rsid w:val="005A63AA"/>
    <w:rsid w:val="005A7110"/>
    <w:rsid w:val="005A7D41"/>
    <w:rsid w:val="005B18C2"/>
    <w:rsid w:val="005B2905"/>
    <w:rsid w:val="005B46EB"/>
    <w:rsid w:val="005B6EA7"/>
    <w:rsid w:val="005C5E9C"/>
    <w:rsid w:val="005D0B2E"/>
    <w:rsid w:val="005D74DF"/>
    <w:rsid w:val="005E20E6"/>
    <w:rsid w:val="005F25E6"/>
    <w:rsid w:val="00601E55"/>
    <w:rsid w:val="006025CA"/>
    <w:rsid w:val="00604993"/>
    <w:rsid w:val="00606964"/>
    <w:rsid w:val="00606ED9"/>
    <w:rsid w:val="00607085"/>
    <w:rsid w:val="00607558"/>
    <w:rsid w:val="00607575"/>
    <w:rsid w:val="0061488B"/>
    <w:rsid w:val="006229B1"/>
    <w:rsid w:val="006245C8"/>
    <w:rsid w:val="006317FF"/>
    <w:rsid w:val="00631C70"/>
    <w:rsid w:val="00631D9D"/>
    <w:rsid w:val="0063211F"/>
    <w:rsid w:val="006349C1"/>
    <w:rsid w:val="00634A6B"/>
    <w:rsid w:val="0063643D"/>
    <w:rsid w:val="00636E4B"/>
    <w:rsid w:val="0064522A"/>
    <w:rsid w:val="00646426"/>
    <w:rsid w:val="00646CCD"/>
    <w:rsid w:val="0065356E"/>
    <w:rsid w:val="0065359A"/>
    <w:rsid w:val="00654F9F"/>
    <w:rsid w:val="00655664"/>
    <w:rsid w:val="006558D8"/>
    <w:rsid w:val="00655917"/>
    <w:rsid w:val="00657D22"/>
    <w:rsid w:val="006634F2"/>
    <w:rsid w:val="006637CC"/>
    <w:rsid w:val="00666FDD"/>
    <w:rsid w:val="00667641"/>
    <w:rsid w:val="0066791D"/>
    <w:rsid w:val="00667DF0"/>
    <w:rsid w:val="00670299"/>
    <w:rsid w:val="00673AE1"/>
    <w:rsid w:val="00674EC4"/>
    <w:rsid w:val="00676771"/>
    <w:rsid w:val="0068045A"/>
    <w:rsid w:val="00690558"/>
    <w:rsid w:val="006A3F3F"/>
    <w:rsid w:val="006A772B"/>
    <w:rsid w:val="006B0FC9"/>
    <w:rsid w:val="006B2930"/>
    <w:rsid w:val="006B2AE1"/>
    <w:rsid w:val="006B4D4F"/>
    <w:rsid w:val="006B6474"/>
    <w:rsid w:val="006C0178"/>
    <w:rsid w:val="006C10F1"/>
    <w:rsid w:val="006C166B"/>
    <w:rsid w:val="006C18B8"/>
    <w:rsid w:val="006C2682"/>
    <w:rsid w:val="006C48F1"/>
    <w:rsid w:val="006D290F"/>
    <w:rsid w:val="006D56A2"/>
    <w:rsid w:val="006D621D"/>
    <w:rsid w:val="006D6297"/>
    <w:rsid w:val="006D651A"/>
    <w:rsid w:val="006E27D6"/>
    <w:rsid w:val="006E2F84"/>
    <w:rsid w:val="006E65D0"/>
    <w:rsid w:val="006E7AB2"/>
    <w:rsid w:val="006F051E"/>
    <w:rsid w:val="006F0945"/>
    <w:rsid w:val="006F6E60"/>
    <w:rsid w:val="007003AA"/>
    <w:rsid w:val="0070174E"/>
    <w:rsid w:val="00703610"/>
    <w:rsid w:val="00706022"/>
    <w:rsid w:val="007060E6"/>
    <w:rsid w:val="0070690A"/>
    <w:rsid w:val="0071148D"/>
    <w:rsid w:val="007118C3"/>
    <w:rsid w:val="0071301D"/>
    <w:rsid w:val="00713477"/>
    <w:rsid w:val="00716622"/>
    <w:rsid w:val="00720153"/>
    <w:rsid w:val="0072272D"/>
    <w:rsid w:val="00723814"/>
    <w:rsid w:val="00723E2A"/>
    <w:rsid w:val="00724D12"/>
    <w:rsid w:val="00727EE1"/>
    <w:rsid w:val="00731A9A"/>
    <w:rsid w:val="0073278C"/>
    <w:rsid w:val="00735C34"/>
    <w:rsid w:val="00736C41"/>
    <w:rsid w:val="00740295"/>
    <w:rsid w:val="00741D64"/>
    <w:rsid w:val="00747569"/>
    <w:rsid w:val="007505EB"/>
    <w:rsid w:val="00754B8A"/>
    <w:rsid w:val="007565A2"/>
    <w:rsid w:val="00756F22"/>
    <w:rsid w:val="00757C6B"/>
    <w:rsid w:val="00762537"/>
    <w:rsid w:val="007632A5"/>
    <w:rsid w:val="0076375C"/>
    <w:rsid w:val="00763BAB"/>
    <w:rsid w:val="007647E7"/>
    <w:rsid w:val="00770246"/>
    <w:rsid w:val="00770AE4"/>
    <w:rsid w:val="00770B7C"/>
    <w:rsid w:val="0077170E"/>
    <w:rsid w:val="007765B5"/>
    <w:rsid w:val="00776A7A"/>
    <w:rsid w:val="00781615"/>
    <w:rsid w:val="007843FA"/>
    <w:rsid w:val="007856F4"/>
    <w:rsid w:val="007879DB"/>
    <w:rsid w:val="00790857"/>
    <w:rsid w:val="00790DE7"/>
    <w:rsid w:val="00792252"/>
    <w:rsid w:val="0079267D"/>
    <w:rsid w:val="00792D3B"/>
    <w:rsid w:val="007944EF"/>
    <w:rsid w:val="0079485B"/>
    <w:rsid w:val="00796365"/>
    <w:rsid w:val="007968A0"/>
    <w:rsid w:val="007A164C"/>
    <w:rsid w:val="007A23CC"/>
    <w:rsid w:val="007A3C24"/>
    <w:rsid w:val="007A66FC"/>
    <w:rsid w:val="007A7E78"/>
    <w:rsid w:val="007B1AA9"/>
    <w:rsid w:val="007B2BC3"/>
    <w:rsid w:val="007B37CD"/>
    <w:rsid w:val="007B6311"/>
    <w:rsid w:val="007B653C"/>
    <w:rsid w:val="007B6F9A"/>
    <w:rsid w:val="007B73DA"/>
    <w:rsid w:val="007C0861"/>
    <w:rsid w:val="007C08F9"/>
    <w:rsid w:val="007C0D0C"/>
    <w:rsid w:val="007C1D01"/>
    <w:rsid w:val="007C4A2F"/>
    <w:rsid w:val="007C5174"/>
    <w:rsid w:val="007C694A"/>
    <w:rsid w:val="007C7658"/>
    <w:rsid w:val="007C79C9"/>
    <w:rsid w:val="007D11AB"/>
    <w:rsid w:val="007D29E6"/>
    <w:rsid w:val="007D442B"/>
    <w:rsid w:val="007D4538"/>
    <w:rsid w:val="007D4906"/>
    <w:rsid w:val="007D5F9E"/>
    <w:rsid w:val="007D6F38"/>
    <w:rsid w:val="007D7C44"/>
    <w:rsid w:val="007D7EA5"/>
    <w:rsid w:val="007E43A1"/>
    <w:rsid w:val="007E4CA7"/>
    <w:rsid w:val="007E5B6F"/>
    <w:rsid w:val="007E5C6B"/>
    <w:rsid w:val="007E7AA7"/>
    <w:rsid w:val="007F2DAF"/>
    <w:rsid w:val="007F671D"/>
    <w:rsid w:val="0080159F"/>
    <w:rsid w:val="008018B1"/>
    <w:rsid w:val="00802DC7"/>
    <w:rsid w:val="00803F15"/>
    <w:rsid w:val="00804B45"/>
    <w:rsid w:val="00806ADF"/>
    <w:rsid w:val="008110AF"/>
    <w:rsid w:val="00811ED5"/>
    <w:rsid w:val="00814441"/>
    <w:rsid w:val="00820891"/>
    <w:rsid w:val="00822E7D"/>
    <w:rsid w:val="00830AAB"/>
    <w:rsid w:val="00833A3C"/>
    <w:rsid w:val="00836731"/>
    <w:rsid w:val="00837904"/>
    <w:rsid w:val="00837E8E"/>
    <w:rsid w:val="00842800"/>
    <w:rsid w:val="00842825"/>
    <w:rsid w:val="008448D4"/>
    <w:rsid w:val="00847D8D"/>
    <w:rsid w:val="00851CC0"/>
    <w:rsid w:val="00852158"/>
    <w:rsid w:val="0085292F"/>
    <w:rsid w:val="00854555"/>
    <w:rsid w:val="00855224"/>
    <w:rsid w:val="00856088"/>
    <w:rsid w:val="00856F8A"/>
    <w:rsid w:val="00857C58"/>
    <w:rsid w:val="00861EC5"/>
    <w:rsid w:val="00863907"/>
    <w:rsid w:val="00865952"/>
    <w:rsid w:val="00870AA2"/>
    <w:rsid w:val="008714F0"/>
    <w:rsid w:val="00872E25"/>
    <w:rsid w:val="008745AE"/>
    <w:rsid w:val="00874B27"/>
    <w:rsid w:val="00876507"/>
    <w:rsid w:val="008800C3"/>
    <w:rsid w:val="0088182D"/>
    <w:rsid w:val="00881D02"/>
    <w:rsid w:val="00882844"/>
    <w:rsid w:val="008866CD"/>
    <w:rsid w:val="00890F40"/>
    <w:rsid w:val="00891037"/>
    <w:rsid w:val="00893261"/>
    <w:rsid w:val="0089480B"/>
    <w:rsid w:val="00894F57"/>
    <w:rsid w:val="008961C9"/>
    <w:rsid w:val="00897AAA"/>
    <w:rsid w:val="008A104F"/>
    <w:rsid w:val="008A3B09"/>
    <w:rsid w:val="008A4599"/>
    <w:rsid w:val="008A59AE"/>
    <w:rsid w:val="008A6A4A"/>
    <w:rsid w:val="008A75BD"/>
    <w:rsid w:val="008A7D91"/>
    <w:rsid w:val="008B1C12"/>
    <w:rsid w:val="008B3C7C"/>
    <w:rsid w:val="008B3E72"/>
    <w:rsid w:val="008B4974"/>
    <w:rsid w:val="008B6B40"/>
    <w:rsid w:val="008B7296"/>
    <w:rsid w:val="008C0CC1"/>
    <w:rsid w:val="008C1298"/>
    <w:rsid w:val="008C29BA"/>
    <w:rsid w:val="008C4FC5"/>
    <w:rsid w:val="008C647C"/>
    <w:rsid w:val="008C6D6C"/>
    <w:rsid w:val="008D0E67"/>
    <w:rsid w:val="008D199A"/>
    <w:rsid w:val="008D1ABE"/>
    <w:rsid w:val="008D2C35"/>
    <w:rsid w:val="008E345B"/>
    <w:rsid w:val="008E544E"/>
    <w:rsid w:val="008F1145"/>
    <w:rsid w:val="008F2F2D"/>
    <w:rsid w:val="008F770D"/>
    <w:rsid w:val="00902434"/>
    <w:rsid w:val="00903254"/>
    <w:rsid w:val="009052E8"/>
    <w:rsid w:val="00907D99"/>
    <w:rsid w:val="00907EAA"/>
    <w:rsid w:val="00913354"/>
    <w:rsid w:val="00913717"/>
    <w:rsid w:val="00913968"/>
    <w:rsid w:val="00913C43"/>
    <w:rsid w:val="0091625E"/>
    <w:rsid w:val="00916C10"/>
    <w:rsid w:val="00917343"/>
    <w:rsid w:val="00917651"/>
    <w:rsid w:val="00917C13"/>
    <w:rsid w:val="00922BBD"/>
    <w:rsid w:val="0092405F"/>
    <w:rsid w:val="00925F07"/>
    <w:rsid w:val="009261D6"/>
    <w:rsid w:val="009271B7"/>
    <w:rsid w:val="00933AA1"/>
    <w:rsid w:val="009376B1"/>
    <w:rsid w:val="00941259"/>
    <w:rsid w:val="00946AE0"/>
    <w:rsid w:val="00950A9D"/>
    <w:rsid w:val="00952279"/>
    <w:rsid w:val="009523B3"/>
    <w:rsid w:val="00953576"/>
    <w:rsid w:val="009567FD"/>
    <w:rsid w:val="0095748D"/>
    <w:rsid w:val="00961964"/>
    <w:rsid w:val="00961F90"/>
    <w:rsid w:val="009634BE"/>
    <w:rsid w:val="00963D65"/>
    <w:rsid w:val="00965DE5"/>
    <w:rsid w:val="00967964"/>
    <w:rsid w:val="00970147"/>
    <w:rsid w:val="00972B04"/>
    <w:rsid w:val="0097401C"/>
    <w:rsid w:val="009754DA"/>
    <w:rsid w:val="00980E58"/>
    <w:rsid w:val="00981221"/>
    <w:rsid w:val="00981390"/>
    <w:rsid w:val="00981B22"/>
    <w:rsid w:val="00982EAC"/>
    <w:rsid w:val="00985123"/>
    <w:rsid w:val="00985941"/>
    <w:rsid w:val="0098630F"/>
    <w:rsid w:val="009873BC"/>
    <w:rsid w:val="00987448"/>
    <w:rsid w:val="0098751E"/>
    <w:rsid w:val="00990E86"/>
    <w:rsid w:val="00991EE8"/>
    <w:rsid w:val="00992BB2"/>
    <w:rsid w:val="00993F70"/>
    <w:rsid w:val="00995F3D"/>
    <w:rsid w:val="009A15A8"/>
    <w:rsid w:val="009A4F31"/>
    <w:rsid w:val="009A6D66"/>
    <w:rsid w:val="009B1D05"/>
    <w:rsid w:val="009B1D26"/>
    <w:rsid w:val="009B231A"/>
    <w:rsid w:val="009B4570"/>
    <w:rsid w:val="009B4A6F"/>
    <w:rsid w:val="009C1035"/>
    <w:rsid w:val="009C2859"/>
    <w:rsid w:val="009C4511"/>
    <w:rsid w:val="009D0BA4"/>
    <w:rsid w:val="009D1159"/>
    <w:rsid w:val="009D2905"/>
    <w:rsid w:val="009D2E11"/>
    <w:rsid w:val="009D66F5"/>
    <w:rsid w:val="009E2F94"/>
    <w:rsid w:val="009E5E3E"/>
    <w:rsid w:val="009E66A0"/>
    <w:rsid w:val="009E74F7"/>
    <w:rsid w:val="009E75D5"/>
    <w:rsid w:val="009E7A56"/>
    <w:rsid w:val="009F060E"/>
    <w:rsid w:val="009F0A44"/>
    <w:rsid w:val="009F0C3B"/>
    <w:rsid w:val="009F12D6"/>
    <w:rsid w:val="009F1D78"/>
    <w:rsid w:val="009F2B68"/>
    <w:rsid w:val="009F5542"/>
    <w:rsid w:val="009F72FD"/>
    <w:rsid w:val="00A00084"/>
    <w:rsid w:val="00A0071D"/>
    <w:rsid w:val="00A020C8"/>
    <w:rsid w:val="00A02187"/>
    <w:rsid w:val="00A05327"/>
    <w:rsid w:val="00A12746"/>
    <w:rsid w:val="00A14249"/>
    <w:rsid w:val="00A143E8"/>
    <w:rsid w:val="00A157FA"/>
    <w:rsid w:val="00A16152"/>
    <w:rsid w:val="00A177AE"/>
    <w:rsid w:val="00A17DD7"/>
    <w:rsid w:val="00A204F5"/>
    <w:rsid w:val="00A20B9E"/>
    <w:rsid w:val="00A21444"/>
    <w:rsid w:val="00A22F69"/>
    <w:rsid w:val="00A23166"/>
    <w:rsid w:val="00A233F1"/>
    <w:rsid w:val="00A236B7"/>
    <w:rsid w:val="00A2543F"/>
    <w:rsid w:val="00A3319D"/>
    <w:rsid w:val="00A338DC"/>
    <w:rsid w:val="00A34209"/>
    <w:rsid w:val="00A34A4B"/>
    <w:rsid w:val="00A406E5"/>
    <w:rsid w:val="00A429D4"/>
    <w:rsid w:val="00A4333F"/>
    <w:rsid w:val="00A43F2F"/>
    <w:rsid w:val="00A50531"/>
    <w:rsid w:val="00A52534"/>
    <w:rsid w:val="00A533F5"/>
    <w:rsid w:val="00A5666E"/>
    <w:rsid w:val="00A60FE1"/>
    <w:rsid w:val="00A6267C"/>
    <w:rsid w:val="00A62A51"/>
    <w:rsid w:val="00A62A79"/>
    <w:rsid w:val="00A63E8F"/>
    <w:rsid w:val="00A64E66"/>
    <w:rsid w:val="00A650CE"/>
    <w:rsid w:val="00A651EF"/>
    <w:rsid w:val="00A7047D"/>
    <w:rsid w:val="00A705AF"/>
    <w:rsid w:val="00A71CE2"/>
    <w:rsid w:val="00A72E2F"/>
    <w:rsid w:val="00A735BB"/>
    <w:rsid w:val="00A7380B"/>
    <w:rsid w:val="00A74607"/>
    <w:rsid w:val="00A810E4"/>
    <w:rsid w:val="00A822FB"/>
    <w:rsid w:val="00A83867"/>
    <w:rsid w:val="00A87902"/>
    <w:rsid w:val="00A87E1F"/>
    <w:rsid w:val="00A922DD"/>
    <w:rsid w:val="00A92F96"/>
    <w:rsid w:val="00A93746"/>
    <w:rsid w:val="00A93AE9"/>
    <w:rsid w:val="00A94D71"/>
    <w:rsid w:val="00A95CF8"/>
    <w:rsid w:val="00A96CBD"/>
    <w:rsid w:val="00A978A1"/>
    <w:rsid w:val="00AA06F5"/>
    <w:rsid w:val="00AA1B27"/>
    <w:rsid w:val="00AA2BFA"/>
    <w:rsid w:val="00AA3AA8"/>
    <w:rsid w:val="00AA42AE"/>
    <w:rsid w:val="00AB1089"/>
    <w:rsid w:val="00AB22DE"/>
    <w:rsid w:val="00AB2478"/>
    <w:rsid w:val="00AB41E2"/>
    <w:rsid w:val="00AB5D41"/>
    <w:rsid w:val="00AC0CA7"/>
    <w:rsid w:val="00AC3183"/>
    <w:rsid w:val="00AC3590"/>
    <w:rsid w:val="00AC70C9"/>
    <w:rsid w:val="00AD5707"/>
    <w:rsid w:val="00AD5A12"/>
    <w:rsid w:val="00AD73A0"/>
    <w:rsid w:val="00AE1E9D"/>
    <w:rsid w:val="00AE2279"/>
    <w:rsid w:val="00AE276F"/>
    <w:rsid w:val="00AE386F"/>
    <w:rsid w:val="00AE3A97"/>
    <w:rsid w:val="00AE5E22"/>
    <w:rsid w:val="00AE6BF3"/>
    <w:rsid w:val="00AE78B9"/>
    <w:rsid w:val="00AF0168"/>
    <w:rsid w:val="00AF6892"/>
    <w:rsid w:val="00AF719F"/>
    <w:rsid w:val="00B0276F"/>
    <w:rsid w:val="00B054CC"/>
    <w:rsid w:val="00B05515"/>
    <w:rsid w:val="00B055A0"/>
    <w:rsid w:val="00B07543"/>
    <w:rsid w:val="00B10322"/>
    <w:rsid w:val="00B115B3"/>
    <w:rsid w:val="00B1431B"/>
    <w:rsid w:val="00B220B4"/>
    <w:rsid w:val="00B23828"/>
    <w:rsid w:val="00B247EC"/>
    <w:rsid w:val="00B272BD"/>
    <w:rsid w:val="00B34143"/>
    <w:rsid w:val="00B34550"/>
    <w:rsid w:val="00B35A17"/>
    <w:rsid w:val="00B3601C"/>
    <w:rsid w:val="00B367B2"/>
    <w:rsid w:val="00B42DA8"/>
    <w:rsid w:val="00B45045"/>
    <w:rsid w:val="00B4789F"/>
    <w:rsid w:val="00B50A51"/>
    <w:rsid w:val="00B5161B"/>
    <w:rsid w:val="00B527A2"/>
    <w:rsid w:val="00B55FDD"/>
    <w:rsid w:val="00B56DB9"/>
    <w:rsid w:val="00B623D3"/>
    <w:rsid w:val="00B641E2"/>
    <w:rsid w:val="00B665C8"/>
    <w:rsid w:val="00B67252"/>
    <w:rsid w:val="00B70A5A"/>
    <w:rsid w:val="00B713A2"/>
    <w:rsid w:val="00B74DFF"/>
    <w:rsid w:val="00B76BA3"/>
    <w:rsid w:val="00B775D3"/>
    <w:rsid w:val="00B80CDC"/>
    <w:rsid w:val="00B81770"/>
    <w:rsid w:val="00B82D85"/>
    <w:rsid w:val="00B84E65"/>
    <w:rsid w:val="00B85A7D"/>
    <w:rsid w:val="00B87BF5"/>
    <w:rsid w:val="00B9137D"/>
    <w:rsid w:val="00B94024"/>
    <w:rsid w:val="00B96CEB"/>
    <w:rsid w:val="00BA1469"/>
    <w:rsid w:val="00BB1294"/>
    <w:rsid w:val="00BB1BB0"/>
    <w:rsid w:val="00BB257B"/>
    <w:rsid w:val="00BB2852"/>
    <w:rsid w:val="00BB5842"/>
    <w:rsid w:val="00BB6E7C"/>
    <w:rsid w:val="00BB7625"/>
    <w:rsid w:val="00BC0E58"/>
    <w:rsid w:val="00BC37B4"/>
    <w:rsid w:val="00BC4EEB"/>
    <w:rsid w:val="00BC6220"/>
    <w:rsid w:val="00BC7213"/>
    <w:rsid w:val="00BD0365"/>
    <w:rsid w:val="00BD1359"/>
    <w:rsid w:val="00BD2324"/>
    <w:rsid w:val="00BE37FE"/>
    <w:rsid w:val="00BE6CD2"/>
    <w:rsid w:val="00C003F4"/>
    <w:rsid w:val="00C01938"/>
    <w:rsid w:val="00C02090"/>
    <w:rsid w:val="00C06B1B"/>
    <w:rsid w:val="00C06CAE"/>
    <w:rsid w:val="00C10B3E"/>
    <w:rsid w:val="00C1114D"/>
    <w:rsid w:val="00C14D8C"/>
    <w:rsid w:val="00C17A36"/>
    <w:rsid w:val="00C219DE"/>
    <w:rsid w:val="00C22187"/>
    <w:rsid w:val="00C22FC1"/>
    <w:rsid w:val="00C24CAD"/>
    <w:rsid w:val="00C24D61"/>
    <w:rsid w:val="00C34E9B"/>
    <w:rsid w:val="00C3551B"/>
    <w:rsid w:val="00C35B1C"/>
    <w:rsid w:val="00C3788C"/>
    <w:rsid w:val="00C46839"/>
    <w:rsid w:val="00C502C0"/>
    <w:rsid w:val="00C50BEB"/>
    <w:rsid w:val="00C53104"/>
    <w:rsid w:val="00C53147"/>
    <w:rsid w:val="00C54322"/>
    <w:rsid w:val="00C55552"/>
    <w:rsid w:val="00C55B0C"/>
    <w:rsid w:val="00C56DCA"/>
    <w:rsid w:val="00C61F52"/>
    <w:rsid w:val="00C62577"/>
    <w:rsid w:val="00C65A5E"/>
    <w:rsid w:val="00C7034F"/>
    <w:rsid w:val="00C70DDB"/>
    <w:rsid w:val="00C73920"/>
    <w:rsid w:val="00C74897"/>
    <w:rsid w:val="00C766EB"/>
    <w:rsid w:val="00C80982"/>
    <w:rsid w:val="00C82355"/>
    <w:rsid w:val="00C82700"/>
    <w:rsid w:val="00C8280A"/>
    <w:rsid w:val="00C87096"/>
    <w:rsid w:val="00C906EA"/>
    <w:rsid w:val="00C90AC7"/>
    <w:rsid w:val="00C93F29"/>
    <w:rsid w:val="00C95485"/>
    <w:rsid w:val="00C97F3B"/>
    <w:rsid w:val="00CA21C9"/>
    <w:rsid w:val="00CB0CFD"/>
    <w:rsid w:val="00CB1C85"/>
    <w:rsid w:val="00CB37EF"/>
    <w:rsid w:val="00CB3EBD"/>
    <w:rsid w:val="00CB4E3C"/>
    <w:rsid w:val="00CB5782"/>
    <w:rsid w:val="00CB7F47"/>
    <w:rsid w:val="00CC2472"/>
    <w:rsid w:val="00CC2D40"/>
    <w:rsid w:val="00CC4165"/>
    <w:rsid w:val="00CD0A43"/>
    <w:rsid w:val="00CD249A"/>
    <w:rsid w:val="00CD30BD"/>
    <w:rsid w:val="00CD3158"/>
    <w:rsid w:val="00CD6473"/>
    <w:rsid w:val="00CE02DA"/>
    <w:rsid w:val="00CE0CEF"/>
    <w:rsid w:val="00CE1F1E"/>
    <w:rsid w:val="00CE219F"/>
    <w:rsid w:val="00CE4DE1"/>
    <w:rsid w:val="00CE5E6C"/>
    <w:rsid w:val="00CE68EC"/>
    <w:rsid w:val="00CE7A29"/>
    <w:rsid w:val="00CF0C02"/>
    <w:rsid w:val="00CF12CB"/>
    <w:rsid w:val="00CF63F2"/>
    <w:rsid w:val="00CF6592"/>
    <w:rsid w:val="00D00856"/>
    <w:rsid w:val="00D00D01"/>
    <w:rsid w:val="00D06588"/>
    <w:rsid w:val="00D10C1B"/>
    <w:rsid w:val="00D1360F"/>
    <w:rsid w:val="00D13AC8"/>
    <w:rsid w:val="00D1574A"/>
    <w:rsid w:val="00D159CC"/>
    <w:rsid w:val="00D2279A"/>
    <w:rsid w:val="00D242F5"/>
    <w:rsid w:val="00D246BD"/>
    <w:rsid w:val="00D2472F"/>
    <w:rsid w:val="00D24B2F"/>
    <w:rsid w:val="00D2510E"/>
    <w:rsid w:val="00D25376"/>
    <w:rsid w:val="00D31313"/>
    <w:rsid w:val="00D3228F"/>
    <w:rsid w:val="00D33028"/>
    <w:rsid w:val="00D3322B"/>
    <w:rsid w:val="00D36A3C"/>
    <w:rsid w:val="00D36F03"/>
    <w:rsid w:val="00D376FE"/>
    <w:rsid w:val="00D42554"/>
    <w:rsid w:val="00D436DC"/>
    <w:rsid w:val="00D43E10"/>
    <w:rsid w:val="00D45318"/>
    <w:rsid w:val="00D47303"/>
    <w:rsid w:val="00D51651"/>
    <w:rsid w:val="00D52C59"/>
    <w:rsid w:val="00D5385E"/>
    <w:rsid w:val="00D548E1"/>
    <w:rsid w:val="00D55FC0"/>
    <w:rsid w:val="00D56445"/>
    <w:rsid w:val="00D56CD6"/>
    <w:rsid w:val="00D6097B"/>
    <w:rsid w:val="00D6117D"/>
    <w:rsid w:val="00D61DF3"/>
    <w:rsid w:val="00D63F26"/>
    <w:rsid w:val="00D73120"/>
    <w:rsid w:val="00D731DB"/>
    <w:rsid w:val="00D7335C"/>
    <w:rsid w:val="00D73DE9"/>
    <w:rsid w:val="00D749D5"/>
    <w:rsid w:val="00D75EC3"/>
    <w:rsid w:val="00D84101"/>
    <w:rsid w:val="00D84EED"/>
    <w:rsid w:val="00D854E7"/>
    <w:rsid w:val="00D87F9A"/>
    <w:rsid w:val="00D91AA1"/>
    <w:rsid w:val="00D93A91"/>
    <w:rsid w:val="00D94E21"/>
    <w:rsid w:val="00D9612C"/>
    <w:rsid w:val="00D96508"/>
    <w:rsid w:val="00DA27E6"/>
    <w:rsid w:val="00DA29B9"/>
    <w:rsid w:val="00DA4679"/>
    <w:rsid w:val="00DA5B5F"/>
    <w:rsid w:val="00DA7146"/>
    <w:rsid w:val="00DA7741"/>
    <w:rsid w:val="00DA7966"/>
    <w:rsid w:val="00DB1DFF"/>
    <w:rsid w:val="00DB377A"/>
    <w:rsid w:val="00DB3B7F"/>
    <w:rsid w:val="00DB446B"/>
    <w:rsid w:val="00DB6F37"/>
    <w:rsid w:val="00DC0AAF"/>
    <w:rsid w:val="00DC1FCB"/>
    <w:rsid w:val="00DC1FD4"/>
    <w:rsid w:val="00DC25FC"/>
    <w:rsid w:val="00DC49EC"/>
    <w:rsid w:val="00DD091D"/>
    <w:rsid w:val="00DD1E8E"/>
    <w:rsid w:val="00DD320A"/>
    <w:rsid w:val="00DD371E"/>
    <w:rsid w:val="00DD3730"/>
    <w:rsid w:val="00DD4311"/>
    <w:rsid w:val="00DE4421"/>
    <w:rsid w:val="00DE5105"/>
    <w:rsid w:val="00DE5CB0"/>
    <w:rsid w:val="00DE607E"/>
    <w:rsid w:val="00DE6153"/>
    <w:rsid w:val="00DE62AA"/>
    <w:rsid w:val="00DF2659"/>
    <w:rsid w:val="00DF3258"/>
    <w:rsid w:val="00DF5650"/>
    <w:rsid w:val="00DF57EE"/>
    <w:rsid w:val="00DF5A08"/>
    <w:rsid w:val="00DF7646"/>
    <w:rsid w:val="00E00D63"/>
    <w:rsid w:val="00E05049"/>
    <w:rsid w:val="00E05742"/>
    <w:rsid w:val="00E05E5F"/>
    <w:rsid w:val="00E07C6E"/>
    <w:rsid w:val="00E12B71"/>
    <w:rsid w:val="00E155CC"/>
    <w:rsid w:val="00E216BC"/>
    <w:rsid w:val="00E23670"/>
    <w:rsid w:val="00E24544"/>
    <w:rsid w:val="00E24A6F"/>
    <w:rsid w:val="00E300E6"/>
    <w:rsid w:val="00E3204A"/>
    <w:rsid w:val="00E3325B"/>
    <w:rsid w:val="00E346FD"/>
    <w:rsid w:val="00E35652"/>
    <w:rsid w:val="00E36952"/>
    <w:rsid w:val="00E372A7"/>
    <w:rsid w:val="00E402A2"/>
    <w:rsid w:val="00E42846"/>
    <w:rsid w:val="00E42CD5"/>
    <w:rsid w:val="00E43B30"/>
    <w:rsid w:val="00E5450C"/>
    <w:rsid w:val="00E55360"/>
    <w:rsid w:val="00E55595"/>
    <w:rsid w:val="00E57D47"/>
    <w:rsid w:val="00E607E1"/>
    <w:rsid w:val="00E6291A"/>
    <w:rsid w:val="00E62DC0"/>
    <w:rsid w:val="00E66754"/>
    <w:rsid w:val="00E721C0"/>
    <w:rsid w:val="00E752C0"/>
    <w:rsid w:val="00E75FC8"/>
    <w:rsid w:val="00E76267"/>
    <w:rsid w:val="00E77E9C"/>
    <w:rsid w:val="00E82263"/>
    <w:rsid w:val="00E83008"/>
    <w:rsid w:val="00E847AE"/>
    <w:rsid w:val="00E8488E"/>
    <w:rsid w:val="00E85004"/>
    <w:rsid w:val="00E86F08"/>
    <w:rsid w:val="00E86F32"/>
    <w:rsid w:val="00E92496"/>
    <w:rsid w:val="00E9265A"/>
    <w:rsid w:val="00EA27EB"/>
    <w:rsid w:val="00EA369A"/>
    <w:rsid w:val="00EB07F2"/>
    <w:rsid w:val="00EB0A40"/>
    <w:rsid w:val="00EB3CF5"/>
    <w:rsid w:val="00EB66FB"/>
    <w:rsid w:val="00EB6DFB"/>
    <w:rsid w:val="00EB7CEA"/>
    <w:rsid w:val="00EC0DB1"/>
    <w:rsid w:val="00EC1210"/>
    <w:rsid w:val="00EC295A"/>
    <w:rsid w:val="00EC431F"/>
    <w:rsid w:val="00EC6C5B"/>
    <w:rsid w:val="00ED2A61"/>
    <w:rsid w:val="00ED7223"/>
    <w:rsid w:val="00ED78B9"/>
    <w:rsid w:val="00EE0BFB"/>
    <w:rsid w:val="00EE23EF"/>
    <w:rsid w:val="00EE2485"/>
    <w:rsid w:val="00EE3387"/>
    <w:rsid w:val="00EE5D22"/>
    <w:rsid w:val="00EE6AA8"/>
    <w:rsid w:val="00EF0375"/>
    <w:rsid w:val="00EF0B29"/>
    <w:rsid w:val="00EF0C15"/>
    <w:rsid w:val="00EF1585"/>
    <w:rsid w:val="00EF3395"/>
    <w:rsid w:val="00EF45F1"/>
    <w:rsid w:val="00EF567B"/>
    <w:rsid w:val="00F00C29"/>
    <w:rsid w:val="00F0131A"/>
    <w:rsid w:val="00F0638B"/>
    <w:rsid w:val="00F06B37"/>
    <w:rsid w:val="00F07E46"/>
    <w:rsid w:val="00F108D2"/>
    <w:rsid w:val="00F10ED9"/>
    <w:rsid w:val="00F206DA"/>
    <w:rsid w:val="00F206E4"/>
    <w:rsid w:val="00F2304A"/>
    <w:rsid w:val="00F23286"/>
    <w:rsid w:val="00F237BD"/>
    <w:rsid w:val="00F24B40"/>
    <w:rsid w:val="00F2688D"/>
    <w:rsid w:val="00F27E64"/>
    <w:rsid w:val="00F30F43"/>
    <w:rsid w:val="00F32E30"/>
    <w:rsid w:val="00F34C71"/>
    <w:rsid w:val="00F369A2"/>
    <w:rsid w:val="00F418AE"/>
    <w:rsid w:val="00F47F68"/>
    <w:rsid w:val="00F51311"/>
    <w:rsid w:val="00F54959"/>
    <w:rsid w:val="00F549FA"/>
    <w:rsid w:val="00F56D5B"/>
    <w:rsid w:val="00F56F95"/>
    <w:rsid w:val="00F57C8F"/>
    <w:rsid w:val="00F60675"/>
    <w:rsid w:val="00F6475B"/>
    <w:rsid w:val="00F701A4"/>
    <w:rsid w:val="00F723BC"/>
    <w:rsid w:val="00F73D90"/>
    <w:rsid w:val="00F76973"/>
    <w:rsid w:val="00F76DD1"/>
    <w:rsid w:val="00F77008"/>
    <w:rsid w:val="00F77F6F"/>
    <w:rsid w:val="00F80766"/>
    <w:rsid w:val="00F82325"/>
    <w:rsid w:val="00F84686"/>
    <w:rsid w:val="00F857F8"/>
    <w:rsid w:val="00F868EE"/>
    <w:rsid w:val="00F87FA9"/>
    <w:rsid w:val="00F9119D"/>
    <w:rsid w:val="00F94174"/>
    <w:rsid w:val="00FA0575"/>
    <w:rsid w:val="00FA24FA"/>
    <w:rsid w:val="00FA654B"/>
    <w:rsid w:val="00FB03B0"/>
    <w:rsid w:val="00FB0FA5"/>
    <w:rsid w:val="00FB1BC6"/>
    <w:rsid w:val="00FB21D2"/>
    <w:rsid w:val="00FB24BC"/>
    <w:rsid w:val="00FB5065"/>
    <w:rsid w:val="00FB6D2A"/>
    <w:rsid w:val="00FC2AC0"/>
    <w:rsid w:val="00FC7278"/>
    <w:rsid w:val="00FD4505"/>
    <w:rsid w:val="00FD50C8"/>
    <w:rsid w:val="00FE023C"/>
    <w:rsid w:val="00FE25BD"/>
    <w:rsid w:val="00FE37C1"/>
    <w:rsid w:val="00FE6762"/>
    <w:rsid w:val="00FE6B58"/>
    <w:rsid w:val="00FE7049"/>
    <w:rsid w:val="00FE75AB"/>
    <w:rsid w:val="00FF11FA"/>
    <w:rsid w:val="00FF4BBD"/>
    <w:rsid w:val="0109513D"/>
    <w:rsid w:val="010E7E38"/>
    <w:rsid w:val="01283CE6"/>
    <w:rsid w:val="012E1C6C"/>
    <w:rsid w:val="012F1157"/>
    <w:rsid w:val="01356F26"/>
    <w:rsid w:val="013E7931"/>
    <w:rsid w:val="014B4A47"/>
    <w:rsid w:val="015A171E"/>
    <w:rsid w:val="0196185A"/>
    <w:rsid w:val="0198208F"/>
    <w:rsid w:val="019A0E24"/>
    <w:rsid w:val="01AE7847"/>
    <w:rsid w:val="01BE6750"/>
    <w:rsid w:val="01C54C7D"/>
    <w:rsid w:val="02021C0D"/>
    <w:rsid w:val="02076A0A"/>
    <w:rsid w:val="020A6570"/>
    <w:rsid w:val="021E392A"/>
    <w:rsid w:val="02296E4E"/>
    <w:rsid w:val="02317260"/>
    <w:rsid w:val="023536E6"/>
    <w:rsid w:val="025A5A4A"/>
    <w:rsid w:val="025F3D19"/>
    <w:rsid w:val="0265732C"/>
    <w:rsid w:val="02670DAF"/>
    <w:rsid w:val="027A183F"/>
    <w:rsid w:val="02853F8A"/>
    <w:rsid w:val="02870D83"/>
    <w:rsid w:val="02AA7B2E"/>
    <w:rsid w:val="02C17CF5"/>
    <w:rsid w:val="02E348F7"/>
    <w:rsid w:val="02E76DC4"/>
    <w:rsid w:val="031518CE"/>
    <w:rsid w:val="031B114C"/>
    <w:rsid w:val="0320457B"/>
    <w:rsid w:val="033D11B0"/>
    <w:rsid w:val="034574AF"/>
    <w:rsid w:val="03613994"/>
    <w:rsid w:val="036433DC"/>
    <w:rsid w:val="03696106"/>
    <w:rsid w:val="036B1263"/>
    <w:rsid w:val="0372493F"/>
    <w:rsid w:val="0379799E"/>
    <w:rsid w:val="03890649"/>
    <w:rsid w:val="03893112"/>
    <w:rsid w:val="03AB7ED9"/>
    <w:rsid w:val="03AC1EA9"/>
    <w:rsid w:val="03AD1F20"/>
    <w:rsid w:val="03BC0D09"/>
    <w:rsid w:val="03CA3E93"/>
    <w:rsid w:val="03E01967"/>
    <w:rsid w:val="03E1252D"/>
    <w:rsid w:val="04082B57"/>
    <w:rsid w:val="043104A2"/>
    <w:rsid w:val="04312652"/>
    <w:rsid w:val="046A312A"/>
    <w:rsid w:val="04715F69"/>
    <w:rsid w:val="047542BB"/>
    <w:rsid w:val="04790CBB"/>
    <w:rsid w:val="047C4F99"/>
    <w:rsid w:val="04813C3B"/>
    <w:rsid w:val="048B4253"/>
    <w:rsid w:val="04927E00"/>
    <w:rsid w:val="049C4C2A"/>
    <w:rsid w:val="04B47E84"/>
    <w:rsid w:val="04CB62F7"/>
    <w:rsid w:val="04E25FF1"/>
    <w:rsid w:val="04E8398A"/>
    <w:rsid w:val="04EB65B1"/>
    <w:rsid w:val="050119F0"/>
    <w:rsid w:val="051B0CC5"/>
    <w:rsid w:val="05251A71"/>
    <w:rsid w:val="05536A73"/>
    <w:rsid w:val="058479B7"/>
    <w:rsid w:val="05887CDC"/>
    <w:rsid w:val="05A01558"/>
    <w:rsid w:val="05A06829"/>
    <w:rsid w:val="05C06718"/>
    <w:rsid w:val="05D7148A"/>
    <w:rsid w:val="05DB54A9"/>
    <w:rsid w:val="05E30855"/>
    <w:rsid w:val="05EB1897"/>
    <w:rsid w:val="05F201FB"/>
    <w:rsid w:val="06033363"/>
    <w:rsid w:val="06103708"/>
    <w:rsid w:val="06142045"/>
    <w:rsid w:val="061426E8"/>
    <w:rsid w:val="0617610F"/>
    <w:rsid w:val="061D16C4"/>
    <w:rsid w:val="062D1053"/>
    <w:rsid w:val="064F3BEE"/>
    <w:rsid w:val="065D5597"/>
    <w:rsid w:val="066255ED"/>
    <w:rsid w:val="0670726C"/>
    <w:rsid w:val="06850360"/>
    <w:rsid w:val="068A2908"/>
    <w:rsid w:val="068A5FEE"/>
    <w:rsid w:val="068D0BF7"/>
    <w:rsid w:val="06983DE4"/>
    <w:rsid w:val="06A63FE3"/>
    <w:rsid w:val="06AE456A"/>
    <w:rsid w:val="06B06FE3"/>
    <w:rsid w:val="06B462A9"/>
    <w:rsid w:val="06C14902"/>
    <w:rsid w:val="06CC70AE"/>
    <w:rsid w:val="06E011D1"/>
    <w:rsid w:val="06E53FCD"/>
    <w:rsid w:val="06F214CF"/>
    <w:rsid w:val="06F641EF"/>
    <w:rsid w:val="070F69EF"/>
    <w:rsid w:val="0716411F"/>
    <w:rsid w:val="071A6A70"/>
    <w:rsid w:val="072A5D43"/>
    <w:rsid w:val="072E78A6"/>
    <w:rsid w:val="074A1CED"/>
    <w:rsid w:val="075601AB"/>
    <w:rsid w:val="07792E18"/>
    <w:rsid w:val="077F1047"/>
    <w:rsid w:val="078056AF"/>
    <w:rsid w:val="078B5C22"/>
    <w:rsid w:val="07980765"/>
    <w:rsid w:val="07A73072"/>
    <w:rsid w:val="07CB1685"/>
    <w:rsid w:val="07DB3C63"/>
    <w:rsid w:val="07DE13AA"/>
    <w:rsid w:val="07F930A6"/>
    <w:rsid w:val="080C1E90"/>
    <w:rsid w:val="08411205"/>
    <w:rsid w:val="084A4701"/>
    <w:rsid w:val="085436DE"/>
    <w:rsid w:val="08557AB5"/>
    <w:rsid w:val="08574847"/>
    <w:rsid w:val="08721AE8"/>
    <w:rsid w:val="0872661A"/>
    <w:rsid w:val="0874575C"/>
    <w:rsid w:val="088D2CF1"/>
    <w:rsid w:val="08A75FEC"/>
    <w:rsid w:val="08A75FF9"/>
    <w:rsid w:val="08AD64F5"/>
    <w:rsid w:val="08CB44C5"/>
    <w:rsid w:val="08E225A7"/>
    <w:rsid w:val="08E541DE"/>
    <w:rsid w:val="08FC02FE"/>
    <w:rsid w:val="090E0819"/>
    <w:rsid w:val="09183327"/>
    <w:rsid w:val="091E063C"/>
    <w:rsid w:val="09241AED"/>
    <w:rsid w:val="09245209"/>
    <w:rsid w:val="09252B68"/>
    <w:rsid w:val="093552A6"/>
    <w:rsid w:val="0935787A"/>
    <w:rsid w:val="09413BDA"/>
    <w:rsid w:val="095331DF"/>
    <w:rsid w:val="095A4558"/>
    <w:rsid w:val="095A7464"/>
    <w:rsid w:val="095F08F3"/>
    <w:rsid w:val="096E106C"/>
    <w:rsid w:val="09701136"/>
    <w:rsid w:val="0994741B"/>
    <w:rsid w:val="09A16CA7"/>
    <w:rsid w:val="09B11813"/>
    <w:rsid w:val="09B1552D"/>
    <w:rsid w:val="09B84C6F"/>
    <w:rsid w:val="09C82537"/>
    <w:rsid w:val="09CA1FCC"/>
    <w:rsid w:val="09D15FCF"/>
    <w:rsid w:val="09E50961"/>
    <w:rsid w:val="09E60E28"/>
    <w:rsid w:val="09FB20DA"/>
    <w:rsid w:val="0A0006E0"/>
    <w:rsid w:val="0A090753"/>
    <w:rsid w:val="0A0D01A4"/>
    <w:rsid w:val="0A243755"/>
    <w:rsid w:val="0A3031DB"/>
    <w:rsid w:val="0A31642E"/>
    <w:rsid w:val="0A3F1C89"/>
    <w:rsid w:val="0A434147"/>
    <w:rsid w:val="0A6125C9"/>
    <w:rsid w:val="0A6C67DD"/>
    <w:rsid w:val="0A741271"/>
    <w:rsid w:val="0A815BA2"/>
    <w:rsid w:val="0A856526"/>
    <w:rsid w:val="0A900B47"/>
    <w:rsid w:val="0A9B5783"/>
    <w:rsid w:val="0AB42B78"/>
    <w:rsid w:val="0AB74311"/>
    <w:rsid w:val="0AC669AC"/>
    <w:rsid w:val="0AF55188"/>
    <w:rsid w:val="0B154CD7"/>
    <w:rsid w:val="0B24107A"/>
    <w:rsid w:val="0B2B42DA"/>
    <w:rsid w:val="0B3C4622"/>
    <w:rsid w:val="0B4351F1"/>
    <w:rsid w:val="0B482030"/>
    <w:rsid w:val="0B5F1271"/>
    <w:rsid w:val="0B6F4DB9"/>
    <w:rsid w:val="0B736142"/>
    <w:rsid w:val="0B814E1E"/>
    <w:rsid w:val="0B8C058E"/>
    <w:rsid w:val="0BAE0ABB"/>
    <w:rsid w:val="0BBE651E"/>
    <w:rsid w:val="0BC319C7"/>
    <w:rsid w:val="0BC7296A"/>
    <w:rsid w:val="0BC81557"/>
    <w:rsid w:val="0BCE3BA6"/>
    <w:rsid w:val="0BEA469E"/>
    <w:rsid w:val="0BF314AC"/>
    <w:rsid w:val="0C18721D"/>
    <w:rsid w:val="0C384E7F"/>
    <w:rsid w:val="0C4A4BCA"/>
    <w:rsid w:val="0C51450E"/>
    <w:rsid w:val="0C646D55"/>
    <w:rsid w:val="0C6E7EB2"/>
    <w:rsid w:val="0C72336D"/>
    <w:rsid w:val="0C943E94"/>
    <w:rsid w:val="0CB92AD8"/>
    <w:rsid w:val="0CCB4B87"/>
    <w:rsid w:val="0CE4321C"/>
    <w:rsid w:val="0D0700F8"/>
    <w:rsid w:val="0D16448A"/>
    <w:rsid w:val="0D2F62D9"/>
    <w:rsid w:val="0D49122A"/>
    <w:rsid w:val="0D4C433E"/>
    <w:rsid w:val="0D594644"/>
    <w:rsid w:val="0D6D0250"/>
    <w:rsid w:val="0D753F62"/>
    <w:rsid w:val="0D7A092F"/>
    <w:rsid w:val="0D7D2EF1"/>
    <w:rsid w:val="0D81087C"/>
    <w:rsid w:val="0DAC7893"/>
    <w:rsid w:val="0DAE39B2"/>
    <w:rsid w:val="0DBA4C83"/>
    <w:rsid w:val="0DDC17C2"/>
    <w:rsid w:val="0DDC5C9C"/>
    <w:rsid w:val="0DDE08D8"/>
    <w:rsid w:val="0DEC0AAC"/>
    <w:rsid w:val="0E200415"/>
    <w:rsid w:val="0E423271"/>
    <w:rsid w:val="0E511E28"/>
    <w:rsid w:val="0E523C99"/>
    <w:rsid w:val="0E585E37"/>
    <w:rsid w:val="0E590164"/>
    <w:rsid w:val="0E6B52EA"/>
    <w:rsid w:val="0E7744F2"/>
    <w:rsid w:val="0EA2664C"/>
    <w:rsid w:val="0EBA3E44"/>
    <w:rsid w:val="0EC35CE0"/>
    <w:rsid w:val="0ECF4C69"/>
    <w:rsid w:val="0EE53137"/>
    <w:rsid w:val="0EF21F0B"/>
    <w:rsid w:val="0F09489A"/>
    <w:rsid w:val="0F12066B"/>
    <w:rsid w:val="0F2405DE"/>
    <w:rsid w:val="0F2F292B"/>
    <w:rsid w:val="0F480F11"/>
    <w:rsid w:val="0F4B2A3A"/>
    <w:rsid w:val="0F581E88"/>
    <w:rsid w:val="0F5A6ACA"/>
    <w:rsid w:val="0F754CC5"/>
    <w:rsid w:val="0F8C348A"/>
    <w:rsid w:val="0F907DE4"/>
    <w:rsid w:val="0FA657F0"/>
    <w:rsid w:val="0FCA4890"/>
    <w:rsid w:val="0FD81450"/>
    <w:rsid w:val="0FD900DB"/>
    <w:rsid w:val="0FD901D9"/>
    <w:rsid w:val="0FDB46D3"/>
    <w:rsid w:val="0FDD3167"/>
    <w:rsid w:val="10101C50"/>
    <w:rsid w:val="10296A65"/>
    <w:rsid w:val="10297CAE"/>
    <w:rsid w:val="10397E2D"/>
    <w:rsid w:val="103E2CFA"/>
    <w:rsid w:val="10417386"/>
    <w:rsid w:val="1043055C"/>
    <w:rsid w:val="10566F54"/>
    <w:rsid w:val="105F3F44"/>
    <w:rsid w:val="10627DE9"/>
    <w:rsid w:val="10706ADD"/>
    <w:rsid w:val="108727D0"/>
    <w:rsid w:val="109A3053"/>
    <w:rsid w:val="10A95D14"/>
    <w:rsid w:val="10AB2D8E"/>
    <w:rsid w:val="10B81579"/>
    <w:rsid w:val="10BC66AD"/>
    <w:rsid w:val="10C20A32"/>
    <w:rsid w:val="10C43C9C"/>
    <w:rsid w:val="10D11C8A"/>
    <w:rsid w:val="10D379B8"/>
    <w:rsid w:val="10D84ED2"/>
    <w:rsid w:val="10E83F15"/>
    <w:rsid w:val="11191B26"/>
    <w:rsid w:val="1158549D"/>
    <w:rsid w:val="117013E6"/>
    <w:rsid w:val="11775BF6"/>
    <w:rsid w:val="117D3217"/>
    <w:rsid w:val="118B1725"/>
    <w:rsid w:val="11AF63CD"/>
    <w:rsid w:val="11B35D01"/>
    <w:rsid w:val="11C87C09"/>
    <w:rsid w:val="11CB726F"/>
    <w:rsid w:val="11CF7CD5"/>
    <w:rsid w:val="11D431A3"/>
    <w:rsid w:val="11DA2497"/>
    <w:rsid w:val="12011C75"/>
    <w:rsid w:val="12020F96"/>
    <w:rsid w:val="120223E8"/>
    <w:rsid w:val="12137C6C"/>
    <w:rsid w:val="12170602"/>
    <w:rsid w:val="12206F5E"/>
    <w:rsid w:val="12283380"/>
    <w:rsid w:val="1228342F"/>
    <w:rsid w:val="12480979"/>
    <w:rsid w:val="1254220B"/>
    <w:rsid w:val="126E16AC"/>
    <w:rsid w:val="12766B2B"/>
    <w:rsid w:val="127856F4"/>
    <w:rsid w:val="12C327BF"/>
    <w:rsid w:val="12D31EAB"/>
    <w:rsid w:val="12E3409D"/>
    <w:rsid w:val="12E34449"/>
    <w:rsid w:val="12E602BC"/>
    <w:rsid w:val="12FA4E80"/>
    <w:rsid w:val="130131AC"/>
    <w:rsid w:val="130202AB"/>
    <w:rsid w:val="1308433D"/>
    <w:rsid w:val="131D6F28"/>
    <w:rsid w:val="132C15FE"/>
    <w:rsid w:val="13324DBE"/>
    <w:rsid w:val="134E369A"/>
    <w:rsid w:val="13695765"/>
    <w:rsid w:val="136C356F"/>
    <w:rsid w:val="13B303FB"/>
    <w:rsid w:val="13C8696E"/>
    <w:rsid w:val="13FB28A9"/>
    <w:rsid w:val="13FC4402"/>
    <w:rsid w:val="141628D6"/>
    <w:rsid w:val="142678B8"/>
    <w:rsid w:val="1429361E"/>
    <w:rsid w:val="142B179A"/>
    <w:rsid w:val="142D2FA5"/>
    <w:rsid w:val="143375F4"/>
    <w:rsid w:val="144613A2"/>
    <w:rsid w:val="144E318E"/>
    <w:rsid w:val="145458F0"/>
    <w:rsid w:val="146F38F0"/>
    <w:rsid w:val="14757A1E"/>
    <w:rsid w:val="14761FA0"/>
    <w:rsid w:val="147911E9"/>
    <w:rsid w:val="147D42CA"/>
    <w:rsid w:val="14BB71FF"/>
    <w:rsid w:val="14C02C1D"/>
    <w:rsid w:val="14C20E08"/>
    <w:rsid w:val="14D74ACE"/>
    <w:rsid w:val="14DA4117"/>
    <w:rsid w:val="14DC6561"/>
    <w:rsid w:val="14E345F4"/>
    <w:rsid w:val="14F0337C"/>
    <w:rsid w:val="14F22EA6"/>
    <w:rsid w:val="14FB1969"/>
    <w:rsid w:val="14FB755D"/>
    <w:rsid w:val="1504456E"/>
    <w:rsid w:val="1505614B"/>
    <w:rsid w:val="150660D3"/>
    <w:rsid w:val="15167FD8"/>
    <w:rsid w:val="15317166"/>
    <w:rsid w:val="153E782D"/>
    <w:rsid w:val="155143CE"/>
    <w:rsid w:val="158D333F"/>
    <w:rsid w:val="15B55042"/>
    <w:rsid w:val="15D10970"/>
    <w:rsid w:val="15F41BAD"/>
    <w:rsid w:val="16053F02"/>
    <w:rsid w:val="16104439"/>
    <w:rsid w:val="162B021C"/>
    <w:rsid w:val="16324237"/>
    <w:rsid w:val="16506CC7"/>
    <w:rsid w:val="165A6902"/>
    <w:rsid w:val="168A3B5A"/>
    <w:rsid w:val="168B59A8"/>
    <w:rsid w:val="16AC2F0C"/>
    <w:rsid w:val="16B53231"/>
    <w:rsid w:val="16C11879"/>
    <w:rsid w:val="16C622EA"/>
    <w:rsid w:val="16D27E56"/>
    <w:rsid w:val="16DE7B56"/>
    <w:rsid w:val="16E1319D"/>
    <w:rsid w:val="170427AB"/>
    <w:rsid w:val="17106E30"/>
    <w:rsid w:val="17161B54"/>
    <w:rsid w:val="17294251"/>
    <w:rsid w:val="172F560A"/>
    <w:rsid w:val="1754014B"/>
    <w:rsid w:val="175E372B"/>
    <w:rsid w:val="176060F3"/>
    <w:rsid w:val="1773450E"/>
    <w:rsid w:val="1774095B"/>
    <w:rsid w:val="1782689D"/>
    <w:rsid w:val="1788476D"/>
    <w:rsid w:val="178F0769"/>
    <w:rsid w:val="17995144"/>
    <w:rsid w:val="17AF25E1"/>
    <w:rsid w:val="17B45232"/>
    <w:rsid w:val="17B9356E"/>
    <w:rsid w:val="17D96258"/>
    <w:rsid w:val="17DA0305"/>
    <w:rsid w:val="17FD49A3"/>
    <w:rsid w:val="18041BDA"/>
    <w:rsid w:val="18187285"/>
    <w:rsid w:val="18240F7F"/>
    <w:rsid w:val="18564F37"/>
    <w:rsid w:val="187C2E93"/>
    <w:rsid w:val="187C518F"/>
    <w:rsid w:val="189368DE"/>
    <w:rsid w:val="18A04609"/>
    <w:rsid w:val="18B52DD8"/>
    <w:rsid w:val="18BD3E3E"/>
    <w:rsid w:val="18CD02F2"/>
    <w:rsid w:val="18CD3727"/>
    <w:rsid w:val="18CE2BCB"/>
    <w:rsid w:val="18E33C57"/>
    <w:rsid w:val="18E46238"/>
    <w:rsid w:val="18F66642"/>
    <w:rsid w:val="19037C7A"/>
    <w:rsid w:val="190578A0"/>
    <w:rsid w:val="190920BB"/>
    <w:rsid w:val="1910750B"/>
    <w:rsid w:val="19126A83"/>
    <w:rsid w:val="19133CDA"/>
    <w:rsid w:val="19152ECE"/>
    <w:rsid w:val="19204547"/>
    <w:rsid w:val="192B6867"/>
    <w:rsid w:val="193E5965"/>
    <w:rsid w:val="196E6B7A"/>
    <w:rsid w:val="1978512C"/>
    <w:rsid w:val="19804606"/>
    <w:rsid w:val="198460C7"/>
    <w:rsid w:val="19863298"/>
    <w:rsid w:val="19E260F2"/>
    <w:rsid w:val="19E45504"/>
    <w:rsid w:val="19E842AE"/>
    <w:rsid w:val="19E951DC"/>
    <w:rsid w:val="19EE7653"/>
    <w:rsid w:val="19EF5C39"/>
    <w:rsid w:val="1A1A5329"/>
    <w:rsid w:val="1A1B4364"/>
    <w:rsid w:val="1A336DCF"/>
    <w:rsid w:val="1A403BC4"/>
    <w:rsid w:val="1A497CAF"/>
    <w:rsid w:val="1A525A6B"/>
    <w:rsid w:val="1A575E27"/>
    <w:rsid w:val="1A640328"/>
    <w:rsid w:val="1A724D74"/>
    <w:rsid w:val="1A7B044F"/>
    <w:rsid w:val="1A7C19DE"/>
    <w:rsid w:val="1A83044F"/>
    <w:rsid w:val="1A95137D"/>
    <w:rsid w:val="1A9B169F"/>
    <w:rsid w:val="1AA01C45"/>
    <w:rsid w:val="1AA566A9"/>
    <w:rsid w:val="1AB3109A"/>
    <w:rsid w:val="1ABF3D1B"/>
    <w:rsid w:val="1AC05B21"/>
    <w:rsid w:val="1AC66A6F"/>
    <w:rsid w:val="1ACF6BC4"/>
    <w:rsid w:val="1AD7606D"/>
    <w:rsid w:val="1AE81EA5"/>
    <w:rsid w:val="1AEA37AB"/>
    <w:rsid w:val="1AEB4F8F"/>
    <w:rsid w:val="1AF2747C"/>
    <w:rsid w:val="1B1939C8"/>
    <w:rsid w:val="1B377850"/>
    <w:rsid w:val="1B402CF8"/>
    <w:rsid w:val="1B591EC3"/>
    <w:rsid w:val="1B7D1C68"/>
    <w:rsid w:val="1B833536"/>
    <w:rsid w:val="1B885CCC"/>
    <w:rsid w:val="1B8E6C53"/>
    <w:rsid w:val="1BEC6094"/>
    <w:rsid w:val="1BFF6576"/>
    <w:rsid w:val="1C1B1EA1"/>
    <w:rsid w:val="1C291495"/>
    <w:rsid w:val="1C394701"/>
    <w:rsid w:val="1C3F2113"/>
    <w:rsid w:val="1C46241C"/>
    <w:rsid w:val="1C555928"/>
    <w:rsid w:val="1C577A16"/>
    <w:rsid w:val="1C5A6E4A"/>
    <w:rsid w:val="1C7D13C0"/>
    <w:rsid w:val="1C8A6D69"/>
    <w:rsid w:val="1C993E2E"/>
    <w:rsid w:val="1CB1200B"/>
    <w:rsid w:val="1CB87505"/>
    <w:rsid w:val="1CBE77FA"/>
    <w:rsid w:val="1CCE3A82"/>
    <w:rsid w:val="1CD00845"/>
    <w:rsid w:val="1CD50E5E"/>
    <w:rsid w:val="1CD52C7B"/>
    <w:rsid w:val="1CE63060"/>
    <w:rsid w:val="1D19203E"/>
    <w:rsid w:val="1D1E3BB1"/>
    <w:rsid w:val="1D2138E9"/>
    <w:rsid w:val="1D242231"/>
    <w:rsid w:val="1D250771"/>
    <w:rsid w:val="1D372933"/>
    <w:rsid w:val="1D5630A6"/>
    <w:rsid w:val="1D6162D8"/>
    <w:rsid w:val="1D62334F"/>
    <w:rsid w:val="1D6402CD"/>
    <w:rsid w:val="1D641BA5"/>
    <w:rsid w:val="1D6F1F94"/>
    <w:rsid w:val="1D763F7E"/>
    <w:rsid w:val="1D8470AA"/>
    <w:rsid w:val="1D8C39FA"/>
    <w:rsid w:val="1DA96897"/>
    <w:rsid w:val="1DAC69B1"/>
    <w:rsid w:val="1DD55280"/>
    <w:rsid w:val="1DDA04C3"/>
    <w:rsid w:val="1DED40B4"/>
    <w:rsid w:val="1E0A41CC"/>
    <w:rsid w:val="1E2F315F"/>
    <w:rsid w:val="1E47755C"/>
    <w:rsid w:val="1E591DCD"/>
    <w:rsid w:val="1E663662"/>
    <w:rsid w:val="1E95289E"/>
    <w:rsid w:val="1EB04BB8"/>
    <w:rsid w:val="1EB36195"/>
    <w:rsid w:val="1EB72EF4"/>
    <w:rsid w:val="1EBD15D5"/>
    <w:rsid w:val="1EE76020"/>
    <w:rsid w:val="1EF923AB"/>
    <w:rsid w:val="1EFD453E"/>
    <w:rsid w:val="1F102E3F"/>
    <w:rsid w:val="1F15725E"/>
    <w:rsid w:val="1F1D1B25"/>
    <w:rsid w:val="1F235977"/>
    <w:rsid w:val="1F3C49BA"/>
    <w:rsid w:val="1F440FD5"/>
    <w:rsid w:val="1F5E5702"/>
    <w:rsid w:val="1F736A29"/>
    <w:rsid w:val="1F876125"/>
    <w:rsid w:val="1F8A04A3"/>
    <w:rsid w:val="1FB03A8F"/>
    <w:rsid w:val="1FB30150"/>
    <w:rsid w:val="1FE12855"/>
    <w:rsid w:val="1FE57EE8"/>
    <w:rsid w:val="1FE973C5"/>
    <w:rsid w:val="1FEF09C8"/>
    <w:rsid w:val="1FF010E5"/>
    <w:rsid w:val="1FF510D9"/>
    <w:rsid w:val="1FF55A2B"/>
    <w:rsid w:val="20382AE0"/>
    <w:rsid w:val="2039268A"/>
    <w:rsid w:val="203A4585"/>
    <w:rsid w:val="203C7CC0"/>
    <w:rsid w:val="203F16B0"/>
    <w:rsid w:val="204C6639"/>
    <w:rsid w:val="204D1594"/>
    <w:rsid w:val="20542580"/>
    <w:rsid w:val="205821A9"/>
    <w:rsid w:val="206A4D36"/>
    <w:rsid w:val="206B6ABA"/>
    <w:rsid w:val="208504C5"/>
    <w:rsid w:val="208D7F89"/>
    <w:rsid w:val="20906BDA"/>
    <w:rsid w:val="20980932"/>
    <w:rsid w:val="20A50B31"/>
    <w:rsid w:val="20A658D2"/>
    <w:rsid w:val="20B64BD8"/>
    <w:rsid w:val="20C72E12"/>
    <w:rsid w:val="20D31B94"/>
    <w:rsid w:val="20E41E79"/>
    <w:rsid w:val="20EA39CF"/>
    <w:rsid w:val="20EB0A1A"/>
    <w:rsid w:val="20F94FFC"/>
    <w:rsid w:val="211D5DB6"/>
    <w:rsid w:val="2120599C"/>
    <w:rsid w:val="212F2B2E"/>
    <w:rsid w:val="213735C6"/>
    <w:rsid w:val="213A7004"/>
    <w:rsid w:val="215D5F8A"/>
    <w:rsid w:val="215F05B6"/>
    <w:rsid w:val="21795A9A"/>
    <w:rsid w:val="219B7CCB"/>
    <w:rsid w:val="21A473B5"/>
    <w:rsid w:val="21B7798A"/>
    <w:rsid w:val="21C26656"/>
    <w:rsid w:val="21C86C87"/>
    <w:rsid w:val="21E90441"/>
    <w:rsid w:val="21EA5CE6"/>
    <w:rsid w:val="21EC70E4"/>
    <w:rsid w:val="21FA0D89"/>
    <w:rsid w:val="2208176A"/>
    <w:rsid w:val="22173FB8"/>
    <w:rsid w:val="22285DE6"/>
    <w:rsid w:val="22291673"/>
    <w:rsid w:val="22462D4A"/>
    <w:rsid w:val="22513ADB"/>
    <w:rsid w:val="22757ED6"/>
    <w:rsid w:val="22A03488"/>
    <w:rsid w:val="22B810B7"/>
    <w:rsid w:val="22CA2534"/>
    <w:rsid w:val="22E35ED1"/>
    <w:rsid w:val="22E56A1A"/>
    <w:rsid w:val="22E960A7"/>
    <w:rsid w:val="22F13239"/>
    <w:rsid w:val="22FC1086"/>
    <w:rsid w:val="23090AA4"/>
    <w:rsid w:val="230C06A9"/>
    <w:rsid w:val="23541C5C"/>
    <w:rsid w:val="236261CD"/>
    <w:rsid w:val="23666474"/>
    <w:rsid w:val="23724133"/>
    <w:rsid w:val="23920628"/>
    <w:rsid w:val="2392739C"/>
    <w:rsid w:val="239600A0"/>
    <w:rsid w:val="23975ACD"/>
    <w:rsid w:val="239D322E"/>
    <w:rsid w:val="23A72F04"/>
    <w:rsid w:val="23AA645F"/>
    <w:rsid w:val="23AA6FBD"/>
    <w:rsid w:val="23C04277"/>
    <w:rsid w:val="23C23E2C"/>
    <w:rsid w:val="23DB2D24"/>
    <w:rsid w:val="23E211EB"/>
    <w:rsid w:val="23EC4965"/>
    <w:rsid w:val="23ED6B98"/>
    <w:rsid w:val="23EF6320"/>
    <w:rsid w:val="24065323"/>
    <w:rsid w:val="240C0A0E"/>
    <w:rsid w:val="241A1298"/>
    <w:rsid w:val="2423386C"/>
    <w:rsid w:val="24242EAF"/>
    <w:rsid w:val="242875DA"/>
    <w:rsid w:val="24482965"/>
    <w:rsid w:val="244E43EB"/>
    <w:rsid w:val="24625747"/>
    <w:rsid w:val="24631EC5"/>
    <w:rsid w:val="24664269"/>
    <w:rsid w:val="246B4886"/>
    <w:rsid w:val="249F55BB"/>
    <w:rsid w:val="24A156D9"/>
    <w:rsid w:val="24B6090C"/>
    <w:rsid w:val="24B7117A"/>
    <w:rsid w:val="24D075C4"/>
    <w:rsid w:val="24D357BC"/>
    <w:rsid w:val="24E41EBD"/>
    <w:rsid w:val="24E9416D"/>
    <w:rsid w:val="24E96D83"/>
    <w:rsid w:val="24F47E88"/>
    <w:rsid w:val="25006AB6"/>
    <w:rsid w:val="251D6150"/>
    <w:rsid w:val="252D0EDC"/>
    <w:rsid w:val="25427763"/>
    <w:rsid w:val="255F46C0"/>
    <w:rsid w:val="256838CC"/>
    <w:rsid w:val="257C3B91"/>
    <w:rsid w:val="25894F1C"/>
    <w:rsid w:val="25910F73"/>
    <w:rsid w:val="259B4EAA"/>
    <w:rsid w:val="25B50668"/>
    <w:rsid w:val="25D34C47"/>
    <w:rsid w:val="2601730F"/>
    <w:rsid w:val="26104038"/>
    <w:rsid w:val="26140589"/>
    <w:rsid w:val="261448DD"/>
    <w:rsid w:val="261A0447"/>
    <w:rsid w:val="26304A03"/>
    <w:rsid w:val="265E428B"/>
    <w:rsid w:val="26731A45"/>
    <w:rsid w:val="268A2E9F"/>
    <w:rsid w:val="269536D2"/>
    <w:rsid w:val="269B3FDD"/>
    <w:rsid w:val="269C61AD"/>
    <w:rsid w:val="26A53175"/>
    <w:rsid w:val="26B900D5"/>
    <w:rsid w:val="26BC7BF6"/>
    <w:rsid w:val="26D311FF"/>
    <w:rsid w:val="26D47BBD"/>
    <w:rsid w:val="26D80CCE"/>
    <w:rsid w:val="26DA04FE"/>
    <w:rsid w:val="26E11C81"/>
    <w:rsid w:val="270952D9"/>
    <w:rsid w:val="27272A96"/>
    <w:rsid w:val="27283244"/>
    <w:rsid w:val="27376DC6"/>
    <w:rsid w:val="274055D0"/>
    <w:rsid w:val="274B46B3"/>
    <w:rsid w:val="27535D84"/>
    <w:rsid w:val="275F5BE2"/>
    <w:rsid w:val="276052A0"/>
    <w:rsid w:val="277512F4"/>
    <w:rsid w:val="278F1145"/>
    <w:rsid w:val="279436AC"/>
    <w:rsid w:val="27945503"/>
    <w:rsid w:val="27981532"/>
    <w:rsid w:val="27AA21B2"/>
    <w:rsid w:val="27B73A1A"/>
    <w:rsid w:val="27BA7B84"/>
    <w:rsid w:val="27BF29B0"/>
    <w:rsid w:val="27CF4540"/>
    <w:rsid w:val="27D61472"/>
    <w:rsid w:val="27DE2D94"/>
    <w:rsid w:val="27EE4A9C"/>
    <w:rsid w:val="27F16C51"/>
    <w:rsid w:val="280458A8"/>
    <w:rsid w:val="28264760"/>
    <w:rsid w:val="28274F18"/>
    <w:rsid w:val="28282657"/>
    <w:rsid w:val="28333119"/>
    <w:rsid w:val="284F6C96"/>
    <w:rsid w:val="28654F05"/>
    <w:rsid w:val="28664F00"/>
    <w:rsid w:val="286716A7"/>
    <w:rsid w:val="28716C78"/>
    <w:rsid w:val="28735713"/>
    <w:rsid w:val="289075AB"/>
    <w:rsid w:val="289D73A3"/>
    <w:rsid w:val="28A34D78"/>
    <w:rsid w:val="28A7275C"/>
    <w:rsid w:val="28AF543D"/>
    <w:rsid w:val="28C26D95"/>
    <w:rsid w:val="28CC0224"/>
    <w:rsid w:val="28D019DC"/>
    <w:rsid w:val="28D50FDF"/>
    <w:rsid w:val="28DB1463"/>
    <w:rsid w:val="28DF5AF6"/>
    <w:rsid w:val="28EE2872"/>
    <w:rsid w:val="28F138A5"/>
    <w:rsid w:val="28F54CDD"/>
    <w:rsid w:val="28FA4362"/>
    <w:rsid w:val="28FA66C3"/>
    <w:rsid w:val="28FD488D"/>
    <w:rsid w:val="292F4988"/>
    <w:rsid w:val="293002B5"/>
    <w:rsid w:val="293A3C68"/>
    <w:rsid w:val="29482CFD"/>
    <w:rsid w:val="294F7299"/>
    <w:rsid w:val="29541A3E"/>
    <w:rsid w:val="29680A5D"/>
    <w:rsid w:val="296E0B9B"/>
    <w:rsid w:val="29791F3B"/>
    <w:rsid w:val="297D1992"/>
    <w:rsid w:val="29825BBC"/>
    <w:rsid w:val="29997AF6"/>
    <w:rsid w:val="29A25FFE"/>
    <w:rsid w:val="29A45906"/>
    <w:rsid w:val="29A506FC"/>
    <w:rsid w:val="29A95DAC"/>
    <w:rsid w:val="29BD5C6D"/>
    <w:rsid w:val="29CB2F2E"/>
    <w:rsid w:val="29CD3C84"/>
    <w:rsid w:val="29D05E22"/>
    <w:rsid w:val="29EC1B96"/>
    <w:rsid w:val="2A017C21"/>
    <w:rsid w:val="2A0D61D2"/>
    <w:rsid w:val="2A1F107E"/>
    <w:rsid w:val="2A277946"/>
    <w:rsid w:val="2A286490"/>
    <w:rsid w:val="2A2F6C73"/>
    <w:rsid w:val="2A313078"/>
    <w:rsid w:val="2A482F4E"/>
    <w:rsid w:val="2A4C6744"/>
    <w:rsid w:val="2A5900BB"/>
    <w:rsid w:val="2A7321CD"/>
    <w:rsid w:val="2A8069DE"/>
    <w:rsid w:val="2A89556C"/>
    <w:rsid w:val="2ABB2E3B"/>
    <w:rsid w:val="2AD27564"/>
    <w:rsid w:val="2AE07D14"/>
    <w:rsid w:val="2AF61E99"/>
    <w:rsid w:val="2AF94D50"/>
    <w:rsid w:val="2B0058DE"/>
    <w:rsid w:val="2B082D91"/>
    <w:rsid w:val="2B0E6870"/>
    <w:rsid w:val="2B222450"/>
    <w:rsid w:val="2B25739C"/>
    <w:rsid w:val="2B2A73BF"/>
    <w:rsid w:val="2B4572CE"/>
    <w:rsid w:val="2B484A17"/>
    <w:rsid w:val="2B525B4B"/>
    <w:rsid w:val="2B711F28"/>
    <w:rsid w:val="2B761F33"/>
    <w:rsid w:val="2B7F27D3"/>
    <w:rsid w:val="2B863FB0"/>
    <w:rsid w:val="2B95102F"/>
    <w:rsid w:val="2B985264"/>
    <w:rsid w:val="2B9C7794"/>
    <w:rsid w:val="2BAB36BD"/>
    <w:rsid w:val="2BC37EC0"/>
    <w:rsid w:val="2BCF5B2C"/>
    <w:rsid w:val="2BDD73DE"/>
    <w:rsid w:val="2BE04876"/>
    <w:rsid w:val="2BE805A8"/>
    <w:rsid w:val="2BEC2235"/>
    <w:rsid w:val="2BEE1898"/>
    <w:rsid w:val="2C08491D"/>
    <w:rsid w:val="2C145A60"/>
    <w:rsid w:val="2C310072"/>
    <w:rsid w:val="2C321771"/>
    <w:rsid w:val="2C3A7715"/>
    <w:rsid w:val="2C477C1A"/>
    <w:rsid w:val="2C5E46AE"/>
    <w:rsid w:val="2C6A40EE"/>
    <w:rsid w:val="2C764E32"/>
    <w:rsid w:val="2C7A45DE"/>
    <w:rsid w:val="2C821439"/>
    <w:rsid w:val="2C8E261E"/>
    <w:rsid w:val="2C957B0A"/>
    <w:rsid w:val="2CAF0476"/>
    <w:rsid w:val="2CB15F8C"/>
    <w:rsid w:val="2CBA7C54"/>
    <w:rsid w:val="2CBB4533"/>
    <w:rsid w:val="2CCF1C8A"/>
    <w:rsid w:val="2CE541F4"/>
    <w:rsid w:val="2CFE413E"/>
    <w:rsid w:val="2D081A1B"/>
    <w:rsid w:val="2D204C5E"/>
    <w:rsid w:val="2D2A0D7D"/>
    <w:rsid w:val="2D322B06"/>
    <w:rsid w:val="2D357BC4"/>
    <w:rsid w:val="2D4E7F5B"/>
    <w:rsid w:val="2D510DEC"/>
    <w:rsid w:val="2D543EC1"/>
    <w:rsid w:val="2D55527B"/>
    <w:rsid w:val="2D5D3C0C"/>
    <w:rsid w:val="2D6D69E3"/>
    <w:rsid w:val="2D7333BF"/>
    <w:rsid w:val="2D7F2732"/>
    <w:rsid w:val="2D8F7CFB"/>
    <w:rsid w:val="2D9211D0"/>
    <w:rsid w:val="2D932110"/>
    <w:rsid w:val="2D990B9C"/>
    <w:rsid w:val="2D9E2037"/>
    <w:rsid w:val="2DA53921"/>
    <w:rsid w:val="2DA6121D"/>
    <w:rsid w:val="2DAA47C7"/>
    <w:rsid w:val="2DB13E52"/>
    <w:rsid w:val="2DB22F93"/>
    <w:rsid w:val="2DC31B03"/>
    <w:rsid w:val="2DD972D9"/>
    <w:rsid w:val="2DDF3E3D"/>
    <w:rsid w:val="2DE30AE2"/>
    <w:rsid w:val="2DE6023D"/>
    <w:rsid w:val="2DE77820"/>
    <w:rsid w:val="2E040334"/>
    <w:rsid w:val="2E0532FE"/>
    <w:rsid w:val="2E291587"/>
    <w:rsid w:val="2E3A1FC5"/>
    <w:rsid w:val="2E5E5416"/>
    <w:rsid w:val="2E6E2922"/>
    <w:rsid w:val="2E7A120C"/>
    <w:rsid w:val="2E7A66FC"/>
    <w:rsid w:val="2E7E53C3"/>
    <w:rsid w:val="2E8D4D26"/>
    <w:rsid w:val="2E9927A3"/>
    <w:rsid w:val="2EA122AD"/>
    <w:rsid w:val="2ECB17EB"/>
    <w:rsid w:val="2ECB5E92"/>
    <w:rsid w:val="2EDD0070"/>
    <w:rsid w:val="2EE82886"/>
    <w:rsid w:val="2EEE27ED"/>
    <w:rsid w:val="2EF201EA"/>
    <w:rsid w:val="2EF75335"/>
    <w:rsid w:val="2F0B2DD5"/>
    <w:rsid w:val="2F0C3E64"/>
    <w:rsid w:val="2F2039C0"/>
    <w:rsid w:val="2F21032A"/>
    <w:rsid w:val="2F210D27"/>
    <w:rsid w:val="2F2E6E09"/>
    <w:rsid w:val="2F467284"/>
    <w:rsid w:val="2F5055B1"/>
    <w:rsid w:val="2F62623E"/>
    <w:rsid w:val="2F8C3113"/>
    <w:rsid w:val="2F940AB6"/>
    <w:rsid w:val="2F9E175C"/>
    <w:rsid w:val="2FA71E09"/>
    <w:rsid w:val="2FB90B9B"/>
    <w:rsid w:val="2FD1530B"/>
    <w:rsid w:val="2FE90991"/>
    <w:rsid w:val="2FED36DB"/>
    <w:rsid w:val="2FED7A26"/>
    <w:rsid w:val="2FF351B1"/>
    <w:rsid w:val="300346D5"/>
    <w:rsid w:val="300C14D7"/>
    <w:rsid w:val="30264FAC"/>
    <w:rsid w:val="30355611"/>
    <w:rsid w:val="30504C5C"/>
    <w:rsid w:val="305204A4"/>
    <w:rsid w:val="306D0246"/>
    <w:rsid w:val="306E5D19"/>
    <w:rsid w:val="307739D9"/>
    <w:rsid w:val="307B7F53"/>
    <w:rsid w:val="307E0C8B"/>
    <w:rsid w:val="30970EDE"/>
    <w:rsid w:val="30A2540D"/>
    <w:rsid w:val="30B83E46"/>
    <w:rsid w:val="30C3204A"/>
    <w:rsid w:val="30C73B29"/>
    <w:rsid w:val="30D86081"/>
    <w:rsid w:val="30DA0679"/>
    <w:rsid w:val="30EA06B3"/>
    <w:rsid w:val="311A339B"/>
    <w:rsid w:val="312D7213"/>
    <w:rsid w:val="314C3424"/>
    <w:rsid w:val="314F230B"/>
    <w:rsid w:val="31585BA5"/>
    <w:rsid w:val="316C028D"/>
    <w:rsid w:val="318B66C4"/>
    <w:rsid w:val="319B0473"/>
    <w:rsid w:val="31A430FF"/>
    <w:rsid w:val="31D23C6E"/>
    <w:rsid w:val="31D42819"/>
    <w:rsid w:val="31E525C5"/>
    <w:rsid w:val="31F95A80"/>
    <w:rsid w:val="31FE6688"/>
    <w:rsid w:val="32131AD0"/>
    <w:rsid w:val="322722F3"/>
    <w:rsid w:val="324115D2"/>
    <w:rsid w:val="32490371"/>
    <w:rsid w:val="32545C17"/>
    <w:rsid w:val="32573C94"/>
    <w:rsid w:val="328321E7"/>
    <w:rsid w:val="328A70FD"/>
    <w:rsid w:val="32AC4779"/>
    <w:rsid w:val="32B4451E"/>
    <w:rsid w:val="32C2730E"/>
    <w:rsid w:val="32C369AC"/>
    <w:rsid w:val="32E56D96"/>
    <w:rsid w:val="32E71A71"/>
    <w:rsid w:val="32E83609"/>
    <w:rsid w:val="32EC3387"/>
    <w:rsid w:val="32F05CA0"/>
    <w:rsid w:val="33002D7F"/>
    <w:rsid w:val="330B029A"/>
    <w:rsid w:val="330C2A6F"/>
    <w:rsid w:val="33121752"/>
    <w:rsid w:val="332D40C2"/>
    <w:rsid w:val="333F7B79"/>
    <w:rsid w:val="334B2675"/>
    <w:rsid w:val="33530D5D"/>
    <w:rsid w:val="33536431"/>
    <w:rsid w:val="33561838"/>
    <w:rsid w:val="33577D64"/>
    <w:rsid w:val="33600DD6"/>
    <w:rsid w:val="337742FD"/>
    <w:rsid w:val="337F2980"/>
    <w:rsid w:val="3381788D"/>
    <w:rsid w:val="33900AD5"/>
    <w:rsid w:val="33987FE8"/>
    <w:rsid w:val="33B311B3"/>
    <w:rsid w:val="33BA44A4"/>
    <w:rsid w:val="33D143FF"/>
    <w:rsid w:val="33D644A8"/>
    <w:rsid w:val="33ED5577"/>
    <w:rsid w:val="340B208B"/>
    <w:rsid w:val="34122959"/>
    <w:rsid w:val="341B2FC8"/>
    <w:rsid w:val="3426332B"/>
    <w:rsid w:val="34377B0A"/>
    <w:rsid w:val="344B7127"/>
    <w:rsid w:val="3482633D"/>
    <w:rsid w:val="34A018A2"/>
    <w:rsid w:val="34BD5D44"/>
    <w:rsid w:val="34C101C1"/>
    <w:rsid w:val="34C2517E"/>
    <w:rsid w:val="34DC2644"/>
    <w:rsid w:val="34E61783"/>
    <w:rsid w:val="34E77ECD"/>
    <w:rsid w:val="34FB718B"/>
    <w:rsid w:val="34FE5200"/>
    <w:rsid w:val="35027FFE"/>
    <w:rsid w:val="35041A02"/>
    <w:rsid w:val="352C5755"/>
    <w:rsid w:val="35332DA5"/>
    <w:rsid w:val="35366A03"/>
    <w:rsid w:val="35385F19"/>
    <w:rsid w:val="3541520B"/>
    <w:rsid w:val="35566F4D"/>
    <w:rsid w:val="357A34F0"/>
    <w:rsid w:val="35804B54"/>
    <w:rsid w:val="359C092E"/>
    <w:rsid w:val="35B15849"/>
    <w:rsid w:val="35B91405"/>
    <w:rsid w:val="35C258CD"/>
    <w:rsid w:val="35DE085F"/>
    <w:rsid w:val="35E21547"/>
    <w:rsid w:val="36040E2C"/>
    <w:rsid w:val="360D4C4A"/>
    <w:rsid w:val="36110BB9"/>
    <w:rsid w:val="361E0D3E"/>
    <w:rsid w:val="361F2B9C"/>
    <w:rsid w:val="36343A72"/>
    <w:rsid w:val="36473085"/>
    <w:rsid w:val="36491401"/>
    <w:rsid w:val="364E4A54"/>
    <w:rsid w:val="365D508B"/>
    <w:rsid w:val="3661157A"/>
    <w:rsid w:val="369B6A0E"/>
    <w:rsid w:val="369D5767"/>
    <w:rsid w:val="36A0725F"/>
    <w:rsid w:val="36A87BBE"/>
    <w:rsid w:val="36AE7C65"/>
    <w:rsid w:val="36B93257"/>
    <w:rsid w:val="36DD5C81"/>
    <w:rsid w:val="36E233F0"/>
    <w:rsid w:val="36FF1C5E"/>
    <w:rsid w:val="37021F31"/>
    <w:rsid w:val="370D5908"/>
    <w:rsid w:val="37111E5F"/>
    <w:rsid w:val="372211E6"/>
    <w:rsid w:val="373D1A36"/>
    <w:rsid w:val="374C2936"/>
    <w:rsid w:val="37556F27"/>
    <w:rsid w:val="37781ACC"/>
    <w:rsid w:val="379D203C"/>
    <w:rsid w:val="379E68E4"/>
    <w:rsid w:val="37B413CC"/>
    <w:rsid w:val="37CA6239"/>
    <w:rsid w:val="37D7330D"/>
    <w:rsid w:val="37EF1A1D"/>
    <w:rsid w:val="37F13E18"/>
    <w:rsid w:val="37F71530"/>
    <w:rsid w:val="38004B13"/>
    <w:rsid w:val="380254F3"/>
    <w:rsid w:val="380A71F4"/>
    <w:rsid w:val="381714C5"/>
    <w:rsid w:val="381E11CA"/>
    <w:rsid w:val="385F455C"/>
    <w:rsid w:val="386052D2"/>
    <w:rsid w:val="38682503"/>
    <w:rsid w:val="387820EE"/>
    <w:rsid w:val="38884958"/>
    <w:rsid w:val="388E4824"/>
    <w:rsid w:val="38A27406"/>
    <w:rsid w:val="38AB04DD"/>
    <w:rsid w:val="38B1613D"/>
    <w:rsid w:val="38B42DF8"/>
    <w:rsid w:val="38CC0AD8"/>
    <w:rsid w:val="38D72DC0"/>
    <w:rsid w:val="38E075A1"/>
    <w:rsid w:val="38F35E91"/>
    <w:rsid w:val="38F62947"/>
    <w:rsid w:val="38F745EA"/>
    <w:rsid w:val="38FA4FE2"/>
    <w:rsid w:val="390D5085"/>
    <w:rsid w:val="39154164"/>
    <w:rsid w:val="391A2D9D"/>
    <w:rsid w:val="392171F8"/>
    <w:rsid w:val="392A12B1"/>
    <w:rsid w:val="392E478D"/>
    <w:rsid w:val="393461AE"/>
    <w:rsid w:val="397D4B49"/>
    <w:rsid w:val="398A6349"/>
    <w:rsid w:val="39A21CE3"/>
    <w:rsid w:val="39CB3DA2"/>
    <w:rsid w:val="39E13F67"/>
    <w:rsid w:val="39F1038A"/>
    <w:rsid w:val="39F32293"/>
    <w:rsid w:val="39F33202"/>
    <w:rsid w:val="39FF77B6"/>
    <w:rsid w:val="3A03056E"/>
    <w:rsid w:val="3A061029"/>
    <w:rsid w:val="3A0812AA"/>
    <w:rsid w:val="3A097111"/>
    <w:rsid w:val="3A132750"/>
    <w:rsid w:val="3A1B0204"/>
    <w:rsid w:val="3A306F82"/>
    <w:rsid w:val="3A362B17"/>
    <w:rsid w:val="3A4117EF"/>
    <w:rsid w:val="3A510FA7"/>
    <w:rsid w:val="3A5835CA"/>
    <w:rsid w:val="3A5D4383"/>
    <w:rsid w:val="3A6158E7"/>
    <w:rsid w:val="3A652295"/>
    <w:rsid w:val="3A6D6F01"/>
    <w:rsid w:val="3A6F689B"/>
    <w:rsid w:val="3A7B3DA6"/>
    <w:rsid w:val="3A9835D4"/>
    <w:rsid w:val="3AA53C7E"/>
    <w:rsid w:val="3AAD791D"/>
    <w:rsid w:val="3AE76180"/>
    <w:rsid w:val="3AEB0A72"/>
    <w:rsid w:val="3AF25226"/>
    <w:rsid w:val="3AF32B72"/>
    <w:rsid w:val="3AF43933"/>
    <w:rsid w:val="3AF81B60"/>
    <w:rsid w:val="3AFA06D3"/>
    <w:rsid w:val="3AFC455B"/>
    <w:rsid w:val="3AFF5F80"/>
    <w:rsid w:val="3B355D3B"/>
    <w:rsid w:val="3B4A3888"/>
    <w:rsid w:val="3B4D2C8A"/>
    <w:rsid w:val="3B5A7171"/>
    <w:rsid w:val="3B804621"/>
    <w:rsid w:val="3B8861D5"/>
    <w:rsid w:val="3B906D3D"/>
    <w:rsid w:val="3BA04801"/>
    <w:rsid w:val="3BAB57FD"/>
    <w:rsid w:val="3BAC7B48"/>
    <w:rsid w:val="3BB96578"/>
    <w:rsid w:val="3BCE589D"/>
    <w:rsid w:val="3BCF6FB9"/>
    <w:rsid w:val="3BD16847"/>
    <w:rsid w:val="3BFC1A20"/>
    <w:rsid w:val="3C03716C"/>
    <w:rsid w:val="3C0E6D98"/>
    <w:rsid w:val="3C1E612E"/>
    <w:rsid w:val="3C2D1724"/>
    <w:rsid w:val="3C580DC7"/>
    <w:rsid w:val="3C662976"/>
    <w:rsid w:val="3C7C10FE"/>
    <w:rsid w:val="3C8601EE"/>
    <w:rsid w:val="3C985662"/>
    <w:rsid w:val="3CC82D1A"/>
    <w:rsid w:val="3CE70CB0"/>
    <w:rsid w:val="3CEB0D9F"/>
    <w:rsid w:val="3D0C3420"/>
    <w:rsid w:val="3D252DBD"/>
    <w:rsid w:val="3D295D6B"/>
    <w:rsid w:val="3D2A5D53"/>
    <w:rsid w:val="3D2E0246"/>
    <w:rsid w:val="3D2F7075"/>
    <w:rsid w:val="3D3340A8"/>
    <w:rsid w:val="3D54258F"/>
    <w:rsid w:val="3D7658FA"/>
    <w:rsid w:val="3DAA3B69"/>
    <w:rsid w:val="3DBA4E22"/>
    <w:rsid w:val="3DDD764F"/>
    <w:rsid w:val="3DE67D91"/>
    <w:rsid w:val="3DF366C2"/>
    <w:rsid w:val="3E046C9F"/>
    <w:rsid w:val="3E1068B6"/>
    <w:rsid w:val="3E2E1268"/>
    <w:rsid w:val="3E3543F1"/>
    <w:rsid w:val="3E502662"/>
    <w:rsid w:val="3E5543AC"/>
    <w:rsid w:val="3E5E11C6"/>
    <w:rsid w:val="3E77197C"/>
    <w:rsid w:val="3E824A0B"/>
    <w:rsid w:val="3E8E3C86"/>
    <w:rsid w:val="3E911700"/>
    <w:rsid w:val="3EB43E78"/>
    <w:rsid w:val="3EBF4075"/>
    <w:rsid w:val="3ECF4A3D"/>
    <w:rsid w:val="3EE63D3B"/>
    <w:rsid w:val="3EF33296"/>
    <w:rsid w:val="3EF827D2"/>
    <w:rsid w:val="3F06615E"/>
    <w:rsid w:val="3F1F50B1"/>
    <w:rsid w:val="3F403AC3"/>
    <w:rsid w:val="3F425D4A"/>
    <w:rsid w:val="3F583EB5"/>
    <w:rsid w:val="3F6C7322"/>
    <w:rsid w:val="3F753A39"/>
    <w:rsid w:val="3F787457"/>
    <w:rsid w:val="3F7D34A3"/>
    <w:rsid w:val="3FC25ADE"/>
    <w:rsid w:val="3FD2570A"/>
    <w:rsid w:val="3FE4547E"/>
    <w:rsid w:val="40051B04"/>
    <w:rsid w:val="4013120B"/>
    <w:rsid w:val="401D75AE"/>
    <w:rsid w:val="4026430F"/>
    <w:rsid w:val="402C64BF"/>
    <w:rsid w:val="40300523"/>
    <w:rsid w:val="40301FC1"/>
    <w:rsid w:val="40371E75"/>
    <w:rsid w:val="405705F5"/>
    <w:rsid w:val="406A310F"/>
    <w:rsid w:val="406E5C8F"/>
    <w:rsid w:val="40804C32"/>
    <w:rsid w:val="408F07C9"/>
    <w:rsid w:val="40924873"/>
    <w:rsid w:val="40D21B1D"/>
    <w:rsid w:val="40D8700C"/>
    <w:rsid w:val="40ED3623"/>
    <w:rsid w:val="40F476B6"/>
    <w:rsid w:val="4101533F"/>
    <w:rsid w:val="41083192"/>
    <w:rsid w:val="414365A1"/>
    <w:rsid w:val="414F1A0A"/>
    <w:rsid w:val="41557FAD"/>
    <w:rsid w:val="417E059E"/>
    <w:rsid w:val="418A0B5A"/>
    <w:rsid w:val="418E1D68"/>
    <w:rsid w:val="419214CA"/>
    <w:rsid w:val="41922E0C"/>
    <w:rsid w:val="41A94951"/>
    <w:rsid w:val="41AC0759"/>
    <w:rsid w:val="41AF7D55"/>
    <w:rsid w:val="41B15FF2"/>
    <w:rsid w:val="41C15CA7"/>
    <w:rsid w:val="41F575F6"/>
    <w:rsid w:val="422E0FDC"/>
    <w:rsid w:val="42353388"/>
    <w:rsid w:val="427A7E2A"/>
    <w:rsid w:val="428576F0"/>
    <w:rsid w:val="428A41C7"/>
    <w:rsid w:val="42C352A0"/>
    <w:rsid w:val="42D30F1F"/>
    <w:rsid w:val="42D47B9E"/>
    <w:rsid w:val="42FB2310"/>
    <w:rsid w:val="43037732"/>
    <w:rsid w:val="43097248"/>
    <w:rsid w:val="43227D24"/>
    <w:rsid w:val="4334324C"/>
    <w:rsid w:val="43367048"/>
    <w:rsid w:val="43380103"/>
    <w:rsid w:val="433F54B9"/>
    <w:rsid w:val="43465128"/>
    <w:rsid w:val="43640C0A"/>
    <w:rsid w:val="437752F4"/>
    <w:rsid w:val="439E64C0"/>
    <w:rsid w:val="43A0498D"/>
    <w:rsid w:val="43A932A4"/>
    <w:rsid w:val="43AD66FC"/>
    <w:rsid w:val="43B525A4"/>
    <w:rsid w:val="43BD0F6E"/>
    <w:rsid w:val="43DC25B2"/>
    <w:rsid w:val="43E12DDE"/>
    <w:rsid w:val="440B2C6F"/>
    <w:rsid w:val="4413152A"/>
    <w:rsid w:val="44136510"/>
    <w:rsid w:val="442C1839"/>
    <w:rsid w:val="44334166"/>
    <w:rsid w:val="4437127F"/>
    <w:rsid w:val="443C78E6"/>
    <w:rsid w:val="445D420A"/>
    <w:rsid w:val="446169BE"/>
    <w:rsid w:val="44671275"/>
    <w:rsid w:val="44744ACD"/>
    <w:rsid w:val="448B72B2"/>
    <w:rsid w:val="449F7CCD"/>
    <w:rsid w:val="44B60464"/>
    <w:rsid w:val="44E6098D"/>
    <w:rsid w:val="44FA7E6E"/>
    <w:rsid w:val="450849D4"/>
    <w:rsid w:val="45131D9C"/>
    <w:rsid w:val="451372B3"/>
    <w:rsid w:val="45201856"/>
    <w:rsid w:val="45232BED"/>
    <w:rsid w:val="454F6BA6"/>
    <w:rsid w:val="454F73EC"/>
    <w:rsid w:val="45501EE0"/>
    <w:rsid w:val="455D5051"/>
    <w:rsid w:val="45873BF9"/>
    <w:rsid w:val="458804AD"/>
    <w:rsid w:val="45A202D1"/>
    <w:rsid w:val="45AD60F2"/>
    <w:rsid w:val="45C214C1"/>
    <w:rsid w:val="45D954EC"/>
    <w:rsid w:val="45DB0963"/>
    <w:rsid w:val="45F474B6"/>
    <w:rsid w:val="45FB5488"/>
    <w:rsid w:val="460D4E70"/>
    <w:rsid w:val="460D55B1"/>
    <w:rsid w:val="4615699D"/>
    <w:rsid w:val="461D4BBF"/>
    <w:rsid w:val="461F29E8"/>
    <w:rsid w:val="46372A2E"/>
    <w:rsid w:val="4649016D"/>
    <w:rsid w:val="4650089E"/>
    <w:rsid w:val="466A50BF"/>
    <w:rsid w:val="468C5F42"/>
    <w:rsid w:val="46933026"/>
    <w:rsid w:val="4698491F"/>
    <w:rsid w:val="469B257B"/>
    <w:rsid w:val="469C0B90"/>
    <w:rsid w:val="46B85AD7"/>
    <w:rsid w:val="46B92CCF"/>
    <w:rsid w:val="46DB7768"/>
    <w:rsid w:val="46E473D0"/>
    <w:rsid w:val="46EA621D"/>
    <w:rsid w:val="46F86283"/>
    <w:rsid w:val="470A1DF9"/>
    <w:rsid w:val="470E33E3"/>
    <w:rsid w:val="4715007E"/>
    <w:rsid w:val="47156DDD"/>
    <w:rsid w:val="471D5E89"/>
    <w:rsid w:val="47275F83"/>
    <w:rsid w:val="473D6B29"/>
    <w:rsid w:val="47475E43"/>
    <w:rsid w:val="47562AB4"/>
    <w:rsid w:val="47587B4E"/>
    <w:rsid w:val="47751955"/>
    <w:rsid w:val="47927FD4"/>
    <w:rsid w:val="479C3AAB"/>
    <w:rsid w:val="47C2788A"/>
    <w:rsid w:val="47D760AC"/>
    <w:rsid w:val="48020EF5"/>
    <w:rsid w:val="480F6F18"/>
    <w:rsid w:val="48110F06"/>
    <w:rsid w:val="4826495F"/>
    <w:rsid w:val="48313FAB"/>
    <w:rsid w:val="48333274"/>
    <w:rsid w:val="483E0A8D"/>
    <w:rsid w:val="484540A0"/>
    <w:rsid w:val="484C1B66"/>
    <w:rsid w:val="485300F2"/>
    <w:rsid w:val="485E350B"/>
    <w:rsid w:val="48706310"/>
    <w:rsid w:val="488A436F"/>
    <w:rsid w:val="488B4BAD"/>
    <w:rsid w:val="48BC04FA"/>
    <w:rsid w:val="48E12D60"/>
    <w:rsid w:val="48E205C6"/>
    <w:rsid w:val="48FE3C08"/>
    <w:rsid w:val="49112D2C"/>
    <w:rsid w:val="4919795E"/>
    <w:rsid w:val="493316F6"/>
    <w:rsid w:val="49332778"/>
    <w:rsid w:val="493A776C"/>
    <w:rsid w:val="49472BE0"/>
    <w:rsid w:val="494F634D"/>
    <w:rsid w:val="495B788B"/>
    <w:rsid w:val="49694317"/>
    <w:rsid w:val="496A46B7"/>
    <w:rsid w:val="498243F0"/>
    <w:rsid w:val="498841A1"/>
    <w:rsid w:val="4994229F"/>
    <w:rsid w:val="49976C0F"/>
    <w:rsid w:val="49992AEC"/>
    <w:rsid w:val="499E7AA5"/>
    <w:rsid w:val="49A37F2B"/>
    <w:rsid w:val="49A47C69"/>
    <w:rsid w:val="49AC6B23"/>
    <w:rsid w:val="49B12E5C"/>
    <w:rsid w:val="49B33D02"/>
    <w:rsid w:val="49C83B58"/>
    <w:rsid w:val="49E660C0"/>
    <w:rsid w:val="49F141E9"/>
    <w:rsid w:val="49FA60CD"/>
    <w:rsid w:val="4A0060A8"/>
    <w:rsid w:val="4A043E2F"/>
    <w:rsid w:val="4A0913A7"/>
    <w:rsid w:val="4A0B67DE"/>
    <w:rsid w:val="4A151F1C"/>
    <w:rsid w:val="4A15484E"/>
    <w:rsid w:val="4A24193C"/>
    <w:rsid w:val="4A29366D"/>
    <w:rsid w:val="4A564E1C"/>
    <w:rsid w:val="4A5E21AB"/>
    <w:rsid w:val="4A654B4B"/>
    <w:rsid w:val="4A777BE8"/>
    <w:rsid w:val="4A901EF0"/>
    <w:rsid w:val="4A935074"/>
    <w:rsid w:val="4AB51DE1"/>
    <w:rsid w:val="4AB63446"/>
    <w:rsid w:val="4AB74A8E"/>
    <w:rsid w:val="4ABF721D"/>
    <w:rsid w:val="4AC14768"/>
    <w:rsid w:val="4AC62608"/>
    <w:rsid w:val="4ACC3ACD"/>
    <w:rsid w:val="4AD51F18"/>
    <w:rsid w:val="4ADF034E"/>
    <w:rsid w:val="4AE46E58"/>
    <w:rsid w:val="4AE639B3"/>
    <w:rsid w:val="4AF25861"/>
    <w:rsid w:val="4AF900AC"/>
    <w:rsid w:val="4B0F6D9E"/>
    <w:rsid w:val="4B115E09"/>
    <w:rsid w:val="4B172C96"/>
    <w:rsid w:val="4B1A3A3B"/>
    <w:rsid w:val="4B22570A"/>
    <w:rsid w:val="4B361795"/>
    <w:rsid w:val="4B3B2A64"/>
    <w:rsid w:val="4B4D65C7"/>
    <w:rsid w:val="4B5472DF"/>
    <w:rsid w:val="4B576832"/>
    <w:rsid w:val="4B624150"/>
    <w:rsid w:val="4B7A01D0"/>
    <w:rsid w:val="4B976E58"/>
    <w:rsid w:val="4BBB4AE8"/>
    <w:rsid w:val="4BBB5677"/>
    <w:rsid w:val="4BC83610"/>
    <w:rsid w:val="4BDD7204"/>
    <w:rsid w:val="4C197F51"/>
    <w:rsid w:val="4C275EC2"/>
    <w:rsid w:val="4C3014A4"/>
    <w:rsid w:val="4C367189"/>
    <w:rsid w:val="4C446A4E"/>
    <w:rsid w:val="4C5F7190"/>
    <w:rsid w:val="4C61480D"/>
    <w:rsid w:val="4C6B3B5E"/>
    <w:rsid w:val="4C6E27E3"/>
    <w:rsid w:val="4C6F0CE9"/>
    <w:rsid w:val="4C763035"/>
    <w:rsid w:val="4C8118B9"/>
    <w:rsid w:val="4CBD2CE3"/>
    <w:rsid w:val="4CCE4045"/>
    <w:rsid w:val="4CEF6484"/>
    <w:rsid w:val="4D442750"/>
    <w:rsid w:val="4D4C473B"/>
    <w:rsid w:val="4D4F3380"/>
    <w:rsid w:val="4D68725A"/>
    <w:rsid w:val="4DBB72DC"/>
    <w:rsid w:val="4DBF45C2"/>
    <w:rsid w:val="4DCE1648"/>
    <w:rsid w:val="4DD601B5"/>
    <w:rsid w:val="4DDA084B"/>
    <w:rsid w:val="4DEA0C4F"/>
    <w:rsid w:val="4E08582B"/>
    <w:rsid w:val="4E167AC2"/>
    <w:rsid w:val="4E194D5A"/>
    <w:rsid w:val="4E390C4C"/>
    <w:rsid w:val="4E440E94"/>
    <w:rsid w:val="4E454B86"/>
    <w:rsid w:val="4E492772"/>
    <w:rsid w:val="4E4E5768"/>
    <w:rsid w:val="4E503F96"/>
    <w:rsid w:val="4E574300"/>
    <w:rsid w:val="4E880754"/>
    <w:rsid w:val="4E887C35"/>
    <w:rsid w:val="4E9E2997"/>
    <w:rsid w:val="4EB32A97"/>
    <w:rsid w:val="4EB41C51"/>
    <w:rsid w:val="4EC82A17"/>
    <w:rsid w:val="4ECA4C3D"/>
    <w:rsid w:val="4ECF09C4"/>
    <w:rsid w:val="4ED36269"/>
    <w:rsid w:val="4ED6528A"/>
    <w:rsid w:val="4EE0329E"/>
    <w:rsid w:val="4F0C7BD1"/>
    <w:rsid w:val="4F377A7E"/>
    <w:rsid w:val="4F3C3FED"/>
    <w:rsid w:val="4F4814CB"/>
    <w:rsid w:val="4F4A5A41"/>
    <w:rsid w:val="4F586483"/>
    <w:rsid w:val="4F6146AB"/>
    <w:rsid w:val="4F6D70F8"/>
    <w:rsid w:val="4F732766"/>
    <w:rsid w:val="4F95084B"/>
    <w:rsid w:val="4F996A2F"/>
    <w:rsid w:val="4F9F359A"/>
    <w:rsid w:val="4FCC12F3"/>
    <w:rsid w:val="4FDA0213"/>
    <w:rsid w:val="4FDF6722"/>
    <w:rsid w:val="501472E1"/>
    <w:rsid w:val="50172392"/>
    <w:rsid w:val="501777DD"/>
    <w:rsid w:val="50262333"/>
    <w:rsid w:val="504478DB"/>
    <w:rsid w:val="504B3EC2"/>
    <w:rsid w:val="506C02F6"/>
    <w:rsid w:val="50737EB9"/>
    <w:rsid w:val="50795217"/>
    <w:rsid w:val="507A4E75"/>
    <w:rsid w:val="507D2A84"/>
    <w:rsid w:val="507E5764"/>
    <w:rsid w:val="50843DF8"/>
    <w:rsid w:val="5085704B"/>
    <w:rsid w:val="50953BA3"/>
    <w:rsid w:val="50A055ED"/>
    <w:rsid w:val="50AD3BD9"/>
    <w:rsid w:val="50B22415"/>
    <w:rsid w:val="50B94BF5"/>
    <w:rsid w:val="50C16E29"/>
    <w:rsid w:val="50DC235F"/>
    <w:rsid w:val="50E9789A"/>
    <w:rsid w:val="50F4013B"/>
    <w:rsid w:val="50FD58EE"/>
    <w:rsid w:val="51173D18"/>
    <w:rsid w:val="512702EA"/>
    <w:rsid w:val="51295380"/>
    <w:rsid w:val="51306C83"/>
    <w:rsid w:val="5143337C"/>
    <w:rsid w:val="51464D28"/>
    <w:rsid w:val="51681BD4"/>
    <w:rsid w:val="5177787E"/>
    <w:rsid w:val="51891565"/>
    <w:rsid w:val="51934067"/>
    <w:rsid w:val="51C51AD8"/>
    <w:rsid w:val="51E42529"/>
    <w:rsid w:val="51E733D2"/>
    <w:rsid w:val="51ED581F"/>
    <w:rsid w:val="51ED7B1B"/>
    <w:rsid w:val="51EE0686"/>
    <w:rsid w:val="51FE5B7A"/>
    <w:rsid w:val="52312980"/>
    <w:rsid w:val="524A5938"/>
    <w:rsid w:val="524E3DDD"/>
    <w:rsid w:val="525B5F5B"/>
    <w:rsid w:val="525C1C3C"/>
    <w:rsid w:val="526E1001"/>
    <w:rsid w:val="527243C4"/>
    <w:rsid w:val="52754F6D"/>
    <w:rsid w:val="527A0408"/>
    <w:rsid w:val="52C6081B"/>
    <w:rsid w:val="52D61297"/>
    <w:rsid w:val="52D7389B"/>
    <w:rsid w:val="52DF5406"/>
    <w:rsid w:val="52E4451C"/>
    <w:rsid w:val="52ED11FF"/>
    <w:rsid w:val="531B7099"/>
    <w:rsid w:val="531E5ABF"/>
    <w:rsid w:val="531F4ADB"/>
    <w:rsid w:val="5336706D"/>
    <w:rsid w:val="534B3EF0"/>
    <w:rsid w:val="536C3E36"/>
    <w:rsid w:val="536D51C0"/>
    <w:rsid w:val="537275A1"/>
    <w:rsid w:val="537A2483"/>
    <w:rsid w:val="538600D8"/>
    <w:rsid w:val="539217C8"/>
    <w:rsid w:val="539471D3"/>
    <w:rsid w:val="53960889"/>
    <w:rsid w:val="539C0E9E"/>
    <w:rsid w:val="53A546DF"/>
    <w:rsid w:val="53A567D2"/>
    <w:rsid w:val="53BA3C7D"/>
    <w:rsid w:val="53CC1099"/>
    <w:rsid w:val="53CF2378"/>
    <w:rsid w:val="53D30CBF"/>
    <w:rsid w:val="53E56014"/>
    <w:rsid w:val="53F01C7D"/>
    <w:rsid w:val="54020C18"/>
    <w:rsid w:val="541747A3"/>
    <w:rsid w:val="541F1508"/>
    <w:rsid w:val="542715FB"/>
    <w:rsid w:val="543716E9"/>
    <w:rsid w:val="543F1D16"/>
    <w:rsid w:val="54453B78"/>
    <w:rsid w:val="54A914EA"/>
    <w:rsid w:val="54AC5402"/>
    <w:rsid w:val="54AF4AEE"/>
    <w:rsid w:val="54B33101"/>
    <w:rsid w:val="54CC4290"/>
    <w:rsid w:val="54EA712A"/>
    <w:rsid w:val="54F97692"/>
    <w:rsid w:val="54FD5035"/>
    <w:rsid w:val="54FF1B35"/>
    <w:rsid w:val="55003CB4"/>
    <w:rsid w:val="55240897"/>
    <w:rsid w:val="553A1002"/>
    <w:rsid w:val="555122CB"/>
    <w:rsid w:val="555552B8"/>
    <w:rsid w:val="55624E03"/>
    <w:rsid w:val="556C080C"/>
    <w:rsid w:val="55783D49"/>
    <w:rsid w:val="557C1BB2"/>
    <w:rsid w:val="55CC24CE"/>
    <w:rsid w:val="55DD37AF"/>
    <w:rsid w:val="55DD5F6B"/>
    <w:rsid w:val="56115F1D"/>
    <w:rsid w:val="56117E69"/>
    <w:rsid w:val="561262B0"/>
    <w:rsid w:val="56172336"/>
    <w:rsid w:val="56193A2E"/>
    <w:rsid w:val="561A0963"/>
    <w:rsid w:val="56383F81"/>
    <w:rsid w:val="564D26C7"/>
    <w:rsid w:val="56697849"/>
    <w:rsid w:val="566A32D6"/>
    <w:rsid w:val="566C3E4C"/>
    <w:rsid w:val="56751BDD"/>
    <w:rsid w:val="569F1A01"/>
    <w:rsid w:val="56A16B09"/>
    <w:rsid w:val="56A274BB"/>
    <w:rsid w:val="56A5249B"/>
    <w:rsid w:val="56BB0E9E"/>
    <w:rsid w:val="56BC61BB"/>
    <w:rsid w:val="56C37188"/>
    <w:rsid w:val="56C734DB"/>
    <w:rsid w:val="570279A4"/>
    <w:rsid w:val="5718551D"/>
    <w:rsid w:val="571F69D0"/>
    <w:rsid w:val="57410CC1"/>
    <w:rsid w:val="574462A7"/>
    <w:rsid w:val="5765253A"/>
    <w:rsid w:val="576A443C"/>
    <w:rsid w:val="577309FA"/>
    <w:rsid w:val="57883F28"/>
    <w:rsid w:val="57904E1F"/>
    <w:rsid w:val="5791242C"/>
    <w:rsid w:val="57950165"/>
    <w:rsid w:val="57A406B6"/>
    <w:rsid w:val="57B0230E"/>
    <w:rsid w:val="57B4418A"/>
    <w:rsid w:val="57BB02DB"/>
    <w:rsid w:val="57BD4EF1"/>
    <w:rsid w:val="57DB48D4"/>
    <w:rsid w:val="57DC2EDB"/>
    <w:rsid w:val="58510A4A"/>
    <w:rsid w:val="585B31F9"/>
    <w:rsid w:val="58623F3E"/>
    <w:rsid w:val="5891081D"/>
    <w:rsid w:val="58A56F38"/>
    <w:rsid w:val="58AB47A1"/>
    <w:rsid w:val="58AB5CBB"/>
    <w:rsid w:val="58BF03AD"/>
    <w:rsid w:val="58C22937"/>
    <w:rsid w:val="58CB2844"/>
    <w:rsid w:val="58D009AE"/>
    <w:rsid w:val="58DC3CFE"/>
    <w:rsid w:val="58F659A2"/>
    <w:rsid w:val="590F23BA"/>
    <w:rsid w:val="591079CB"/>
    <w:rsid w:val="59183B30"/>
    <w:rsid w:val="5935517D"/>
    <w:rsid w:val="5937160A"/>
    <w:rsid w:val="59493F41"/>
    <w:rsid w:val="594F79E3"/>
    <w:rsid w:val="595373B8"/>
    <w:rsid w:val="5955082B"/>
    <w:rsid w:val="59742F32"/>
    <w:rsid w:val="597F6754"/>
    <w:rsid w:val="59843533"/>
    <w:rsid w:val="598600A2"/>
    <w:rsid w:val="598F3AC0"/>
    <w:rsid w:val="599418CE"/>
    <w:rsid w:val="59B31A79"/>
    <w:rsid w:val="59B549B6"/>
    <w:rsid w:val="59C14BC6"/>
    <w:rsid w:val="59C8125B"/>
    <w:rsid w:val="59CE448F"/>
    <w:rsid w:val="59D17213"/>
    <w:rsid w:val="59D94BC8"/>
    <w:rsid w:val="59E12331"/>
    <w:rsid w:val="59E51821"/>
    <w:rsid w:val="59FF337E"/>
    <w:rsid w:val="5A015D1A"/>
    <w:rsid w:val="5A0538EB"/>
    <w:rsid w:val="5A067C2D"/>
    <w:rsid w:val="5A096AFC"/>
    <w:rsid w:val="5A28252C"/>
    <w:rsid w:val="5A7F21B4"/>
    <w:rsid w:val="5A7F6762"/>
    <w:rsid w:val="5A8E0759"/>
    <w:rsid w:val="5A8F194F"/>
    <w:rsid w:val="5A9561C5"/>
    <w:rsid w:val="5AB62FAA"/>
    <w:rsid w:val="5ABA709E"/>
    <w:rsid w:val="5AD72471"/>
    <w:rsid w:val="5AE90AB1"/>
    <w:rsid w:val="5AF951C8"/>
    <w:rsid w:val="5AFE1B32"/>
    <w:rsid w:val="5B0A723B"/>
    <w:rsid w:val="5B100DAA"/>
    <w:rsid w:val="5B1012DD"/>
    <w:rsid w:val="5B4936C8"/>
    <w:rsid w:val="5B5973FA"/>
    <w:rsid w:val="5B5A198F"/>
    <w:rsid w:val="5B65332F"/>
    <w:rsid w:val="5B9A20BA"/>
    <w:rsid w:val="5BA14FFA"/>
    <w:rsid w:val="5BA4750A"/>
    <w:rsid w:val="5BE87363"/>
    <w:rsid w:val="5BEE21A1"/>
    <w:rsid w:val="5BEF4723"/>
    <w:rsid w:val="5BF7485F"/>
    <w:rsid w:val="5BFD4AB3"/>
    <w:rsid w:val="5BFD57E8"/>
    <w:rsid w:val="5C015121"/>
    <w:rsid w:val="5C0A3453"/>
    <w:rsid w:val="5C0F65F2"/>
    <w:rsid w:val="5C173C2D"/>
    <w:rsid w:val="5C242F58"/>
    <w:rsid w:val="5C2A31CE"/>
    <w:rsid w:val="5C384421"/>
    <w:rsid w:val="5C51066C"/>
    <w:rsid w:val="5C5265B0"/>
    <w:rsid w:val="5C662BA1"/>
    <w:rsid w:val="5C6E3947"/>
    <w:rsid w:val="5C827B46"/>
    <w:rsid w:val="5CA23B6C"/>
    <w:rsid w:val="5CA56C7A"/>
    <w:rsid w:val="5CB4587F"/>
    <w:rsid w:val="5CB5392D"/>
    <w:rsid w:val="5CEE1AD1"/>
    <w:rsid w:val="5CEF1CD5"/>
    <w:rsid w:val="5CFC130C"/>
    <w:rsid w:val="5D2056CA"/>
    <w:rsid w:val="5D2F1EA3"/>
    <w:rsid w:val="5D5F509A"/>
    <w:rsid w:val="5D674CF8"/>
    <w:rsid w:val="5D7E68F3"/>
    <w:rsid w:val="5D82708B"/>
    <w:rsid w:val="5D923EF3"/>
    <w:rsid w:val="5D9D329C"/>
    <w:rsid w:val="5DAA3E21"/>
    <w:rsid w:val="5DE7236C"/>
    <w:rsid w:val="5DF53344"/>
    <w:rsid w:val="5E0E03B6"/>
    <w:rsid w:val="5E10546C"/>
    <w:rsid w:val="5E1B5F7E"/>
    <w:rsid w:val="5E463616"/>
    <w:rsid w:val="5E4D7601"/>
    <w:rsid w:val="5E695614"/>
    <w:rsid w:val="5E8D2AC3"/>
    <w:rsid w:val="5E8E6D53"/>
    <w:rsid w:val="5EB23633"/>
    <w:rsid w:val="5EBA7D8F"/>
    <w:rsid w:val="5EC224BA"/>
    <w:rsid w:val="5ECD1C6C"/>
    <w:rsid w:val="5ED11DDE"/>
    <w:rsid w:val="5EE44C8A"/>
    <w:rsid w:val="5EEB6D5F"/>
    <w:rsid w:val="5EF047A6"/>
    <w:rsid w:val="5EF242C3"/>
    <w:rsid w:val="5F195C07"/>
    <w:rsid w:val="5F2062FC"/>
    <w:rsid w:val="5F212CC1"/>
    <w:rsid w:val="5F2B2393"/>
    <w:rsid w:val="5F313F9A"/>
    <w:rsid w:val="5F381851"/>
    <w:rsid w:val="5F61209E"/>
    <w:rsid w:val="5F6F5575"/>
    <w:rsid w:val="5F835427"/>
    <w:rsid w:val="5FC823D6"/>
    <w:rsid w:val="5FDB4E15"/>
    <w:rsid w:val="5FED406A"/>
    <w:rsid w:val="600852DD"/>
    <w:rsid w:val="602F6574"/>
    <w:rsid w:val="606C120D"/>
    <w:rsid w:val="60897B65"/>
    <w:rsid w:val="60D03F69"/>
    <w:rsid w:val="60D32635"/>
    <w:rsid w:val="60D554F1"/>
    <w:rsid w:val="60DE0F30"/>
    <w:rsid w:val="60F65E69"/>
    <w:rsid w:val="60FA7EC1"/>
    <w:rsid w:val="610457DC"/>
    <w:rsid w:val="61084FEB"/>
    <w:rsid w:val="610B4F05"/>
    <w:rsid w:val="61432ADA"/>
    <w:rsid w:val="614F4F4C"/>
    <w:rsid w:val="616502BC"/>
    <w:rsid w:val="61684EF9"/>
    <w:rsid w:val="616869BE"/>
    <w:rsid w:val="617756DB"/>
    <w:rsid w:val="618F792A"/>
    <w:rsid w:val="61942516"/>
    <w:rsid w:val="619B464A"/>
    <w:rsid w:val="61CB7B18"/>
    <w:rsid w:val="61D3345D"/>
    <w:rsid w:val="61D51448"/>
    <w:rsid w:val="61EE1426"/>
    <w:rsid w:val="62153B7B"/>
    <w:rsid w:val="622B65EA"/>
    <w:rsid w:val="623F3ADB"/>
    <w:rsid w:val="62477AE5"/>
    <w:rsid w:val="62526D0C"/>
    <w:rsid w:val="625C76B5"/>
    <w:rsid w:val="62662236"/>
    <w:rsid w:val="626732CA"/>
    <w:rsid w:val="626E44AC"/>
    <w:rsid w:val="6275464A"/>
    <w:rsid w:val="628120D0"/>
    <w:rsid w:val="62883F18"/>
    <w:rsid w:val="628C15DF"/>
    <w:rsid w:val="62933327"/>
    <w:rsid w:val="62963F8A"/>
    <w:rsid w:val="62AA1DCF"/>
    <w:rsid w:val="62B43B0D"/>
    <w:rsid w:val="62BD60CF"/>
    <w:rsid w:val="62C40D16"/>
    <w:rsid w:val="62C4748D"/>
    <w:rsid w:val="62C61E01"/>
    <w:rsid w:val="62CF0B1F"/>
    <w:rsid w:val="62D63D58"/>
    <w:rsid w:val="63125C43"/>
    <w:rsid w:val="631A5E32"/>
    <w:rsid w:val="632D1657"/>
    <w:rsid w:val="63411BAF"/>
    <w:rsid w:val="634544A7"/>
    <w:rsid w:val="634C6EEE"/>
    <w:rsid w:val="63681F80"/>
    <w:rsid w:val="63711368"/>
    <w:rsid w:val="637E248D"/>
    <w:rsid w:val="637F46F6"/>
    <w:rsid w:val="63882107"/>
    <w:rsid w:val="638A5DAB"/>
    <w:rsid w:val="63A1657D"/>
    <w:rsid w:val="63A47126"/>
    <w:rsid w:val="63A903F3"/>
    <w:rsid w:val="63DD0347"/>
    <w:rsid w:val="63E51D29"/>
    <w:rsid w:val="63E77572"/>
    <w:rsid w:val="63EB6929"/>
    <w:rsid w:val="63F33ABB"/>
    <w:rsid w:val="63F348D9"/>
    <w:rsid w:val="64040604"/>
    <w:rsid w:val="641E4151"/>
    <w:rsid w:val="642A11B5"/>
    <w:rsid w:val="64452F29"/>
    <w:rsid w:val="644D5535"/>
    <w:rsid w:val="6456236E"/>
    <w:rsid w:val="64626F6F"/>
    <w:rsid w:val="64665458"/>
    <w:rsid w:val="64893C0E"/>
    <w:rsid w:val="648E1BC0"/>
    <w:rsid w:val="64A90954"/>
    <w:rsid w:val="64B41591"/>
    <w:rsid w:val="64D812FF"/>
    <w:rsid w:val="64D92FA0"/>
    <w:rsid w:val="64DD7548"/>
    <w:rsid w:val="64E87B44"/>
    <w:rsid w:val="64EB0FBE"/>
    <w:rsid w:val="64EB7B01"/>
    <w:rsid w:val="650B17C7"/>
    <w:rsid w:val="65136AF1"/>
    <w:rsid w:val="652A6D49"/>
    <w:rsid w:val="652A7142"/>
    <w:rsid w:val="652D0A19"/>
    <w:rsid w:val="654B1B04"/>
    <w:rsid w:val="65506C25"/>
    <w:rsid w:val="65603BEF"/>
    <w:rsid w:val="657C2366"/>
    <w:rsid w:val="65815295"/>
    <w:rsid w:val="658C35E6"/>
    <w:rsid w:val="65903BC0"/>
    <w:rsid w:val="65A5003C"/>
    <w:rsid w:val="65AF6507"/>
    <w:rsid w:val="65CF6A61"/>
    <w:rsid w:val="65D22B1F"/>
    <w:rsid w:val="65E61FDC"/>
    <w:rsid w:val="65E768FB"/>
    <w:rsid w:val="65E93500"/>
    <w:rsid w:val="65F56543"/>
    <w:rsid w:val="65FA04F9"/>
    <w:rsid w:val="660671D2"/>
    <w:rsid w:val="6625244A"/>
    <w:rsid w:val="662D2B53"/>
    <w:rsid w:val="66394CCA"/>
    <w:rsid w:val="66476A3E"/>
    <w:rsid w:val="66480C92"/>
    <w:rsid w:val="66522722"/>
    <w:rsid w:val="6686208C"/>
    <w:rsid w:val="668D309D"/>
    <w:rsid w:val="669259D6"/>
    <w:rsid w:val="66AF52E3"/>
    <w:rsid w:val="66BF4894"/>
    <w:rsid w:val="66C16B41"/>
    <w:rsid w:val="66C23257"/>
    <w:rsid w:val="66C97BDC"/>
    <w:rsid w:val="66FF2696"/>
    <w:rsid w:val="67172D8C"/>
    <w:rsid w:val="672F2CB5"/>
    <w:rsid w:val="67344EEE"/>
    <w:rsid w:val="67512CD4"/>
    <w:rsid w:val="676644C1"/>
    <w:rsid w:val="679623CC"/>
    <w:rsid w:val="679E1352"/>
    <w:rsid w:val="67AA1BD4"/>
    <w:rsid w:val="67B03E1C"/>
    <w:rsid w:val="67B63ADD"/>
    <w:rsid w:val="67BA24F7"/>
    <w:rsid w:val="67BD327A"/>
    <w:rsid w:val="67BE743F"/>
    <w:rsid w:val="67DA6B74"/>
    <w:rsid w:val="67DD5CD3"/>
    <w:rsid w:val="67F4187F"/>
    <w:rsid w:val="67FD6F7B"/>
    <w:rsid w:val="680349A7"/>
    <w:rsid w:val="68046717"/>
    <w:rsid w:val="68282FC4"/>
    <w:rsid w:val="68355532"/>
    <w:rsid w:val="683B6C01"/>
    <w:rsid w:val="68522D85"/>
    <w:rsid w:val="68552A33"/>
    <w:rsid w:val="68581A6B"/>
    <w:rsid w:val="68622173"/>
    <w:rsid w:val="687766AE"/>
    <w:rsid w:val="6899197C"/>
    <w:rsid w:val="68994F42"/>
    <w:rsid w:val="689A650C"/>
    <w:rsid w:val="68A1661F"/>
    <w:rsid w:val="68A6469B"/>
    <w:rsid w:val="68C9427C"/>
    <w:rsid w:val="68E0788A"/>
    <w:rsid w:val="69082581"/>
    <w:rsid w:val="6910135B"/>
    <w:rsid w:val="69162D19"/>
    <w:rsid w:val="692A24FE"/>
    <w:rsid w:val="692C6176"/>
    <w:rsid w:val="69306998"/>
    <w:rsid w:val="693717F2"/>
    <w:rsid w:val="69442FE9"/>
    <w:rsid w:val="695A3AF9"/>
    <w:rsid w:val="696145BC"/>
    <w:rsid w:val="696463EB"/>
    <w:rsid w:val="69734D74"/>
    <w:rsid w:val="697B6A64"/>
    <w:rsid w:val="69862CE3"/>
    <w:rsid w:val="6986629D"/>
    <w:rsid w:val="699559AB"/>
    <w:rsid w:val="69A03A3C"/>
    <w:rsid w:val="69D76785"/>
    <w:rsid w:val="69F92301"/>
    <w:rsid w:val="6A152EFB"/>
    <w:rsid w:val="6A3F2D2E"/>
    <w:rsid w:val="6A425CD3"/>
    <w:rsid w:val="6A5F0006"/>
    <w:rsid w:val="6A7925A8"/>
    <w:rsid w:val="6A830B01"/>
    <w:rsid w:val="6A8A41CB"/>
    <w:rsid w:val="6A9471FA"/>
    <w:rsid w:val="6A976A33"/>
    <w:rsid w:val="6A9D6E15"/>
    <w:rsid w:val="6AA54363"/>
    <w:rsid w:val="6AB160FA"/>
    <w:rsid w:val="6AB24160"/>
    <w:rsid w:val="6ABA4896"/>
    <w:rsid w:val="6AD206F4"/>
    <w:rsid w:val="6ADF1F96"/>
    <w:rsid w:val="6AE96917"/>
    <w:rsid w:val="6AF77BC8"/>
    <w:rsid w:val="6B000B6C"/>
    <w:rsid w:val="6B050FD0"/>
    <w:rsid w:val="6B0B1044"/>
    <w:rsid w:val="6B0E317F"/>
    <w:rsid w:val="6B216572"/>
    <w:rsid w:val="6B277DA2"/>
    <w:rsid w:val="6B501A20"/>
    <w:rsid w:val="6B592A06"/>
    <w:rsid w:val="6B592D79"/>
    <w:rsid w:val="6B601C74"/>
    <w:rsid w:val="6B752969"/>
    <w:rsid w:val="6B814F29"/>
    <w:rsid w:val="6B870A98"/>
    <w:rsid w:val="6B93409E"/>
    <w:rsid w:val="6B9F4803"/>
    <w:rsid w:val="6BAC7820"/>
    <w:rsid w:val="6BC453CA"/>
    <w:rsid w:val="6BD73C64"/>
    <w:rsid w:val="6BF43D27"/>
    <w:rsid w:val="6C1B0E01"/>
    <w:rsid w:val="6C1F7BCC"/>
    <w:rsid w:val="6C4145B4"/>
    <w:rsid w:val="6C5972A7"/>
    <w:rsid w:val="6C6047AE"/>
    <w:rsid w:val="6C672D36"/>
    <w:rsid w:val="6C727941"/>
    <w:rsid w:val="6C733352"/>
    <w:rsid w:val="6C7C747A"/>
    <w:rsid w:val="6C9722BF"/>
    <w:rsid w:val="6CBB0DB3"/>
    <w:rsid w:val="6CD400B2"/>
    <w:rsid w:val="6CE97BF1"/>
    <w:rsid w:val="6D3B5A6D"/>
    <w:rsid w:val="6D404CA9"/>
    <w:rsid w:val="6D472903"/>
    <w:rsid w:val="6D69726E"/>
    <w:rsid w:val="6D723243"/>
    <w:rsid w:val="6D78793E"/>
    <w:rsid w:val="6D933E78"/>
    <w:rsid w:val="6D9E2848"/>
    <w:rsid w:val="6DA34920"/>
    <w:rsid w:val="6DA9096F"/>
    <w:rsid w:val="6DB0280C"/>
    <w:rsid w:val="6DB1336D"/>
    <w:rsid w:val="6DD75453"/>
    <w:rsid w:val="6DE97DFA"/>
    <w:rsid w:val="6DF92ABB"/>
    <w:rsid w:val="6DFC1659"/>
    <w:rsid w:val="6E044FCF"/>
    <w:rsid w:val="6E0B6526"/>
    <w:rsid w:val="6E0E1276"/>
    <w:rsid w:val="6E1809B2"/>
    <w:rsid w:val="6E1A137E"/>
    <w:rsid w:val="6E3E507C"/>
    <w:rsid w:val="6E4228F4"/>
    <w:rsid w:val="6E5E44CA"/>
    <w:rsid w:val="6E5E6AE5"/>
    <w:rsid w:val="6E915B2B"/>
    <w:rsid w:val="6EA0426C"/>
    <w:rsid w:val="6EA079FF"/>
    <w:rsid w:val="6EB73738"/>
    <w:rsid w:val="6ECF3481"/>
    <w:rsid w:val="6EE258B6"/>
    <w:rsid w:val="6EE33B44"/>
    <w:rsid w:val="6EEF486F"/>
    <w:rsid w:val="6EF401C3"/>
    <w:rsid w:val="6F1E572C"/>
    <w:rsid w:val="6F1E67F9"/>
    <w:rsid w:val="6F3B5009"/>
    <w:rsid w:val="6F4E55B4"/>
    <w:rsid w:val="6F4F7EE5"/>
    <w:rsid w:val="6F500221"/>
    <w:rsid w:val="6F7C56EC"/>
    <w:rsid w:val="6F914482"/>
    <w:rsid w:val="6F99794B"/>
    <w:rsid w:val="6FAB786B"/>
    <w:rsid w:val="6FAD5482"/>
    <w:rsid w:val="6FC2332A"/>
    <w:rsid w:val="6FD43EFC"/>
    <w:rsid w:val="6FD50C02"/>
    <w:rsid w:val="6FD6684D"/>
    <w:rsid w:val="6FF662E1"/>
    <w:rsid w:val="700269E5"/>
    <w:rsid w:val="70167118"/>
    <w:rsid w:val="70254322"/>
    <w:rsid w:val="702F65E6"/>
    <w:rsid w:val="703A0C38"/>
    <w:rsid w:val="705010AC"/>
    <w:rsid w:val="705F560F"/>
    <w:rsid w:val="706711CC"/>
    <w:rsid w:val="706F5BAF"/>
    <w:rsid w:val="707A5A81"/>
    <w:rsid w:val="70A5017C"/>
    <w:rsid w:val="70A77BAB"/>
    <w:rsid w:val="70A95B73"/>
    <w:rsid w:val="70F4527E"/>
    <w:rsid w:val="70F62ADA"/>
    <w:rsid w:val="70F9025B"/>
    <w:rsid w:val="70FE2D47"/>
    <w:rsid w:val="71071084"/>
    <w:rsid w:val="71075340"/>
    <w:rsid w:val="7126257A"/>
    <w:rsid w:val="7129391D"/>
    <w:rsid w:val="713C7E5B"/>
    <w:rsid w:val="714F1B4F"/>
    <w:rsid w:val="715C279B"/>
    <w:rsid w:val="71694FD9"/>
    <w:rsid w:val="717E46EB"/>
    <w:rsid w:val="71817136"/>
    <w:rsid w:val="71925D1D"/>
    <w:rsid w:val="71AF2210"/>
    <w:rsid w:val="71BA1641"/>
    <w:rsid w:val="71CA0D5E"/>
    <w:rsid w:val="71DB5A01"/>
    <w:rsid w:val="720C45A2"/>
    <w:rsid w:val="721915C9"/>
    <w:rsid w:val="721B753E"/>
    <w:rsid w:val="72285892"/>
    <w:rsid w:val="722C3742"/>
    <w:rsid w:val="723138DA"/>
    <w:rsid w:val="723B079F"/>
    <w:rsid w:val="724D3390"/>
    <w:rsid w:val="72577CDB"/>
    <w:rsid w:val="726A0E80"/>
    <w:rsid w:val="726D363D"/>
    <w:rsid w:val="726F39E2"/>
    <w:rsid w:val="72700C4C"/>
    <w:rsid w:val="72753C40"/>
    <w:rsid w:val="727F2BF1"/>
    <w:rsid w:val="7291426D"/>
    <w:rsid w:val="729736F6"/>
    <w:rsid w:val="72A72EF0"/>
    <w:rsid w:val="72AA0175"/>
    <w:rsid w:val="72BE185C"/>
    <w:rsid w:val="72C1068E"/>
    <w:rsid w:val="72CB47FB"/>
    <w:rsid w:val="72CE2F89"/>
    <w:rsid w:val="72EC4945"/>
    <w:rsid w:val="730640FD"/>
    <w:rsid w:val="730F547D"/>
    <w:rsid w:val="730F56F4"/>
    <w:rsid w:val="731745A4"/>
    <w:rsid w:val="731F455D"/>
    <w:rsid w:val="733539C1"/>
    <w:rsid w:val="733D5BF9"/>
    <w:rsid w:val="735348AA"/>
    <w:rsid w:val="7361714C"/>
    <w:rsid w:val="736D650D"/>
    <w:rsid w:val="736F4CA0"/>
    <w:rsid w:val="738E2B4B"/>
    <w:rsid w:val="73916DD4"/>
    <w:rsid w:val="7397022F"/>
    <w:rsid w:val="739C40DD"/>
    <w:rsid w:val="739F4721"/>
    <w:rsid w:val="73AD290B"/>
    <w:rsid w:val="73B93D66"/>
    <w:rsid w:val="73C17A50"/>
    <w:rsid w:val="73D33243"/>
    <w:rsid w:val="73D4049D"/>
    <w:rsid w:val="73DD3E20"/>
    <w:rsid w:val="73E2566E"/>
    <w:rsid w:val="73F2290F"/>
    <w:rsid w:val="73F365ED"/>
    <w:rsid w:val="73FD1032"/>
    <w:rsid w:val="741930C3"/>
    <w:rsid w:val="742C3B03"/>
    <w:rsid w:val="743D2D86"/>
    <w:rsid w:val="744805BD"/>
    <w:rsid w:val="744A3664"/>
    <w:rsid w:val="744D6CBF"/>
    <w:rsid w:val="74643211"/>
    <w:rsid w:val="74655062"/>
    <w:rsid w:val="746F4E37"/>
    <w:rsid w:val="74760FAD"/>
    <w:rsid w:val="747F51EF"/>
    <w:rsid w:val="74876F9D"/>
    <w:rsid w:val="748F4977"/>
    <w:rsid w:val="7498369C"/>
    <w:rsid w:val="749A2D3C"/>
    <w:rsid w:val="74AA2250"/>
    <w:rsid w:val="74AD131B"/>
    <w:rsid w:val="74D62315"/>
    <w:rsid w:val="74DF6994"/>
    <w:rsid w:val="750055AC"/>
    <w:rsid w:val="75063B1B"/>
    <w:rsid w:val="750A66F9"/>
    <w:rsid w:val="750F1BBD"/>
    <w:rsid w:val="75273D41"/>
    <w:rsid w:val="758A653E"/>
    <w:rsid w:val="75961649"/>
    <w:rsid w:val="75A00FB4"/>
    <w:rsid w:val="75AD2456"/>
    <w:rsid w:val="75B400F6"/>
    <w:rsid w:val="75BF4F30"/>
    <w:rsid w:val="75CF5209"/>
    <w:rsid w:val="75D950F9"/>
    <w:rsid w:val="75DE109D"/>
    <w:rsid w:val="760264FF"/>
    <w:rsid w:val="760C57AA"/>
    <w:rsid w:val="76163BCE"/>
    <w:rsid w:val="761B0B1B"/>
    <w:rsid w:val="7628188A"/>
    <w:rsid w:val="765062A0"/>
    <w:rsid w:val="765A7B39"/>
    <w:rsid w:val="7663289D"/>
    <w:rsid w:val="76790ADF"/>
    <w:rsid w:val="768E7646"/>
    <w:rsid w:val="76A26E06"/>
    <w:rsid w:val="76B2276B"/>
    <w:rsid w:val="76BB585B"/>
    <w:rsid w:val="76D96FB9"/>
    <w:rsid w:val="76E94E87"/>
    <w:rsid w:val="76F20DF1"/>
    <w:rsid w:val="76F25203"/>
    <w:rsid w:val="77106EBA"/>
    <w:rsid w:val="77163160"/>
    <w:rsid w:val="77214A06"/>
    <w:rsid w:val="77215136"/>
    <w:rsid w:val="77280247"/>
    <w:rsid w:val="772B5EA8"/>
    <w:rsid w:val="77454297"/>
    <w:rsid w:val="77470D82"/>
    <w:rsid w:val="775B6A00"/>
    <w:rsid w:val="777D19FE"/>
    <w:rsid w:val="778871A2"/>
    <w:rsid w:val="77921AE7"/>
    <w:rsid w:val="77A410DD"/>
    <w:rsid w:val="77AE0995"/>
    <w:rsid w:val="77B62C23"/>
    <w:rsid w:val="77C37958"/>
    <w:rsid w:val="77D508C0"/>
    <w:rsid w:val="77D90358"/>
    <w:rsid w:val="77F3010A"/>
    <w:rsid w:val="780633D3"/>
    <w:rsid w:val="782153AB"/>
    <w:rsid w:val="78270A88"/>
    <w:rsid w:val="782D1666"/>
    <w:rsid w:val="7843175F"/>
    <w:rsid w:val="78454347"/>
    <w:rsid w:val="78543434"/>
    <w:rsid w:val="78631056"/>
    <w:rsid w:val="786D0427"/>
    <w:rsid w:val="78737360"/>
    <w:rsid w:val="78974FFF"/>
    <w:rsid w:val="78B3330A"/>
    <w:rsid w:val="78C01BC8"/>
    <w:rsid w:val="78CD436F"/>
    <w:rsid w:val="78E368F2"/>
    <w:rsid w:val="791B2136"/>
    <w:rsid w:val="793D4ABD"/>
    <w:rsid w:val="79492CDF"/>
    <w:rsid w:val="79802F5F"/>
    <w:rsid w:val="798749BE"/>
    <w:rsid w:val="798E7305"/>
    <w:rsid w:val="79B026C3"/>
    <w:rsid w:val="79BA618A"/>
    <w:rsid w:val="79C30A9C"/>
    <w:rsid w:val="79C4400F"/>
    <w:rsid w:val="79CB2A85"/>
    <w:rsid w:val="79E20658"/>
    <w:rsid w:val="7A001C0B"/>
    <w:rsid w:val="7A2351C7"/>
    <w:rsid w:val="7A3E739D"/>
    <w:rsid w:val="7A68176E"/>
    <w:rsid w:val="7A6A0313"/>
    <w:rsid w:val="7A8E6064"/>
    <w:rsid w:val="7AA263E9"/>
    <w:rsid w:val="7AB13763"/>
    <w:rsid w:val="7AD043A4"/>
    <w:rsid w:val="7AED691F"/>
    <w:rsid w:val="7AF0153E"/>
    <w:rsid w:val="7AF75B8C"/>
    <w:rsid w:val="7B2A6400"/>
    <w:rsid w:val="7B314879"/>
    <w:rsid w:val="7B3E431F"/>
    <w:rsid w:val="7B4547A4"/>
    <w:rsid w:val="7B4A7450"/>
    <w:rsid w:val="7B5778B1"/>
    <w:rsid w:val="7B6B503D"/>
    <w:rsid w:val="7B783589"/>
    <w:rsid w:val="7B8B3E2D"/>
    <w:rsid w:val="7B8C6F4A"/>
    <w:rsid w:val="7B8D3EC5"/>
    <w:rsid w:val="7BC27F33"/>
    <w:rsid w:val="7BCE5BDE"/>
    <w:rsid w:val="7BE12942"/>
    <w:rsid w:val="7BE71E9D"/>
    <w:rsid w:val="7C130F84"/>
    <w:rsid w:val="7C161AE6"/>
    <w:rsid w:val="7C3743DA"/>
    <w:rsid w:val="7C505E7A"/>
    <w:rsid w:val="7C5B4826"/>
    <w:rsid w:val="7C851534"/>
    <w:rsid w:val="7C882158"/>
    <w:rsid w:val="7C8E0964"/>
    <w:rsid w:val="7C973094"/>
    <w:rsid w:val="7CA43F68"/>
    <w:rsid w:val="7CA91C4F"/>
    <w:rsid w:val="7CAD2604"/>
    <w:rsid w:val="7CD56075"/>
    <w:rsid w:val="7CE771D7"/>
    <w:rsid w:val="7CFF419F"/>
    <w:rsid w:val="7D06381E"/>
    <w:rsid w:val="7D0C4762"/>
    <w:rsid w:val="7D2B6B73"/>
    <w:rsid w:val="7D2C4A96"/>
    <w:rsid w:val="7D2E3A96"/>
    <w:rsid w:val="7D3578D6"/>
    <w:rsid w:val="7D49333C"/>
    <w:rsid w:val="7D6E66D5"/>
    <w:rsid w:val="7D7D108B"/>
    <w:rsid w:val="7D8C0CB6"/>
    <w:rsid w:val="7D8C5DEA"/>
    <w:rsid w:val="7D9F16FD"/>
    <w:rsid w:val="7DBB12A7"/>
    <w:rsid w:val="7DC33BE2"/>
    <w:rsid w:val="7DCF183C"/>
    <w:rsid w:val="7DD86355"/>
    <w:rsid w:val="7DDB2C21"/>
    <w:rsid w:val="7DE70D9D"/>
    <w:rsid w:val="7DED64A1"/>
    <w:rsid w:val="7DEF258E"/>
    <w:rsid w:val="7DF52A8D"/>
    <w:rsid w:val="7DF76440"/>
    <w:rsid w:val="7E013C02"/>
    <w:rsid w:val="7E015A30"/>
    <w:rsid w:val="7E0E140A"/>
    <w:rsid w:val="7E1E15DD"/>
    <w:rsid w:val="7E2B53AE"/>
    <w:rsid w:val="7E2E19B0"/>
    <w:rsid w:val="7E4F62D5"/>
    <w:rsid w:val="7E63691E"/>
    <w:rsid w:val="7E814A68"/>
    <w:rsid w:val="7E900B7E"/>
    <w:rsid w:val="7E99309E"/>
    <w:rsid w:val="7EB7298D"/>
    <w:rsid w:val="7EC15ADF"/>
    <w:rsid w:val="7EC7328B"/>
    <w:rsid w:val="7EC81C49"/>
    <w:rsid w:val="7ED31585"/>
    <w:rsid w:val="7ED7341E"/>
    <w:rsid w:val="7EEA4D35"/>
    <w:rsid w:val="7EEB51F6"/>
    <w:rsid w:val="7EED1710"/>
    <w:rsid w:val="7F124B9B"/>
    <w:rsid w:val="7F3B13D4"/>
    <w:rsid w:val="7F582019"/>
    <w:rsid w:val="7F596ADA"/>
    <w:rsid w:val="7F5C03E2"/>
    <w:rsid w:val="7F651C1D"/>
    <w:rsid w:val="7F6573BE"/>
    <w:rsid w:val="7F6678BE"/>
    <w:rsid w:val="7F8419B7"/>
    <w:rsid w:val="7F924AA7"/>
    <w:rsid w:val="7F9528CE"/>
    <w:rsid w:val="7FC0112C"/>
    <w:rsid w:val="7FC8149F"/>
    <w:rsid w:val="7FCF3BB2"/>
    <w:rsid w:val="7FD94153"/>
    <w:rsid w:val="7FF7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96"/>
    <w:qFormat/>
    <w:uiPriority w:val="0"/>
    <w:pPr>
      <w:keepNext/>
      <w:keepLines/>
      <w:adjustRightInd w:val="0"/>
      <w:snapToGrid w:val="0"/>
      <w:spacing w:before="156" w:beforeLines="50" w:line="360" w:lineRule="auto"/>
      <w:jc w:val="left"/>
      <w:outlineLvl w:val="0"/>
    </w:pPr>
    <w:rPr>
      <w:rFonts w:eastAsia="黑体"/>
      <w:b/>
      <w:kern w:val="44"/>
      <w:sz w:val="32"/>
    </w:rPr>
  </w:style>
  <w:style w:type="paragraph" w:styleId="6">
    <w:name w:val="heading 2"/>
    <w:basedOn w:val="7"/>
    <w:next w:val="1"/>
    <w:link w:val="68"/>
    <w:qFormat/>
    <w:uiPriority w:val="0"/>
    <w:pPr>
      <w:keepNext/>
      <w:keepLines/>
      <w:tabs>
        <w:tab w:val="left" w:pos="630"/>
      </w:tabs>
      <w:spacing w:before="260" w:after="120" w:line="360" w:lineRule="auto"/>
      <w:ind w:left="936" w:hanging="576"/>
      <w:outlineLvl w:val="1"/>
    </w:pPr>
    <w:rPr>
      <w:sz w:val="32"/>
    </w:rPr>
  </w:style>
  <w:style w:type="paragraph" w:styleId="8">
    <w:name w:val="heading 3"/>
    <w:basedOn w:val="1"/>
    <w:next w:val="9"/>
    <w:link w:val="51"/>
    <w:qFormat/>
    <w:uiPriority w:val="0"/>
    <w:pPr>
      <w:keepNext/>
      <w:keepLines/>
      <w:spacing w:before="260" w:after="260" w:line="416" w:lineRule="auto"/>
      <w:outlineLvl w:val="2"/>
    </w:pPr>
    <w:rPr>
      <w:b/>
      <w:bCs/>
      <w:sz w:val="32"/>
      <w:szCs w:val="32"/>
    </w:rPr>
  </w:style>
  <w:style w:type="paragraph" w:styleId="10">
    <w:name w:val="heading 4"/>
    <w:basedOn w:val="1"/>
    <w:next w:val="1"/>
    <w:link w:val="52"/>
    <w:qFormat/>
    <w:uiPriority w:val="0"/>
    <w:pPr>
      <w:keepNext/>
      <w:keepLines/>
      <w:widowControl/>
      <w:adjustRightInd w:val="0"/>
      <w:snapToGrid w:val="0"/>
      <w:spacing w:before="280" w:after="290" w:line="376" w:lineRule="auto"/>
      <w:jc w:val="left"/>
      <w:outlineLvl w:val="3"/>
    </w:pPr>
    <w:rPr>
      <w:rFonts w:ascii="Cambria" w:hAnsi="Cambria"/>
      <w:b/>
      <w:bCs/>
      <w:kern w:val="0"/>
      <w:sz w:val="28"/>
      <w:szCs w:val="28"/>
    </w:rPr>
  </w:style>
  <w:style w:type="character" w:default="1" w:styleId="43">
    <w:name w:val="Default Paragraph Font"/>
    <w:link w:val="44"/>
    <w:semiHidden/>
    <w:unhideWhenUsed/>
    <w:qFormat/>
    <w:uiPriority w:val="1"/>
    <w:rPr>
      <w:rFonts w:ascii="Calibri" w:hAnsi="Calibri"/>
      <w:szCs w:val="22"/>
    </w:rPr>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103"/>
    <w:qFormat/>
    <w:uiPriority w:val="0"/>
    <w:pPr>
      <w:adjustRightInd w:val="0"/>
      <w:snapToGrid w:val="0"/>
      <w:spacing w:before="156" w:beforeLines="50" w:after="0" w:line="360" w:lineRule="auto"/>
      <w:ind w:firstLine="200" w:firstLineChars="200"/>
    </w:pPr>
    <w:rPr>
      <w:sz w:val="24"/>
    </w:rPr>
  </w:style>
  <w:style w:type="paragraph" w:styleId="3">
    <w:name w:val="Body Text"/>
    <w:basedOn w:val="1"/>
    <w:next w:val="4"/>
    <w:link w:val="64"/>
    <w:qFormat/>
    <w:uiPriority w:val="0"/>
    <w:pPr>
      <w:spacing w:after="120"/>
    </w:pPr>
  </w:style>
  <w:style w:type="paragraph" w:customStyle="1" w:styleId="4">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9">
    <w:name w:val="Normal Indent"/>
    <w:basedOn w:val="1"/>
    <w:link w:val="75"/>
    <w:qFormat/>
    <w:uiPriority w:val="0"/>
    <w:pPr>
      <w:jc w:val="center"/>
    </w:pPr>
    <w:rPr>
      <w:rFonts w:eastAsia="黑体"/>
      <w:sz w:val="24"/>
      <w:szCs w:val="21"/>
    </w:rPr>
  </w:style>
  <w:style w:type="paragraph" w:styleId="11">
    <w:name w:val="toc 7"/>
    <w:basedOn w:val="1"/>
    <w:next w:val="1"/>
    <w:qFormat/>
    <w:uiPriority w:val="0"/>
    <w:pPr>
      <w:ind w:left="2520" w:leftChars="1200"/>
    </w:pPr>
    <w:rPr>
      <w:szCs w:val="24"/>
    </w:rPr>
  </w:style>
  <w:style w:type="paragraph" w:styleId="12">
    <w:name w:val="Note Heading"/>
    <w:basedOn w:val="1"/>
    <w:next w:val="1"/>
    <w:qFormat/>
    <w:uiPriority w:val="0"/>
    <w:pPr>
      <w:jc w:val="center"/>
    </w:pPr>
  </w:style>
  <w:style w:type="paragraph" w:styleId="13">
    <w:name w:val="caption"/>
    <w:basedOn w:val="1"/>
    <w:next w:val="1"/>
    <w:qFormat/>
    <w:uiPriority w:val="0"/>
    <w:pPr>
      <w:adjustRightInd w:val="0"/>
      <w:snapToGrid w:val="0"/>
      <w:spacing w:line="360" w:lineRule="auto"/>
      <w:jc w:val="left"/>
    </w:pPr>
    <w:rPr>
      <w:rFonts w:eastAsia="黑体"/>
      <w:sz w:val="24"/>
    </w:rPr>
  </w:style>
  <w:style w:type="paragraph" w:styleId="14">
    <w:name w:val="List Bullet"/>
    <w:basedOn w:val="1"/>
    <w:qFormat/>
    <w:uiPriority w:val="0"/>
    <w:pPr>
      <w:numPr>
        <w:ilvl w:val="0"/>
        <w:numId w:val="1"/>
      </w:numPr>
      <w:tabs>
        <w:tab w:val="left" w:pos="360"/>
      </w:tabs>
    </w:pPr>
  </w:style>
  <w:style w:type="paragraph" w:styleId="15">
    <w:name w:val="Document Map"/>
    <w:basedOn w:val="1"/>
    <w:semiHidden/>
    <w:qFormat/>
    <w:uiPriority w:val="0"/>
    <w:pPr>
      <w:shd w:val="clear" w:color="auto" w:fill="000080"/>
    </w:pPr>
  </w:style>
  <w:style w:type="paragraph" w:styleId="16">
    <w:name w:val="annotation text"/>
    <w:basedOn w:val="1"/>
    <w:link w:val="74"/>
    <w:qFormat/>
    <w:uiPriority w:val="0"/>
    <w:pPr>
      <w:jc w:val="left"/>
    </w:pPr>
  </w:style>
  <w:style w:type="paragraph" w:styleId="17">
    <w:name w:val="Body Text Indent"/>
    <w:basedOn w:val="1"/>
    <w:link w:val="66"/>
    <w:qFormat/>
    <w:uiPriority w:val="0"/>
    <w:pPr>
      <w:spacing w:after="120"/>
      <w:ind w:left="420" w:leftChars="200"/>
    </w:pPr>
  </w:style>
  <w:style w:type="paragraph" w:styleId="18">
    <w:name w:val="Block Text"/>
    <w:basedOn w:val="1"/>
    <w:qFormat/>
    <w:uiPriority w:val="0"/>
    <w:pPr>
      <w:spacing w:line="500" w:lineRule="exact"/>
      <w:ind w:left="-105" w:leftChars="-50" w:right="-105" w:rightChars="-50"/>
      <w:jc w:val="center"/>
    </w:pPr>
    <w:rPr>
      <w:rFonts w:eastAsia="仿宋_GB2312"/>
      <w:sz w:val="28"/>
      <w:szCs w:val="24"/>
    </w:rPr>
  </w:style>
  <w:style w:type="paragraph" w:styleId="19">
    <w:name w:val="toc 5"/>
    <w:basedOn w:val="1"/>
    <w:next w:val="1"/>
    <w:qFormat/>
    <w:uiPriority w:val="0"/>
    <w:pPr>
      <w:ind w:left="1680" w:leftChars="800"/>
    </w:pPr>
    <w:rPr>
      <w:szCs w:val="24"/>
    </w:rPr>
  </w:style>
  <w:style w:type="paragraph" w:styleId="20">
    <w:name w:val="toc 3"/>
    <w:basedOn w:val="1"/>
    <w:next w:val="1"/>
    <w:qFormat/>
    <w:uiPriority w:val="0"/>
    <w:pPr>
      <w:ind w:left="840" w:leftChars="400"/>
    </w:pPr>
    <w:rPr>
      <w:szCs w:val="24"/>
    </w:rPr>
  </w:style>
  <w:style w:type="paragraph" w:styleId="21">
    <w:name w:val="Plain Text"/>
    <w:basedOn w:val="1"/>
    <w:link w:val="70"/>
    <w:qFormat/>
    <w:uiPriority w:val="0"/>
    <w:rPr>
      <w:rFonts w:ascii="宋体" w:hAnsi="Courier New"/>
    </w:rPr>
  </w:style>
  <w:style w:type="paragraph" w:styleId="22">
    <w:name w:val="toc 8"/>
    <w:basedOn w:val="1"/>
    <w:next w:val="1"/>
    <w:qFormat/>
    <w:uiPriority w:val="0"/>
    <w:pPr>
      <w:ind w:left="2940" w:leftChars="1400"/>
    </w:pPr>
    <w:rPr>
      <w:szCs w:val="24"/>
    </w:rPr>
  </w:style>
  <w:style w:type="paragraph" w:styleId="23">
    <w:name w:val="Date"/>
    <w:basedOn w:val="1"/>
    <w:next w:val="1"/>
    <w:qFormat/>
    <w:uiPriority w:val="0"/>
    <w:pPr>
      <w:ind w:left="100" w:leftChars="2500"/>
    </w:pPr>
  </w:style>
  <w:style w:type="paragraph" w:styleId="24">
    <w:name w:val="Body Text Indent 2"/>
    <w:basedOn w:val="1"/>
    <w:qFormat/>
    <w:uiPriority w:val="0"/>
    <w:pPr>
      <w:spacing w:after="120" w:line="480" w:lineRule="auto"/>
      <w:ind w:left="420" w:leftChars="200"/>
    </w:pPr>
  </w:style>
  <w:style w:type="paragraph" w:styleId="25">
    <w:name w:val="Balloon Text"/>
    <w:basedOn w:val="1"/>
    <w:link w:val="89"/>
    <w:qFormat/>
    <w:uiPriority w:val="0"/>
    <w:rPr>
      <w:sz w:val="18"/>
      <w:szCs w:val="18"/>
    </w:rPr>
  </w:style>
  <w:style w:type="paragraph" w:styleId="26">
    <w:name w:val="footer"/>
    <w:basedOn w:val="1"/>
    <w:link w:val="105"/>
    <w:qFormat/>
    <w:uiPriority w:val="99"/>
    <w:pPr>
      <w:tabs>
        <w:tab w:val="center" w:pos="4153"/>
        <w:tab w:val="right" w:pos="8306"/>
      </w:tabs>
      <w:snapToGrid w:val="0"/>
      <w:jc w:val="left"/>
    </w:pPr>
    <w:rPr>
      <w:sz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tabs>
        <w:tab w:val="right" w:leader="dot" w:pos="8891"/>
      </w:tabs>
      <w:spacing w:line="360" w:lineRule="auto"/>
    </w:pPr>
    <w:rPr>
      <w:sz w:val="28"/>
    </w:rPr>
  </w:style>
  <w:style w:type="paragraph" w:styleId="29">
    <w:name w:val="toc 4"/>
    <w:basedOn w:val="1"/>
    <w:next w:val="1"/>
    <w:qFormat/>
    <w:uiPriority w:val="0"/>
    <w:pPr>
      <w:ind w:left="1260" w:leftChars="600"/>
    </w:pPr>
    <w:rPr>
      <w:szCs w:val="24"/>
    </w:rPr>
  </w:style>
  <w:style w:type="paragraph" w:styleId="30">
    <w:name w:val="List Number 5"/>
    <w:basedOn w:val="1"/>
    <w:qFormat/>
    <w:uiPriority w:val="0"/>
    <w:pPr>
      <w:numPr>
        <w:ilvl w:val="0"/>
        <w:numId w:val="2"/>
      </w:numPr>
      <w:tabs>
        <w:tab w:val="left" w:pos="2040"/>
      </w:tabs>
    </w:pPr>
  </w:style>
  <w:style w:type="paragraph" w:styleId="31">
    <w:name w:val="List"/>
    <w:basedOn w:val="1"/>
    <w:qFormat/>
    <w:uiPriority w:val="0"/>
    <w:pPr>
      <w:widowControl/>
      <w:ind w:left="200" w:hanging="200" w:hangingChars="200"/>
      <w:jc w:val="left"/>
    </w:pPr>
    <w:rPr>
      <w:rFonts w:ascii="宋体" w:hAnsi="宋体" w:cs="宋体"/>
      <w:kern w:val="0"/>
      <w:sz w:val="24"/>
      <w:szCs w:val="24"/>
    </w:rPr>
  </w:style>
  <w:style w:type="paragraph" w:styleId="32">
    <w:name w:val="toc 6"/>
    <w:basedOn w:val="1"/>
    <w:next w:val="1"/>
    <w:qFormat/>
    <w:uiPriority w:val="0"/>
    <w:pPr>
      <w:ind w:left="2100" w:leftChars="1000"/>
    </w:pPr>
    <w:rPr>
      <w:szCs w:val="24"/>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0"/>
    <w:pPr>
      <w:ind w:left="420" w:leftChars="200"/>
    </w:pPr>
    <w:rPr>
      <w:szCs w:val="24"/>
    </w:rPr>
  </w:style>
  <w:style w:type="paragraph" w:styleId="35">
    <w:name w:val="toc 9"/>
    <w:basedOn w:val="1"/>
    <w:next w:val="1"/>
    <w:qFormat/>
    <w:uiPriority w:val="0"/>
    <w:pPr>
      <w:ind w:left="3360" w:leftChars="1600"/>
    </w:pPr>
    <w:rPr>
      <w:szCs w:val="24"/>
    </w:rPr>
  </w:style>
  <w:style w:type="paragraph" w:styleId="36">
    <w:name w:val="Body Text 2"/>
    <w:basedOn w:val="1"/>
    <w:qFormat/>
    <w:uiPriority w:val="0"/>
    <w:pPr>
      <w:spacing w:after="120" w:line="480" w:lineRule="auto"/>
    </w:p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38">
    <w:name w:val="annotation subject"/>
    <w:basedOn w:val="16"/>
    <w:next w:val="16"/>
    <w:link w:val="86"/>
    <w:qFormat/>
    <w:uiPriority w:val="0"/>
    <w:rPr>
      <w:b/>
      <w:bCs/>
    </w:rPr>
  </w:style>
  <w:style w:type="paragraph" w:styleId="39">
    <w:name w:val="Body Text First Indent 2"/>
    <w:basedOn w:val="17"/>
    <w:qFormat/>
    <w:uiPriority w:val="0"/>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Grid 5"/>
    <w:basedOn w:val="40"/>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paragraph" w:customStyle="1" w:styleId="44">
    <w:name w:val="默认段落字体 Para Char Char Char Char Char Char Char"/>
    <w:basedOn w:val="1"/>
    <w:link w:val="43"/>
    <w:qFormat/>
    <w:uiPriority w:val="0"/>
    <w:rPr>
      <w:rFonts w:ascii="Calibri" w:hAnsi="Calibri"/>
      <w:szCs w:val="22"/>
    </w:rPr>
  </w:style>
  <w:style w:type="character" w:styleId="45">
    <w:name w:val="Strong"/>
    <w:qFormat/>
    <w:uiPriority w:val="0"/>
    <w:rPr>
      <w:b/>
      <w:bCs/>
    </w:rPr>
  </w:style>
  <w:style w:type="character" w:styleId="46">
    <w:name w:val="page number"/>
    <w:basedOn w:val="43"/>
    <w:qFormat/>
    <w:uiPriority w:val="0"/>
  </w:style>
  <w:style w:type="character" w:styleId="47">
    <w:name w:val="FollowedHyperlink"/>
    <w:qFormat/>
    <w:uiPriority w:val="0"/>
    <w:rPr>
      <w:color w:val="800080"/>
      <w:u w:val="none"/>
    </w:rPr>
  </w:style>
  <w:style w:type="character" w:styleId="48">
    <w:name w:val="Emphasis"/>
    <w:qFormat/>
    <w:uiPriority w:val="0"/>
    <w:rPr>
      <w:i/>
    </w:rPr>
  </w:style>
  <w:style w:type="character" w:styleId="49">
    <w:name w:val="Hyperlink"/>
    <w:qFormat/>
    <w:uiPriority w:val="99"/>
    <w:rPr>
      <w:color w:val="0000FF"/>
      <w:u w:val="none"/>
    </w:rPr>
  </w:style>
  <w:style w:type="character" w:styleId="50">
    <w:name w:val="annotation reference"/>
    <w:basedOn w:val="43"/>
    <w:qFormat/>
    <w:uiPriority w:val="0"/>
    <w:rPr>
      <w:sz w:val="21"/>
      <w:szCs w:val="21"/>
    </w:rPr>
  </w:style>
  <w:style w:type="character" w:customStyle="1" w:styleId="51">
    <w:name w:val="标题 3 字符"/>
    <w:link w:val="8"/>
    <w:qFormat/>
    <w:uiPriority w:val="0"/>
    <w:rPr>
      <w:b/>
      <w:bCs/>
      <w:kern w:val="2"/>
      <w:sz w:val="32"/>
      <w:szCs w:val="32"/>
    </w:rPr>
  </w:style>
  <w:style w:type="character" w:customStyle="1" w:styleId="52">
    <w:name w:val="标题 4 字符"/>
    <w:link w:val="10"/>
    <w:qFormat/>
    <w:uiPriority w:val="0"/>
    <w:rPr>
      <w:rFonts w:ascii="Cambria" w:hAnsi="Cambria"/>
      <w:b/>
      <w:bCs/>
      <w:sz w:val="28"/>
      <w:szCs w:val="28"/>
    </w:rPr>
  </w:style>
  <w:style w:type="paragraph" w:customStyle="1" w:styleId="53">
    <w:name w:val="Default"/>
    <w:link w:val="92"/>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4">
    <w:name w:val="四级条标题"/>
    <w:basedOn w:val="55"/>
    <w:next w:val="59"/>
    <w:qFormat/>
    <w:uiPriority w:val="0"/>
    <w:pPr>
      <w:widowControl/>
      <w:numPr>
        <w:ilvl w:val="3"/>
        <w:numId w:val="0"/>
      </w:numPr>
      <w:outlineLvl w:val="5"/>
    </w:pPr>
    <w:rPr>
      <w:rFonts w:ascii="黑体" w:eastAsia="黑体"/>
      <w:kern w:val="0"/>
      <w:szCs w:val="20"/>
    </w:rPr>
  </w:style>
  <w:style w:type="paragraph" w:customStyle="1" w:styleId="55">
    <w:name w:val="三级条标题"/>
    <w:basedOn w:val="56"/>
    <w:next w:val="59"/>
    <w:qFormat/>
    <w:uiPriority w:val="0"/>
    <w:pPr>
      <w:numPr>
        <w:ilvl w:val="3"/>
        <w:numId w:val="0"/>
      </w:numPr>
      <w:outlineLvl w:val="4"/>
    </w:pPr>
  </w:style>
  <w:style w:type="paragraph" w:customStyle="1" w:styleId="56">
    <w:name w:val="二级条标题"/>
    <w:basedOn w:val="57"/>
    <w:next w:val="59"/>
    <w:qFormat/>
    <w:uiPriority w:val="0"/>
    <w:pPr>
      <w:numPr>
        <w:ilvl w:val="3"/>
        <w:numId w:val="3"/>
      </w:numPr>
      <w:outlineLvl w:val="3"/>
    </w:pPr>
  </w:style>
  <w:style w:type="paragraph" w:customStyle="1" w:styleId="57">
    <w:name w:val="一级条标题"/>
    <w:basedOn w:val="58"/>
    <w:next w:val="59"/>
    <w:qFormat/>
    <w:uiPriority w:val="0"/>
    <w:pPr>
      <w:numPr>
        <w:ilvl w:val="2"/>
        <w:numId w:val="3"/>
      </w:numPr>
      <w:spacing w:before="0" w:beforeLines="0" w:after="0" w:afterLines="0"/>
      <w:outlineLvl w:val="2"/>
    </w:pPr>
  </w:style>
  <w:style w:type="paragraph" w:customStyle="1" w:styleId="58">
    <w:name w:val="章标题"/>
    <w:next w:val="5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5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0">
    <w:name w:val="font51"/>
    <w:qFormat/>
    <w:uiPriority w:val="0"/>
    <w:rPr>
      <w:rFonts w:hint="eastAsia" w:ascii="宋体" w:hAnsi="宋体" w:eastAsia="宋体" w:cs="宋体"/>
      <w:color w:val="000000"/>
      <w:sz w:val="20"/>
      <w:szCs w:val="20"/>
      <w:u w:val="none"/>
    </w:rPr>
  </w:style>
  <w:style w:type="character" w:customStyle="1" w:styleId="61">
    <w:name w:val="Char Char6"/>
    <w:semiHidden/>
    <w:qFormat/>
    <w:locked/>
    <w:uiPriority w:val="0"/>
    <w:rPr>
      <w:rFonts w:ascii="宋体" w:hAnsi="宋体" w:eastAsia="宋体"/>
      <w:kern w:val="2"/>
      <w:sz w:val="18"/>
      <w:szCs w:val="18"/>
      <w:lang w:val="en-US" w:eastAsia="zh-CN" w:bidi="ar-SA"/>
    </w:rPr>
  </w:style>
  <w:style w:type="character" w:customStyle="1" w:styleId="62">
    <w:name w:val="表 Char"/>
    <w:link w:val="63"/>
    <w:qFormat/>
    <w:uiPriority w:val="0"/>
    <w:rPr>
      <w:sz w:val="24"/>
      <w:lang w:val="en-US" w:eastAsia="zh-CN" w:bidi="ar-SA"/>
    </w:rPr>
  </w:style>
  <w:style w:type="paragraph" w:customStyle="1" w:styleId="63">
    <w:name w:val="表"/>
    <w:link w:val="62"/>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character" w:customStyle="1" w:styleId="64">
    <w:name w:val="正文文本 字符"/>
    <w:link w:val="3"/>
    <w:qFormat/>
    <w:uiPriority w:val="0"/>
    <w:rPr>
      <w:kern w:val="2"/>
      <w:sz w:val="21"/>
    </w:rPr>
  </w:style>
  <w:style w:type="character" w:customStyle="1" w:styleId="65">
    <w:name w:val="postbody1"/>
    <w:qFormat/>
    <w:uiPriority w:val="0"/>
    <w:rPr>
      <w:sz w:val="21"/>
      <w:szCs w:val="21"/>
    </w:rPr>
  </w:style>
  <w:style w:type="character" w:customStyle="1" w:styleId="66">
    <w:name w:val="正文文本缩进 字符"/>
    <w:link w:val="17"/>
    <w:qFormat/>
    <w:uiPriority w:val="0"/>
    <w:rPr>
      <w:kern w:val="2"/>
      <w:sz w:val="21"/>
    </w:rPr>
  </w:style>
  <w:style w:type="character" w:customStyle="1" w:styleId="67">
    <w:name w:val="font31"/>
    <w:basedOn w:val="43"/>
    <w:qFormat/>
    <w:uiPriority w:val="0"/>
    <w:rPr>
      <w:rFonts w:hint="default" w:ascii="Times New Roman" w:hAnsi="Times New Roman" w:cs="Times New Roman"/>
      <w:color w:val="000000"/>
      <w:sz w:val="21"/>
      <w:szCs w:val="21"/>
      <w:u w:val="none"/>
    </w:rPr>
  </w:style>
  <w:style w:type="character" w:customStyle="1" w:styleId="68">
    <w:name w:val="标题 2 字符"/>
    <w:link w:val="6"/>
    <w:qFormat/>
    <w:uiPriority w:val="0"/>
    <w:rPr>
      <w:b/>
      <w:kern w:val="2"/>
      <w:sz w:val="32"/>
    </w:rPr>
  </w:style>
  <w:style w:type="character" w:customStyle="1" w:styleId="69">
    <w:name w:val="普通文字 Char Char1"/>
    <w:qFormat/>
    <w:uiPriority w:val="0"/>
    <w:rPr>
      <w:rFonts w:ascii="宋体" w:hAnsi="Courier New" w:eastAsia="宋体"/>
      <w:kern w:val="2"/>
      <w:sz w:val="21"/>
      <w:lang w:val="en-US" w:eastAsia="zh-CN" w:bidi="ar-SA"/>
    </w:rPr>
  </w:style>
  <w:style w:type="character" w:customStyle="1" w:styleId="70">
    <w:name w:val="纯文本 字符"/>
    <w:link w:val="21"/>
    <w:qFormat/>
    <w:uiPriority w:val="0"/>
    <w:rPr>
      <w:rFonts w:ascii="宋体" w:hAnsi="Courier New" w:eastAsia="宋体"/>
      <w:kern w:val="2"/>
      <w:sz w:val="21"/>
      <w:lang w:val="en-US" w:eastAsia="zh-CN" w:bidi="ar-SA"/>
    </w:rPr>
  </w:style>
  <w:style w:type="character" w:customStyle="1" w:styleId="71">
    <w:name w:val="表格第一行 Char Char"/>
    <w:link w:val="72"/>
    <w:qFormat/>
    <w:uiPriority w:val="0"/>
    <w:rPr>
      <w:b/>
      <w:szCs w:val="21"/>
    </w:rPr>
  </w:style>
  <w:style w:type="paragraph" w:customStyle="1" w:styleId="72">
    <w:name w:val="表格第一行"/>
    <w:basedOn w:val="1"/>
    <w:link w:val="71"/>
    <w:qFormat/>
    <w:uiPriority w:val="0"/>
    <w:pPr>
      <w:widowControl/>
      <w:adjustRightInd w:val="0"/>
      <w:snapToGrid w:val="0"/>
      <w:spacing w:before="156" w:after="156"/>
      <w:jc w:val="center"/>
      <w:textAlignment w:val="baseline"/>
    </w:pPr>
    <w:rPr>
      <w:b/>
      <w:kern w:val="0"/>
      <w:sz w:val="20"/>
      <w:szCs w:val="21"/>
    </w:rPr>
  </w:style>
  <w:style w:type="character" w:customStyle="1" w:styleId="73">
    <w:name w:val="font61"/>
    <w:qFormat/>
    <w:uiPriority w:val="0"/>
    <w:rPr>
      <w:rFonts w:hint="default" w:ascii="Times New Roman" w:hAnsi="Times New Roman" w:cs="Times New Roman"/>
      <w:color w:val="000000"/>
      <w:sz w:val="20"/>
      <w:szCs w:val="20"/>
      <w:u w:val="none"/>
    </w:rPr>
  </w:style>
  <w:style w:type="character" w:customStyle="1" w:styleId="74">
    <w:name w:val="批注文字 字符"/>
    <w:link w:val="16"/>
    <w:qFormat/>
    <w:uiPriority w:val="0"/>
    <w:rPr>
      <w:kern w:val="2"/>
      <w:sz w:val="21"/>
    </w:rPr>
  </w:style>
  <w:style w:type="character" w:customStyle="1" w:styleId="75">
    <w:name w:val="正文缩进 字符"/>
    <w:link w:val="9"/>
    <w:qFormat/>
    <w:uiPriority w:val="0"/>
    <w:rPr>
      <w:rFonts w:eastAsia="黑体"/>
      <w:kern w:val="2"/>
      <w:sz w:val="24"/>
      <w:szCs w:val="21"/>
      <w:lang w:bidi="ar-SA"/>
    </w:rPr>
  </w:style>
  <w:style w:type="character" w:customStyle="1" w:styleId="76">
    <w:name w:val="三级 Char Char"/>
    <w:link w:val="77"/>
    <w:qFormat/>
    <w:locked/>
    <w:uiPriority w:val="0"/>
    <w:rPr>
      <w:b/>
      <w:kern w:val="2"/>
      <w:sz w:val="24"/>
    </w:rPr>
  </w:style>
  <w:style w:type="paragraph" w:customStyle="1" w:styleId="77">
    <w:name w:val="三级"/>
    <w:basedOn w:val="1"/>
    <w:link w:val="76"/>
    <w:qFormat/>
    <w:uiPriority w:val="0"/>
    <w:pPr>
      <w:tabs>
        <w:tab w:val="left" w:pos="567"/>
      </w:tabs>
      <w:spacing w:beforeLines="50" w:afterLines="50" w:line="360" w:lineRule="auto"/>
      <w:ind w:left="720" w:hanging="720"/>
      <w:outlineLvl w:val="2"/>
    </w:pPr>
    <w:rPr>
      <w:b/>
      <w:sz w:val="24"/>
    </w:rPr>
  </w:style>
  <w:style w:type="character" w:customStyle="1" w:styleId="78">
    <w:name w:val="表格文字 Char"/>
    <w:link w:val="79"/>
    <w:qFormat/>
    <w:uiPriority w:val="0"/>
    <w:rPr>
      <w:rFonts w:eastAsia="宋体"/>
      <w:kern w:val="2"/>
      <w:sz w:val="21"/>
      <w:lang w:val="en-US" w:eastAsia="zh-CN" w:bidi="ar-SA"/>
    </w:rPr>
  </w:style>
  <w:style w:type="paragraph" w:customStyle="1" w:styleId="79">
    <w:name w:val="表格文字"/>
    <w:basedOn w:val="1"/>
    <w:link w:val="78"/>
    <w:qFormat/>
    <w:uiPriority w:val="0"/>
    <w:pPr>
      <w:adjustRightInd w:val="0"/>
      <w:snapToGrid w:val="0"/>
      <w:jc w:val="center"/>
      <w:textAlignment w:val="center"/>
    </w:pPr>
  </w:style>
  <w:style w:type="character" w:customStyle="1" w:styleId="80">
    <w:name w:val="中气表头 Char"/>
    <w:link w:val="81"/>
    <w:qFormat/>
    <w:uiPriority w:val="0"/>
    <w:rPr>
      <w:rFonts w:eastAsia="黑体"/>
      <w:b/>
      <w:kern w:val="2"/>
      <w:sz w:val="21"/>
      <w:szCs w:val="21"/>
    </w:rPr>
  </w:style>
  <w:style w:type="paragraph" w:customStyle="1" w:styleId="81">
    <w:name w:val="中气表头"/>
    <w:basedOn w:val="1"/>
    <w:link w:val="80"/>
    <w:qFormat/>
    <w:uiPriority w:val="0"/>
    <w:pPr>
      <w:jc w:val="center"/>
    </w:pPr>
    <w:rPr>
      <w:rFonts w:eastAsia="黑体"/>
      <w:b/>
      <w:szCs w:val="21"/>
    </w:rPr>
  </w:style>
  <w:style w:type="character" w:customStyle="1" w:styleId="82">
    <w:name w:val="hover69"/>
    <w:basedOn w:val="43"/>
    <w:qFormat/>
    <w:uiPriority w:val="0"/>
  </w:style>
  <w:style w:type="character" w:customStyle="1" w:styleId="83">
    <w:name w:val="content1"/>
    <w:qFormat/>
    <w:uiPriority w:val="0"/>
    <w:rPr>
      <w:color w:val="000000"/>
      <w:sz w:val="20"/>
      <w:szCs w:val="20"/>
    </w:rPr>
  </w:style>
  <w:style w:type="character" w:customStyle="1" w:styleId="84">
    <w:name w:val="表格标题 Char"/>
    <w:link w:val="85"/>
    <w:qFormat/>
    <w:uiPriority w:val="0"/>
    <w:rPr>
      <w:rFonts w:eastAsia="黑体"/>
      <w:kern w:val="2"/>
      <w:sz w:val="24"/>
    </w:rPr>
  </w:style>
  <w:style w:type="paragraph" w:customStyle="1" w:styleId="85">
    <w:name w:val="表格标题"/>
    <w:basedOn w:val="3"/>
    <w:link w:val="84"/>
    <w:qFormat/>
    <w:uiPriority w:val="0"/>
    <w:pPr>
      <w:spacing w:before="0" w:beforeLines="0"/>
      <w:ind w:firstLine="0" w:firstLineChars="0"/>
      <w:jc w:val="center"/>
    </w:pPr>
    <w:rPr>
      <w:rFonts w:eastAsia="黑体"/>
    </w:rPr>
  </w:style>
  <w:style w:type="character" w:customStyle="1" w:styleId="86">
    <w:name w:val="批注主题 字符"/>
    <w:link w:val="38"/>
    <w:qFormat/>
    <w:uiPriority w:val="0"/>
    <w:rPr>
      <w:b/>
      <w:bCs/>
      <w:kern w:val="2"/>
      <w:sz w:val="21"/>
    </w:rPr>
  </w:style>
  <w:style w:type="character" w:customStyle="1" w:styleId="87">
    <w:name w:val="apple-converted-space"/>
    <w:basedOn w:val="43"/>
    <w:qFormat/>
    <w:uiPriority w:val="0"/>
  </w:style>
  <w:style w:type="character" w:customStyle="1" w:styleId="88">
    <w:name w:val="ca-21"/>
    <w:basedOn w:val="43"/>
    <w:qFormat/>
    <w:uiPriority w:val="0"/>
  </w:style>
  <w:style w:type="character" w:customStyle="1" w:styleId="89">
    <w:name w:val="批注框文本 字符"/>
    <w:link w:val="25"/>
    <w:qFormat/>
    <w:uiPriority w:val="0"/>
    <w:rPr>
      <w:kern w:val="2"/>
      <w:sz w:val="18"/>
      <w:szCs w:val="18"/>
    </w:rPr>
  </w:style>
  <w:style w:type="character" w:customStyle="1" w:styleId="90">
    <w:name w:val="标题3 Char"/>
    <w:qFormat/>
    <w:locked/>
    <w:uiPriority w:val="0"/>
    <w:rPr>
      <w:rFonts w:ascii="Times New Roman" w:hAnsi="Times New Roman" w:eastAsia="宋体" w:cs="Times New Roman"/>
      <w:kern w:val="2"/>
      <w:sz w:val="32"/>
      <w:szCs w:val="32"/>
    </w:rPr>
  </w:style>
  <w:style w:type="character" w:customStyle="1" w:styleId="91">
    <w:name w:val="表文字 Char"/>
    <w:qFormat/>
    <w:uiPriority w:val="0"/>
    <w:rPr>
      <w:rFonts w:eastAsia="宋体"/>
      <w:sz w:val="24"/>
      <w:lang w:val="en-US" w:eastAsia="zh-CN"/>
    </w:rPr>
  </w:style>
  <w:style w:type="character" w:customStyle="1" w:styleId="92">
    <w:name w:val="Default Char"/>
    <w:link w:val="53"/>
    <w:qFormat/>
    <w:uiPriority w:val="0"/>
    <w:rPr>
      <w:rFonts w:ascii="宋体"/>
      <w:color w:val="000000"/>
      <w:sz w:val="24"/>
      <w:szCs w:val="24"/>
      <w:lang w:val="en-US" w:eastAsia="zh-CN" w:bidi="ar-SA"/>
    </w:rPr>
  </w:style>
  <w:style w:type="character" w:customStyle="1" w:styleId="93">
    <w:name w:val="hover70"/>
    <w:qFormat/>
    <w:uiPriority w:val="0"/>
    <w:rPr>
      <w:color w:val="000000"/>
      <w:shd w:val="clear" w:color="auto" w:fill="FFFFFF"/>
    </w:rPr>
  </w:style>
  <w:style w:type="character" w:customStyle="1" w:styleId="94">
    <w:name w:val="金光华文本正文 Char Char"/>
    <w:link w:val="95"/>
    <w:qFormat/>
    <w:uiPriority w:val="0"/>
    <w:rPr>
      <w:rFonts w:ascii="宋体" w:hAnsi="宋体"/>
      <w:sz w:val="24"/>
      <w:szCs w:val="24"/>
    </w:rPr>
  </w:style>
  <w:style w:type="paragraph" w:customStyle="1" w:styleId="95">
    <w:name w:val="金光华文本正文"/>
    <w:basedOn w:val="1"/>
    <w:link w:val="94"/>
    <w:qFormat/>
    <w:uiPriority w:val="0"/>
    <w:pPr>
      <w:widowControl/>
      <w:tabs>
        <w:tab w:val="left" w:pos="6840"/>
      </w:tabs>
      <w:spacing w:line="360" w:lineRule="auto"/>
      <w:ind w:firstLine="510"/>
      <w:jc w:val="left"/>
    </w:pPr>
    <w:rPr>
      <w:rFonts w:ascii="宋体" w:hAnsi="宋体"/>
      <w:kern w:val="0"/>
      <w:sz w:val="24"/>
      <w:szCs w:val="24"/>
    </w:rPr>
  </w:style>
  <w:style w:type="character" w:customStyle="1" w:styleId="96">
    <w:name w:val="标题 1 字符"/>
    <w:link w:val="5"/>
    <w:qFormat/>
    <w:uiPriority w:val="0"/>
    <w:rPr>
      <w:rFonts w:eastAsia="黑体"/>
      <w:b/>
      <w:kern w:val="44"/>
      <w:sz w:val="32"/>
    </w:rPr>
  </w:style>
  <w:style w:type="character" w:customStyle="1" w:styleId="97">
    <w:name w:val="标准正文 Char"/>
    <w:link w:val="98"/>
    <w:qFormat/>
    <w:uiPriority w:val="0"/>
    <w:rPr>
      <w:rFonts w:eastAsia="宋体"/>
      <w:bCs/>
      <w:kern w:val="2"/>
      <w:sz w:val="24"/>
      <w:lang w:val="en-US" w:eastAsia="zh-CN" w:bidi="ar-SA"/>
    </w:rPr>
  </w:style>
  <w:style w:type="paragraph" w:customStyle="1" w:styleId="98">
    <w:name w:val="标准正文"/>
    <w:basedOn w:val="1"/>
    <w:link w:val="97"/>
    <w:qFormat/>
    <w:uiPriority w:val="0"/>
    <w:pPr>
      <w:spacing w:line="540" w:lineRule="exact"/>
      <w:ind w:firstLine="480" w:firstLineChars="200"/>
    </w:pPr>
    <w:rPr>
      <w:bCs/>
      <w:sz w:val="24"/>
    </w:rPr>
  </w:style>
  <w:style w:type="character" w:customStyle="1" w:styleId="99">
    <w:name w:val="表格文字 Char Char"/>
    <w:qFormat/>
    <w:uiPriority w:val="0"/>
    <w:rPr>
      <w:position w:val="-10"/>
    </w:rPr>
  </w:style>
  <w:style w:type="character" w:customStyle="1" w:styleId="100">
    <w:name w:val="样式 文本正文 + 首行缩进:  2 字符 Char Char"/>
    <w:link w:val="101"/>
    <w:qFormat/>
    <w:uiPriority w:val="0"/>
    <w:rPr>
      <w:rFonts w:ascii="宋体"/>
      <w:spacing w:val="4"/>
      <w:kern w:val="2"/>
      <w:sz w:val="24"/>
      <w:szCs w:val="24"/>
      <w:lang w:val="zh-CN"/>
    </w:rPr>
  </w:style>
  <w:style w:type="paragraph" w:customStyle="1" w:styleId="101">
    <w:name w:val="样式 文本正文 + 首行缩进:  2 字符"/>
    <w:basedOn w:val="1"/>
    <w:link w:val="100"/>
    <w:qFormat/>
    <w:uiPriority w:val="0"/>
    <w:pPr>
      <w:widowControl/>
      <w:adjustRightInd w:val="0"/>
      <w:snapToGrid w:val="0"/>
      <w:spacing w:line="360" w:lineRule="auto"/>
      <w:ind w:firstLine="480" w:firstLineChars="200"/>
      <w:jc w:val="left"/>
    </w:pPr>
    <w:rPr>
      <w:rFonts w:ascii="宋体"/>
      <w:spacing w:val="4"/>
      <w:sz w:val="24"/>
      <w:szCs w:val="24"/>
      <w:lang w:val="zh-CN"/>
    </w:rPr>
  </w:style>
  <w:style w:type="character" w:customStyle="1" w:styleId="102">
    <w:name w:val="font11"/>
    <w:basedOn w:val="43"/>
    <w:qFormat/>
    <w:uiPriority w:val="0"/>
    <w:rPr>
      <w:rFonts w:ascii="font-weight : 400" w:hAnsi="font-weight : 400" w:eastAsia="font-weight : 400" w:cs="font-weight : 400"/>
      <w:color w:val="000000"/>
      <w:sz w:val="22"/>
      <w:szCs w:val="22"/>
      <w:u w:val="none"/>
      <w:vertAlign w:val="superscript"/>
    </w:rPr>
  </w:style>
  <w:style w:type="character" w:customStyle="1" w:styleId="103">
    <w:name w:val="正文首行缩进 字符"/>
    <w:link w:val="2"/>
    <w:qFormat/>
    <w:uiPriority w:val="0"/>
    <w:rPr>
      <w:kern w:val="2"/>
      <w:sz w:val="24"/>
    </w:rPr>
  </w:style>
  <w:style w:type="character" w:customStyle="1" w:styleId="104">
    <w:name w:val="hover68"/>
    <w:basedOn w:val="43"/>
    <w:qFormat/>
    <w:uiPriority w:val="0"/>
  </w:style>
  <w:style w:type="character" w:customStyle="1" w:styleId="105">
    <w:name w:val="页脚 字符"/>
    <w:link w:val="26"/>
    <w:qFormat/>
    <w:uiPriority w:val="99"/>
    <w:rPr>
      <w:kern w:val="2"/>
      <w:sz w:val="18"/>
    </w:rPr>
  </w:style>
  <w:style w:type="character" w:customStyle="1" w:styleId="106">
    <w:name w:val="font01"/>
    <w:basedOn w:val="43"/>
    <w:qFormat/>
    <w:uiPriority w:val="0"/>
    <w:rPr>
      <w:rFonts w:hint="default" w:ascii="Times New Roman" w:hAnsi="Times New Roman" w:cs="Times New Roman"/>
      <w:b/>
      <w:color w:val="000000"/>
      <w:sz w:val="21"/>
      <w:szCs w:val="21"/>
      <w:u w:val="none"/>
    </w:rPr>
  </w:style>
  <w:style w:type="character" w:customStyle="1" w:styleId="107">
    <w:name w:val="font21"/>
    <w:basedOn w:val="43"/>
    <w:qFormat/>
    <w:uiPriority w:val="0"/>
    <w:rPr>
      <w:rFonts w:hint="default" w:ascii="font-weight : 400" w:hAnsi="font-weight : 400" w:eastAsia="font-weight : 400" w:cs="font-weight : 400"/>
      <w:color w:val="000000"/>
      <w:sz w:val="22"/>
      <w:szCs w:val="22"/>
      <w:u w:val="none"/>
    </w:rPr>
  </w:style>
  <w:style w:type="character" w:customStyle="1" w:styleId="108">
    <w:name w:val="报告文本 Char"/>
    <w:link w:val="109"/>
    <w:qFormat/>
    <w:uiPriority w:val="0"/>
    <w:rPr>
      <w:sz w:val="24"/>
      <w:szCs w:val="24"/>
    </w:rPr>
  </w:style>
  <w:style w:type="paragraph" w:customStyle="1" w:styleId="109">
    <w:name w:val="报告文本"/>
    <w:basedOn w:val="110"/>
    <w:link w:val="108"/>
    <w:qFormat/>
    <w:uiPriority w:val="0"/>
    <w:pPr>
      <w:widowControl/>
      <w:spacing w:line="360" w:lineRule="auto"/>
      <w:ind w:firstLine="200" w:firstLineChars="200"/>
      <w:jc w:val="left"/>
    </w:pPr>
    <w:rPr>
      <w:kern w:val="0"/>
      <w:sz w:val="24"/>
      <w:szCs w:val="24"/>
    </w:rPr>
  </w:style>
  <w:style w:type="paragraph" w:customStyle="1" w:styleId="110">
    <w:name w:val="标题二"/>
    <w:basedOn w:val="111"/>
    <w:next w:val="109"/>
    <w:qFormat/>
    <w:uiPriority w:val="0"/>
    <w:pPr>
      <w:numPr>
        <w:ilvl w:val="1"/>
        <w:numId w:val="4"/>
      </w:numPr>
      <w:spacing w:beforeLines="0" w:afterLines="0"/>
      <w:jc w:val="left"/>
      <w:outlineLvl w:val="1"/>
    </w:pPr>
    <w:rPr>
      <w:sz w:val="30"/>
    </w:rPr>
  </w:style>
  <w:style w:type="paragraph" w:customStyle="1" w:styleId="111">
    <w:name w:val="标题1"/>
    <w:basedOn w:val="1"/>
    <w:next w:val="109"/>
    <w:qFormat/>
    <w:uiPriority w:val="0"/>
    <w:pPr>
      <w:numPr>
        <w:ilvl w:val="0"/>
        <w:numId w:val="4"/>
      </w:numPr>
      <w:spacing w:beforeLines="100" w:afterLines="100"/>
      <w:jc w:val="center"/>
      <w:outlineLvl w:val="0"/>
    </w:pPr>
    <w:rPr>
      <w:rFonts w:eastAsia="黑体"/>
      <w:sz w:val="32"/>
    </w:rPr>
  </w:style>
  <w:style w:type="character" w:customStyle="1" w:styleId="112">
    <w:name w:val="Char Char4"/>
    <w:qFormat/>
    <w:uiPriority w:val="0"/>
    <w:rPr>
      <w:rFonts w:ascii="Times New Roman" w:hAnsi="Times New Roman" w:eastAsia="宋体" w:cs="Times New Roman"/>
      <w:kern w:val="2"/>
      <w:sz w:val="28"/>
      <w:szCs w:val="20"/>
      <w:lang w:val="en-US" w:eastAsia="zh-CN" w:bidi="ar-SA"/>
    </w:rPr>
  </w:style>
  <w:style w:type="character" w:customStyle="1" w:styleId="113">
    <w:name w:val="文章正文样式 Char"/>
    <w:link w:val="114"/>
    <w:qFormat/>
    <w:uiPriority w:val="0"/>
    <w:rPr>
      <w:rFonts w:ascii="宋体" w:hAnsi="宋体" w:eastAsia="宋体" w:cs="宋体"/>
      <w:kern w:val="2"/>
      <w:sz w:val="24"/>
      <w:lang w:val="en-US" w:eastAsia="zh-CN" w:bidi="ar-SA"/>
    </w:rPr>
  </w:style>
  <w:style w:type="paragraph" w:customStyle="1" w:styleId="114">
    <w:name w:val="文章正文样式"/>
    <w:basedOn w:val="1"/>
    <w:link w:val="113"/>
    <w:qFormat/>
    <w:uiPriority w:val="0"/>
    <w:pPr>
      <w:spacing w:line="520" w:lineRule="exact"/>
      <w:ind w:firstLine="480" w:firstLineChars="200"/>
      <w:jc w:val="left"/>
    </w:pPr>
    <w:rPr>
      <w:rFonts w:ascii="宋体" w:hAnsi="宋体" w:cs="宋体"/>
      <w:sz w:val="24"/>
    </w:rPr>
  </w:style>
  <w:style w:type="character" w:customStyle="1" w:styleId="115">
    <w:name w:val="宗兴正文 Char Char"/>
    <w:link w:val="116"/>
    <w:qFormat/>
    <w:uiPriority w:val="0"/>
    <w:rPr>
      <w:kern w:val="2"/>
      <w:sz w:val="24"/>
      <w:szCs w:val="24"/>
    </w:rPr>
  </w:style>
  <w:style w:type="paragraph" w:customStyle="1" w:styleId="116">
    <w:name w:val="宗兴正文"/>
    <w:basedOn w:val="1"/>
    <w:link w:val="115"/>
    <w:qFormat/>
    <w:uiPriority w:val="0"/>
    <w:pPr>
      <w:widowControl/>
      <w:spacing w:before="93" w:after="93" w:line="360" w:lineRule="auto"/>
      <w:ind w:firstLine="480" w:firstLineChars="200"/>
      <w:jc w:val="left"/>
    </w:pPr>
    <w:rPr>
      <w:sz w:val="24"/>
      <w:szCs w:val="24"/>
    </w:rPr>
  </w:style>
  <w:style w:type="character" w:customStyle="1" w:styleId="117">
    <w:name w:val="font41"/>
    <w:basedOn w:val="43"/>
    <w:qFormat/>
    <w:uiPriority w:val="0"/>
    <w:rPr>
      <w:rFonts w:hint="eastAsia" w:ascii="宋体" w:hAnsi="宋体" w:eastAsia="宋体" w:cs="宋体"/>
      <w:color w:val="000000"/>
      <w:sz w:val="21"/>
      <w:szCs w:val="21"/>
      <w:u w:val="none"/>
    </w:rPr>
  </w:style>
  <w:style w:type="paragraph" w:customStyle="1" w:styleId="118">
    <w:name w:val="样式1"/>
    <w:basedOn w:val="1"/>
    <w:qFormat/>
    <w:uiPriority w:val="0"/>
    <w:pPr>
      <w:tabs>
        <w:tab w:val="left" w:pos="8820"/>
      </w:tabs>
    </w:pPr>
    <w:rPr>
      <w:sz w:val="30"/>
    </w:rPr>
  </w:style>
  <w:style w:type="paragraph" w:customStyle="1" w:styleId="119">
    <w:name w:val="CM78"/>
    <w:basedOn w:val="53"/>
    <w:next w:val="53"/>
    <w:qFormat/>
    <w:uiPriority w:val="0"/>
    <w:pPr>
      <w:spacing w:after="173"/>
    </w:pPr>
    <w:rPr>
      <w:rFonts w:hAnsi="Calibri"/>
      <w:color w:val="auto"/>
    </w:rPr>
  </w:style>
  <w:style w:type="paragraph" w:customStyle="1" w:styleId="120">
    <w:name w:val="CM27"/>
    <w:basedOn w:val="53"/>
    <w:next w:val="53"/>
    <w:qFormat/>
    <w:uiPriority w:val="0"/>
    <w:pPr>
      <w:spacing w:line="436" w:lineRule="atLeast"/>
    </w:pPr>
    <w:rPr>
      <w:rFonts w:hAnsi="Calibri"/>
      <w:color w:val="auto"/>
    </w:rPr>
  </w:style>
  <w:style w:type="paragraph" w:customStyle="1" w:styleId="121">
    <w:name w:val="表格1"/>
    <w:basedOn w:val="1"/>
    <w:qFormat/>
    <w:uiPriority w:val="0"/>
    <w:pPr>
      <w:spacing w:line="20" w:lineRule="atLeast"/>
      <w:jc w:val="center"/>
      <w:textAlignment w:val="baseline"/>
    </w:pPr>
    <w:rPr>
      <w:rFonts w:ascii="CG Times (W1)" w:hAnsi="CG Times (W1)"/>
      <w:spacing w:val="-20"/>
      <w:kern w:val="0"/>
    </w:rPr>
  </w:style>
  <w:style w:type="paragraph" w:customStyle="1" w:styleId="122">
    <w:name w:val="CM13"/>
    <w:basedOn w:val="53"/>
    <w:next w:val="53"/>
    <w:qFormat/>
    <w:uiPriority w:val="0"/>
    <w:pPr>
      <w:spacing w:line="466" w:lineRule="atLeast"/>
    </w:pPr>
    <w:rPr>
      <w:rFonts w:hAnsi="Calibri"/>
      <w:color w:val="auto"/>
    </w:rPr>
  </w:style>
  <w:style w:type="paragraph" w:customStyle="1" w:styleId="123">
    <w:name w:val="表文字"/>
    <w:basedOn w:val="1"/>
    <w:qFormat/>
    <w:uiPriority w:val="0"/>
    <w:pPr>
      <w:overflowPunct w:val="0"/>
      <w:autoSpaceDE w:val="0"/>
      <w:autoSpaceDN w:val="0"/>
      <w:adjustRightInd w:val="0"/>
      <w:spacing w:line="240" w:lineRule="atLeast"/>
      <w:textAlignment w:val="baseline"/>
    </w:pPr>
    <w:rPr>
      <w:sz w:val="24"/>
    </w:rPr>
  </w:style>
  <w:style w:type="paragraph" w:customStyle="1" w:styleId="124">
    <w:name w:val="正文01"/>
    <w:basedOn w:val="1"/>
    <w:qFormat/>
    <w:uiPriority w:val="0"/>
    <w:pPr>
      <w:adjustRightInd w:val="0"/>
      <w:spacing w:line="360" w:lineRule="auto"/>
      <w:ind w:firstLine="360" w:firstLineChars="150"/>
      <w:textAlignment w:val="baseline"/>
    </w:pPr>
    <w:rPr>
      <w:bCs/>
      <w:sz w:val="24"/>
      <w:szCs w:val="24"/>
    </w:rPr>
  </w:style>
  <w:style w:type="paragraph" w:customStyle="1" w:styleId="125">
    <w:name w:val="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26">
    <w:name w:val="CM14"/>
    <w:basedOn w:val="53"/>
    <w:next w:val="53"/>
    <w:qFormat/>
    <w:uiPriority w:val="0"/>
    <w:pPr>
      <w:spacing w:line="468" w:lineRule="atLeast"/>
    </w:pPr>
    <w:rPr>
      <w:rFonts w:hAnsi="Calibri"/>
      <w:color w:val="auto"/>
    </w:rPr>
  </w:style>
  <w:style w:type="paragraph" w:customStyle="1" w:styleId="127">
    <w:name w:val="简单回函地址"/>
    <w:basedOn w:val="1"/>
    <w:qFormat/>
    <w:uiPriority w:val="0"/>
    <w:rPr>
      <w:rFonts w:ascii="宋体" w:hAnsi="宋体"/>
      <w:sz w:val="24"/>
      <w:szCs w:val="32"/>
    </w:rPr>
  </w:style>
  <w:style w:type="paragraph" w:customStyle="1" w:styleId="128">
    <w:name w:val="表体"/>
    <w:basedOn w:val="1"/>
    <w:qFormat/>
    <w:uiPriority w:val="0"/>
    <w:pPr>
      <w:spacing w:before="40" w:after="40"/>
      <w:jc w:val="center"/>
    </w:pPr>
    <w:rPr>
      <w:color w:val="000080"/>
    </w:rPr>
  </w:style>
  <w:style w:type="paragraph" w:customStyle="1" w:styleId="129">
    <w:name w:val="CM50"/>
    <w:basedOn w:val="53"/>
    <w:next w:val="53"/>
    <w:qFormat/>
    <w:uiPriority w:val="0"/>
    <w:pPr>
      <w:spacing w:line="443" w:lineRule="atLeast"/>
    </w:pPr>
    <w:rPr>
      <w:rFonts w:hAnsi="Calibri"/>
      <w:color w:val="auto"/>
    </w:rPr>
  </w:style>
  <w:style w:type="paragraph" w:customStyle="1" w:styleId="130">
    <w:name w:val="正文样式1"/>
    <w:basedOn w:val="1"/>
    <w:qFormat/>
    <w:uiPriority w:val="0"/>
    <w:pPr>
      <w:adjustRightInd w:val="0"/>
      <w:spacing w:line="360" w:lineRule="auto"/>
      <w:ind w:firstLine="510"/>
      <w:textAlignment w:val="baseline"/>
    </w:pPr>
    <w:rPr>
      <w:spacing w:val="8"/>
      <w:kern w:val="0"/>
      <w:sz w:val="24"/>
    </w:rPr>
  </w:style>
  <w:style w:type="paragraph" w:customStyle="1" w:styleId="131">
    <w:name w:val="样式 小四 首行缩进:  0.85 厘米 行距: 1.5 倍行距"/>
    <w:basedOn w:val="1"/>
    <w:qFormat/>
    <w:uiPriority w:val="0"/>
    <w:pPr>
      <w:spacing w:line="360" w:lineRule="auto"/>
      <w:ind w:firstLine="482"/>
    </w:pPr>
    <w:rPr>
      <w:sz w:val="24"/>
      <w:szCs w:val="24"/>
    </w:rPr>
  </w:style>
  <w:style w:type="paragraph" w:customStyle="1" w:styleId="132">
    <w:name w:val="表字居中O"/>
    <w:next w:val="1"/>
    <w:qFormat/>
    <w:uiPriority w:val="0"/>
    <w:pPr>
      <w:widowControl w:val="0"/>
      <w:adjustRightInd w:val="0"/>
      <w:jc w:val="both"/>
      <w:textAlignment w:val="baseline"/>
    </w:pPr>
    <w:rPr>
      <w:rFonts w:ascii="Times New Roman" w:hAnsi="Times New Roman" w:eastAsia="宋体" w:cs="Times New Roman"/>
      <w:spacing w:val="-4"/>
      <w:sz w:val="21"/>
      <w:szCs w:val="21"/>
      <w:lang w:val="en-US" w:eastAsia="zh-CN" w:bidi="ar-SA"/>
    </w:rPr>
  </w:style>
  <w:style w:type="paragraph" w:customStyle="1" w:styleId="133">
    <w:name w:val="金光华表头"/>
    <w:basedOn w:val="1"/>
    <w:qFormat/>
    <w:uiPriority w:val="0"/>
    <w:pPr>
      <w:widowControl/>
      <w:spacing w:line="360" w:lineRule="auto"/>
      <w:ind w:firstLine="794"/>
      <w:jc w:val="left"/>
    </w:pPr>
    <w:rPr>
      <w:rFonts w:ascii="宋体" w:hAnsi="宋体" w:cs="宋体"/>
      <w:kern w:val="0"/>
      <w:sz w:val="24"/>
      <w:szCs w:val="24"/>
    </w:rPr>
  </w:style>
  <w:style w:type="paragraph" w:customStyle="1" w:styleId="134">
    <w:name w:val="xl22"/>
    <w:basedOn w:val="1"/>
    <w:qFormat/>
    <w:uiPriority w:val="0"/>
    <w:pPr>
      <w:widowControl/>
      <w:spacing w:before="100" w:after="100"/>
      <w:jc w:val="center"/>
    </w:pPr>
    <w:rPr>
      <w:kern w:val="0"/>
      <w:sz w:val="24"/>
      <w:szCs w:val="24"/>
    </w:rPr>
  </w:style>
  <w:style w:type="paragraph" w:customStyle="1" w:styleId="135">
    <w:name w:val="表头文字"/>
    <w:basedOn w:val="1"/>
    <w:next w:val="2"/>
    <w:qFormat/>
    <w:uiPriority w:val="0"/>
    <w:pPr>
      <w:adjustRightInd w:val="0"/>
      <w:snapToGrid w:val="0"/>
      <w:spacing w:before="156" w:beforeLines="50" w:line="360" w:lineRule="auto"/>
      <w:jc w:val="left"/>
    </w:pPr>
    <w:rPr>
      <w:rFonts w:eastAsia="黑体"/>
      <w:sz w:val="24"/>
    </w:rPr>
  </w:style>
  <w:style w:type="paragraph" w:customStyle="1" w:styleId="136">
    <w:name w:val="CM48"/>
    <w:basedOn w:val="53"/>
    <w:next w:val="53"/>
    <w:qFormat/>
    <w:uiPriority w:val="0"/>
    <w:pPr>
      <w:spacing w:line="440" w:lineRule="atLeast"/>
    </w:pPr>
    <w:rPr>
      <w:rFonts w:hAnsi="Calibri"/>
      <w:color w:val="auto"/>
    </w:rPr>
  </w:style>
  <w:style w:type="paragraph" w:customStyle="1" w:styleId="137">
    <w:name w:val="Char"/>
    <w:basedOn w:val="1"/>
    <w:qFormat/>
    <w:uiPriority w:val="0"/>
    <w:rPr>
      <w:szCs w:val="21"/>
    </w:rPr>
  </w:style>
  <w:style w:type="paragraph" w:customStyle="1" w:styleId="138">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139">
    <w:name w:val="表格内容"/>
    <w:basedOn w:val="140"/>
    <w:qFormat/>
    <w:uiPriority w:val="99"/>
    <w:pPr>
      <w:spacing w:line="240" w:lineRule="atLeast"/>
      <w:jc w:val="center"/>
    </w:pPr>
    <w:rPr>
      <w:szCs w:val="24"/>
    </w:rPr>
  </w:style>
  <w:style w:type="paragraph" w:customStyle="1" w:styleId="140">
    <w:name w:val="表 图 内容"/>
    <w:basedOn w:val="1"/>
    <w:qFormat/>
    <w:uiPriority w:val="0"/>
    <w:pPr>
      <w:jc w:val="center"/>
    </w:pPr>
    <w:rPr>
      <w:rFonts w:ascii="Calibri" w:hAnsi="宋体"/>
      <w:color w:val="000000"/>
    </w:rPr>
  </w:style>
  <w:style w:type="paragraph" w:customStyle="1" w:styleId="141">
    <w:name w:val="3"/>
    <w:basedOn w:val="1"/>
    <w:qFormat/>
    <w:uiPriority w:val="0"/>
  </w:style>
  <w:style w:type="paragraph" w:customStyle="1" w:styleId="142">
    <w:name w:val="样式 首行缩进:  1 厘米 行距: 固定值 25 磅"/>
    <w:basedOn w:val="1"/>
    <w:qFormat/>
    <w:uiPriority w:val="0"/>
    <w:pPr>
      <w:adjustRightInd w:val="0"/>
      <w:spacing w:line="360" w:lineRule="auto"/>
      <w:ind w:firstLine="200" w:firstLineChars="200"/>
      <w:jc w:val="left"/>
      <w:textAlignment w:val="baseline"/>
    </w:pPr>
    <w:rPr>
      <w:rFonts w:ascii="宋体" w:cs="宋体"/>
      <w:snapToGrid w:val="0"/>
      <w:kern w:val="24"/>
      <w:sz w:val="24"/>
      <w:szCs w:val="24"/>
    </w:rPr>
  </w:style>
  <w:style w:type="paragraph" w:customStyle="1" w:styleId="143">
    <w:name w:val="表文"/>
    <w:basedOn w:val="1"/>
    <w:qFormat/>
    <w:uiPriority w:val="0"/>
    <w:pPr>
      <w:tabs>
        <w:tab w:val="left" w:pos="1021"/>
      </w:tabs>
      <w:jc w:val="center"/>
    </w:pPr>
    <w:rPr>
      <w:kern w:val="0"/>
      <w:position w:val="-24"/>
      <w:szCs w:val="21"/>
    </w:rPr>
  </w:style>
  <w:style w:type="paragraph" w:customStyle="1" w:styleId="144">
    <w:name w:val="CM26"/>
    <w:basedOn w:val="53"/>
    <w:next w:val="53"/>
    <w:qFormat/>
    <w:uiPriority w:val="0"/>
    <w:pPr>
      <w:spacing w:line="468" w:lineRule="atLeast"/>
    </w:pPr>
    <w:rPr>
      <w:rFonts w:hAnsi="Calibri"/>
      <w:color w:val="auto"/>
    </w:rPr>
  </w:style>
  <w:style w:type="paragraph" w:customStyle="1" w:styleId="145">
    <w:name w:val="表格"/>
    <w:basedOn w:val="1"/>
    <w:qFormat/>
    <w:uiPriority w:val="0"/>
    <w:pPr>
      <w:jc w:val="center"/>
    </w:pPr>
    <w:rPr>
      <w:sz w:val="24"/>
    </w:rPr>
  </w:style>
  <w:style w:type="paragraph" w:customStyle="1" w:styleId="146">
    <w:name w:val="reader-word-layer reader-word-s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7">
    <w:name w:val="表格文字2"/>
    <w:basedOn w:val="1"/>
    <w:qFormat/>
    <w:uiPriority w:val="0"/>
    <w:pPr>
      <w:tabs>
        <w:tab w:val="left" w:pos="277"/>
        <w:tab w:val="left" w:pos="600"/>
        <w:tab w:val="left" w:pos="780"/>
        <w:tab w:val="left" w:pos="2517"/>
      </w:tabs>
      <w:adjustRightInd w:val="0"/>
      <w:jc w:val="center"/>
      <w:textAlignment w:val="baseline"/>
    </w:pPr>
    <w:rPr>
      <w:kern w:val="0"/>
      <w:szCs w:val="21"/>
    </w:rPr>
  </w:style>
  <w:style w:type="paragraph" w:customStyle="1" w:styleId="148">
    <w:name w:val="样式8"/>
    <w:basedOn w:val="1"/>
    <w:qFormat/>
    <w:uiPriority w:val="0"/>
    <w:pPr>
      <w:widowControl/>
      <w:adjustRightInd w:val="0"/>
      <w:snapToGrid w:val="0"/>
      <w:spacing w:before="156" w:beforeLines="50" w:line="288" w:lineRule="auto"/>
      <w:jc w:val="center"/>
    </w:pPr>
    <w:rPr>
      <w:rFonts w:ascii="宋体" w:hAnsi="宋体" w:cs="宋体"/>
      <w:b/>
      <w:kern w:val="0"/>
    </w:rPr>
  </w:style>
  <w:style w:type="paragraph" w:customStyle="1" w:styleId="149">
    <w:name w:val="表格正文"/>
    <w:basedOn w:val="121"/>
    <w:qFormat/>
    <w:uiPriority w:val="0"/>
    <w:pPr>
      <w:spacing w:line="240" w:lineRule="auto"/>
    </w:pPr>
  </w:style>
  <w:style w:type="paragraph" w:customStyle="1" w:styleId="150">
    <w:name w:val="样式 样式 (符号) 宋体 小四 行距: 1.5 倍行距 + 首行缩进:  2 字符"/>
    <w:basedOn w:val="1"/>
    <w:qFormat/>
    <w:uiPriority w:val="0"/>
    <w:pPr>
      <w:spacing w:line="360" w:lineRule="auto"/>
      <w:ind w:firstLine="456" w:firstLineChars="200"/>
    </w:pPr>
    <w:rPr>
      <w:rFonts w:hAnsi="宋体" w:cs="宋体"/>
      <w:sz w:val="24"/>
    </w:rPr>
  </w:style>
  <w:style w:type="paragraph" w:customStyle="1" w:styleId="151">
    <w:name w:val="表头"/>
    <w:basedOn w:val="9"/>
    <w:next w:val="1"/>
    <w:qFormat/>
    <w:uiPriority w:val="0"/>
    <w:pPr>
      <w:tabs>
        <w:tab w:val="left" w:pos="720"/>
        <w:tab w:val="left" w:pos="2040"/>
        <w:tab w:val="left" w:pos="6902"/>
      </w:tabs>
    </w:pPr>
  </w:style>
  <w:style w:type="paragraph" w:customStyle="1" w:styleId="152">
    <w:name w:val="Char Char2"/>
    <w:basedOn w:val="1"/>
    <w:qFormat/>
    <w:uiPriority w:val="0"/>
    <w:pPr>
      <w:spacing w:line="360" w:lineRule="auto"/>
      <w:ind w:firstLine="200" w:firstLineChars="200"/>
    </w:pPr>
    <w:rPr>
      <w:rFonts w:ascii="宋体" w:hAnsi="宋体" w:cs="宋体"/>
      <w:sz w:val="24"/>
      <w:szCs w:val="21"/>
    </w:rPr>
  </w:style>
  <w:style w:type="paragraph" w:customStyle="1" w:styleId="153">
    <w:name w:val="CM74"/>
    <w:basedOn w:val="53"/>
    <w:next w:val="53"/>
    <w:qFormat/>
    <w:uiPriority w:val="0"/>
    <w:pPr>
      <w:spacing w:after="98"/>
    </w:pPr>
    <w:rPr>
      <w:rFonts w:hAnsi="Calibri"/>
      <w:color w:val="auto"/>
    </w:rPr>
  </w:style>
  <w:style w:type="paragraph" w:customStyle="1" w:styleId="154">
    <w:name w:val="样式 四号 加粗 段前: 6 磅 段后: 5 磅 行距: 固定值 23 磅"/>
    <w:basedOn w:val="10"/>
    <w:next w:val="1"/>
    <w:qFormat/>
    <w:uiPriority w:val="0"/>
    <w:pPr>
      <w:keepNext w:val="0"/>
      <w:keepLines w:val="0"/>
      <w:adjustRightInd/>
      <w:snapToGrid/>
      <w:spacing w:before="0" w:after="0" w:line="360" w:lineRule="auto"/>
      <w:ind w:firstLine="482" w:firstLineChars="200"/>
      <w:outlineLvl w:val="9"/>
    </w:pPr>
    <w:rPr>
      <w:rFonts w:ascii="Times New Roman" w:hAnsi="Times New Roman"/>
      <w:bCs w:val="0"/>
      <w:sz w:val="24"/>
      <w:szCs w:val="24"/>
    </w:rPr>
  </w:style>
  <w:style w:type="paragraph" w:customStyle="1" w:styleId="155">
    <w:name w:val="表格 23"/>
    <w:basedOn w:val="1"/>
    <w:qFormat/>
    <w:uiPriority w:val="0"/>
    <w:pPr>
      <w:autoSpaceDE w:val="0"/>
      <w:autoSpaceDN w:val="0"/>
      <w:adjustRightInd w:val="0"/>
      <w:jc w:val="center"/>
    </w:pPr>
    <w:rPr>
      <w:rFonts w:eastAsia="仿宋体"/>
      <w:kern w:val="0"/>
    </w:rPr>
  </w:style>
  <w:style w:type="paragraph" w:customStyle="1" w:styleId="156">
    <w:name w:val="表头 Char"/>
    <w:basedOn w:val="1"/>
    <w:qFormat/>
    <w:uiPriority w:val="0"/>
    <w:pPr>
      <w:tabs>
        <w:tab w:val="left" w:pos="1021"/>
      </w:tabs>
      <w:spacing w:line="360" w:lineRule="auto"/>
      <w:jc w:val="center"/>
    </w:pPr>
    <w:rPr>
      <w:rFonts w:ascii="宋体" w:hAnsi="宋体"/>
      <w:b/>
      <w:bCs/>
      <w:kern w:val="24"/>
      <w:sz w:val="24"/>
      <w:szCs w:val="24"/>
    </w:rPr>
  </w:style>
  <w:style w:type="paragraph" w:customStyle="1" w:styleId="157">
    <w:name w:val="三级标题"/>
    <w:basedOn w:val="1"/>
    <w:next w:val="39"/>
    <w:qFormat/>
    <w:uiPriority w:val="0"/>
    <w:pPr>
      <w:adjustRightInd w:val="0"/>
      <w:snapToGrid w:val="0"/>
      <w:spacing w:line="360" w:lineRule="exact"/>
      <w:jc w:val="center"/>
    </w:pPr>
    <w:rPr>
      <w:bCs/>
      <w:sz w:val="24"/>
    </w:rPr>
  </w:style>
  <w:style w:type="paragraph" w:customStyle="1" w:styleId="158">
    <w:name w:val="默认段落字体 Para Char Char Char Char"/>
    <w:basedOn w:val="1"/>
    <w:qFormat/>
    <w:uiPriority w:val="0"/>
    <w:rPr>
      <w:sz w:val="24"/>
      <w:szCs w:val="24"/>
    </w:rPr>
  </w:style>
  <w:style w:type="paragraph" w:customStyle="1" w:styleId="159">
    <w:name w:val="zhang正文"/>
    <w:basedOn w:val="17"/>
    <w:qFormat/>
    <w:uiPriority w:val="0"/>
    <w:pPr>
      <w:autoSpaceDE w:val="0"/>
      <w:autoSpaceDN w:val="0"/>
      <w:adjustRightInd w:val="0"/>
      <w:snapToGrid w:val="0"/>
      <w:spacing w:after="0" w:line="360" w:lineRule="auto"/>
      <w:ind w:left="0" w:leftChars="0" w:firstLine="539"/>
      <w:textAlignment w:val="baseline"/>
    </w:pPr>
    <w:rPr>
      <w:rFonts w:eastAsia="楷体_GB2312"/>
      <w:kern w:val="0"/>
      <w:sz w:val="28"/>
    </w:rPr>
  </w:style>
  <w:style w:type="paragraph" w:customStyle="1" w:styleId="160">
    <w:name w:val="Char Char Char Char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customStyle="1" w:styleId="161">
    <w:name w:val="样式3"/>
    <w:basedOn w:val="1"/>
    <w:qFormat/>
    <w:uiPriority w:val="0"/>
    <w:pPr>
      <w:autoSpaceDE w:val="0"/>
      <w:autoSpaceDN w:val="0"/>
      <w:snapToGrid w:val="0"/>
      <w:spacing w:before="120" w:line="460" w:lineRule="atLeast"/>
      <w:jc w:val="center"/>
    </w:pPr>
    <w:rPr>
      <w:rFonts w:eastAsia="黑体"/>
      <w:sz w:val="28"/>
      <w:szCs w:val="24"/>
    </w:rPr>
  </w:style>
  <w:style w:type="paragraph" w:customStyle="1" w:styleId="162">
    <w:name w:val="CM6"/>
    <w:basedOn w:val="53"/>
    <w:next w:val="53"/>
    <w:qFormat/>
    <w:uiPriority w:val="0"/>
    <w:pPr>
      <w:spacing w:line="466" w:lineRule="atLeast"/>
    </w:pPr>
    <w:rPr>
      <w:rFonts w:hAnsi="Calibri"/>
      <w:color w:val="auto"/>
    </w:rPr>
  </w:style>
  <w:style w:type="paragraph" w:customStyle="1" w:styleId="163">
    <w:name w:val="CM61"/>
    <w:basedOn w:val="53"/>
    <w:next w:val="53"/>
    <w:qFormat/>
    <w:uiPriority w:val="0"/>
    <w:pPr>
      <w:spacing w:line="468" w:lineRule="atLeast"/>
    </w:pPr>
    <w:rPr>
      <w:rFonts w:hAnsi="Calibri"/>
      <w:color w:val="auto"/>
    </w:rPr>
  </w:style>
  <w:style w:type="paragraph" w:customStyle="1" w:styleId="164">
    <w:name w:val="段落 Char Char Char"/>
    <w:basedOn w:val="1"/>
    <w:qFormat/>
    <w:uiPriority w:val="0"/>
    <w:pPr>
      <w:tabs>
        <w:tab w:val="left" w:pos="1021"/>
      </w:tabs>
      <w:spacing w:line="360" w:lineRule="auto"/>
      <w:ind w:firstLine="480" w:firstLineChars="200"/>
    </w:pPr>
    <w:rPr>
      <w:bCs/>
      <w:sz w:val="24"/>
    </w:rPr>
  </w:style>
  <w:style w:type="paragraph" w:customStyle="1" w:styleId="165">
    <w:name w:val="报告书正文"/>
    <w:basedOn w:val="1"/>
    <w:link w:val="177"/>
    <w:qFormat/>
    <w:uiPriority w:val="0"/>
    <w:pPr>
      <w:adjustRightInd w:val="0"/>
      <w:spacing w:line="360" w:lineRule="auto"/>
      <w:ind w:firstLine="200" w:firstLineChars="200"/>
      <w:textAlignment w:val="baseline"/>
    </w:pPr>
    <w:rPr>
      <w:kern w:val="0"/>
      <w:sz w:val="24"/>
    </w:rPr>
  </w:style>
  <w:style w:type="paragraph" w:customStyle="1" w:styleId="166">
    <w:name w:val="Char1"/>
    <w:basedOn w:val="1"/>
    <w:qFormat/>
    <w:uiPriority w:val="0"/>
    <w:pPr>
      <w:snapToGrid w:val="0"/>
      <w:spacing w:line="360" w:lineRule="auto"/>
      <w:ind w:firstLine="529" w:firstLineChars="200"/>
    </w:pPr>
    <w:rPr>
      <w:szCs w:val="24"/>
    </w:rPr>
  </w:style>
  <w:style w:type="paragraph" w:styleId="167">
    <w:name w:val="List Paragraph"/>
    <w:basedOn w:val="1"/>
    <w:qFormat/>
    <w:uiPriority w:val="99"/>
    <w:pPr>
      <w:ind w:firstLine="420" w:firstLineChars="200"/>
    </w:pPr>
    <w:rPr>
      <w:szCs w:val="24"/>
    </w:rPr>
  </w:style>
  <w:style w:type="paragraph" w:customStyle="1" w:styleId="168">
    <w:name w:val="_Style 24"/>
    <w:basedOn w:val="1"/>
    <w:next w:val="1"/>
    <w:qFormat/>
    <w:uiPriority w:val="0"/>
    <w:pPr>
      <w:spacing w:line="360" w:lineRule="auto"/>
      <w:ind w:firstLine="200" w:firstLineChars="200"/>
    </w:pPr>
    <w:rPr>
      <w:sz w:val="24"/>
    </w:rPr>
  </w:style>
  <w:style w:type="paragraph" w:customStyle="1" w:styleId="169">
    <w:name w:val="p0"/>
    <w:basedOn w:val="1"/>
    <w:qFormat/>
    <w:uiPriority w:val="0"/>
    <w:pPr>
      <w:widowControl/>
    </w:pPr>
    <w:rPr>
      <w:kern w:val="0"/>
      <w:szCs w:val="21"/>
    </w:rPr>
  </w:style>
  <w:style w:type="paragraph" w:customStyle="1" w:styleId="170">
    <w:name w:val="样式 小四 行距: 1.5 倍行距 首行缩进:  2 字符1"/>
    <w:basedOn w:val="1"/>
    <w:qFormat/>
    <w:uiPriority w:val="0"/>
    <w:pPr>
      <w:spacing w:line="360" w:lineRule="auto"/>
      <w:ind w:firstLine="480" w:firstLineChars="200"/>
    </w:pPr>
    <w:rPr>
      <w:rFonts w:cs="宋体"/>
      <w:sz w:val="24"/>
      <w:szCs w:val="21"/>
    </w:rPr>
  </w:style>
  <w:style w:type="paragraph" w:customStyle="1" w:styleId="171">
    <w:name w:val="永环表内格式"/>
    <w:basedOn w:val="1"/>
    <w:qFormat/>
    <w:uiPriority w:val="0"/>
    <w:pPr>
      <w:spacing w:line="360" w:lineRule="exact"/>
      <w:jc w:val="center"/>
    </w:pPr>
    <w:rPr>
      <w:szCs w:val="21"/>
    </w:rPr>
  </w:style>
  <w:style w:type="paragraph" w:customStyle="1" w:styleId="172">
    <w:name w:val="永环图标标题格式"/>
    <w:basedOn w:val="1"/>
    <w:qFormat/>
    <w:uiPriority w:val="0"/>
    <w:pPr>
      <w:spacing w:before="20" w:beforeLines="20" w:after="20" w:afterLines="20" w:line="560" w:lineRule="exact"/>
      <w:jc w:val="center"/>
    </w:pPr>
    <w:rPr>
      <w:rFonts w:eastAsia="黑体"/>
      <w:bCs/>
      <w:sz w:val="24"/>
      <w:szCs w:val="24"/>
    </w:rPr>
  </w:style>
  <w:style w:type="paragraph" w:customStyle="1" w:styleId="173">
    <w:name w:val="永环正文格式"/>
    <w:basedOn w:val="1"/>
    <w:qFormat/>
    <w:uiPriority w:val="0"/>
    <w:pPr>
      <w:spacing w:line="540" w:lineRule="exact"/>
      <w:ind w:firstLine="200" w:firstLineChars="200"/>
    </w:pPr>
    <w:rPr>
      <w:sz w:val="24"/>
      <w:szCs w:val="21"/>
    </w:rPr>
  </w:style>
  <w:style w:type="paragraph" w:customStyle="1" w:styleId="174">
    <w:name w:val="正文1"/>
    <w:link w:val="189"/>
    <w:qFormat/>
    <w:uiPriority w:val="0"/>
    <w:pPr>
      <w:jc w:val="both"/>
    </w:pPr>
    <w:rPr>
      <w:rFonts w:ascii="Times New Roman" w:hAnsi="Times New Roman" w:eastAsia="宋体" w:cs="Times New Roman"/>
      <w:kern w:val="2"/>
      <w:sz w:val="21"/>
      <w:szCs w:val="21"/>
      <w:lang w:val="en-US" w:eastAsia="zh-CN" w:bidi="ar-SA"/>
    </w:rPr>
  </w:style>
  <w:style w:type="paragraph" w:customStyle="1" w:styleId="175">
    <w:name w:val="样式 行距: 1.5 倍行距"/>
    <w:basedOn w:val="1"/>
    <w:qFormat/>
    <w:uiPriority w:val="0"/>
    <w:pPr>
      <w:spacing w:line="360" w:lineRule="auto"/>
      <w:ind w:firstLine="480" w:firstLineChars="200"/>
    </w:pPr>
    <w:rPr>
      <w:rFonts w:eastAsia="仿宋_GB2312" w:cs="宋体"/>
      <w:kern w:val="0"/>
      <w:sz w:val="24"/>
    </w:rPr>
  </w:style>
  <w:style w:type="paragraph" w:customStyle="1" w:styleId="176">
    <w:name w:val="Char1 Char Char1 Char"/>
    <w:basedOn w:val="1"/>
    <w:qFormat/>
    <w:uiPriority w:val="0"/>
    <w:rPr>
      <w:sz w:val="24"/>
      <w:szCs w:val="24"/>
    </w:rPr>
  </w:style>
  <w:style w:type="character" w:customStyle="1" w:styleId="177">
    <w:name w:val="报告书正文 Char"/>
    <w:link w:val="165"/>
    <w:qFormat/>
    <w:uiPriority w:val="0"/>
    <w:rPr>
      <w:sz w:val="24"/>
    </w:rPr>
  </w:style>
  <w:style w:type="paragraph" w:customStyle="1" w:styleId="178">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样式 行距: 固定值 24 磅 首行缩进:  2 字符"/>
    <w:basedOn w:val="1"/>
    <w:qFormat/>
    <w:uiPriority w:val="0"/>
    <w:pPr>
      <w:spacing w:line="480" w:lineRule="exact"/>
      <w:ind w:firstLine="480" w:firstLineChars="200"/>
    </w:pPr>
    <w:rPr>
      <w:rFonts w:cs="宋体"/>
      <w:sz w:val="24"/>
    </w:rPr>
  </w:style>
  <w:style w:type="paragraph" w:customStyle="1" w:styleId="180">
    <w:name w:val="列出段落8"/>
    <w:basedOn w:val="1"/>
    <w:qFormat/>
    <w:uiPriority w:val="0"/>
    <w:pPr>
      <w:ind w:firstLine="420" w:firstLineChars="200"/>
    </w:pPr>
    <w:rPr>
      <w:rFonts w:ascii="Calibri" w:hAnsi="Calibri"/>
      <w:szCs w:val="22"/>
    </w:rPr>
  </w:style>
  <w:style w:type="paragraph" w:customStyle="1" w:styleId="18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82">
    <w:name w:val="报告正文-连续目录"/>
    <w:basedOn w:val="1"/>
    <w:qFormat/>
    <w:uiPriority w:val="0"/>
    <w:pPr>
      <w:spacing w:line="440" w:lineRule="exact"/>
      <w:ind w:firstLine="200" w:firstLineChars="200"/>
    </w:pPr>
    <w:rPr>
      <w:rFonts w:ascii="Arial" w:hAnsi="Arial"/>
      <w:snapToGrid w:val="0"/>
      <w:kern w:val="0"/>
      <w:sz w:val="24"/>
      <w:szCs w:val="24"/>
    </w:rPr>
  </w:style>
  <w:style w:type="character" w:customStyle="1" w:styleId="183">
    <w:name w:val="纯文本 Char1"/>
    <w:qFormat/>
    <w:uiPriority w:val="0"/>
    <w:rPr>
      <w:rFonts w:ascii="宋体" w:hAnsi="Courier New" w:eastAsia="宋体" w:cs="Courier New"/>
      <w:szCs w:val="21"/>
    </w:rPr>
  </w:style>
  <w:style w:type="paragraph" w:customStyle="1" w:styleId="184">
    <w:name w:val="标题 41"/>
    <w:basedOn w:val="1"/>
    <w:qFormat/>
    <w:uiPriority w:val="1"/>
    <w:pPr>
      <w:autoSpaceDE w:val="0"/>
      <w:autoSpaceDN w:val="0"/>
      <w:ind w:left="1017"/>
      <w:jc w:val="left"/>
      <w:outlineLvl w:val="4"/>
    </w:pPr>
    <w:rPr>
      <w:rFonts w:ascii="宋体" w:hAnsi="宋体" w:cs="宋体"/>
      <w:b/>
      <w:bCs/>
      <w:kern w:val="0"/>
      <w:sz w:val="24"/>
      <w:szCs w:val="24"/>
      <w:lang w:eastAsia="en-US"/>
    </w:rPr>
  </w:style>
  <w:style w:type="paragraph" w:customStyle="1" w:styleId="185">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186">
    <w:name w:val="表字体"/>
    <w:basedOn w:val="1"/>
    <w:next w:val="1"/>
    <w:qFormat/>
    <w:uiPriority w:val="0"/>
    <w:pPr>
      <w:jc w:val="center"/>
    </w:pPr>
    <w:rPr>
      <w:rFonts w:ascii="Times New Roman" w:hAnsi="Times New Roman" w:eastAsia="宋体"/>
    </w:rPr>
  </w:style>
  <w:style w:type="paragraph" w:customStyle="1" w:styleId="187">
    <w:name w:val="1标题"/>
    <w:basedOn w:val="1"/>
    <w:qFormat/>
    <w:uiPriority w:val="0"/>
    <w:pPr>
      <w:spacing w:line="360" w:lineRule="auto"/>
      <w:ind w:firstLine="723" w:firstLineChars="200"/>
    </w:pPr>
    <w:rPr>
      <w:rFonts w:ascii="Times New Roman" w:hAnsi="Times New Roman" w:eastAsia="宋体"/>
      <w:b/>
      <w:sz w:val="24"/>
    </w:rPr>
  </w:style>
  <w:style w:type="paragraph" w:customStyle="1" w:styleId="188">
    <w:name w:val="表标题"/>
    <w:basedOn w:val="1"/>
    <w:qFormat/>
    <w:uiPriority w:val="0"/>
    <w:pPr>
      <w:jc w:val="center"/>
    </w:pPr>
    <w:rPr>
      <w:rFonts w:ascii="Times New Roman" w:hAnsi="Times New Roman" w:eastAsia="宋体"/>
      <w:b/>
    </w:rPr>
  </w:style>
  <w:style w:type="character" w:customStyle="1" w:styleId="189">
    <w:name w:val="正文1 Char"/>
    <w:link w:val="174"/>
    <w:qFormat/>
    <w:uiPriority w:val="0"/>
    <w:rPr>
      <w:rFonts w:ascii="Times New Roman" w:hAnsi="Times New Roman" w:eastAsia="宋体" w:cs="Times New Roman"/>
      <w:kern w:val="2"/>
      <w:sz w:val="21"/>
      <w:szCs w:val="21"/>
      <w:lang w:val="en-US" w:eastAsia="zh-CN" w:bidi="ar-SA"/>
    </w:rPr>
  </w:style>
  <w:style w:type="paragraph" w:customStyle="1" w:styleId="190">
    <w:name w:val="样式 小四 黑色 行距: 固定值 26 磅"/>
    <w:basedOn w:val="1"/>
    <w:qFormat/>
    <w:uiPriority w:val="0"/>
    <w:pPr>
      <w:spacing w:line="520" w:lineRule="exact"/>
      <w:ind w:firstLine="504" w:firstLineChars="200"/>
    </w:pPr>
    <w:rPr>
      <w:rFonts w:cs="宋体"/>
      <w:color w:val="000000"/>
      <w:spacing w:val="6"/>
      <w:sz w:val="24"/>
      <w:szCs w:val="20"/>
    </w:rPr>
  </w:style>
  <w:style w:type="paragraph" w:customStyle="1" w:styleId="191">
    <w:name w:val="九晟表格"/>
    <w:basedOn w:val="1"/>
    <w:qFormat/>
    <w:uiPriority w:val="0"/>
    <w:pPr>
      <w:jc w:val="center"/>
    </w:pPr>
    <w:rPr>
      <w:szCs w:val="21"/>
    </w:rPr>
  </w:style>
  <w:style w:type="paragraph" w:customStyle="1" w:styleId="192">
    <w:name w:val="样式 正文文本缩进 2 + Times New Roman 首行缩进:  2 字符"/>
    <w:basedOn w:val="24"/>
    <w:qFormat/>
    <w:uiPriority w:val="0"/>
    <w:pPr>
      <w:widowControl/>
      <w:spacing w:after="0" w:line="360" w:lineRule="auto"/>
      <w:ind w:left="0" w:leftChars="0" w:firstLine="480"/>
    </w:pPr>
    <w:rPr>
      <w:rFonts w:cs="宋体"/>
      <w:kern w:val="0"/>
      <w:szCs w:val="20"/>
    </w:rPr>
  </w:style>
  <w:style w:type="paragraph" w:customStyle="1" w:styleId="193">
    <w:name w:val="段落1"/>
    <w:basedOn w:val="1"/>
    <w:qFormat/>
    <w:uiPriority w:val="0"/>
    <w:pPr>
      <w:adjustRightInd w:val="0"/>
      <w:spacing w:line="440" w:lineRule="exact"/>
      <w:ind w:firstLine="200" w:firstLineChars="200"/>
    </w:pPr>
    <w:rPr>
      <w:rFonts w:ascii="Calibri" w:hAnsi="Calibri" w:eastAsia="宋体" w:cs="Times New Roman"/>
      <w:spacing w:val="8"/>
      <w:sz w:val="28"/>
    </w:rPr>
  </w:style>
  <w:style w:type="character" w:customStyle="1" w:styleId="194">
    <w:name w:val="font81"/>
    <w:qFormat/>
    <w:uiPriority w:val="0"/>
    <w:rPr>
      <w:rFonts w:hint="default" w:ascii="Times New Roman" w:hAnsi="Times New Roman" w:cs="Times New Roman"/>
      <w:color w:val="auto"/>
      <w:sz w:val="21"/>
      <w:szCs w:val="21"/>
      <w:u w:val="none"/>
    </w:rPr>
  </w:style>
  <w:style w:type="character" w:customStyle="1" w:styleId="195">
    <w:name w:val="font91"/>
    <w:qFormat/>
    <w:uiPriority w:val="0"/>
    <w:rPr>
      <w:rFonts w:hint="default" w:ascii="Times New Roman" w:hAnsi="Times New Roman" w:cs="Times New Roman"/>
      <w:color w:val="auto"/>
      <w:sz w:val="21"/>
      <w:szCs w:val="21"/>
      <w:u w:val="none"/>
    </w:rPr>
  </w:style>
  <w:style w:type="character" w:customStyle="1" w:styleId="196">
    <w:name w:val="font71"/>
    <w:qFormat/>
    <w:uiPriority w:val="0"/>
    <w:rPr>
      <w:rFonts w:hint="eastAsia" w:ascii="宋体" w:hAnsi="宋体" w:eastAsia="宋体" w:cs="宋体"/>
      <w:color w:val="auto"/>
      <w:sz w:val="21"/>
      <w:szCs w:val="21"/>
      <w:u w:val="none"/>
    </w:rPr>
  </w:style>
  <w:style w:type="paragraph" w:customStyle="1" w:styleId="197">
    <w:name w:val="A0正文"/>
    <w:basedOn w:val="1"/>
    <w:qFormat/>
    <w:uiPriority w:val="0"/>
    <w:pPr>
      <w:spacing w:line="360" w:lineRule="auto"/>
      <w:ind w:firstLine="200" w:firstLineChars="200"/>
    </w:pPr>
    <w:rPr>
      <w:rFonts w:ascii="Calibri" w:hAnsi="Calibri" w:cs="宋体"/>
      <w:sz w:val="24"/>
      <w:szCs w:val="20"/>
      <w:lang w:val="zh-CN"/>
    </w:rPr>
  </w:style>
  <w:style w:type="paragraph" w:customStyle="1" w:styleId="198">
    <w:name w:val="正文001"/>
    <w:basedOn w:val="1"/>
    <w:qFormat/>
    <w:uiPriority w:val="0"/>
    <w:pPr>
      <w:spacing w:before="60" w:line="420" w:lineRule="exact"/>
      <w:ind w:firstLine="482"/>
    </w:pPr>
    <w:rPr>
      <w:sz w:val="24"/>
      <w:szCs w:val="20"/>
    </w:rPr>
  </w:style>
  <w:style w:type="paragraph" w:customStyle="1" w:styleId="199">
    <w:name w:val="表1-1"/>
    <w:basedOn w:val="1"/>
    <w:qFormat/>
    <w:uiPriority w:val="0"/>
    <w:pPr>
      <w:spacing w:line="240" w:lineRule="auto"/>
      <w:jc w:val="center"/>
    </w:pPr>
    <w:rPr>
      <w:rFonts w:ascii="Times New Roman" w:hAnsi="Times New Roman" w:eastAsia="宋体"/>
      <w:b/>
      <w:kern w:val="0"/>
      <w:sz w:val="21"/>
      <w:szCs w:val="20"/>
    </w:rPr>
  </w:style>
  <w:style w:type="paragraph" w:customStyle="1" w:styleId="200">
    <w:name w:val="表内格式"/>
    <w:basedOn w:val="1"/>
    <w:qFormat/>
    <w:uiPriority w:val="0"/>
    <w:pPr>
      <w:spacing w:line="240" w:lineRule="exact"/>
      <w:ind w:firstLine="0" w:firstLineChars="0"/>
      <w:jc w:val="center"/>
    </w:pPr>
    <w:rPr>
      <w:rFonts w:eastAsia="Times New Roman"/>
      <w:sz w:val="21"/>
      <w:szCs w:val="21"/>
    </w:rPr>
  </w:style>
  <w:style w:type="character" w:customStyle="1" w:styleId="201">
    <w:name w:val="apple-style-span"/>
    <w:basedOn w:val="43"/>
    <w:qFormat/>
    <w:uiPriority w:val="0"/>
  </w:style>
  <w:style w:type="paragraph" w:customStyle="1" w:styleId="202">
    <w:name w:val="备注"/>
    <w:basedOn w:val="1"/>
    <w:qFormat/>
    <w:uiPriority w:val="0"/>
    <w:pPr>
      <w:spacing w:line="240" w:lineRule="auto"/>
      <w:ind w:firstLine="723" w:firstLineChars="200"/>
    </w:pPr>
    <w:rPr>
      <w:rFonts w:ascii="Times New Roman" w:hAnsi="Times New Roman" w:eastAsia="宋体"/>
      <w:b/>
      <w:sz w:val="21"/>
      <w:szCs w:val="21"/>
    </w:rPr>
  </w:style>
  <w:style w:type="paragraph" w:customStyle="1" w:styleId="203">
    <w:name w:val="0"/>
    <w:basedOn w:val="1"/>
    <w:qFormat/>
    <w:uiPriority w:val="0"/>
    <w:pPr>
      <w:widowControl/>
    </w:pPr>
    <w:rPr>
      <w:kern w:val="0"/>
      <w:szCs w:val="21"/>
    </w:rPr>
  </w:style>
  <w:style w:type="character" w:customStyle="1" w:styleId="204">
    <w:name w:val="headline-content"/>
    <w:basedOn w:val="43"/>
    <w:qFormat/>
    <w:uiPriority w:val="0"/>
  </w:style>
  <w:style w:type="paragraph" w:customStyle="1" w:styleId="205">
    <w:name w:val="正文内容"/>
    <w:basedOn w:val="1"/>
    <w:qFormat/>
    <w:uiPriority w:val="0"/>
    <w:pPr>
      <w:spacing w:line="360" w:lineRule="auto"/>
      <w:ind w:firstLine="200" w:firstLineChars="200"/>
    </w:pPr>
    <w:rPr>
      <w:kern w:val="0"/>
      <w:sz w:val="24"/>
    </w:rPr>
  </w:style>
  <w:style w:type="paragraph" w:customStyle="1" w:styleId="206">
    <w:name w:val="环评正文"/>
    <w:basedOn w:val="1"/>
    <w:qFormat/>
    <w:uiPriority w:val="0"/>
    <w:pPr>
      <w:spacing w:line="360" w:lineRule="auto"/>
      <w:ind w:firstLine="480" w:firstLineChars="200"/>
    </w:pPr>
    <w:rPr>
      <w:sz w:val="24"/>
      <w:szCs w:val="21"/>
    </w:rPr>
  </w:style>
  <w:style w:type="paragraph" w:customStyle="1" w:styleId="207">
    <w:name w:val="报告正文"/>
    <w:basedOn w:val="1"/>
    <w:qFormat/>
    <w:uiPriority w:val="0"/>
    <w:pPr>
      <w:widowControl/>
      <w:tabs>
        <w:tab w:val="left" w:pos="0"/>
      </w:tabs>
      <w:spacing w:line="480" w:lineRule="exact"/>
      <w:ind w:firstLine="200" w:firstLineChars="200"/>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53" textRotate="1"/>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4B223-AC68-4AEF-A9E0-371EE7A0DD5F}">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77</Pages>
  <Words>39904</Words>
  <Characters>45283</Characters>
  <Lines>279</Lines>
  <Paragraphs>78</Paragraphs>
  <TotalTime>32</TotalTime>
  <ScaleCrop>false</ScaleCrop>
  <LinksUpToDate>false</LinksUpToDate>
  <CharactersWithSpaces>48356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2018-11-01T10:26:00Z</dcterms:created>
  <dc:creator>微软用户</dc:creator>
  <cp:lastModifiedBy>浮生若梦</cp:lastModifiedBy>
  <cp:lastPrinted>2021-01-11T08:41:00Z</cp:lastPrinted>
  <dcterms:modified xsi:type="dcterms:W3CDTF">2021-03-18T02:30:23Z</dcterms:modified>
  <dc:title>建设项目环境影响报告表</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